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2359" w14:textId="7B869A7A" w:rsidR="00781196" w:rsidRPr="00C82097" w:rsidRDefault="008849AA" w:rsidP="00CC33B6">
      <w:pPr>
        <w:spacing w:after="0"/>
        <w:jc w:val="both"/>
        <w:rPr>
          <w:b/>
          <w:bCs/>
          <w:sz w:val="20"/>
          <w:szCs w:val="20"/>
        </w:rPr>
      </w:pPr>
      <w:r w:rsidRPr="00C82097">
        <w:rPr>
          <w:b/>
          <w:bCs/>
          <w:sz w:val="20"/>
          <w:szCs w:val="20"/>
        </w:rPr>
        <w:t>TERCEIRO 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77777777" w:rsidR="008849AA" w:rsidRPr="00C82097" w:rsidRDefault="008849AA" w:rsidP="00CC33B6">
      <w:pPr>
        <w:spacing w:after="0"/>
        <w:jc w:val="both"/>
        <w:rPr>
          <w:sz w:val="20"/>
          <w:szCs w:val="20"/>
        </w:rPr>
      </w:pPr>
      <w:r w:rsidRPr="00C82097">
        <w:rPr>
          <w:sz w:val="20"/>
          <w:szCs w:val="20"/>
        </w:rPr>
        <w:t xml:space="preserve">Pelo presente instrumento particular de terceiro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77777777"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10º da Lei nº 9.514 e da Instrução CVM 583,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4927F1AB"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700031">
        <w:rPr>
          <w:sz w:val="20"/>
          <w:szCs w:val="20"/>
        </w:rPr>
        <w:t xml:space="preserve"> e </w:t>
      </w:r>
      <w:r w:rsidR="002B6E7F" w:rsidRPr="00C82097">
        <w:rPr>
          <w:sz w:val="20"/>
          <w:szCs w:val="20"/>
        </w:rPr>
        <w:t>em 29 de julho de 2021</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79DA827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700031" w:rsidRPr="00A62929">
        <w:rPr>
          <w:sz w:val="20"/>
          <w:szCs w:val="20"/>
        </w:rPr>
        <w:t>3</w:t>
      </w:r>
      <w:r w:rsidRPr="00A62929">
        <w:rPr>
          <w:sz w:val="20"/>
          <w:szCs w:val="20"/>
        </w:rPr>
        <w:t xml:space="preserve">º Aditamento para </w:t>
      </w:r>
      <w:r w:rsidR="00DA0D64" w:rsidRPr="00A62929">
        <w:rPr>
          <w:sz w:val="20"/>
          <w:szCs w:val="20"/>
        </w:rPr>
        <w:t xml:space="preserve">(i) </w:t>
      </w:r>
      <w:r w:rsidR="00922C44">
        <w:rPr>
          <w:sz w:val="20"/>
          <w:szCs w:val="20"/>
        </w:rPr>
        <w:t>alterar o Anexo IX – “Cronograma Indicativo de Utilização dos Recursos”; e (i</w:t>
      </w:r>
      <w:r w:rsidR="007B5EE6">
        <w:rPr>
          <w:sz w:val="20"/>
          <w:szCs w:val="20"/>
        </w:rPr>
        <w:t>i</w:t>
      </w:r>
      <w:r w:rsidR="00922C44">
        <w:rPr>
          <w:sz w:val="20"/>
          <w:szCs w:val="20"/>
        </w:rPr>
        <w:t>) alterar a redação da Cláusula 5.7</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33730A8"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os CRI foram objeto de oferta pública distribuída com esforços restritos nos termos da Instrução da CVM nº 476, de 16 de janeiro de 2009, conforme alterada (“</w:t>
      </w:r>
      <w:r w:rsidRPr="00F40B1D">
        <w:rPr>
          <w:rFonts w:cstheme="minorHAnsi"/>
          <w:sz w:val="20"/>
          <w:szCs w:val="20"/>
          <w:u w:val="single"/>
        </w:rPr>
        <w:t>Oferta Restrita</w:t>
      </w:r>
      <w:r w:rsidRPr="00F40B1D">
        <w:rPr>
          <w:rFonts w:cstheme="minorHAnsi"/>
          <w:sz w:val="20"/>
          <w:szCs w:val="20"/>
        </w:rPr>
        <w:t xml:space="preserve">”), sendo certo </w:t>
      </w:r>
      <w:r w:rsidR="006A7214">
        <w:rPr>
          <w:rFonts w:cstheme="minorHAnsi"/>
          <w:sz w:val="20"/>
          <w:szCs w:val="20"/>
        </w:rPr>
        <w:t xml:space="preserve">que </w:t>
      </w:r>
      <w:r w:rsidR="006A7214" w:rsidRPr="008636AF">
        <w:rPr>
          <w:rFonts w:cstheme="minorHAnsi"/>
          <w:sz w:val="20"/>
          <w:szCs w:val="20"/>
        </w:rPr>
        <w:t xml:space="preserve">(i) os CRI </w:t>
      </w:r>
      <w:r w:rsidR="006A7214">
        <w:rPr>
          <w:rFonts w:cstheme="minorHAnsi"/>
          <w:sz w:val="20"/>
          <w:szCs w:val="20"/>
        </w:rPr>
        <w:t xml:space="preserve">da </w:t>
      </w:r>
      <w:r w:rsidR="006A7214" w:rsidRPr="008636AF">
        <w:rPr>
          <w:rFonts w:cstheme="minorHAnsi"/>
          <w:sz w:val="20"/>
          <w:szCs w:val="20"/>
        </w:rPr>
        <w:t xml:space="preserve">295ª Série foram parcialmente subscritos e integralizados; os CRI </w:t>
      </w:r>
      <w:r w:rsidR="006A7214">
        <w:rPr>
          <w:rFonts w:cstheme="minorHAnsi"/>
          <w:sz w:val="20"/>
          <w:szCs w:val="20"/>
        </w:rPr>
        <w:t xml:space="preserve">das </w:t>
      </w:r>
      <w:r w:rsidR="006A7214" w:rsidRPr="008636AF">
        <w:rPr>
          <w:rFonts w:cstheme="minorHAnsi"/>
          <w:sz w:val="20"/>
          <w:szCs w:val="20"/>
        </w:rPr>
        <w:t xml:space="preserve">296ª e 297ª Séries ainda não foram subscritos e integralizados;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p>
    <w:p w14:paraId="399CD6FB" w14:textId="77777777" w:rsidR="008849AA" w:rsidRPr="00C82097" w:rsidRDefault="008849AA" w:rsidP="00CC33B6">
      <w:pPr>
        <w:spacing w:after="0"/>
        <w:jc w:val="both"/>
        <w:rPr>
          <w:sz w:val="20"/>
          <w:szCs w:val="20"/>
        </w:rPr>
      </w:pPr>
    </w:p>
    <w:p w14:paraId="26DC1F22" w14:textId="521EBBF7" w:rsidR="008849AA" w:rsidRPr="00C82097" w:rsidRDefault="007C2F55" w:rsidP="008849AA">
      <w:pPr>
        <w:pStyle w:val="PargrafodaLista"/>
        <w:numPr>
          <w:ilvl w:val="0"/>
          <w:numId w:val="10"/>
        </w:numPr>
        <w:spacing w:after="0"/>
        <w:jc w:val="both"/>
        <w:rPr>
          <w:sz w:val="20"/>
          <w:szCs w:val="20"/>
        </w:rPr>
      </w:pPr>
      <w:r>
        <w:rPr>
          <w:sz w:val="20"/>
          <w:szCs w:val="20"/>
        </w:rPr>
        <w:t>as matérias objeto deste 3º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296ª, 297ª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7B5EE6">
        <w:rPr>
          <w:sz w:val="20"/>
          <w:szCs w:val="20"/>
        </w:rPr>
        <w:t>1</w:t>
      </w:r>
      <w:r w:rsidR="0005472C">
        <w:rPr>
          <w:sz w:val="20"/>
          <w:szCs w:val="20"/>
        </w:rPr>
        <w:t>8</w:t>
      </w:r>
      <w:r w:rsidR="007B5EE6">
        <w:rPr>
          <w:sz w:val="20"/>
          <w:szCs w:val="20"/>
        </w:rPr>
        <w:t xml:space="preserve"> de março</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r w:rsidR="0005472C">
        <w:rPr>
          <w:sz w:val="20"/>
          <w:szCs w:val="20"/>
        </w:rPr>
        <w:t>2</w:t>
      </w:r>
      <w:r w:rsidR="000C298A">
        <w:rPr>
          <w:sz w:val="20"/>
          <w:szCs w:val="20"/>
        </w:rPr>
        <w:t>3</w:t>
      </w:r>
      <w:r w:rsidR="007577A8" w:rsidRPr="00C82097">
        <w:rPr>
          <w:sz w:val="20"/>
          <w:szCs w:val="20"/>
        </w:rPr>
        <w:t xml:space="preserve"> </w:t>
      </w:r>
      <w:r w:rsidRPr="00C82097">
        <w:rPr>
          <w:sz w:val="20"/>
          <w:szCs w:val="20"/>
        </w:rPr>
        <w:t xml:space="preserve">de </w:t>
      </w:r>
      <w:r w:rsidR="007B5EE6">
        <w:rPr>
          <w:sz w:val="20"/>
          <w:szCs w:val="20"/>
        </w:rPr>
        <w:t>março</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64E0AB00" w:rsidR="008849AA" w:rsidRPr="00C82097" w:rsidRDefault="008849AA" w:rsidP="00CC33B6">
      <w:pPr>
        <w:spacing w:after="0"/>
        <w:jc w:val="both"/>
        <w:rPr>
          <w:sz w:val="20"/>
          <w:szCs w:val="20"/>
        </w:rPr>
      </w:pPr>
      <w:r w:rsidRPr="00C82097">
        <w:rPr>
          <w:sz w:val="20"/>
          <w:szCs w:val="20"/>
        </w:rPr>
        <w:lastRenderedPageBreak/>
        <w:t>RESOLVEM, na melhor forma de direito, firmar o presente “</w:t>
      </w:r>
      <w:r w:rsidR="002B6E7F" w:rsidRPr="00C82097">
        <w:rPr>
          <w:sz w:val="20"/>
          <w:szCs w:val="20"/>
        </w:rPr>
        <w:t>Terceiro</w:t>
      </w:r>
      <w:r w:rsidRPr="00C82097">
        <w:rPr>
          <w:sz w:val="20"/>
          <w:szCs w:val="20"/>
        </w:rPr>
        <w:t xml:space="preserve"> Aditamento ao Termo de Securitização de Créditos Imobiliários das 295ª, 296ª, 297ª e 298ª Séries da 4ª Emissão da Virgo Companhia de Securitização” (“</w:t>
      </w:r>
      <w:r w:rsidR="002B6E7F" w:rsidRPr="00C82097">
        <w:rPr>
          <w:sz w:val="20"/>
          <w:szCs w:val="20"/>
          <w:u w:val="single"/>
        </w:rPr>
        <w:t>3</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01A20D50"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700031">
        <w:rPr>
          <w:sz w:val="20"/>
          <w:szCs w:val="20"/>
        </w:rPr>
        <w:t>3</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0C1C8317"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700031">
        <w:rPr>
          <w:sz w:val="20"/>
          <w:szCs w:val="20"/>
        </w:rPr>
        <w:t>3</w:t>
      </w:r>
      <w:r w:rsidRPr="00C82097">
        <w:rPr>
          <w:sz w:val="20"/>
          <w:szCs w:val="20"/>
        </w:rPr>
        <w:t xml:space="preserve">º Aditamento, iniciados em letras maiúsculas, no singular ou no plural, e que não tenham sido de outra forma definidos neste </w:t>
      </w:r>
      <w:r w:rsidR="00700031">
        <w:rPr>
          <w:sz w:val="20"/>
          <w:szCs w:val="20"/>
        </w:rPr>
        <w:t>3</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366968D8" w14:textId="1B23B419" w:rsidR="002B6E7F" w:rsidRPr="007A60CF" w:rsidRDefault="0005472C" w:rsidP="0005472C">
      <w:pPr>
        <w:spacing w:after="0"/>
        <w:jc w:val="both"/>
        <w:rPr>
          <w:sz w:val="20"/>
          <w:szCs w:val="20"/>
        </w:rPr>
      </w:pPr>
      <w:r>
        <w:rPr>
          <w:sz w:val="20"/>
          <w:szCs w:val="20"/>
        </w:rPr>
        <w:t>3.1.</w:t>
      </w:r>
      <w:r>
        <w:rPr>
          <w:sz w:val="20"/>
          <w:szCs w:val="20"/>
        </w:rPr>
        <w:tab/>
      </w:r>
      <w:r w:rsidR="00B7169E">
        <w:rPr>
          <w:sz w:val="20"/>
          <w:szCs w:val="20"/>
        </w:rPr>
        <w:t xml:space="preserve">A </w:t>
      </w:r>
      <w:r w:rsidR="007A60CF" w:rsidRPr="007A60CF">
        <w:rPr>
          <w:sz w:val="20"/>
          <w:szCs w:val="20"/>
        </w:rPr>
        <w:t xml:space="preserve">Securitizadora resolve alterar </w:t>
      </w:r>
      <w:r w:rsidR="007A60CF">
        <w:rPr>
          <w:sz w:val="20"/>
          <w:szCs w:val="20"/>
        </w:rPr>
        <w:t>a Cláusula 5.7</w:t>
      </w:r>
      <w:r w:rsidR="00304115">
        <w:rPr>
          <w:sz w:val="20"/>
          <w:szCs w:val="20"/>
        </w:rPr>
        <w:t xml:space="preserve"> do Termo de Securitização</w:t>
      </w:r>
      <w:r w:rsidR="007A60CF" w:rsidRPr="007A60CF">
        <w:rPr>
          <w:sz w:val="20"/>
          <w:szCs w:val="20"/>
        </w:rPr>
        <w:t xml:space="preserve">, </w:t>
      </w:r>
      <w:r w:rsidR="007A60CF">
        <w:rPr>
          <w:sz w:val="20"/>
          <w:szCs w:val="20"/>
        </w:rPr>
        <w:t>a</w:t>
      </w:r>
      <w:r w:rsidR="007A60CF" w:rsidRPr="007A60CF">
        <w:rPr>
          <w:sz w:val="20"/>
          <w:szCs w:val="20"/>
        </w:rPr>
        <w:t xml:space="preserve"> qual passará a vigorar com a seguinte redação:</w:t>
      </w:r>
    </w:p>
    <w:p w14:paraId="5B34915D" w14:textId="3A9EBFAD" w:rsidR="007A60CF" w:rsidRPr="007B3A26" w:rsidRDefault="007A60CF" w:rsidP="002B6E7F">
      <w:pPr>
        <w:spacing w:after="0"/>
        <w:jc w:val="both"/>
        <w:rPr>
          <w:i/>
          <w:iCs/>
          <w:sz w:val="20"/>
          <w:szCs w:val="20"/>
        </w:rPr>
      </w:pPr>
    </w:p>
    <w:p w14:paraId="772C2A0F" w14:textId="6EAB97E9" w:rsidR="007A60CF" w:rsidRPr="007A60CF" w:rsidRDefault="007A60CF" w:rsidP="007A60CF">
      <w:pPr>
        <w:spacing w:after="0"/>
        <w:ind w:left="567"/>
        <w:jc w:val="both"/>
        <w:rPr>
          <w:i/>
          <w:iCs/>
          <w:sz w:val="20"/>
          <w:szCs w:val="20"/>
        </w:rPr>
      </w:pPr>
      <w:r w:rsidRPr="007B3A26">
        <w:rPr>
          <w:rFonts w:cstheme="minorHAnsi"/>
          <w:i/>
          <w:iCs/>
          <w:color w:val="000000"/>
          <w:sz w:val="20"/>
          <w:szCs w:val="20"/>
        </w:rPr>
        <w:t>“5.7.</w:t>
      </w:r>
      <w:r w:rsidRPr="007B3A26">
        <w:rPr>
          <w:rFonts w:cstheme="minorHAnsi"/>
          <w:i/>
          <w:iCs/>
          <w:color w:val="000000"/>
          <w:sz w:val="20"/>
          <w:szCs w:val="20"/>
        </w:rPr>
        <w:tab/>
      </w:r>
      <w:r w:rsidRPr="007B3A26">
        <w:rPr>
          <w:rFonts w:cstheme="minorHAnsi"/>
          <w:i/>
          <w:iCs/>
          <w:color w:val="000000"/>
          <w:sz w:val="20"/>
          <w:szCs w:val="20"/>
          <w:u w:val="single"/>
        </w:rPr>
        <w:t>Fundo de Pagamento de Juros</w:t>
      </w:r>
      <w:r w:rsidRPr="007B3A26">
        <w:rPr>
          <w:rFonts w:cstheme="minorHAnsi"/>
          <w:i/>
          <w:iCs/>
          <w:color w:val="000000"/>
          <w:sz w:val="20"/>
          <w:szCs w:val="20"/>
        </w:rPr>
        <w:t>: Nos termos previstos no item 4.2.3.2 da Escritura de Emissão</w:t>
      </w:r>
      <w:r w:rsidRPr="007B3A26">
        <w:rPr>
          <w:rFonts w:eastAsia="Arial Unicode MS" w:cstheme="minorHAnsi"/>
          <w:i/>
          <w:iCs/>
          <w:w w:val="0"/>
          <w:sz w:val="20"/>
          <w:szCs w:val="20"/>
        </w:rPr>
        <w:t xml:space="preserve"> de Debêntures</w:t>
      </w:r>
      <w:r w:rsidRPr="007B3A26">
        <w:rPr>
          <w:rFonts w:cstheme="minorHAnsi"/>
          <w:i/>
          <w:iCs/>
          <w:color w:val="000000"/>
          <w:sz w:val="20"/>
          <w:szCs w:val="20"/>
        </w:rPr>
        <w:t xml:space="preserve">, a Devedora autorizou a Emissora a reter </w:t>
      </w:r>
      <w:r w:rsidR="00F92C9F" w:rsidRPr="007B3A26">
        <w:rPr>
          <w:rFonts w:cstheme="minorHAnsi"/>
          <w:i/>
          <w:iCs/>
          <w:color w:val="000000"/>
          <w:sz w:val="20"/>
          <w:szCs w:val="20"/>
        </w:rPr>
        <w:t xml:space="preserve">o </w:t>
      </w:r>
      <w:r w:rsidR="00F92C9F" w:rsidRPr="00322302">
        <w:rPr>
          <w:rFonts w:cstheme="minorHAnsi"/>
          <w:i/>
          <w:iCs/>
          <w:color w:val="000000"/>
          <w:sz w:val="20"/>
          <w:szCs w:val="20"/>
        </w:rPr>
        <w:t xml:space="preserve">montante de </w:t>
      </w:r>
      <w:bookmarkStart w:id="0" w:name="_Hlk95729326"/>
      <w:r w:rsidR="00180356" w:rsidRPr="00322302">
        <w:rPr>
          <w:rFonts w:cstheme="minorHAnsi"/>
          <w:i/>
          <w:iCs/>
          <w:color w:val="000000"/>
          <w:sz w:val="20"/>
          <w:szCs w:val="20"/>
        </w:rPr>
        <w:t>(i)</w:t>
      </w:r>
      <w:r w:rsidR="00180356" w:rsidRPr="00322302">
        <w:rPr>
          <w:rFonts w:cstheme="minorHAnsi"/>
          <w:i/>
          <w:iCs/>
          <w:sz w:val="20"/>
          <w:szCs w:val="20"/>
        </w:rPr>
        <w:t xml:space="preserve"> R$ </w:t>
      </w:r>
      <w:r w:rsidR="007B3A26" w:rsidRPr="00322302">
        <w:rPr>
          <w:rFonts w:cstheme="minorHAnsi"/>
          <w:i/>
          <w:iCs/>
          <w:sz w:val="20"/>
          <w:szCs w:val="20"/>
        </w:rPr>
        <w:t>454.737,37 (quatrocentos e cinquenta e quatro mil, setecentos e trinta e sete reais e trinta e sete centavos)</w:t>
      </w:r>
      <w:r w:rsidR="00180356" w:rsidRPr="00322302">
        <w:rPr>
          <w:rFonts w:cstheme="minorHAnsi"/>
          <w:i/>
          <w:iCs/>
          <w:sz w:val="20"/>
          <w:szCs w:val="20"/>
        </w:rPr>
        <w:t xml:space="preserve"> na Conta do Patrimônio Separado 295ª Série; </w:t>
      </w:r>
      <w:r w:rsidR="00322302">
        <w:rPr>
          <w:rFonts w:cstheme="minorHAnsi"/>
          <w:i/>
          <w:iCs/>
          <w:sz w:val="20"/>
          <w:szCs w:val="20"/>
        </w:rPr>
        <w:t xml:space="preserve">e </w:t>
      </w:r>
      <w:r w:rsidR="00180356" w:rsidRPr="00322302">
        <w:rPr>
          <w:rFonts w:cstheme="minorHAnsi"/>
          <w:i/>
          <w:iCs/>
          <w:sz w:val="20"/>
          <w:szCs w:val="20"/>
        </w:rPr>
        <w:t xml:space="preserve">(ii) R$ </w:t>
      </w:r>
      <w:r w:rsidR="007B3A26" w:rsidRPr="00322302">
        <w:rPr>
          <w:rFonts w:cs="Open Sans"/>
          <w:i/>
          <w:iCs/>
          <w:sz w:val="20"/>
          <w:szCs w:val="20"/>
        </w:rPr>
        <w:t>635.965,36 (seiscentos e trinta e cinco mil, novecentos e sessenta e cinco reais e trinta e seis centavos)</w:t>
      </w:r>
      <w:r w:rsidR="00180356" w:rsidRPr="00322302">
        <w:rPr>
          <w:rFonts w:cstheme="minorHAnsi"/>
          <w:i/>
          <w:iCs/>
          <w:sz w:val="20"/>
          <w:szCs w:val="20"/>
        </w:rPr>
        <w:t xml:space="preserve"> na Conta do Patrimônio Separado 298ª Série, totalizando </w:t>
      </w:r>
      <w:r w:rsidR="00322302" w:rsidRPr="00322302">
        <w:rPr>
          <w:rFonts w:cs="Open Sans"/>
          <w:i/>
          <w:iCs/>
          <w:color w:val="000000"/>
          <w:sz w:val="20"/>
          <w:szCs w:val="20"/>
        </w:rPr>
        <w:t xml:space="preserve">R$ </w:t>
      </w:r>
      <w:r w:rsidR="00322302" w:rsidRPr="00322302">
        <w:rPr>
          <w:rFonts w:cs="Open Sans"/>
          <w:i/>
          <w:iCs/>
          <w:sz w:val="20"/>
          <w:szCs w:val="20"/>
        </w:rPr>
        <w:t>1.090.702,73 (um milhão, noventa mil, setecentos e dois reais e setenta e três centavos</w:t>
      </w:r>
      <w:r w:rsidR="001F0597" w:rsidRPr="00322302">
        <w:rPr>
          <w:rFonts w:cstheme="minorHAnsi"/>
          <w:i/>
          <w:iCs/>
          <w:sz w:val="20"/>
          <w:szCs w:val="20"/>
        </w:rPr>
        <w:t>)</w:t>
      </w:r>
      <w:bookmarkEnd w:id="0"/>
      <w:r w:rsidRPr="00322302">
        <w:rPr>
          <w:rFonts w:cstheme="minorHAnsi"/>
          <w:i/>
          <w:iCs/>
          <w:sz w:val="20"/>
          <w:szCs w:val="20"/>
        </w:rPr>
        <w:t xml:space="preserve"> para</w:t>
      </w:r>
      <w:r w:rsidRPr="00322302">
        <w:rPr>
          <w:rFonts w:cs="Calibri"/>
          <w:i/>
          <w:iCs/>
          <w:sz w:val="20"/>
          <w:szCs w:val="20"/>
        </w:rPr>
        <w:t xml:space="preserve"> a constituição do Fundo de Pagamento de Juros, sendo certo que a cada nova integralização deverá ser recomposto com o valor mínimo equivalente</w:t>
      </w:r>
      <w:r w:rsidRPr="007A60CF">
        <w:rPr>
          <w:rFonts w:cs="Calibri"/>
          <w:i/>
          <w:iCs/>
          <w:sz w:val="20"/>
          <w:szCs w:val="20"/>
        </w:rPr>
        <w:t xml:space="preserve"> </w:t>
      </w:r>
      <w:r w:rsidR="00304115" w:rsidRPr="007A60CF">
        <w:rPr>
          <w:rFonts w:cs="Calibri"/>
          <w:i/>
          <w:iCs/>
          <w:sz w:val="20"/>
          <w:szCs w:val="20"/>
        </w:rPr>
        <w:t>a</w:t>
      </w:r>
      <w:r w:rsidRPr="007A60CF">
        <w:rPr>
          <w:rFonts w:cs="Calibri"/>
          <w:i/>
          <w:iCs/>
          <w:sz w:val="20"/>
          <w:szCs w:val="20"/>
        </w:rPr>
        <w:t xml:space="preserve"> 6 (seis) meses de pagamento de juros</w:t>
      </w:r>
      <w:r w:rsidRPr="007A60CF" w:rsidDel="007476AA">
        <w:rPr>
          <w:rFonts w:cs="Calibri"/>
          <w:i/>
          <w:iCs/>
          <w:sz w:val="20"/>
          <w:szCs w:val="20"/>
        </w:rPr>
        <w:t xml:space="preserve"> </w:t>
      </w:r>
      <w:r w:rsidRPr="007A60CF">
        <w:rPr>
          <w:rFonts w:cstheme="minorHAnsi"/>
          <w:bCs/>
          <w:i/>
          <w:iCs/>
          <w:sz w:val="20"/>
          <w:szCs w:val="20"/>
        </w:rPr>
        <w:t>(“</w:t>
      </w:r>
      <w:r w:rsidRPr="007A60CF">
        <w:rPr>
          <w:rFonts w:cstheme="minorHAnsi"/>
          <w:bCs/>
          <w:i/>
          <w:iCs/>
          <w:sz w:val="20"/>
          <w:szCs w:val="20"/>
          <w:u w:val="single"/>
        </w:rPr>
        <w:t>Fundo de Pagamento de Juros</w:t>
      </w:r>
      <w:r w:rsidRPr="007A60CF">
        <w:rPr>
          <w:rFonts w:cstheme="minorHAnsi"/>
          <w:bCs/>
          <w:i/>
          <w:iCs/>
          <w:sz w:val="20"/>
          <w:szCs w:val="20"/>
        </w:rPr>
        <w:t>”).”</w:t>
      </w:r>
    </w:p>
    <w:p w14:paraId="08AC826E" w14:textId="521D761C" w:rsidR="007A60CF" w:rsidRDefault="007A60CF" w:rsidP="002B6E7F">
      <w:pPr>
        <w:spacing w:after="0"/>
        <w:jc w:val="both"/>
        <w:rPr>
          <w:sz w:val="20"/>
          <w:szCs w:val="20"/>
        </w:rPr>
      </w:pPr>
    </w:p>
    <w:p w14:paraId="4F48F061" w14:textId="7D84F4EC" w:rsidR="007A60CF" w:rsidRDefault="007A60CF" w:rsidP="002B6E7F">
      <w:pPr>
        <w:spacing w:after="0"/>
        <w:jc w:val="both"/>
        <w:rPr>
          <w:sz w:val="20"/>
          <w:szCs w:val="20"/>
        </w:rPr>
      </w:pPr>
      <w:r>
        <w:rPr>
          <w:sz w:val="20"/>
          <w:szCs w:val="20"/>
        </w:rPr>
        <w:t>3.</w:t>
      </w:r>
      <w:r w:rsidR="0005472C">
        <w:rPr>
          <w:sz w:val="20"/>
          <w:szCs w:val="20"/>
        </w:rPr>
        <w:t>2</w:t>
      </w:r>
      <w:r>
        <w:rPr>
          <w:sz w:val="20"/>
          <w:szCs w:val="20"/>
        </w:rPr>
        <w:t xml:space="preserve">. A Securitizadora resolve altera o </w:t>
      </w:r>
      <w:r w:rsidR="00304115">
        <w:rPr>
          <w:sz w:val="20"/>
          <w:szCs w:val="20"/>
        </w:rPr>
        <w:t xml:space="preserve">Anexo IX – “Cronograma Indicativo de Utilização dos Recursos” do Termo de Securitização, o qual passará a vigorar conforme Anexo A ao presente 3º Aditamento. </w:t>
      </w:r>
    </w:p>
    <w:p w14:paraId="3C772155" w14:textId="77777777" w:rsidR="00304115" w:rsidRPr="007A60CF" w:rsidRDefault="00304115" w:rsidP="002B6E7F">
      <w:pPr>
        <w:spacing w:after="0"/>
        <w:jc w:val="both"/>
        <w:rPr>
          <w:sz w:val="20"/>
          <w:szCs w:val="20"/>
        </w:rPr>
      </w:pPr>
    </w:p>
    <w:p w14:paraId="54749BF4" w14:textId="36C266F4" w:rsidR="002B6E7F" w:rsidRPr="00C82097" w:rsidRDefault="002B6E7F" w:rsidP="002B6E7F">
      <w:pPr>
        <w:spacing w:after="0"/>
        <w:jc w:val="both"/>
        <w:rPr>
          <w:sz w:val="20"/>
          <w:szCs w:val="20"/>
        </w:rPr>
      </w:pPr>
      <w:r w:rsidRPr="007A60CF">
        <w:rPr>
          <w:sz w:val="20"/>
          <w:szCs w:val="20"/>
        </w:rPr>
        <w:t>3.</w:t>
      </w:r>
      <w:r w:rsidR="0005472C">
        <w:rPr>
          <w:sz w:val="20"/>
          <w:szCs w:val="20"/>
        </w:rPr>
        <w:t>3</w:t>
      </w:r>
      <w:r w:rsidRPr="007A60CF">
        <w:rPr>
          <w:sz w:val="20"/>
          <w:szCs w:val="20"/>
        </w:rPr>
        <w:t>.</w:t>
      </w:r>
      <w:r w:rsidR="00C82097" w:rsidRPr="007A60CF">
        <w:rPr>
          <w:sz w:val="20"/>
          <w:szCs w:val="20"/>
        </w:rPr>
        <w:tab/>
      </w:r>
      <w:r w:rsidRPr="007A60CF">
        <w:rPr>
          <w:sz w:val="20"/>
          <w:szCs w:val="20"/>
        </w:rPr>
        <w:t xml:space="preserve">A Securitizadora resolve ratificar as demais disposições presentes no Termo de Securitização. As alterações feitas no Termo de Securitização por meio deste </w:t>
      </w:r>
      <w:r w:rsidR="00700031" w:rsidRPr="007A60CF">
        <w:rPr>
          <w:sz w:val="20"/>
          <w:szCs w:val="20"/>
        </w:rPr>
        <w:t>3</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700031">
        <w:rPr>
          <w:sz w:val="20"/>
          <w:szCs w:val="20"/>
        </w:rPr>
        <w:t>3</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213576AB"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700031">
        <w:rPr>
          <w:sz w:val="20"/>
          <w:szCs w:val="20"/>
        </w:rPr>
        <w:t>3</w:t>
      </w:r>
      <w:r w:rsidRPr="00C82097">
        <w:rPr>
          <w:sz w:val="20"/>
          <w:szCs w:val="20"/>
        </w:rPr>
        <w:t xml:space="preserve">º Aditamento como se aqui estivessem transcritas. Ainda, a Securitizadora declara e garante, </w:t>
      </w:r>
      <w:r w:rsidRPr="00C82097">
        <w:rPr>
          <w:sz w:val="20"/>
          <w:szCs w:val="20"/>
        </w:rPr>
        <w:lastRenderedPageBreak/>
        <w:t xml:space="preserve">neste ato, que todas as declarações e garantias previstas no Termo de Securitização permanecem verdadeiras, corretas e plenamente válidas e eficazes na data de assinatura deste </w:t>
      </w:r>
      <w:r w:rsidR="00700031">
        <w:rPr>
          <w:sz w:val="20"/>
          <w:szCs w:val="20"/>
        </w:rPr>
        <w:t>3</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3EE97BB3"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700031">
        <w:rPr>
          <w:sz w:val="20"/>
          <w:szCs w:val="20"/>
        </w:rPr>
        <w:t>3</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79ED58A"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700031">
        <w:rPr>
          <w:sz w:val="20"/>
          <w:szCs w:val="20"/>
        </w:rPr>
        <w:t>3</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7F73AFAC"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700031">
        <w:rPr>
          <w:sz w:val="20"/>
          <w:szCs w:val="20"/>
        </w:rPr>
        <w:t>3</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14104972"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700031">
        <w:rPr>
          <w:sz w:val="20"/>
          <w:szCs w:val="20"/>
        </w:rPr>
        <w:t>3</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700031">
        <w:rPr>
          <w:sz w:val="20"/>
          <w:szCs w:val="20"/>
        </w:rPr>
        <w:t>3</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700031">
        <w:rPr>
          <w:sz w:val="20"/>
          <w:szCs w:val="20"/>
        </w:rPr>
        <w:t>3</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212D952C"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700031">
        <w:rPr>
          <w:sz w:val="20"/>
          <w:szCs w:val="20"/>
        </w:rPr>
        <w:t>3</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2DD133BF" w:rsidR="002B6E7F" w:rsidRPr="00C82097" w:rsidRDefault="00C82097" w:rsidP="002B6E7F">
      <w:pPr>
        <w:spacing w:after="0"/>
        <w:jc w:val="both"/>
        <w:rPr>
          <w:sz w:val="20"/>
          <w:szCs w:val="20"/>
        </w:rPr>
      </w:pPr>
      <w:r w:rsidRPr="00C82097">
        <w:rPr>
          <w:sz w:val="20"/>
          <w:szCs w:val="20"/>
        </w:rPr>
        <w:t xml:space="preserve">O presente </w:t>
      </w:r>
      <w:r w:rsidR="00700031">
        <w:rPr>
          <w:sz w:val="20"/>
          <w:szCs w:val="20"/>
        </w:rPr>
        <w:t>3</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001DC395" w:rsidR="00C82097" w:rsidRPr="00C82097" w:rsidRDefault="00CC0C80" w:rsidP="00C82097">
      <w:pPr>
        <w:spacing w:after="0"/>
        <w:jc w:val="center"/>
        <w:rPr>
          <w:sz w:val="20"/>
          <w:szCs w:val="20"/>
        </w:rPr>
      </w:pPr>
      <w:r w:rsidRPr="00CC0C80">
        <w:rPr>
          <w:sz w:val="20"/>
          <w:szCs w:val="20"/>
        </w:rPr>
        <w:t xml:space="preserve">São Paulo, </w:t>
      </w:r>
      <w:r w:rsidR="0005472C">
        <w:rPr>
          <w:sz w:val="20"/>
          <w:szCs w:val="20"/>
        </w:rPr>
        <w:t>2</w:t>
      </w:r>
      <w:r w:rsidR="000C298A">
        <w:rPr>
          <w:sz w:val="20"/>
          <w:szCs w:val="20"/>
        </w:rPr>
        <w:t>3</w:t>
      </w:r>
      <w:r w:rsidR="007577A8" w:rsidRPr="00C82097">
        <w:rPr>
          <w:sz w:val="20"/>
          <w:szCs w:val="20"/>
        </w:rPr>
        <w:t xml:space="preserve"> </w:t>
      </w:r>
      <w:r w:rsidR="00C82097" w:rsidRPr="00C82097">
        <w:rPr>
          <w:sz w:val="20"/>
          <w:szCs w:val="20"/>
        </w:rPr>
        <w:t xml:space="preserve">de </w:t>
      </w:r>
      <w:r w:rsidR="001C7B3F">
        <w:rPr>
          <w:sz w:val="20"/>
          <w:szCs w:val="20"/>
        </w:rPr>
        <w:t>março</w:t>
      </w:r>
      <w:r w:rsidR="001C7B3F" w:rsidRPr="00C82097">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76FC87DD" w:rsidR="00C82097" w:rsidRDefault="00C82097" w:rsidP="002B6E7F">
      <w:pPr>
        <w:spacing w:after="0"/>
        <w:jc w:val="both"/>
        <w:rPr>
          <w:sz w:val="20"/>
          <w:szCs w:val="20"/>
        </w:rPr>
      </w:pPr>
      <w:r w:rsidRPr="00C82097">
        <w:rPr>
          <w:sz w:val="20"/>
          <w:szCs w:val="20"/>
        </w:rPr>
        <w:t xml:space="preserve">(Página de assinaturas do </w:t>
      </w:r>
      <w:r>
        <w:rPr>
          <w:sz w:val="20"/>
          <w:szCs w:val="20"/>
        </w:rPr>
        <w:t>Terceiro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77777777" w:rsidR="00C82097" w:rsidRPr="00C82097" w:rsidRDefault="00C82097" w:rsidP="00C82097">
      <w:pPr>
        <w:pStyle w:val="PargrafodaLista"/>
        <w:spacing w:after="0"/>
        <w:ind w:left="0"/>
        <w:rPr>
          <w:sz w:val="20"/>
          <w:szCs w:val="20"/>
        </w:rPr>
      </w:pPr>
      <w:r w:rsidRPr="00C82097">
        <w:rPr>
          <w:sz w:val="20"/>
          <w:szCs w:val="20"/>
        </w:rPr>
        <w:t>Nome: [</w:t>
      </w:r>
      <w:r w:rsidRPr="00C82097">
        <w:rPr>
          <w:sz w:val="20"/>
          <w:szCs w:val="20"/>
          <w:highlight w:val="yellow"/>
        </w:rPr>
        <w:t>Juliane Effting Matias</w:t>
      </w:r>
      <w:r w:rsidRPr="00C82097">
        <w:rPr>
          <w:sz w:val="20"/>
          <w:szCs w:val="20"/>
        </w:rPr>
        <w:t>]                                   Nome: [</w:t>
      </w:r>
      <w:r w:rsidRPr="00C82097">
        <w:rPr>
          <w:sz w:val="20"/>
          <w:szCs w:val="20"/>
          <w:highlight w:val="yellow"/>
        </w:rPr>
        <w:t>Luisa Herkenhoff Miss</w:t>
      </w:r>
      <w:r w:rsidRPr="00C82097">
        <w:rPr>
          <w:sz w:val="20"/>
          <w:szCs w:val="20"/>
        </w:rPr>
        <w:t>]                                                                                          Cargo: Diretora de Operações                                    Cargo: Procuradora</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64051F2F"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403CC7">
        <w:rPr>
          <w:b/>
          <w:bCs/>
          <w:sz w:val="20"/>
          <w:szCs w:val="20"/>
        </w:rPr>
        <w:t>RZK SOLAR O3 S.A.</w:t>
      </w:r>
    </w:p>
    <w:p w14:paraId="338A2751" w14:textId="399AF3FD" w:rsidR="00403CC7" w:rsidRPr="00403CC7" w:rsidRDefault="00403CC7" w:rsidP="00403CC7">
      <w:pPr>
        <w:pStyle w:val="PargrafodaLista"/>
        <w:spacing w:after="0"/>
        <w:ind w:left="0"/>
        <w:jc w:val="center"/>
        <w:rPr>
          <w:i/>
          <w:iCs/>
          <w:sz w:val="20"/>
          <w:szCs w:val="20"/>
        </w:rPr>
      </w:pPr>
      <w:r w:rsidRPr="00403CC7">
        <w:rPr>
          <w:i/>
          <w:iCs/>
          <w:sz w:val="20"/>
          <w:szCs w:val="20"/>
        </w:rPr>
        <w:t>Devedora</w:t>
      </w:r>
    </w:p>
    <w:p w14:paraId="377E5172" w14:textId="19F9A725" w:rsidR="00403CC7" w:rsidRPr="00403CC7" w:rsidRDefault="00403CC7" w:rsidP="00403CC7">
      <w:pPr>
        <w:pStyle w:val="PargrafodaLista"/>
        <w:spacing w:after="0"/>
        <w:ind w:left="0"/>
        <w:rPr>
          <w:sz w:val="20"/>
          <w:szCs w:val="20"/>
        </w:rPr>
      </w:pPr>
      <w:r w:rsidRPr="00403CC7">
        <w:rPr>
          <w:sz w:val="20"/>
          <w:szCs w:val="20"/>
        </w:rPr>
        <w:t>Nome: [</w:t>
      </w:r>
      <w:r w:rsidRPr="00403CC7">
        <w:rPr>
          <w:sz w:val="20"/>
          <w:szCs w:val="20"/>
          <w:highlight w:val="yellow"/>
        </w:rPr>
        <w:t>João Pedro Correia Neves</w:t>
      </w:r>
      <w:r w:rsidRPr="00403CC7">
        <w:rPr>
          <w:sz w:val="20"/>
          <w:szCs w:val="20"/>
        </w:rPr>
        <w:t>]                           Nome: [</w:t>
      </w:r>
      <w:r w:rsidRPr="00403CC7">
        <w:rPr>
          <w:sz w:val="20"/>
          <w:szCs w:val="20"/>
          <w:highlight w:val="yellow"/>
        </w:rPr>
        <w:t>José Ricardo Lemos Rezek</w:t>
      </w:r>
      <w:r w:rsidRPr="00403CC7">
        <w:rPr>
          <w:sz w:val="20"/>
          <w:szCs w:val="20"/>
        </w:rPr>
        <w:t>]                                                                                          Cargo: Diretor Presidente                                        Cargo: Diretor Financeiro</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C82097" w:rsidRPr="00C82097" w14:paraId="29974E5E" w14:textId="77777777" w:rsidTr="00393CFA">
        <w:tc>
          <w:tcPr>
            <w:tcW w:w="4248" w:type="dxa"/>
            <w:tcBorders>
              <w:top w:val="single" w:sz="4" w:space="0" w:color="auto"/>
              <w:left w:val="nil"/>
              <w:bottom w:val="nil"/>
              <w:right w:val="nil"/>
            </w:tcBorders>
          </w:tcPr>
          <w:p w14:paraId="298F794C" w14:textId="77777777"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700031" w:rsidRPr="00C82097">
              <w:rPr>
                <w:sz w:val="20"/>
                <w:szCs w:val="20"/>
                <w:highlight w:val="yellow"/>
              </w:rPr>
              <w:t>[●]</w:t>
            </w:r>
          </w:p>
          <w:p w14:paraId="7260AA5D" w14:textId="59A1519B" w:rsidR="00C82097" w:rsidRP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RG: </w:t>
            </w:r>
            <w:r w:rsidR="00700031" w:rsidRPr="00C82097">
              <w:rPr>
                <w:sz w:val="20"/>
                <w:szCs w:val="20"/>
                <w:highlight w:val="yellow"/>
              </w:rPr>
              <w:t>[●]</w:t>
            </w:r>
          </w:p>
          <w:p w14:paraId="01749BD0" w14:textId="3CC8DBE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700031" w:rsidRPr="00C82097">
              <w:rPr>
                <w:sz w:val="20"/>
                <w:szCs w:val="20"/>
                <w:highlight w:val="yellow"/>
              </w:rPr>
              <w:t>[●]</w:t>
            </w:r>
          </w:p>
        </w:tc>
        <w:tc>
          <w:tcPr>
            <w:tcW w:w="90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4115" w:type="dxa"/>
            <w:tcBorders>
              <w:top w:val="single" w:sz="4" w:space="0" w:color="auto"/>
              <w:left w:val="nil"/>
              <w:bottom w:val="nil"/>
              <w:right w:val="nil"/>
            </w:tcBorders>
          </w:tcPr>
          <w:p w14:paraId="5D3785C1" w14:textId="6017E168"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700031" w:rsidRPr="00C82097">
              <w:rPr>
                <w:sz w:val="20"/>
                <w:szCs w:val="20"/>
                <w:highlight w:val="yellow"/>
              </w:rPr>
              <w:t>[●]</w:t>
            </w:r>
          </w:p>
          <w:p w14:paraId="361316F4" w14:textId="214DFE9F"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RG: </w:t>
            </w:r>
            <w:r w:rsidR="00700031" w:rsidRPr="00C82097">
              <w:rPr>
                <w:sz w:val="20"/>
                <w:szCs w:val="20"/>
                <w:highlight w:val="yellow"/>
              </w:rPr>
              <w:t>[●]</w:t>
            </w:r>
          </w:p>
          <w:p w14:paraId="15646051" w14:textId="237768AF"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700031" w:rsidRPr="00C82097">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7"/>
          <w:footerReference w:type="default" r:id="rId8"/>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45054AAF" w14:textId="3D2F4AE7" w:rsidR="00C82097" w:rsidRPr="00304115" w:rsidRDefault="00304115" w:rsidP="00304115">
      <w:pPr>
        <w:spacing w:after="0"/>
        <w:jc w:val="center"/>
        <w:rPr>
          <w:b/>
          <w:bCs/>
          <w:sz w:val="20"/>
          <w:szCs w:val="20"/>
          <w:u w:val="single"/>
        </w:rPr>
      </w:pPr>
      <w:r w:rsidRPr="00304115">
        <w:rPr>
          <w:b/>
          <w:bCs/>
          <w:sz w:val="20"/>
          <w:szCs w:val="20"/>
          <w:u w:val="single"/>
        </w:rPr>
        <w:t>ANEXO A</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008382EB" w14:textId="77777777" w:rsidR="00304115" w:rsidRPr="00304115" w:rsidRDefault="00304115" w:rsidP="00304115">
      <w:pPr>
        <w:pStyle w:val="DeltaViewTableBody"/>
        <w:widowControl w:val="0"/>
        <w:suppressAutoHyphens/>
        <w:spacing w:line="312" w:lineRule="auto"/>
        <w:jc w:val="center"/>
        <w:rPr>
          <w:rFonts w:ascii="Verdana" w:hAnsi="Verdana" w:cstheme="minorHAnsi"/>
          <w:b/>
          <w:bCs/>
          <w:i/>
          <w:iCs/>
          <w:sz w:val="20"/>
          <w:szCs w:val="20"/>
          <w:lang w:val="pt-BR"/>
        </w:rPr>
      </w:pPr>
      <w:r w:rsidRPr="00304115">
        <w:rPr>
          <w:rFonts w:ascii="Verdana" w:hAnsi="Verdana" w:cstheme="minorHAnsi"/>
          <w:b/>
          <w:bCs/>
          <w:i/>
          <w:iCs/>
          <w:sz w:val="20"/>
          <w:szCs w:val="20"/>
          <w:lang w:val="pt-BR"/>
        </w:rPr>
        <w:t>ANEXO IX</w:t>
      </w:r>
    </w:p>
    <w:p w14:paraId="3ABE7BD1" w14:textId="02CA4309" w:rsidR="00304115" w:rsidRPr="00304115" w:rsidRDefault="00304115" w:rsidP="00304115">
      <w:pPr>
        <w:spacing w:after="0"/>
        <w:jc w:val="center"/>
        <w:rPr>
          <w:rFonts w:cstheme="minorHAnsi"/>
          <w:b/>
          <w:bCs/>
          <w:i/>
          <w:iCs/>
          <w:sz w:val="20"/>
          <w:szCs w:val="20"/>
        </w:rPr>
      </w:pPr>
      <w:r w:rsidRPr="00304115">
        <w:rPr>
          <w:rFonts w:cstheme="minorHAnsi"/>
          <w:b/>
          <w:bCs/>
          <w:i/>
          <w:iCs/>
          <w:sz w:val="20"/>
          <w:szCs w:val="20"/>
        </w:rPr>
        <w:t>CRONOGRAMA INDICATIVO DE UTILIZAÇÃO DE RECURSOS</w:t>
      </w:r>
    </w:p>
    <w:p w14:paraId="247A6E63" w14:textId="07E995B3" w:rsidR="00304115" w:rsidRPr="00304115" w:rsidRDefault="00304115" w:rsidP="00304115">
      <w:pPr>
        <w:spacing w:after="0"/>
        <w:jc w:val="center"/>
        <w:rPr>
          <w:rFonts w:cstheme="minorHAnsi"/>
          <w:b/>
          <w:bCs/>
          <w:i/>
          <w:iCs/>
          <w:sz w:val="20"/>
          <w:szCs w:val="20"/>
        </w:rPr>
      </w:pPr>
    </w:p>
    <w:p w14:paraId="5BE7613F" w14:textId="77777777" w:rsidR="009C749E" w:rsidRDefault="009C749E" w:rsidP="009C749E">
      <w:pPr>
        <w:rPr>
          <w:rFonts w:ascii="Segoe UI" w:hAnsi="Segoe UI" w:cs="Segoe UI"/>
          <w:color w:val="002060"/>
          <w:sz w:val="20"/>
          <w:szCs w:val="20"/>
        </w:rPr>
      </w:pPr>
    </w:p>
    <w:tbl>
      <w:tblPr>
        <w:tblW w:w="5212" w:type="pct"/>
        <w:tblCellMar>
          <w:left w:w="0" w:type="dxa"/>
          <w:right w:w="0" w:type="dxa"/>
        </w:tblCellMar>
        <w:tblLook w:val="04A0" w:firstRow="1" w:lastRow="0" w:firstColumn="1" w:lastColumn="0" w:noHBand="0" w:noVBand="1"/>
      </w:tblPr>
      <w:tblGrid>
        <w:gridCol w:w="770"/>
        <w:gridCol w:w="1573"/>
        <w:gridCol w:w="1277"/>
        <w:gridCol w:w="767"/>
        <w:gridCol w:w="2533"/>
        <w:gridCol w:w="837"/>
        <w:gridCol w:w="1255"/>
        <w:gridCol w:w="1371"/>
        <w:gridCol w:w="879"/>
        <w:gridCol w:w="1407"/>
        <w:gridCol w:w="1325"/>
      </w:tblGrid>
      <w:tr w:rsidR="009C749E" w14:paraId="1C7CF11F" w14:textId="77777777" w:rsidTr="00E2669B">
        <w:trPr>
          <w:trHeight w:val="210"/>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568A8E2B" w14:textId="77777777" w:rsidR="009C749E" w:rsidRDefault="009C749E" w:rsidP="00E2669B">
            <w:pPr>
              <w:jc w:val="center"/>
              <w:rPr>
                <w:rFonts w:ascii="Ebrima" w:hAnsi="Ebrima" w:cs="Calibri"/>
                <w:b/>
                <w:bCs/>
                <w:color w:val="000000"/>
                <w:sz w:val="14"/>
                <w:szCs w:val="14"/>
                <w:lang w:eastAsia="pt-BR"/>
              </w:rPr>
            </w:pPr>
            <w:r>
              <w:rPr>
                <w:rFonts w:ascii="Ebrima" w:hAnsi="Ebrima"/>
                <w:b/>
                <w:bCs/>
                <w:color w:val="000000"/>
                <w:sz w:val="14"/>
                <w:szCs w:val="14"/>
                <w:lang w:eastAsia="pt-BR"/>
              </w:rPr>
              <w:t>CRONOGRAMA INDICATIVO DE UTILIZAÇÃO DOS RECURSOS</w:t>
            </w:r>
          </w:p>
        </w:tc>
      </w:tr>
      <w:tr w:rsidR="009C749E" w14:paraId="21D3181D" w14:textId="77777777" w:rsidTr="00E2669B">
        <w:trPr>
          <w:trHeight w:val="300"/>
        </w:trPr>
        <w:tc>
          <w:tcPr>
            <w:tcW w:w="266"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03B0284"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Período da utilização dos recursos</w:t>
            </w:r>
          </w:p>
        </w:tc>
        <w:tc>
          <w:tcPr>
            <w:tcW w:w="221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2DC23AB"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Dados dos Empreendimentos</w:t>
            </w:r>
          </w:p>
        </w:tc>
        <w:tc>
          <w:tcPr>
            <w:tcW w:w="290"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2514D4A"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Série da Debênture</w:t>
            </w:r>
          </w:p>
        </w:tc>
        <w:tc>
          <w:tcPr>
            <w:tcW w:w="434"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40EBC9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Valor Total da Série</w:t>
            </w:r>
          </w:p>
        </w:tc>
        <w:tc>
          <w:tcPr>
            <w:tcW w:w="47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466BDBC"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por Período</w:t>
            </w:r>
          </w:p>
        </w:tc>
        <w:tc>
          <w:tcPr>
            <w:tcW w:w="33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489B8F1"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Percentual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no referido Período, com relação ao valor total captado da série</w:t>
            </w:r>
          </w:p>
        </w:tc>
        <w:tc>
          <w:tcPr>
            <w:tcW w:w="48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288D66F"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da Série</w:t>
            </w:r>
          </w:p>
        </w:tc>
        <w:tc>
          <w:tcPr>
            <w:tcW w:w="49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69734D7"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Percentual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com relação ao valor total captado na série</w:t>
            </w:r>
          </w:p>
        </w:tc>
      </w:tr>
      <w:tr w:rsidR="009C749E" w14:paraId="7D08911D" w14:textId="77777777" w:rsidTr="00E2669B">
        <w:trPr>
          <w:trHeight w:val="735"/>
        </w:trPr>
        <w:tc>
          <w:tcPr>
            <w:tcW w:w="266" w:type="pct"/>
            <w:vMerge/>
            <w:tcBorders>
              <w:top w:val="nil"/>
              <w:left w:val="single" w:sz="8" w:space="0" w:color="auto"/>
              <w:bottom w:val="single" w:sz="8" w:space="0" w:color="auto"/>
              <w:right w:val="single" w:sz="8" w:space="0" w:color="auto"/>
            </w:tcBorders>
            <w:vAlign w:val="center"/>
            <w:hideMark/>
          </w:tcPr>
          <w:p w14:paraId="3A50DBB0" w14:textId="77777777" w:rsidR="009C749E" w:rsidRDefault="009C749E" w:rsidP="00E2669B">
            <w:pPr>
              <w:rPr>
                <w:rFonts w:ascii="Ebrima" w:hAnsi="Ebrima" w:cs="Calibri"/>
                <w:b/>
                <w:bCs/>
                <w:color w:val="000000"/>
                <w:sz w:val="14"/>
                <w:szCs w:val="14"/>
                <w:lang w:eastAsia="pt-BR"/>
              </w:rPr>
            </w:pPr>
          </w:p>
        </w:tc>
        <w:tc>
          <w:tcPr>
            <w:tcW w:w="58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B08CFE5"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Proprietário</w:t>
            </w:r>
          </w:p>
        </w:tc>
        <w:tc>
          <w:tcPr>
            <w:tcW w:w="44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1C5FA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Empreendimento</w:t>
            </w:r>
          </w:p>
        </w:tc>
        <w:tc>
          <w:tcPr>
            <w:tcW w:w="265"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78F67BB"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Matrícula</w:t>
            </w:r>
          </w:p>
        </w:tc>
        <w:tc>
          <w:tcPr>
            <w:tcW w:w="92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38B62C0"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Cartório de Registro de Imóveis</w:t>
            </w:r>
          </w:p>
        </w:tc>
        <w:tc>
          <w:tcPr>
            <w:tcW w:w="290" w:type="pct"/>
            <w:vMerge/>
            <w:tcBorders>
              <w:top w:val="nil"/>
              <w:left w:val="nil"/>
              <w:bottom w:val="single" w:sz="8" w:space="0" w:color="000000"/>
              <w:right w:val="single" w:sz="8" w:space="0" w:color="auto"/>
            </w:tcBorders>
            <w:vAlign w:val="center"/>
            <w:hideMark/>
          </w:tcPr>
          <w:p w14:paraId="05583639" w14:textId="77777777" w:rsidR="009C749E" w:rsidRDefault="009C749E" w:rsidP="00E2669B">
            <w:pPr>
              <w:rPr>
                <w:rFonts w:ascii="Ebrima" w:hAnsi="Ebrima" w:cs="Calibri"/>
                <w:b/>
                <w:bCs/>
                <w:color w:val="000000"/>
                <w:sz w:val="14"/>
                <w:szCs w:val="14"/>
                <w:lang w:eastAsia="pt-BR"/>
              </w:rPr>
            </w:pPr>
          </w:p>
        </w:tc>
        <w:tc>
          <w:tcPr>
            <w:tcW w:w="434" w:type="pct"/>
            <w:vMerge/>
            <w:tcBorders>
              <w:top w:val="nil"/>
              <w:left w:val="nil"/>
              <w:bottom w:val="single" w:sz="8" w:space="0" w:color="000000"/>
              <w:right w:val="single" w:sz="8" w:space="0" w:color="auto"/>
            </w:tcBorders>
            <w:vAlign w:val="center"/>
            <w:hideMark/>
          </w:tcPr>
          <w:p w14:paraId="2424CD59" w14:textId="77777777" w:rsidR="009C749E" w:rsidRDefault="009C749E" w:rsidP="00E2669B">
            <w:pPr>
              <w:rPr>
                <w:rFonts w:ascii="Ebrima" w:hAnsi="Ebrima" w:cs="Calibri"/>
                <w:b/>
                <w:bCs/>
                <w:color w:val="000000"/>
                <w:sz w:val="14"/>
                <w:szCs w:val="14"/>
                <w:lang w:eastAsia="pt-BR"/>
              </w:rPr>
            </w:pPr>
          </w:p>
        </w:tc>
        <w:tc>
          <w:tcPr>
            <w:tcW w:w="474" w:type="pct"/>
            <w:vMerge/>
            <w:tcBorders>
              <w:top w:val="nil"/>
              <w:left w:val="nil"/>
              <w:bottom w:val="single" w:sz="8" w:space="0" w:color="auto"/>
              <w:right w:val="single" w:sz="8" w:space="0" w:color="auto"/>
            </w:tcBorders>
            <w:vAlign w:val="center"/>
            <w:hideMark/>
          </w:tcPr>
          <w:p w14:paraId="32E6A25B" w14:textId="77777777" w:rsidR="009C749E" w:rsidRDefault="009C749E" w:rsidP="00E2669B">
            <w:pPr>
              <w:rPr>
                <w:rFonts w:ascii="Ebrima" w:hAnsi="Ebrima" w:cs="Calibri"/>
                <w:b/>
                <w:bCs/>
                <w:color w:val="000000"/>
                <w:sz w:val="14"/>
                <w:szCs w:val="14"/>
                <w:lang w:eastAsia="pt-BR"/>
              </w:rPr>
            </w:pPr>
          </w:p>
        </w:tc>
        <w:tc>
          <w:tcPr>
            <w:tcW w:w="336" w:type="pct"/>
            <w:vMerge/>
            <w:tcBorders>
              <w:top w:val="nil"/>
              <w:left w:val="nil"/>
              <w:bottom w:val="single" w:sz="8" w:space="0" w:color="auto"/>
              <w:right w:val="single" w:sz="8" w:space="0" w:color="auto"/>
            </w:tcBorders>
            <w:vAlign w:val="center"/>
            <w:hideMark/>
          </w:tcPr>
          <w:p w14:paraId="54EF3A6D" w14:textId="77777777" w:rsidR="009C749E" w:rsidRDefault="009C749E" w:rsidP="00E2669B">
            <w:pPr>
              <w:rPr>
                <w:rFonts w:ascii="Ebrima" w:hAnsi="Ebrima" w:cs="Calibri"/>
                <w:b/>
                <w:bCs/>
                <w:color w:val="000000"/>
                <w:sz w:val="14"/>
                <w:szCs w:val="14"/>
                <w:lang w:eastAsia="pt-BR"/>
              </w:rPr>
            </w:pPr>
          </w:p>
        </w:tc>
        <w:tc>
          <w:tcPr>
            <w:tcW w:w="487" w:type="pct"/>
            <w:vMerge/>
            <w:tcBorders>
              <w:top w:val="nil"/>
              <w:left w:val="nil"/>
              <w:bottom w:val="single" w:sz="8" w:space="0" w:color="auto"/>
              <w:right w:val="single" w:sz="8" w:space="0" w:color="auto"/>
            </w:tcBorders>
            <w:vAlign w:val="center"/>
            <w:hideMark/>
          </w:tcPr>
          <w:p w14:paraId="78A1385E" w14:textId="77777777" w:rsidR="009C749E" w:rsidRDefault="009C749E" w:rsidP="00E2669B">
            <w:pPr>
              <w:rPr>
                <w:rFonts w:ascii="Ebrima" w:hAnsi="Ebrima" w:cs="Calibri"/>
                <w:b/>
                <w:bCs/>
                <w:color w:val="000000"/>
                <w:sz w:val="14"/>
                <w:szCs w:val="14"/>
                <w:lang w:eastAsia="pt-BR"/>
              </w:rPr>
            </w:pPr>
          </w:p>
        </w:tc>
        <w:tc>
          <w:tcPr>
            <w:tcW w:w="494" w:type="pct"/>
            <w:vMerge/>
            <w:tcBorders>
              <w:top w:val="nil"/>
              <w:left w:val="nil"/>
              <w:bottom w:val="single" w:sz="8" w:space="0" w:color="auto"/>
              <w:right w:val="single" w:sz="8" w:space="0" w:color="auto"/>
            </w:tcBorders>
            <w:vAlign w:val="center"/>
            <w:hideMark/>
          </w:tcPr>
          <w:p w14:paraId="5BFC6702" w14:textId="77777777" w:rsidR="009C749E" w:rsidRDefault="009C749E" w:rsidP="00E2669B">
            <w:pPr>
              <w:rPr>
                <w:rFonts w:ascii="Ebrima" w:hAnsi="Ebrima" w:cs="Calibri"/>
                <w:b/>
                <w:bCs/>
                <w:color w:val="000000"/>
                <w:sz w:val="14"/>
                <w:szCs w:val="14"/>
                <w:lang w:eastAsia="pt-BR"/>
              </w:rPr>
            </w:pPr>
          </w:p>
        </w:tc>
      </w:tr>
      <w:tr w:rsidR="009C749E" w14:paraId="11D2C5E1"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4CB3FA20"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F8F6961"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CA7A38"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Pau Brasil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1BF70DE"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859A2C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1C78E7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2ª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B1CFD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10.717.710,68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7F25B3"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FD61FA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4899C37"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E3AD38E"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r>
      <w:tr w:rsidR="009C749E" w14:paraId="5B6F66EC"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FE13A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4553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94A6D6"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D1304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366AD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D796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17EA7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89D27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5BB16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B2F4D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7F6A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r>
      <w:tr w:rsidR="009C749E" w14:paraId="7D6D5B8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CC534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A3F26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976648"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3BC49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F1353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9425F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819FD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EDC6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225.460,64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B9D2E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DBC07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225.460,64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72FD5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2,10%</w:t>
            </w:r>
          </w:p>
        </w:tc>
      </w:tr>
      <w:tr w:rsidR="009C749E" w14:paraId="7B1A5BF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5D25F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6E33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C80822"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ECAEB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F8267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E92D4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7A4D2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E23D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2.318.889,85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A6C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21,64%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C7F88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2.544.350,49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975EB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23,74%</w:t>
            </w:r>
          </w:p>
        </w:tc>
      </w:tr>
      <w:tr w:rsidR="009C749E" w14:paraId="2CBAE3B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45F9E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8FF19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3451A5"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2D29B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A543C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268A1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8BF81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BA11A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1.378.251,39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4418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12,86%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6AB30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3.922.601,88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6285F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36,60%</w:t>
            </w:r>
          </w:p>
        </w:tc>
      </w:tr>
      <w:tr w:rsidR="009C749E" w14:paraId="60C485C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BFF00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lastRenderedPageBreak/>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67132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55BEBF"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834C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0C3DF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B129F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A45D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A1C16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185.836,04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85178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1,73%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E3AB9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4.108.437,92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39D59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38,33%</w:t>
            </w:r>
          </w:p>
        </w:tc>
      </w:tr>
      <w:tr w:rsidR="009C749E" w14:paraId="718AB042"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4D27C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FB697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08C26E"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7E0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0CC04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A4B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6D4FD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9C0B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367.113,02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6C29E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3,43%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9145B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4.475.550,94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2C1E1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41,76%</w:t>
            </w:r>
          </w:p>
        </w:tc>
      </w:tr>
      <w:tr w:rsidR="009C749E" w14:paraId="06E09E6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98BE1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1EB8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74514F"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602C4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904F5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401CB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99573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B4AE0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121.626,95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6225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1,13%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DFE927"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4.597.177,89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004194"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42,89%</w:t>
            </w:r>
          </w:p>
        </w:tc>
      </w:tr>
      <w:tr w:rsidR="009C749E" w14:paraId="3DCE6403"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72290AB6"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8CE4A6" w14:textId="77777777" w:rsidR="009C749E" w:rsidRDefault="009C749E" w:rsidP="00E2669B">
            <w:pPr>
              <w:jc w:val="center"/>
              <w:rPr>
                <w:rFonts w:ascii="Ebrima" w:hAnsi="Ebrima"/>
                <w:color w:val="E7E6E6"/>
                <w:sz w:val="14"/>
                <w:szCs w:val="14"/>
                <w:lang w:eastAsia="pt-BR"/>
              </w:rPr>
            </w:pPr>
            <w:proofErr w:type="spellStart"/>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72C89F2"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Magnólia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2B4FA5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3F54F0C"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E65EF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4D6213E"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10.635.528,47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C6167F"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532.394,11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59F13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5,01%</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4876DD2"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532.394,11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8CFCE2"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5,01%</w:t>
            </w:r>
          </w:p>
        </w:tc>
      </w:tr>
      <w:tr w:rsidR="009C749E" w14:paraId="03131C6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DF8ED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78DB4C"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81EE1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97CF6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FBB32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49CC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CEA44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82187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1.550.970,31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F1FFD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14,58%</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F107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2.083.364,42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BA2B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w:t>
            </w:r>
          </w:p>
        </w:tc>
      </w:tr>
      <w:tr w:rsidR="009C749E" w14:paraId="38D79F7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3513C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447EE8"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C54AF2"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D8F66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7127F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169C6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79D57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FEC76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1.903.268,86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3411A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17,90%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963B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3.986.633,28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64B7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37,48%</w:t>
            </w:r>
          </w:p>
        </w:tc>
      </w:tr>
      <w:tr w:rsidR="009C749E" w14:paraId="6B49CDA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0D8A6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4242D"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6CD579"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46580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AD80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2F8C0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1C5E9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664DA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643.189,93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BCF3D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6,05%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E3CE4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4.629.823,21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6D83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43,53%</w:t>
            </w:r>
          </w:p>
        </w:tc>
      </w:tr>
      <w:tr w:rsidR="009C749E" w14:paraId="019F697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63A5D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DEBE44"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360C45"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819D8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85953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BB4AC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2FC92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44740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753.689,87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23CD0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7,09%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7CED3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A4495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50,62%</w:t>
            </w:r>
          </w:p>
        </w:tc>
      </w:tr>
      <w:tr w:rsidR="009C749E" w14:paraId="7C6A2A5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9D337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CD7D5C"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4EF8C8"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AAD9A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6C18E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045C4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546A5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7FF93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89D2D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6A2A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E45A5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50,62%</w:t>
            </w:r>
          </w:p>
        </w:tc>
      </w:tr>
      <w:tr w:rsidR="009C749E" w14:paraId="080CA11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E877E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4C6FEB"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6E8181"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6B2AB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52D48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FDFF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2ECA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0A936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C62DE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DC2CC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AE555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50,62%</w:t>
            </w:r>
          </w:p>
        </w:tc>
      </w:tr>
      <w:tr w:rsidR="009C749E" w14:paraId="6476BD9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8C582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1DB7FE"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28421F"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7D779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622EB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A68E7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B4A50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2CCF8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22EFF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5BF8D9"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665FD2"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50,62%</w:t>
            </w:r>
          </w:p>
        </w:tc>
      </w:tr>
      <w:tr w:rsidR="009C749E" w14:paraId="474FE242"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3A548D4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lastRenderedPageBreak/>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8BC5F1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D99CD93"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Safira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0706BC7"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3E36FF0"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49F7F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2ª Série e 3ª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BBABE43"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16.838.243,46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621C9AA"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423083"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B4BDC71"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854C67F"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r>
      <w:tr w:rsidR="009C749E" w14:paraId="4ABD83F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A7DBE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AD577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020CF5"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B7F5D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5EDC9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429D5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9B342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C875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5035C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2ABC0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7C11A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r>
      <w:tr w:rsidR="009C749E" w14:paraId="14F5399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7B736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07928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8E44C0"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F05A8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CEED8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7A214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5AF86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88B4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600.341,88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048A1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3,57%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2B05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600.341,88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A473A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3,57%</w:t>
            </w:r>
          </w:p>
        </w:tc>
      </w:tr>
      <w:tr w:rsidR="009C749E" w14:paraId="500303D2"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AF159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DD3E5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AD77AE"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D533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26189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AE16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F6FAB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FE5DA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6.174.588,71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5BE1E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36,67%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F7308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6.774.930,59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D159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40,24%</w:t>
            </w:r>
          </w:p>
        </w:tc>
      </w:tr>
      <w:tr w:rsidR="009C749E" w14:paraId="65EB426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B67CB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DA26E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136A40"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DFD6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27FCF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FBB2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5B104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8C852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3.669.917,95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DD11B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21,80%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FC9C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10.444.848,54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FB760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62,03%</w:t>
            </w:r>
          </w:p>
        </w:tc>
      </w:tr>
      <w:tr w:rsidR="009C749E" w14:paraId="50CF117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E75A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6F8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C711B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FF6F9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6828E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F6F3B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0E2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1D623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494.832,08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4CDE9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2,94%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04638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10.939.680,62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6B41F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64,97%</w:t>
            </w:r>
          </w:p>
        </w:tc>
      </w:tr>
      <w:tr w:rsidR="009C749E" w14:paraId="1E6D8BA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DE405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56832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F312B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21C74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E5DB4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195A3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A748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93347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977.524,62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50F7D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5,81%</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411D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11.917.205,24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0CA6F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70,77%</w:t>
            </w:r>
          </w:p>
        </w:tc>
      </w:tr>
      <w:tr w:rsidR="009C749E" w14:paraId="7305F3B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9425B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76D9D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8F94D3"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4D315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6A32B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2870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640BB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22737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323.860,32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B4DCC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1,92%</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7510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12.241.065,56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3D62D8"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72,70%</w:t>
            </w:r>
          </w:p>
        </w:tc>
      </w:tr>
      <w:tr w:rsidR="009C749E" w14:paraId="64DC52D8"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4663F8B1"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487B24" w14:textId="77777777" w:rsidR="009C749E" w:rsidRDefault="009C749E" w:rsidP="00E2669B">
            <w:pPr>
              <w:jc w:val="center"/>
              <w:rPr>
                <w:rFonts w:ascii="Ebrima" w:hAnsi="Ebrima"/>
                <w:color w:val="E7E6E6"/>
                <w:sz w:val="14"/>
                <w:szCs w:val="14"/>
                <w:lang w:eastAsia="pt-BR"/>
              </w:rPr>
            </w:pPr>
            <w:proofErr w:type="spellStart"/>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BA8C993"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Turquesa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54A00C4"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0C3C7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77966B8"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1ª Série e 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667C7C"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21.661.756,54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1C25A24"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1.038.779,70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80900A7"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4,80%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C6ADDE2"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1.038.779,70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CF116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4,80%</w:t>
            </w:r>
          </w:p>
        </w:tc>
      </w:tr>
      <w:tr w:rsidR="009C749E" w14:paraId="509DFC7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6316E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2DECF"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DA6FE9"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0406C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84BE9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8F4B9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54B3C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82C3A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3.026.172,63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987AA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13,97%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A6B0E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4.064.952,33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DDBCB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18,77%</w:t>
            </w:r>
          </w:p>
        </w:tc>
      </w:tr>
      <w:tr w:rsidR="009C749E" w14:paraId="3ECBF80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EC4E3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811854"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8F168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5FDB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74F9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E8D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8A42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4EF18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3.713.559,23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94445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17,14%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FCE2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7.778.511,56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6549C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35,91%</w:t>
            </w:r>
          </w:p>
        </w:tc>
      </w:tr>
      <w:tr w:rsidR="009C749E" w14:paraId="6AB94E0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F759A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36E9C0"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270A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985A8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D6FA0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422BA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920C2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E8F42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1.254.958,75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EB810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C1522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9.033.470,31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9FBB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41,70%</w:t>
            </w:r>
          </w:p>
        </w:tc>
      </w:tr>
      <w:tr w:rsidR="009C749E" w14:paraId="2784AC13"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F33A2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lastRenderedPageBreak/>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A1127"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40E719"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EE936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9ACBA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82FC8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1F092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B01BC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1.470.560,47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2580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B10A4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A6D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48,49%</w:t>
            </w:r>
          </w:p>
        </w:tc>
      </w:tr>
      <w:tr w:rsidR="009C749E" w14:paraId="1F393DA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CA153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9BCCCC"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0C795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97C0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B408F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C9A3C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9E042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114E3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F260D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A995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5941A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48,49%</w:t>
            </w:r>
          </w:p>
        </w:tc>
      </w:tr>
      <w:tr w:rsidR="009C749E" w14:paraId="7525C57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FDEA6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15817A"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14F113"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7131E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365A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AE594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A3F4C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F3279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061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AA2F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E4232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48,49%</w:t>
            </w:r>
          </w:p>
        </w:tc>
      </w:tr>
      <w:tr w:rsidR="009C749E" w14:paraId="09EABF0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1563C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A2E685"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7272DA"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ACFCA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66266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1DC280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F8F3A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A9315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D72D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E82005"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1208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48,49%</w:t>
            </w:r>
          </w:p>
        </w:tc>
      </w:tr>
      <w:tr w:rsidR="009C749E" w14:paraId="5A72EFD9"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DAF486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879A7F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Thomas </w:t>
            </w:r>
            <w:proofErr w:type="spellStart"/>
            <w:r>
              <w:rPr>
                <w:rFonts w:ascii="Ebrima" w:hAnsi="Ebrima"/>
                <w:color w:val="E7E6E6"/>
                <w:sz w:val="14"/>
                <w:szCs w:val="14"/>
                <w:lang w:eastAsia="pt-BR"/>
              </w:rPr>
              <w:t>Kalmbach</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E2D243E"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Esmeralda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4D427E0"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19.590</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A0AB5EA"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7F1771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572D08C"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11.026.228,07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0B77C3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181.953,89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A259018"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1,65%</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E15A616"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181.953,89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91764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1,65%</w:t>
            </w:r>
          </w:p>
        </w:tc>
      </w:tr>
      <w:tr w:rsidR="009C749E" w14:paraId="461A487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68319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42155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7A2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B2E6B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49A4F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4A713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E5605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AE71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2.256.960,10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33F26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20,47%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E890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2.438.913,99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EDE29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22,12%</w:t>
            </w:r>
          </w:p>
        </w:tc>
      </w:tr>
      <w:tr w:rsidR="009C749E" w14:paraId="572737F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5BE5D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E0BD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6894DD"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3BBC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E689F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46D08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BB573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0D8FF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1.726.760,33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59503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15,66%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68665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4.165.674,32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2AEF3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37,78%</w:t>
            </w:r>
          </w:p>
        </w:tc>
      </w:tr>
      <w:tr w:rsidR="009C749E" w14:paraId="01C4351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9AE0A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A99CB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EF0DB2"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ED5C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FCB7B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21E62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BF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5C5CF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1.074.179,59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676AB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9,74%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74BE8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5.239.853,91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BEEE2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47,52%</w:t>
            </w:r>
          </w:p>
        </w:tc>
      </w:tr>
      <w:tr w:rsidR="009C749E" w14:paraId="71A6854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4F5F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CDCDD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5DB2C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A04CB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AAF85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0529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000B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F84DF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534.358,76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D3BC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EA7E1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F49FE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52,37%</w:t>
            </w:r>
          </w:p>
        </w:tc>
      </w:tr>
      <w:tr w:rsidR="009C749E" w14:paraId="51E3864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53EF6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3160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40264B"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09BD5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B2D33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5D6F1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7BD99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564E1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FEADF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64758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FDC10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52,37%</w:t>
            </w:r>
          </w:p>
        </w:tc>
      </w:tr>
      <w:tr w:rsidR="009C749E" w14:paraId="08E8909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A3567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ED8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5B0288"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7CD9B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BA530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0FD07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BD436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D01FC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0398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8C1C9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3225F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52,37%</w:t>
            </w:r>
          </w:p>
        </w:tc>
      </w:tr>
      <w:tr w:rsidR="009C749E" w14:paraId="10F12E0A"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009CF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91B57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EAC5D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B45A1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F1ED4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29192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B6F55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DD97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BCE7E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184BF3"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67F5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52,37%</w:t>
            </w:r>
          </w:p>
        </w:tc>
      </w:tr>
    </w:tbl>
    <w:p w14:paraId="71539BE1" w14:textId="2C14329B" w:rsidR="002B6E7F" w:rsidRPr="002B6E7F" w:rsidRDefault="009C749E" w:rsidP="00AD7373">
      <w:pPr>
        <w:spacing w:after="0"/>
        <w:jc w:val="center"/>
        <w:rPr>
          <w:sz w:val="20"/>
          <w:szCs w:val="20"/>
        </w:rPr>
      </w:pPr>
      <w:r w:rsidRPr="00304115" w:rsidDel="009C749E">
        <w:rPr>
          <w:rFonts w:cstheme="minorHAnsi"/>
          <w:i/>
          <w:iCs/>
          <w:sz w:val="20"/>
          <w:szCs w:val="20"/>
          <w:highlight w:val="yellow"/>
        </w:rPr>
        <w:t xml:space="preserve"> </w:t>
      </w:r>
    </w:p>
    <w:sectPr w:rsidR="002B6E7F" w:rsidRPr="002B6E7F" w:rsidSect="00304115">
      <w:pgSz w:w="16838" w:h="11906" w:orient="landscape"/>
      <w:pgMar w:top="1276" w:right="1985" w:bottom="1276"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9EF2" w14:textId="08819B09"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3B6" w:rsidRPr="00A73A85">
      <w:rPr>
        <w:i/>
        <w:iCs/>
        <w:sz w:val="20"/>
        <w:szCs w:val="20"/>
      </w:rPr>
      <w:t>Minuta TozziniFreire</w:t>
    </w:r>
    <w:r w:rsidR="00CC33B6">
      <w:rPr>
        <w:i/>
        <w:iCs/>
        <w:sz w:val="20"/>
        <w:szCs w:val="20"/>
      </w:rPr>
      <w:t xml:space="preserve"> Advogados</w:t>
    </w:r>
  </w:p>
  <w:p w14:paraId="714F772A" w14:textId="372E52A1" w:rsidR="00CC33B6" w:rsidRPr="00A73A85" w:rsidRDefault="000C298A" w:rsidP="00CC33B6">
    <w:pPr>
      <w:pStyle w:val="Cabealho"/>
      <w:jc w:val="right"/>
      <w:rPr>
        <w:i/>
        <w:iCs/>
        <w:sz w:val="20"/>
        <w:szCs w:val="20"/>
      </w:rPr>
    </w:pPr>
    <w:r>
      <w:rPr>
        <w:i/>
        <w:iCs/>
        <w:sz w:val="20"/>
        <w:szCs w:val="20"/>
      </w:rPr>
      <w:t>22</w:t>
    </w:r>
    <w:r w:rsidR="007B5EE6">
      <w:rPr>
        <w:i/>
        <w:iCs/>
        <w:sz w:val="20"/>
        <w:szCs w:val="20"/>
      </w:rPr>
      <w:t>.03</w:t>
    </w:r>
    <w:r w:rsidR="00CC33B6" w:rsidRPr="00A73A85">
      <w:rPr>
        <w:i/>
        <w:iCs/>
        <w:sz w:val="20"/>
        <w:szCs w:val="20"/>
      </w:rPr>
      <w:t>.2022</w:t>
    </w:r>
  </w:p>
  <w:p w14:paraId="5F50797E" w14:textId="77777777" w:rsidR="00CC33B6" w:rsidRDefault="00CC33B6"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5"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5"/>
  </w:num>
  <w:num w:numId="5">
    <w:abstractNumId w:val="2"/>
  </w:num>
  <w:num w:numId="6">
    <w:abstractNumId w:val="4"/>
  </w:num>
  <w:num w:numId="7">
    <w:abstractNumId w:val="4"/>
  </w:num>
  <w:num w:numId="8">
    <w:abstractNumId w:val="0"/>
  </w:num>
  <w:num w:numId="9">
    <w:abstractNumId w:val="4"/>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102F8"/>
    <w:rsid w:val="00013FDE"/>
    <w:rsid w:val="0001609E"/>
    <w:rsid w:val="0005472C"/>
    <w:rsid w:val="000942B1"/>
    <w:rsid w:val="00096442"/>
    <w:rsid w:val="000A7384"/>
    <w:rsid w:val="000B0B4C"/>
    <w:rsid w:val="000B48D8"/>
    <w:rsid w:val="000C06C7"/>
    <w:rsid w:val="000C298A"/>
    <w:rsid w:val="000F5B4F"/>
    <w:rsid w:val="000F76CE"/>
    <w:rsid w:val="00103F48"/>
    <w:rsid w:val="00104DDF"/>
    <w:rsid w:val="00110EAA"/>
    <w:rsid w:val="0012038B"/>
    <w:rsid w:val="00130F18"/>
    <w:rsid w:val="001616BF"/>
    <w:rsid w:val="00180356"/>
    <w:rsid w:val="001811A6"/>
    <w:rsid w:val="0018500B"/>
    <w:rsid w:val="00186D68"/>
    <w:rsid w:val="001A2AB7"/>
    <w:rsid w:val="001C5A85"/>
    <w:rsid w:val="001C7B3F"/>
    <w:rsid w:val="001D75BF"/>
    <w:rsid w:val="001F0597"/>
    <w:rsid w:val="001F0DB7"/>
    <w:rsid w:val="00202CF5"/>
    <w:rsid w:val="00205656"/>
    <w:rsid w:val="00222AC6"/>
    <w:rsid w:val="0022649A"/>
    <w:rsid w:val="00232C37"/>
    <w:rsid w:val="0023375F"/>
    <w:rsid w:val="002605B3"/>
    <w:rsid w:val="00284F7C"/>
    <w:rsid w:val="002919EC"/>
    <w:rsid w:val="00294934"/>
    <w:rsid w:val="002B482B"/>
    <w:rsid w:val="002B54A4"/>
    <w:rsid w:val="002B6E7F"/>
    <w:rsid w:val="002E69F2"/>
    <w:rsid w:val="002E6AE3"/>
    <w:rsid w:val="00304115"/>
    <w:rsid w:val="00305B05"/>
    <w:rsid w:val="003060F8"/>
    <w:rsid w:val="00316763"/>
    <w:rsid w:val="00322302"/>
    <w:rsid w:val="003538CB"/>
    <w:rsid w:val="00353F17"/>
    <w:rsid w:val="00360A6F"/>
    <w:rsid w:val="003669E9"/>
    <w:rsid w:val="00381B47"/>
    <w:rsid w:val="003A6121"/>
    <w:rsid w:val="003C7791"/>
    <w:rsid w:val="003E08D8"/>
    <w:rsid w:val="003F5523"/>
    <w:rsid w:val="00403CC7"/>
    <w:rsid w:val="004152EE"/>
    <w:rsid w:val="004165E0"/>
    <w:rsid w:val="004177BA"/>
    <w:rsid w:val="004213BF"/>
    <w:rsid w:val="00444DC8"/>
    <w:rsid w:val="00447A17"/>
    <w:rsid w:val="0046348F"/>
    <w:rsid w:val="00483205"/>
    <w:rsid w:val="004C4D9D"/>
    <w:rsid w:val="004D50AB"/>
    <w:rsid w:val="00524CA1"/>
    <w:rsid w:val="005340B3"/>
    <w:rsid w:val="0058330E"/>
    <w:rsid w:val="0059066A"/>
    <w:rsid w:val="005A1E0D"/>
    <w:rsid w:val="005C6A61"/>
    <w:rsid w:val="005E0F21"/>
    <w:rsid w:val="00662177"/>
    <w:rsid w:val="006633A6"/>
    <w:rsid w:val="006A7214"/>
    <w:rsid w:val="006C5F1D"/>
    <w:rsid w:val="006D1459"/>
    <w:rsid w:val="006D4437"/>
    <w:rsid w:val="006E25C4"/>
    <w:rsid w:val="00700031"/>
    <w:rsid w:val="007060D3"/>
    <w:rsid w:val="007161F1"/>
    <w:rsid w:val="007218BE"/>
    <w:rsid w:val="00731324"/>
    <w:rsid w:val="007577A8"/>
    <w:rsid w:val="00763C4C"/>
    <w:rsid w:val="00781196"/>
    <w:rsid w:val="007864D3"/>
    <w:rsid w:val="00786D9E"/>
    <w:rsid w:val="007A60CF"/>
    <w:rsid w:val="007A70BF"/>
    <w:rsid w:val="007B3A26"/>
    <w:rsid w:val="007B5EE6"/>
    <w:rsid w:val="007C2F55"/>
    <w:rsid w:val="008158D3"/>
    <w:rsid w:val="00840AB2"/>
    <w:rsid w:val="0084401F"/>
    <w:rsid w:val="008828C6"/>
    <w:rsid w:val="00882A7D"/>
    <w:rsid w:val="008849AA"/>
    <w:rsid w:val="008B6BC0"/>
    <w:rsid w:val="008C148D"/>
    <w:rsid w:val="008C400D"/>
    <w:rsid w:val="008D79B1"/>
    <w:rsid w:val="008F1D12"/>
    <w:rsid w:val="009016D3"/>
    <w:rsid w:val="00922C44"/>
    <w:rsid w:val="0092785A"/>
    <w:rsid w:val="00943E69"/>
    <w:rsid w:val="00965118"/>
    <w:rsid w:val="0097089A"/>
    <w:rsid w:val="00985DB2"/>
    <w:rsid w:val="009C749E"/>
    <w:rsid w:val="009C77CA"/>
    <w:rsid w:val="009E3073"/>
    <w:rsid w:val="00A12E9B"/>
    <w:rsid w:val="00A13D04"/>
    <w:rsid w:val="00A35C94"/>
    <w:rsid w:val="00A43D6C"/>
    <w:rsid w:val="00A46CFD"/>
    <w:rsid w:val="00A52DC8"/>
    <w:rsid w:val="00A62929"/>
    <w:rsid w:val="00A67057"/>
    <w:rsid w:val="00A86CF5"/>
    <w:rsid w:val="00A9218B"/>
    <w:rsid w:val="00A95F1A"/>
    <w:rsid w:val="00AA63C0"/>
    <w:rsid w:val="00AB3B0F"/>
    <w:rsid w:val="00AB6804"/>
    <w:rsid w:val="00AD7373"/>
    <w:rsid w:val="00AF27C5"/>
    <w:rsid w:val="00B01B71"/>
    <w:rsid w:val="00B0719D"/>
    <w:rsid w:val="00B13D78"/>
    <w:rsid w:val="00B14870"/>
    <w:rsid w:val="00B6266B"/>
    <w:rsid w:val="00B63588"/>
    <w:rsid w:val="00B7169E"/>
    <w:rsid w:val="00B906A1"/>
    <w:rsid w:val="00B964C3"/>
    <w:rsid w:val="00B96E36"/>
    <w:rsid w:val="00BA1BF5"/>
    <w:rsid w:val="00BB192B"/>
    <w:rsid w:val="00BB1942"/>
    <w:rsid w:val="00BC2098"/>
    <w:rsid w:val="00BD4707"/>
    <w:rsid w:val="00C2187A"/>
    <w:rsid w:val="00C244C3"/>
    <w:rsid w:val="00C4692F"/>
    <w:rsid w:val="00C573A1"/>
    <w:rsid w:val="00C62308"/>
    <w:rsid w:val="00C72D2D"/>
    <w:rsid w:val="00C755BB"/>
    <w:rsid w:val="00C82097"/>
    <w:rsid w:val="00C878EB"/>
    <w:rsid w:val="00C921F9"/>
    <w:rsid w:val="00C95E1E"/>
    <w:rsid w:val="00C976B0"/>
    <w:rsid w:val="00CB6CD4"/>
    <w:rsid w:val="00CC0C80"/>
    <w:rsid w:val="00CC33B6"/>
    <w:rsid w:val="00CD1B96"/>
    <w:rsid w:val="00CE64D5"/>
    <w:rsid w:val="00D116AF"/>
    <w:rsid w:val="00D16479"/>
    <w:rsid w:val="00D169D2"/>
    <w:rsid w:val="00D21A1F"/>
    <w:rsid w:val="00D23764"/>
    <w:rsid w:val="00D441E6"/>
    <w:rsid w:val="00D510BA"/>
    <w:rsid w:val="00D76160"/>
    <w:rsid w:val="00D93F40"/>
    <w:rsid w:val="00DA0D64"/>
    <w:rsid w:val="00DA4BEE"/>
    <w:rsid w:val="00DC09CB"/>
    <w:rsid w:val="00DC12F9"/>
    <w:rsid w:val="00DC259E"/>
    <w:rsid w:val="00DD0F86"/>
    <w:rsid w:val="00DF389E"/>
    <w:rsid w:val="00E01964"/>
    <w:rsid w:val="00E01D1D"/>
    <w:rsid w:val="00E13FBE"/>
    <w:rsid w:val="00E20D3C"/>
    <w:rsid w:val="00E22451"/>
    <w:rsid w:val="00E348E9"/>
    <w:rsid w:val="00E4406E"/>
    <w:rsid w:val="00E44CD6"/>
    <w:rsid w:val="00E463EC"/>
    <w:rsid w:val="00E53F48"/>
    <w:rsid w:val="00E61C2A"/>
    <w:rsid w:val="00E62233"/>
    <w:rsid w:val="00E672AD"/>
    <w:rsid w:val="00E80FFB"/>
    <w:rsid w:val="00EA2BCA"/>
    <w:rsid w:val="00EA6A98"/>
    <w:rsid w:val="00EC7E1A"/>
    <w:rsid w:val="00EF1EAC"/>
    <w:rsid w:val="00F0472F"/>
    <w:rsid w:val="00F05DB7"/>
    <w:rsid w:val="00F2048C"/>
    <w:rsid w:val="00F371FA"/>
    <w:rsid w:val="00F60620"/>
    <w:rsid w:val="00F612B0"/>
    <w:rsid w:val="00F61747"/>
    <w:rsid w:val="00F754B7"/>
    <w:rsid w:val="00F91A56"/>
    <w:rsid w:val="00F92C9F"/>
    <w:rsid w:val="00F93DD2"/>
    <w:rsid w:val="00FA5DE2"/>
    <w:rsid w:val="00FB7D50"/>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2773</Words>
  <Characters>16028</Characters>
  <Application>Microsoft Office Word</Application>
  <DocSecurity>0</DocSecurity>
  <Lines>942</Lines>
  <Paragraphs>648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dcterms:created xsi:type="dcterms:W3CDTF">2022-03-22T14:37:00Z</dcterms:created>
  <dcterms:modified xsi:type="dcterms:W3CDTF">2022-03-22T14:37:00Z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