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1A9B3C7D" w:rsidR="000A7394" w:rsidRPr="00DB0B20" w:rsidRDefault="00B37FC8" w:rsidP="00DB0B20">
      <w:pPr>
        <w:widowControl w:val="0"/>
        <w:spacing w:after="0" w:line="300" w:lineRule="exact"/>
        <w:contextualSpacing/>
        <w:jc w:val="center"/>
        <w:rPr>
          <w:rFonts w:ascii="Tahoma" w:hAnsi="Tahoma" w:cs="Tahoma"/>
          <w:b/>
        </w:rPr>
      </w:pPr>
      <w:r w:rsidRPr="00DB0B20">
        <w:rPr>
          <w:rFonts w:ascii="Tahoma" w:hAnsi="Tahoma" w:cs="Tahoma"/>
          <w:b/>
        </w:rPr>
        <w:t xml:space="preserve">PRIMEIRO ADITAMENTO AO </w:t>
      </w:r>
      <w:r w:rsidR="000B1B82" w:rsidRPr="00DB0B20">
        <w:rPr>
          <w:rFonts w:ascii="Tahoma" w:hAnsi="Tahoma" w:cs="Tahoma"/>
          <w:b/>
        </w:rPr>
        <w:t xml:space="preserve">INSTRUMENTO PARTICULAR DE </w:t>
      </w:r>
      <w:r w:rsidR="0037677E" w:rsidRPr="00DB0B20">
        <w:rPr>
          <w:rFonts w:ascii="Tahoma" w:hAnsi="Tahoma" w:cs="Tahoma"/>
          <w:b/>
        </w:rPr>
        <w:t>ALIENAÇÃO FIDUCIÁRIA DE IMÓVEIS EM GARANTIA E OUTRAS AVENÇAS</w:t>
      </w:r>
    </w:p>
    <w:p w14:paraId="6A285082" w14:textId="77777777" w:rsidR="007D0ADE" w:rsidRPr="00DB0B20" w:rsidRDefault="007D0ADE" w:rsidP="00DB0B20">
      <w:pPr>
        <w:widowControl w:val="0"/>
        <w:spacing w:after="0" w:line="300" w:lineRule="exact"/>
        <w:contextualSpacing/>
        <w:jc w:val="center"/>
        <w:rPr>
          <w:rFonts w:ascii="Tahoma" w:hAnsi="Tahoma" w:cs="Tahoma"/>
        </w:rPr>
      </w:pPr>
    </w:p>
    <w:p w14:paraId="27A57E05" w14:textId="77777777" w:rsidR="000A7394" w:rsidRPr="00DB0B20" w:rsidRDefault="000A7394" w:rsidP="00DB0B20">
      <w:pPr>
        <w:pStyle w:val="western"/>
        <w:widowControl w:val="0"/>
        <w:spacing w:before="0" w:beforeAutospacing="0" w:after="0" w:line="300" w:lineRule="exact"/>
        <w:contextualSpacing/>
        <w:outlineLvl w:val="0"/>
        <w:rPr>
          <w:rFonts w:ascii="Tahoma" w:hAnsi="Tahoma" w:cs="Tahoma"/>
          <w:b/>
          <w:sz w:val="21"/>
          <w:szCs w:val="21"/>
        </w:rPr>
      </w:pPr>
      <w:r w:rsidRPr="00DB0B20">
        <w:rPr>
          <w:rFonts w:ascii="Tahoma" w:hAnsi="Tahoma" w:cs="Tahoma"/>
          <w:b/>
          <w:sz w:val="21"/>
          <w:szCs w:val="21"/>
        </w:rPr>
        <w:t xml:space="preserve">I – PARTES </w:t>
      </w:r>
    </w:p>
    <w:p w14:paraId="12E043C9" w14:textId="77777777" w:rsidR="000A7394" w:rsidRPr="00DB0B20" w:rsidRDefault="000A7394" w:rsidP="00DB0B20">
      <w:pPr>
        <w:widowControl w:val="0"/>
        <w:spacing w:after="0" w:line="300" w:lineRule="exact"/>
        <w:contextualSpacing/>
        <w:jc w:val="both"/>
        <w:rPr>
          <w:rFonts w:ascii="Tahoma" w:hAnsi="Tahoma" w:cs="Tahoma"/>
        </w:rPr>
      </w:pPr>
    </w:p>
    <w:p w14:paraId="409531D0" w14:textId="27D97CD3" w:rsidR="0037677E" w:rsidRPr="00DB0B20" w:rsidRDefault="0037677E" w:rsidP="00DB0B20">
      <w:pPr>
        <w:widowControl w:val="0"/>
        <w:spacing w:after="0" w:line="300" w:lineRule="exact"/>
        <w:contextualSpacing/>
        <w:jc w:val="both"/>
        <w:rPr>
          <w:rFonts w:ascii="Tahoma" w:hAnsi="Tahoma" w:cs="Tahoma"/>
          <w:b/>
        </w:rPr>
      </w:pPr>
      <w:r w:rsidRPr="00DB0B20">
        <w:rPr>
          <w:rFonts w:ascii="Tahoma" w:hAnsi="Tahoma" w:cs="Tahoma"/>
        </w:rPr>
        <w:t xml:space="preserve">Pelo presente </w:t>
      </w:r>
      <w:r w:rsidR="004556CB" w:rsidRPr="00DB0B20">
        <w:rPr>
          <w:rFonts w:ascii="Tahoma" w:hAnsi="Tahoma" w:cs="Tahoma"/>
        </w:rPr>
        <w:t>“</w:t>
      </w:r>
      <w:r w:rsidR="00121845" w:rsidRPr="00DB0B20">
        <w:rPr>
          <w:rFonts w:ascii="Tahoma" w:hAnsi="Tahoma" w:cs="Tahoma"/>
          <w:i/>
          <w:iCs/>
        </w:rPr>
        <w:t xml:space="preserve">Primeiro Aditamento ao </w:t>
      </w:r>
      <w:r w:rsidR="004556CB" w:rsidRPr="00DB0B20">
        <w:rPr>
          <w:rFonts w:ascii="Tahoma" w:hAnsi="Tahoma" w:cs="Tahoma"/>
          <w:i/>
          <w:iCs/>
        </w:rPr>
        <w:t>Instrumento</w:t>
      </w:r>
      <w:r w:rsidR="004556CB" w:rsidRPr="00DB0B20">
        <w:rPr>
          <w:rFonts w:ascii="Tahoma" w:hAnsi="Tahoma" w:cs="Tahoma"/>
          <w:i/>
        </w:rPr>
        <w:t xml:space="preserve"> Particular de Alienação Fiduciária de Imóveis em Garantia e Outras Avenças</w:t>
      </w:r>
      <w:r w:rsidR="004556CB" w:rsidRPr="00DB0B20">
        <w:rPr>
          <w:rFonts w:ascii="Tahoma" w:hAnsi="Tahoma" w:cs="Tahoma"/>
        </w:rPr>
        <w:t>” (“</w:t>
      </w:r>
      <w:r w:rsidR="00121845" w:rsidRPr="00DB0B20">
        <w:rPr>
          <w:rFonts w:ascii="Tahoma" w:hAnsi="Tahoma" w:cs="Tahoma"/>
          <w:u w:val="single"/>
        </w:rPr>
        <w:t>Aditamento</w:t>
      </w:r>
      <w:r w:rsidR="004556CB" w:rsidRPr="00DB0B20">
        <w:rPr>
          <w:rFonts w:ascii="Tahoma" w:hAnsi="Tahoma" w:cs="Tahoma"/>
        </w:rPr>
        <w:t>”)</w:t>
      </w:r>
      <w:r w:rsidRPr="00DB0B20">
        <w:rPr>
          <w:rFonts w:ascii="Tahoma" w:hAnsi="Tahoma" w:cs="Tahoma"/>
        </w:rPr>
        <w:t>, com efeitos de escritura pública, por força do artigo 38 da Lei n.º 9.514, de 20 de novembro de 1997</w:t>
      </w:r>
      <w:r w:rsidR="00471C98" w:rsidRPr="00DB0B20">
        <w:rPr>
          <w:rFonts w:ascii="Tahoma" w:hAnsi="Tahoma" w:cs="Tahoma"/>
        </w:rPr>
        <w:t>, conforme em vigor</w:t>
      </w:r>
      <w:r w:rsidRPr="00DB0B20">
        <w:rPr>
          <w:rFonts w:ascii="Tahoma" w:hAnsi="Tahoma" w:cs="Tahoma"/>
        </w:rPr>
        <w:t xml:space="preserve"> (“</w:t>
      </w:r>
      <w:r w:rsidRPr="00DB0B20">
        <w:rPr>
          <w:rFonts w:ascii="Tahoma" w:hAnsi="Tahoma" w:cs="Tahoma"/>
          <w:u w:val="single"/>
        </w:rPr>
        <w:t>Lei 9.514/97</w:t>
      </w:r>
      <w:r w:rsidRPr="00DB0B20">
        <w:rPr>
          <w:rFonts w:ascii="Tahoma" w:hAnsi="Tahoma" w:cs="Tahoma"/>
        </w:rPr>
        <w:t>”)</w:t>
      </w:r>
      <w:r w:rsidR="00471C98" w:rsidRPr="00DB0B20">
        <w:rPr>
          <w:rFonts w:ascii="Tahoma" w:hAnsi="Tahoma" w:cs="Tahoma"/>
        </w:rPr>
        <w:t>,</w:t>
      </w:r>
    </w:p>
    <w:p w14:paraId="36A4D074" w14:textId="77777777" w:rsidR="0037677E" w:rsidRPr="00DB0B20" w:rsidRDefault="0037677E" w:rsidP="00DB0B20">
      <w:pPr>
        <w:widowControl w:val="0"/>
        <w:spacing w:after="0" w:line="300" w:lineRule="exact"/>
        <w:contextualSpacing/>
        <w:jc w:val="both"/>
        <w:rPr>
          <w:rFonts w:ascii="Tahoma" w:hAnsi="Tahoma" w:cs="Tahoma"/>
        </w:rPr>
      </w:pPr>
    </w:p>
    <w:p w14:paraId="6BDDCE73" w14:textId="4D61513E" w:rsidR="0037677E" w:rsidRPr="00DB0B20" w:rsidRDefault="00175E84" w:rsidP="00DB0B20">
      <w:pPr>
        <w:pStyle w:val="Corpodetexto"/>
        <w:widowControl w:val="0"/>
        <w:spacing w:after="0" w:line="300" w:lineRule="exact"/>
        <w:contextualSpacing/>
        <w:jc w:val="both"/>
        <w:rPr>
          <w:rFonts w:ascii="Tahoma" w:hAnsi="Tahoma" w:cs="Tahoma"/>
        </w:rPr>
      </w:pPr>
      <w:r w:rsidRPr="00DB0B20">
        <w:rPr>
          <w:rFonts w:ascii="Tahoma" w:hAnsi="Tahoma" w:cs="Tahoma"/>
          <w:b/>
          <w:bCs/>
        </w:rPr>
        <w:t>JK AMAZONAS EMPREENDIMENTO IMOBILIÁRIO LTDA</w:t>
      </w:r>
      <w:r w:rsidRPr="00DB0B20">
        <w:rPr>
          <w:rFonts w:ascii="Tahoma" w:hAnsi="Tahoma" w:cs="Tahoma"/>
        </w:rPr>
        <w:t>., sociedade empresária limitada, inscrita no Cadastro Nacional de Pessoa Jurídica do Ministério da Economia (“</w:t>
      </w:r>
      <w:r w:rsidRPr="00DB0B20">
        <w:rPr>
          <w:rFonts w:ascii="Tahoma" w:hAnsi="Tahoma" w:cs="Tahoma"/>
          <w:u w:val="single"/>
        </w:rPr>
        <w:t>CNPJ/ME</w:t>
      </w:r>
      <w:r w:rsidRPr="00DB0B20">
        <w:rPr>
          <w:rFonts w:ascii="Tahoma" w:hAnsi="Tahoma" w:cs="Tahoma"/>
        </w:rPr>
        <w:t xml:space="preserve">”) sob o nº 13.030.706/0001-48, </w:t>
      </w:r>
      <w:r w:rsidR="00B27959" w:rsidRPr="00DB0B20">
        <w:rPr>
          <w:rFonts w:ascii="Tahoma" w:hAnsi="Tahoma" w:cs="Tahoma"/>
        </w:rPr>
        <w:t xml:space="preserve">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00B27959" w:rsidRPr="00DB0B20">
        <w:rPr>
          <w:rFonts w:ascii="Tahoma" w:hAnsi="Tahoma" w:cs="Tahoma"/>
          <w:bCs/>
          <w:color w:val="000000"/>
        </w:rPr>
        <w:t>(</w:t>
      </w:r>
      <w:r w:rsidR="00B27959" w:rsidRPr="00DB0B20">
        <w:rPr>
          <w:rFonts w:ascii="Tahoma" w:hAnsi="Tahoma" w:cs="Tahoma"/>
        </w:rPr>
        <w:t>“</w:t>
      </w:r>
      <w:r w:rsidR="00B27959" w:rsidRPr="00DB0B20">
        <w:rPr>
          <w:rFonts w:ascii="Tahoma" w:hAnsi="Tahoma" w:cs="Tahoma"/>
          <w:u w:val="single"/>
        </w:rPr>
        <w:t>Fiduciante</w:t>
      </w:r>
      <w:r w:rsidR="00B27959" w:rsidRPr="00DB0B20">
        <w:rPr>
          <w:rFonts w:ascii="Tahoma" w:hAnsi="Tahoma" w:cs="Tahoma"/>
        </w:rPr>
        <w:t>”);</w:t>
      </w:r>
      <w:r w:rsidR="00556D38" w:rsidRPr="00DB0B20">
        <w:rPr>
          <w:rFonts w:ascii="Tahoma" w:hAnsi="Tahoma" w:cs="Tahoma"/>
        </w:rPr>
        <w:t xml:space="preserve"> </w:t>
      </w:r>
    </w:p>
    <w:p w14:paraId="37460997" w14:textId="77777777" w:rsidR="0037677E" w:rsidRPr="00DB0B20" w:rsidRDefault="0037677E" w:rsidP="00DB0B20">
      <w:pPr>
        <w:widowControl w:val="0"/>
        <w:spacing w:after="0" w:line="300" w:lineRule="exact"/>
        <w:ind w:left="851" w:hanging="851"/>
        <w:contextualSpacing/>
        <w:jc w:val="both"/>
        <w:rPr>
          <w:rFonts w:ascii="Tahoma" w:hAnsi="Tahoma" w:cs="Tahoma"/>
        </w:rPr>
      </w:pPr>
    </w:p>
    <w:p w14:paraId="12EC7497" w14:textId="37FC41DF" w:rsidR="00F15C37" w:rsidRPr="00DB0B20" w:rsidRDefault="00110D01" w:rsidP="00DB0B20">
      <w:pPr>
        <w:pStyle w:val="Corpodetexto"/>
        <w:widowControl w:val="0"/>
        <w:spacing w:after="0" w:line="300" w:lineRule="exact"/>
        <w:jc w:val="both"/>
        <w:rPr>
          <w:rFonts w:ascii="Tahoma" w:hAnsi="Tahoma" w:cs="Tahoma"/>
        </w:rPr>
      </w:pPr>
      <w:r w:rsidRPr="00DB0B20">
        <w:rPr>
          <w:rFonts w:ascii="Tahoma" w:hAnsi="Tahoma" w:cs="Tahoma"/>
          <w:b/>
        </w:rPr>
        <w:t>VIRGO COMPANHIA DE SECURITIZAÇÃO</w:t>
      </w:r>
      <w:r w:rsidRPr="00DB0B20">
        <w:rPr>
          <w:rFonts w:ascii="Tahoma" w:hAnsi="Tahoma" w:cs="Tahoma"/>
        </w:rPr>
        <w:t xml:space="preserve">,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 </w:t>
      </w:r>
      <w:r w:rsidR="00E7584F">
        <w:rPr>
          <w:rFonts w:ascii="Tahoma" w:hAnsi="Tahoma" w:cs="Tahoma"/>
        </w:rPr>
        <w:t>PEDRO PAULO OLIVEIRA DE MORAES</w:t>
      </w:r>
      <w:r w:rsidRPr="00DB0B20">
        <w:rPr>
          <w:rFonts w:ascii="Tahoma" w:hAnsi="Tahoma" w:cs="Tahoma"/>
        </w:rPr>
        <w:t>, brasileir</w:t>
      </w:r>
      <w:r w:rsidR="00E7584F">
        <w:rPr>
          <w:rFonts w:ascii="Tahoma" w:hAnsi="Tahoma" w:cs="Tahoma"/>
        </w:rPr>
        <w:t>o</w:t>
      </w:r>
      <w:r w:rsidRPr="00DB0B20">
        <w:rPr>
          <w:rFonts w:ascii="Tahoma" w:hAnsi="Tahoma" w:cs="Tahoma"/>
        </w:rPr>
        <w:t>, residente e domiciliada na Cidade de São Paulo, Estado de São Paulo, inscrit</w:t>
      </w:r>
      <w:r w:rsidR="00E7584F">
        <w:rPr>
          <w:rFonts w:ascii="Tahoma" w:hAnsi="Tahoma" w:cs="Tahoma"/>
        </w:rPr>
        <w:t>o</w:t>
      </w:r>
      <w:r w:rsidRPr="00DB0B20">
        <w:rPr>
          <w:rFonts w:ascii="Tahoma" w:hAnsi="Tahoma" w:cs="Tahoma"/>
        </w:rPr>
        <w:t xml:space="preserve"> no CPF sob o n.º </w:t>
      </w:r>
      <w:r w:rsidR="00E7584F">
        <w:rPr>
          <w:rFonts w:ascii="Tahoma" w:hAnsi="Tahoma" w:cs="Tahoma"/>
        </w:rPr>
        <w:t>222.043.388-93</w:t>
      </w:r>
      <w:r w:rsidRPr="00DB0B20">
        <w:rPr>
          <w:rFonts w:ascii="Tahoma" w:hAnsi="Tahoma" w:cs="Tahoma"/>
        </w:rPr>
        <w:t>, e d</w:t>
      </w:r>
      <w:r w:rsidR="00E7584F">
        <w:rPr>
          <w:rFonts w:ascii="Tahoma" w:hAnsi="Tahoma" w:cs="Tahoma"/>
        </w:rPr>
        <w:t>e</w:t>
      </w:r>
      <w:r w:rsidRPr="00DB0B20">
        <w:rPr>
          <w:rFonts w:ascii="Tahoma" w:hAnsi="Tahoma" w:cs="Tahoma"/>
        </w:rPr>
        <w:t xml:space="preserve"> s</w:t>
      </w:r>
      <w:r w:rsidR="00E7584F">
        <w:rPr>
          <w:rFonts w:ascii="Tahoma" w:hAnsi="Tahoma" w:cs="Tahoma"/>
        </w:rPr>
        <w:t>ua</w:t>
      </w:r>
      <w:r w:rsidRPr="00DB0B20">
        <w:rPr>
          <w:rFonts w:ascii="Tahoma" w:hAnsi="Tahoma" w:cs="Tahoma"/>
        </w:rPr>
        <w:t xml:space="preserve"> procurador</w:t>
      </w:r>
      <w:r w:rsidR="00E7584F">
        <w:rPr>
          <w:rFonts w:ascii="Tahoma" w:hAnsi="Tahoma" w:cs="Tahoma"/>
        </w:rPr>
        <w:t>a</w:t>
      </w:r>
      <w:r w:rsidRPr="00DB0B20">
        <w:rPr>
          <w:rFonts w:ascii="Tahoma" w:hAnsi="Tahoma" w:cs="Tahoma"/>
        </w:rPr>
        <w:t>, Sr</w:t>
      </w:r>
      <w:r w:rsidR="00E7584F">
        <w:rPr>
          <w:rFonts w:ascii="Tahoma" w:hAnsi="Tahoma" w:cs="Tahoma"/>
        </w:rPr>
        <w:t>a</w:t>
      </w:r>
      <w:r w:rsidRPr="00DB0B20">
        <w:rPr>
          <w:rFonts w:ascii="Tahoma" w:hAnsi="Tahoma" w:cs="Tahoma"/>
        </w:rPr>
        <w:t xml:space="preserve">. </w:t>
      </w:r>
      <w:r w:rsidR="00E7584F">
        <w:rPr>
          <w:rFonts w:ascii="Tahoma" w:hAnsi="Tahoma" w:cs="Tahoma"/>
        </w:rPr>
        <w:t>LUISA HERKENHOFF MIS</w:t>
      </w:r>
      <w:r w:rsidRPr="00DB0B20">
        <w:rPr>
          <w:rFonts w:ascii="Tahoma" w:hAnsi="Tahoma" w:cs="Tahoma"/>
        </w:rPr>
        <w:t>, brasileir</w:t>
      </w:r>
      <w:r w:rsidR="00E7584F">
        <w:rPr>
          <w:rFonts w:ascii="Tahoma" w:hAnsi="Tahoma" w:cs="Tahoma"/>
        </w:rPr>
        <w:t>a</w:t>
      </w:r>
      <w:r w:rsidRPr="00DB0B20">
        <w:rPr>
          <w:rFonts w:ascii="Tahoma" w:hAnsi="Tahoma" w:cs="Tahoma"/>
        </w:rPr>
        <w:t>, residente e domiciliad</w:t>
      </w:r>
      <w:r w:rsidR="00E7584F">
        <w:rPr>
          <w:rFonts w:ascii="Tahoma" w:hAnsi="Tahoma" w:cs="Tahoma"/>
        </w:rPr>
        <w:t>a</w:t>
      </w:r>
      <w:r w:rsidRPr="00DB0B20">
        <w:rPr>
          <w:rFonts w:ascii="Tahoma" w:hAnsi="Tahoma" w:cs="Tahoma"/>
        </w:rPr>
        <w:t xml:space="preserve"> na Cidade de São Paulo, Estado de São Paulo, inscrit</w:t>
      </w:r>
      <w:r w:rsidR="00E7584F">
        <w:rPr>
          <w:rFonts w:ascii="Tahoma" w:hAnsi="Tahoma" w:cs="Tahoma"/>
        </w:rPr>
        <w:t>a</w:t>
      </w:r>
      <w:r w:rsidRPr="00DB0B20">
        <w:rPr>
          <w:rFonts w:ascii="Tahoma" w:hAnsi="Tahoma" w:cs="Tahoma"/>
        </w:rPr>
        <w:t xml:space="preserve"> no CPF sob o nº </w:t>
      </w:r>
      <w:r w:rsidR="00E7584F">
        <w:rPr>
          <w:rFonts w:ascii="Tahoma" w:hAnsi="Tahoma" w:cs="Tahoma"/>
        </w:rPr>
        <w:t>122.277.507-74</w:t>
      </w:r>
      <w:r w:rsidRPr="00DB0B20">
        <w:rPr>
          <w:rFonts w:ascii="Tahoma" w:hAnsi="Tahoma" w:cs="Tahoma"/>
        </w:rPr>
        <w:t xml:space="preserve"> (“</w:t>
      </w:r>
      <w:r w:rsidRPr="00DB0B20">
        <w:rPr>
          <w:rFonts w:ascii="Tahoma" w:hAnsi="Tahoma" w:cs="Tahoma"/>
          <w:u w:val="single"/>
        </w:rPr>
        <w:t>Fiduciária</w:t>
      </w:r>
      <w:r w:rsidRPr="00DB0B20">
        <w:rPr>
          <w:rFonts w:ascii="Tahoma" w:hAnsi="Tahoma" w:cs="Tahoma"/>
        </w:rPr>
        <w:t>”, doravante denominada, quando em conjunto com a Fiduciante, “</w:t>
      </w:r>
      <w:r w:rsidRPr="00DB0B20">
        <w:rPr>
          <w:rFonts w:ascii="Tahoma" w:hAnsi="Tahoma" w:cs="Tahoma"/>
          <w:u w:val="single"/>
        </w:rPr>
        <w:t>Partes</w:t>
      </w:r>
      <w:r w:rsidRPr="00DB0B20">
        <w:rPr>
          <w:rFonts w:ascii="Tahoma" w:hAnsi="Tahoma" w:cs="Tahoma"/>
        </w:rPr>
        <w:t>”, e, cada uma, isolada e indistintamente “</w:t>
      </w:r>
      <w:r w:rsidRPr="00DB0B20">
        <w:rPr>
          <w:rFonts w:ascii="Tahoma" w:hAnsi="Tahoma" w:cs="Tahoma"/>
          <w:u w:val="single"/>
        </w:rPr>
        <w:t>Parte</w:t>
      </w:r>
      <w:r w:rsidRPr="00DB0B20">
        <w:rPr>
          <w:rFonts w:ascii="Tahoma" w:hAnsi="Tahoma" w:cs="Tahoma"/>
        </w:rPr>
        <w:t xml:space="preserve">”). </w:t>
      </w:r>
    </w:p>
    <w:p w14:paraId="306A7735" w14:textId="721E8AE2" w:rsidR="00F15C37" w:rsidRPr="00DB0B20" w:rsidRDefault="00827FFD" w:rsidP="00DB0B20">
      <w:pPr>
        <w:pStyle w:val="Corpodetexto"/>
        <w:widowControl w:val="0"/>
        <w:spacing w:after="0" w:line="300" w:lineRule="exact"/>
        <w:jc w:val="both"/>
        <w:rPr>
          <w:rFonts w:ascii="Tahoma" w:hAnsi="Tahoma" w:cs="Tahoma"/>
        </w:rPr>
      </w:pPr>
      <w:r w:rsidRPr="00DB0B20">
        <w:rPr>
          <w:rFonts w:ascii="Tahoma" w:hAnsi="Tahoma" w:cs="Tahoma"/>
        </w:rPr>
        <w:br/>
      </w:r>
      <w:r w:rsidR="00F15C37" w:rsidRPr="00DB0B20">
        <w:rPr>
          <w:rFonts w:ascii="Tahoma" w:hAnsi="Tahoma" w:cs="Tahoma"/>
        </w:rPr>
        <w:t>E, ainda, como interveniente anuente:</w:t>
      </w:r>
    </w:p>
    <w:p w14:paraId="6D63A1B3" w14:textId="1C346C40" w:rsidR="00F15C37" w:rsidRPr="00DB0B20" w:rsidRDefault="00827FFD" w:rsidP="00DB0B20">
      <w:pPr>
        <w:widowControl w:val="0"/>
        <w:spacing w:after="0" w:line="300" w:lineRule="exact"/>
        <w:jc w:val="both"/>
        <w:rPr>
          <w:rFonts w:ascii="Tahoma" w:hAnsi="Tahoma" w:cs="Tahoma"/>
        </w:rPr>
      </w:pPr>
      <w:r w:rsidRPr="00DB0B20">
        <w:rPr>
          <w:rFonts w:ascii="Tahoma" w:hAnsi="Tahoma" w:cs="Tahoma"/>
          <w:b/>
        </w:rPr>
        <w:br/>
      </w:r>
      <w:r w:rsidR="00F15C37" w:rsidRPr="00DB0B20">
        <w:rPr>
          <w:rFonts w:ascii="Tahoma" w:hAnsi="Tahoma" w:cs="Tahoma"/>
          <w:b/>
        </w:rPr>
        <w:t>VILA NOVA CONCEIÇÃO EMPREENDIMENTOS IMOBILIÁRIOS LTDA.</w:t>
      </w:r>
      <w:r w:rsidR="00F15C37" w:rsidRPr="00DB0B20">
        <w:rPr>
          <w:rFonts w:ascii="Tahoma" w:hAnsi="Tahoma" w:cs="Tahoma"/>
        </w:rPr>
        <w:t xml:space="preserve">, sociedade empresária limitada, com sede na Cidade de São Paulo, Estado de São Paulo, na Av. Cidade Jardim, nº 427, Cj. 73, Itaim Bibi, CEP 01453-000, inscrita perante o </w:t>
      </w:r>
      <w:r w:rsidR="00F15C37" w:rsidRPr="00DB0B20">
        <w:rPr>
          <w:rFonts w:ascii="Tahoma" w:hAnsi="Tahoma" w:cs="Tahoma"/>
          <w:bCs/>
        </w:rPr>
        <w:t>Cadastro Nacional de Pessoas Jurídicas do Ministério da Economia (“</w:t>
      </w:r>
      <w:r w:rsidR="00F15C37" w:rsidRPr="00DB0B20">
        <w:rPr>
          <w:rFonts w:ascii="Tahoma" w:hAnsi="Tahoma" w:cs="Tahoma"/>
          <w:bCs/>
          <w:u w:val="single"/>
        </w:rPr>
        <w:t>CNPJ/ME</w:t>
      </w:r>
      <w:r w:rsidR="00F15C37" w:rsidRPr="00DB0B20">
        <w:rPr>
          <w:rFonts w:ascii="Tahoma" w:hAnsi="Tahoma" w:cs="Tahoma"/>
          <w:bCs/>
        </w:rPr>
        <w:t>”)</w:t>
      </w:r>
      <w:r w:rsidR="00F15C37" w:rsidRPr="00DB0B20">
        <w:rPr>
          <w:rFonts w:ascii="Tahoma" w:hAnsi="Tahoma" w:cs="Tahoma"/>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00F15C37" w:rsidRPr="00DB0B20">
        <w:rPr>
          <w:rFonts w:ascii="Tahoma" w:hAnsi="Tahoma" w:cs="Tahoma"/>
        </w:rPr>
        <w:t>Pedutti</w:t>
      </w:r>
      <w:proofErr w:type="spellEnd"/>
      <w:r w:rsidR="00F15C37" w:rsidRPr="00DB0B20">
        <w:rPr>
          <w:rFonts w:ascii="Tahoma" w:hAnsi="Tahoma" w:cs="Tahoma"/>
        </w:rPr>
        <w:t>, 386, Morumbi, CEP 05613-010 (“</w:t>
      </w:r>
      <w:r w:rsidR="00F15C37" w:rsidRPr="00DB0B20">
        <w:rPr>
          <w:rFonts w:ascii="Tahoma" w:hAnsi="Tahoma" w:cs="Tahoma"/>
          <w:u w:val="single"/>
        </w:rPr>
        <w:t>Devedora</w:t>
      </w:r>
      <w:r w:rsidR="00F15C37" w:rsidRPr="00DB0B20">
        <w:rPr>
          <w:rFonts w:ascii="Tahoma" w:hAnsi="Tahoma" w:cs="Tahoma"/>
        </w:rPr>
        <w:t>”).</w:t>
      </w:r>
    </w:p>
    <w:p w14:paraId="6FFFBEA9" w14:textId="77777777" w:rsidR="0048294F" w:rsidRPr="00DB0B20" w:rsidRDefault="0048294F" w:rsidP="00DB0B20">
      <w:pPr>
        <w:widowControl w:val="0"/>
        <w:spacing w:after="0" w:line="300" w:lineRule="exact"/>
        <w:rPr>
          <w:rFonts w:ascii="Tahoma" w:hAnsi="Tahoma" w:cs="Tahoma"/>
        </w:rPr>
      </w:pPr>
    </w:p>
    <w:p w14:paraId="3B5C00AF" w14:textId="6377CE11" w:rsidR="000A7394" w:rsidRDefault="000A7394" w:rsidP="00DB0B20">
      <w:pPr>
        <w:pStyle w:val="western"/>
        <w:widowControl w:val="0"/>
        <w:spacing w:before="0" w:beforeAutospacing="0" w:after="0" w:line="300" w:lineRule="exact"/>
        <w:contextualSpacing/>
        <w:outlineLvl w:val="0"/>
        <w:rPr>
          <w:rFonts w:ascii="Tahoma" w:hAnsi="Tahoma" w:cs="Tahoma"/>
          <w:b/>
          <w:sz w:val="21"/>
          <w:szCs w:val="21"/>
        </w:rPr>
      </w:pPr>
      <w:bookmarkStart w:id="0" w:name="_Toc41728596"/>
      <w:r w:rsidRPr="00DB0B20">
        <w:rPr>
          <w:rFonts w:ascii="Tahoma" w:hAnsi="Tahoma" w:cs="Tahoma"/>
          <w:b/>
          <w:sz w:val="21"/>
          <w:szCs w:val="21"/>
        </w:rPr>
        <w:t>II – CONSIDERAÇÕES PRELIMINARES</w:t>
      </w:r>
    </w:p>
    <w:p w14:paraId="06295C03" w14:textId="77777777" w:rsidR="00E7584F" w:rsidRPr="00DB0B20" w:rsidRDefault="00E7584F" w:rsidP="00DB0B20">
      <w:pPr>
        <w:pStyle w:val="western"/>
        <w:widowControl w:val="0"/>
        <w:spacing w:before="0" w:beforeAutospacing="0" w:after="0" w:line="300" w:lineRule="exact"/>
        <w:contextualSpacing/>
        <w:outlineLvl w:val="0"/>
        <w:rPr>
          <w:rFonts w:ascii="Tahoma" w:hAnsi="Tahoma" w:cs="Tahoma"/>
          <w:b/>
          <w:sz w:val="21"/>
          <w:szCs w:val="21"/>
        </w:rPr>
      </w:pPr>
    </w:p>
    <w:bookmarkEnd w:id="0"/>
    <w:p w14:paraId="713855A1" w14:textId="18BA81C8" w:rsidR="009B7FCF" w:rsidRPr="00DB0B20" w:rsidRDefault="00476171" w:rsidP="00DB0B20">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DB0B20">
        <w:rPr>
          <w:rFonts w:ascii="Tahoma" w:hAnsi="Tahoma" w:cs="Tahoma"/>
        </w:rPr>
        <w:t xml:space="preserve">Em 24 de setembro de 2021 as Partes celebraram o competente </w:t>
      </w:r>
      <w:r w:rsidRPr="00DB0B20">
        <w:rPr>
          <w:rFonts w:ascii="Tahoma" w:hAnsi="Tahoma" w:cs="Tahoma"/>
          <w:i/>
          <w:iCs/>
        </w:rPr>
        <w:t>Instrumento</w:t>
      </w:r>
      <w:r w:rsidRPr="00DB0B20">
        <w:rPr>
          <w:rFonts w:ascii="Tahoma" w:hAnsi="Tahoma" w:cs="Tahoma"/>
          <w:i/>
        </w:rPr>
        <w:t xml:space="preserve"> Particular de Alienação Fiduciária de Imóveis em Garantia e Outras Avenças</w:t>
      </w:r>
      <w:r w:rsidRPr="00DB0B20">
        <w:rPr>
          <w:rFonts w:ascii="Tahoma" w:hAnsi="Tahoma" w:cs="Tahoma"/>
        </w:rPr>
        <w:t>” (“</w:t>
      </w:r>
      <w:r w:rsidRPr="00DB0B20">
        <w:rPr>
          <w:rFonts w:ascii="Tahoma" w:hAnsi="Tahoma" w:cs="Tahoma"/>
          <w:u w:val="single"/>
        </w:rPr>
        <w:t>Contrato</w:t>
      </w:r>
      <w:r w:rsidRPr="00DB0B20">
        <w:rPr>
          <w:rFonts w:ascii="Tahoma" w:hAnsi="Tahoma" w:cs="Tahoma"/>
        </w:rPr>
        <w:t>”)</w:t>
      </w:r>
      <w:r w:rsidRPr="00DB0B20">
        <w:rPr>
          <w:rFonts w:ascii="Tahoma" w:hAnsi="Tahoma" w:cs="Tahoma"/>
        </w:rPr>
        <w:t xml:space="preserve">, por meio do qual foi outorgada, pela Fiduciante à Fiduciária, a alienação fiduciária, nos termos da Lei nº 9.514/97, tendo por objeto determinadas futuras unidades integrantes do  fração ideal do </w:t>
      </w:r>
      <w:r w:rsidRPr="00DB0B20">
        <w:rPr>
          <w:rFonts w:ascii="Tahoma" w:hAnsi="Tahoma" w:cs="Tahoma"/>
        </w:rPr>
        <w:t xml:space="preserve">empreendimento imobiliário residencial denominado “Edifício Saint </w:t>
      </w:r>
      <w:proofErr w:type="spellStart"/>
      <w:r w:rsidRPr="00DB0B20">
        <w:rPr>
          <w:rFonts w:ascii="Tahoma" w:hAnsi="Tahoma" w:cs="Tahoma"/>
        </w:rPr>
        <w:t>Barthelemy</w:t>
      </w:r>
      <w:proofErr w:type="spellEnd"/>
      <w:r w:rsidRPr="00DB0B20">
        <w:rPr>
          <w:rFonts w:ascii="Tahoma" w:hAnsi="Tahoma" w:cs="Tahoma"/>
        </w:rPr>
        <w:t xml:space="preserve">”, situado na Cidade de São Paulo, Estado de São Paulo, na Rua Monte Aprazível, </w:t>
      </w:r>
      <w:proofErr w:type="spellStart"/>
      <w:r w:rsidRPr="00DB0B20">
        <w:rPr>
          <w:rFonts w:ascii="Tahoma" w:hAnsi="Tahoma" w:cs="Tahoma"/>
        </w:rPr>
        <w:t>nºs</w:t>
      </w:r>
      <w:proofErr w:type="spellEnd"/>
      <w:r w:rsidRPr="00DB0B20">
        <w:rPr>
          <w:rFonts w:ascii="Tahoma" w:hAnsi="Tahoma" w:cs="Tahoma"/>
        </w:rPr>
        <w:t xml:space="preserve"> 118, 126, 134 e 140 e Rua Natividade </w:t>
      </w:r>
      <w:proofErr w:type="spellStart"/>
      <w:r w:rsidRPr="00DB0B20">
        <w:rPr>
          <w:rFonts w:ascii="Tahoma" w:hAnsi="Tahoma" w:cs="Tahoma"/>
        </w:rPr>
        <w:t>nºs</w:t>
      </w:r>
      <w:proofErr w:type="spellEnd"/>
      <w:r w:rsidRPr="00DB0B20">
        <w:rPr>
          <w:rFonts w:ascii="Tahoma" w:hAnsi="Tahoma" w:cs="Tahoma"/>
        </w:rPr>
        <w:t xml:space="preserve"> 113 </w:t>
      </w:r>
      <w:r w:rsidRPr="00DB0B20">
        <w:rPr>
          <w:rFonts w:ascii="Tahoma" w:hAnsi="Tahoma" w:cs="Tahoma"/>
        </w:rPr>
        <w:lastRenderedPageBreak/>
        <w:t>e 119, 24º Subdistrito – Indianópolis</w:t>
      </w:r>
      <w:r w:rsidRPr="00DB0B20">
        <w:rPr>
          <w:rFonts w:ascii="Tahoma" w:hAnsi="Tahoma" w:cs="Tahoma"/>
        </w:rPr>
        <w:t xml:space="preserve">, incorporado e em edificação no </w:t>
      </w:r>
      <w:r w:rsidR="009B7FCF" w:rsidRPr="00DB0B20">
        <w:rPr>
          <w:rFonts w:ascii="Tahoma" w:hAnsi="Tahoma" w:cs="Tahoma"/>
        </w:rPr>
        <w:t xml:space="preserve">imóvel objeto da matrícula nº 229.799, do 14º Oficial de Registro de Imóveis de São Paulo/SP; </w:t>
      </w:r>
      <w:r w:rsidRPr="00DB0B20">
        <w:rPr>
          <w:rFonts w:ascii="Tahoma" w:hAnsi="Tahoma" w:cs="Tahoma"/>
        </w:rPr>
        <w:t>e</w:t>
      </w:r>
    </w:p>
    <w:p w14:paraId="7DF1A4B8" w14:textId="77777777" w:rsidR="009B7FCF" w:rsidRPr="00DB0B20" w:rsidRDefault="009B7FCF" w:rsidP="00DB0B20">
      <w:pPr>
        <w:pStyle w:val="PargrafodaLista"/>
        <w:widowControl w:val="0"/>
        <w:tabs>
          <w:tab w:val="left" w:pos="567"/>
        </w:tabs>
        <w:spacing w:after="0" w:line="300" w:lineRule="exact"/>
        <w:ind w:left="567"/>
        <w:jc w:val="both"/>
        <w:rPr>
          <w:rFonts w:ascii="Tahoma" w:hAnsi="Tahoma" w:cs="Tahoma"/>
        </w:rPr>
      </w:pPr>
    </w:p>
    <w:p w14:paraId="1F39A994" w14:textId="1CCBDE4A" w:rsidR="00D338C5" w:rsidRPr="00DB0B20" w:rsidRDefault="00476171" w:rsidP="00DB0B20">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DB0B20">
        <w:rPr>
          <w:rFonts w:ascii="Tahoma" w:hAnsi="Tahoma" w:cs="Tahoma"/>
        </w:rPr>
        <w:t>Para fins de atendimento das exigências formuladas pelo Sr. Oficial do 14º Registro de Imóveis de São Paulo/SP visando o registro da garantia fiduciária na matrícula do imóvel, as Partes desejam aditar o Contrato.</w:t>
      </w:r>
    </w:p>
    <w:p w14:paraId="78A2325B" w14:textId="77777777" w:rsidR="00EA5659" w:rsidRPr="00DB0B20" w:rsidRDefault="00EA5659" w:rsidP="00DB0B20">
      <w:pPr>
        <w:pStyle w:val="PargrafodaLista"/>
        <w:widowControl w:val="0"/>
        <w:spacing w:after="0" w:line="300" w:lineRule="exact"/>
        <w:ind w:left="567"/>
        <w:rPr>
          <w:rFonts w:ascii="Tahoma" w:hAnsi="Tahoma" w:cs="Tahoma"/>
        </w:rPr>
      </w:pPr>
    </w:p>
    <w:p w14:paraId="1B5B27BD" w14:textId="7AEFE520" w:rsidR="00B66D40" w:rsidRPr="00DB0B20" w:rsidRDefault="00B66D40" w:rsidP="00DB0B20">
      <w:pPr>
        <w:widowControl w:val="0"/>
        <w:tabs>
          <w:tab w:val="left" w:pos="567"/>
        </w:tabs>
        <w:spacing w:after="0" w:line="300" w:lineRule="exact"/>
        <w:contextualSpacing/>
        <w:jc w:val="both"/>
        <w:rPr>
          <w:rFonts w:ascii="Tahoma" w:hAnsi="Tahoma" w:cs="Tahoma"/>
        </w:rPr>
      </w:pPr>
      <w:r w:rsidRPr="00DB0B20">
        <w:rPr>
          <w:rFonts w:ascii="Tahoma" w:hAnsi="Tahoma" w:cs="Tahoma"/>
          <w:b/>
        </w:rPr>
        <w:t>RESOLVEM</w:t>
      </w:r>
      <w:r w:rsidRPr="00DB0B20">
        <w:rPr>
          <w:rFonts w:ascii="Tahoma" w:hAnsi="Tahoma" w:cs="Tahoma"/>
        </w:rPr>
        <w:t xml:space="preserve"> as Partes</w:t>
      </w:r>
      <w:r w:rsidR="00492C6F" w:rsidRPr="00DB0B20">
        <w:rPr>
          <w:rFonts w:ascii="Tahoma" w:hAnsi="Tahoma" w:cs="Tahoma"/>
        </w:rPr>
        <w:t>, na melhor forma de direito,</w:t>
      </w:r>
      <w:r w:rsidRPr="00DB0B20">
        <w:rPr>
          <w:rFonts w:ascii="Tahoma" w:hAnsi="Tahoma" w:cs="Tahoma"/>
        </w:rPr>
        <w:t xml:space="preserve"> celebrar</w:t>
      </w:r>
      <w:r w:rsidR="00E838E3" w:rsidRPr="00DB0B20">
        <w:rPr>
          <w:rFonts w:ascii="Tahoma" w:hAnsi="Tahoma" w:cs="Tahoma"/>
        </w:rPr>
        <w:t xml:space="preserve"> o presente</w:t>
      </w:r>
      <w:r w:rsidRPr="00DB0B20">
        <w:rPr>
          <w:rFonts w:ascii="Tahoma" w:hAnsi="Tahoma" w:cs="Tahoma"/>
        </w:rPr>
        <w:t xml:space="preserve"> </w:t>
      </w:r>
      <w:r w:rsidR="00492C6F" w:rsidRPr="00DB0B20">
        <w:rPr>
          <w:rFonts w:ascii="Tahoma" w:hAnsi="Tahoma" w:cs="Tahoma"/>
        </w:rPr>
        <w:t>Aditamento</w:t>
      </w:r>
      <w:r w:rsidRPr="00DB0B20">
        <w:rPr>
          <w:rFonts w:ascii="Tahoma" w:hAnsi="Tahoma" w:cs="Tahoma"/>
        </w:rPr>
        <w:t>, o qual será regido pelas seguintes cláusulas, condições e características.</w:t>
      </w:r>
    </w:p>
    <w:p w14:paraId="13103599" w14:textId="77777777" w:rsidR="000A7394" w:rsidRPr="00DB0B20" w:rsidRDefault="000A7394" w:rsidP="00DB0B20">
      <w:pPr>
        <w:widowControl w:val="0"/>
        <w:spacing w:after="0" w:line="300" w:lineRule="exact"/>
        <w:contextualSpacing/>
        <w:jc w:val="both"/>
        <w:rPr>
          <w:rFonts w:ascii="Tahoma" w:hAnsi="Tahoma" w:cs="Tahoma"/>
          <w:b/>
        </w:rPr>
      </w:pPr>
    </w:p>
    <w:p w14:paraId="6FE4E5B0" w14:textId="77777777" w:rsidR="000A7394" w:rsidRPr="00DB0B20" w:rsidRDefault="000A7394" w:rsidP="00DB0B20">
      <w:pPr>
        <w:pStyle w:val="western"/>
        <w:widowControl w:val="0"/>
        <w:spacing w:before="0" w:beforeAutospacing="0" w:after="0" w:line="300" w:lineRule="exact"/>
        <w:contextualSpacing/>
        <w:outlineLvl w:val="0"/>
        <w:rPr>
          <w:rFonts w:ascii="Tahoma" w:hAnsi="Tahoma" w:cs="Tahoma"/>
          <w:b/>
          <w:sz w:val="21"/>
          <w:szCs w:val="21"/>
        </w:rPr>
      </w:pPr>
      <w:r w:rsidRPr="00DB0B20">
        <w:rPr>
          <w:rFonts w:ascii="Tahoma" w:hAnsi="Tahoma" w:cs="Tahoma"/>
          <w:b/>
          <w:sz w:val="21"/>
          <w:szCs w:val="21"/>
        </w:rPr>
        <w:t>III – CLÁUSULAS</w:t>
      </w:r>
    </w:p>
    <w:p w14:paraId="3B4C94D9" w14:textId="77777777" w:rsidR="000A7394" w:rsidRPr="00DB0B20" w:rsidRDefault="000A7394" w:rsidP="00DB0B20">
      <w:pPr>
        <w:widowControl w:val="0"/>
        <w:spacing w:after="0" w:line="300" w:lineRule="exact"/>
        <w:contextualSpacing/>
        <w:jc w:val="both"/>
        <w:rPr>
          <w:rFonts w:ascii="Tahoma" w:hAnsi="Tahoma" w:cs="Tahoma"/>
          <w:b/>
        </w:rPr>
      </w:pPr>
    </w:p>
    <w:p w14:paraId="27DBD001" w14:textId="77777777" w:rsidR="0009119D" w:rsidRPr="00DB0B20" w:rsidRDefault="0009119D" w:rsidP="00DB0B20">
      <w:pPr>
        <w:pStyle w:val="p0"/>
        <w:tabs>
          <w:tab w:val="left" w:pos="2835"/>
        </w:tabs>
        <w:spacing w:line="300" w:lineRule="exact"/>
        <w:rPr>
          <w:rFonts w:ascii="Tahoma" w:hAnsi="Tahoma" w:cs="Tahoma"/>
          <w:b/>
          <w:sz w:val="21"/>
          <w:szCs w:val="21"/>
        </w:rPr>
      </w:pPr>
      <w:r w:rsidRPr="00DB0B20">
        <w:rPr>
          <w:rFonts w:ascii="Tahoma" w:hAnsi="Tahoma" w:cs="Tahoma"/>
          <w:b/>
          <w:sz w:val="21"/>
          <w:szCs w:val="21"/>
        </w:rPr>
        <w:t>CLÁUSULA PRIMEIRA - DEFINIÇÕES</w:t>
      </w:r>
    </w:p>
    <w:p w14:paraId="36C79021" w14:textId="77777777" w:rsidR="0009119D" w:rsidRPr="00DB0B20" w:rsidRDefault="0009119D" w:rsidP="00DB0B20">
      <w:pPr>
        <w:pStyle w:val="p0"/>
        <w:tabs>
          <w:tab w:val="left" w:pos="2835"/>
        </w:tabs>
        <w:spacing w:line="300" w:lineRule="exact"/>
        <w:rPr>
          <w:rFonts w:ascii="Tahoma" w:hAnsi="Tahoma" w:cs="Tahoma"/>
          <w:sz w:val="21"/>
          <w:szCs w:val="21"/>
        </w:rPr>
      </w:pPr>
    </w:p>
    <w:p w14:paraId="20F10CB2" w14:textId="6C3D7039" w:rsidR="0009119D" w:rsidRPr="00DB0B20" w:rsidRDefault="0009119D" w:rsidP="00DB0B20">
      <w:pPr>
        <w:pStyle w:val="p0"/>
        <w:numPr>
          <w:ilvl w:val="1"/>
          <w:numId w:val="36"/>
        </w:numPr>
        <w:tabs>
          <w:tab w:val="clear" w:pos="720"/>
          <w:tab w:val="left" w:pos="0"/>
        </w:tabs>
        <w:spacing w:line="300" w:lineRule="exact"/>
        <w:ind w:left="0" w:firstLine="0"/>
        <w:rPr>
          <w:rFonts w:ascii="Tahoma" w:hAnsi="Tahoma" w:cs="Tahoma"/>
          <w:sz w:val="21"/>
          <w:szCs w:val="21"/>
        </w:rPr>
      </w:pPr>
      <w:r w:rsidRPr="00DB0B20">
        <w:rPr>
          <w:rFonts w:ascii="Tahoma" w:hAnsi="Tahoma" w:cs="Tahoma"/>
          <w:sz w:val="21"/>
          <w:szCs w:val="21"/>
        </w:rPr>
        <w:t>Para os fins deste Aditamento, exceto quando de outra forma previsto neste instrumento, adotam-se as definições constantes no Contrato de Alienação Fiduciária.</w:t>
      </w:r>
    </w:p>
    <w:p w14:paraId="7D0B00D7" w14:textId="2EA60A98" w:rsidR="007C3F06" w:rsidRPr="00DB0B20" w:rsidRDefault="007C3F06" w:rsidP="00DB0B20">
      <w:pPr>
        <w:widowControl w:val="0"/>
        <w:tabs>
          <w:tab w:val="left" w:pos="709"/>
        </w:tabs>
        <w:spacing w:after="0" w:line="300" w:lineRule="exact"/>
        <w:contextualSpacing/>
        <w:jc w:val="both"/>
        <w:rPr>
          <w:rFonts w:ascii="Tahoma" w:eastAsia="Arial" w:hAnsi="Tahoma" w:cs="Tahoma"/>
        </w:rPr>
      </w:pPr>
    </w:p>
    <w:p w14:paraId="6D755ECF" w14:textId="77777777" w:rsidR="009E075A" w:rsidRPr="00DB0B20" w:rsidRDefault="009E075A" w:rsidP="00DB0B20">
      <w:pPr>
        <w:pStyle w:val="p0"/>
        <w:tabs>
          <w:tab w:val="left" w:pos="2835"/>
        </w:tabs>
        <w:spacing w:line="300" w:lineRule="exact"/>
        <w:rPr>
          <w:rFonts w:ascii="Tahoma" w:hAnsi="Tahoma" w:cs="Tahoma"/>
          <w:b/>
          <w:sz w:val="21"/>
          <w:szCs w:val="21"/>
        </w:rPr>
      </w:pPr>
      <w:r w:rsidRPr="00DB0B20">
        <w:rPr>
          <w:rFonts w:ascii="Tahoma" w:hAnsi="Tahoma" w:cs="Tahoma"/>
          <w:b/>
          <w:sz w:val="21"/>
          <w:szCs w:val="21"/>
        </w:rPr>
        <w:t>CLÁUSULA SEGUNDA - OBJETO</w:t>
      </w:r>
    </w:p>
    <w:p w14:paraId="4AC30EC7" w14:textId="77777777" w:rsidR="009E075A" w:rsidRPr="00DB0B20" w:rsidRDefault="009E075A" w:rsidP="00DB0B20">
      <w:pPr>
        <w:pStyle w:val="p0"/>
        <w:tabs>
          <w:tab w:val="left" w:pos="2835"/>
        </w:tabs>
        <w:spacing w:line="300" w:lineRule="exact"/>
        <w:rPr>
          <w:rFonts w:ascii="Tahoma" w:hAnsi="Tahoma" w:cs="Tahoma"/>
          <w:sz w:val="21"/>
          <w:szCs w:val="21"/>
        </w:rPr>
      </w:pPr>
    </w:p>
    <w:p w14:paraId="182DD91D" w14:textId="77777777" w:rsidR="004E1971" w:rsidRPr="00DB0B20" w:rsidRDefault="004E1971" w:rsidP="00DB0B20">
      <w:pPr>
        <w:pStyle w:val="PargrafodaLista"/>
        <w:widowControl w:val="0"/>
        <w:numPr>
          <w:ilvl w:val="0"/>
          <w:numId w:val="36"/>
        </w:numPr>
        <w:tabs>
          <w:tab w:val="left" w:pos="0"/>
        </w:tabs>
        <w:spacing w:after="0" w:line="300" w:lineRule="exact"/>
        <w:contextualSpacing w:val="0"/>
        <w:jc w:val="both"/>
        <w:rPr>
          <w:rFonts w:ascii="Tahoma" w:eastAsia="Times New Roman" w:hAnsi="Tahoma" w:cs="Tahoma"/>
          <w:vanish/>
          <w:lang w:eastAsia="pt-BR"/>
        </w:rPr>
      </w:pPr>
    </w:p>
    <w:p w14:paraId="381AD191" w14:textId="2E1BF46B" w:rsidR="009E075A" w:rsidRPr="00DB0B20" w:rsidRDefault="009E075A" w:rsidP="00DB0B20">
      <w:pPr>
        <w:pStyle w:val="p0"/>
        <w:numPr>
          <w:ilvl w:val="1"/>
          <w:numId w:val="36"/>
        </w:numPr>
        <w:tabs>
          <w:tab w:val="clear" w:pos="720"/>
          <w:tab w:val="left" w:pos="0"/>
        </w:tabs>
        <w:spacing w:line="300" w:lineRule="exact"/>
        <w:ind w:left="0" w:firstLine="0"/>
        <w:rPr>
          <w:rFonts w:ascii="Tahoma" w:hAnsi="Tahoma" w:cs="Tahoma"/>
          <w:sz w:val="21"/>
          <w:szCs w:val="21"/>
        </w:rPr>
      </w:pPr>
      <w:r w:rsidRPr="00DB0B20">
        <w:rPr>
          <w:rFonts w:ascii="Tahoma" w:hAnsi="Tahoma" w:cs="Tahoma"/>
          <w:sz w:val="21"/>
          <w:szCs w:val="21"/>
        </w:rPr>
        <w:t xml:space="preserve">O presente Aditamento tem por objeto a alteração do Contrato de Alienação Fiduciária, de modo a alterar determinadas disposições, a fim de </w:t>
      </w:r>
      <w:r w:rsidR="00831F99" w:rsidRPr="00DB0B20">
        <w:rPr>
          <w:rFonts w:ascii="Tahoma" w:hAnsi="Tahoma" w:cs="Tahoma"/>
          <w:sz w:val="21"/>
          <w:szCs w:val="21"/>
        </w:rPr>
        <w:t>incluir</w:t>
      </w:r>
      <w:r w:rsidR="002B6254" w:rsidRPr="00DB0B20">
        <w:rPr>
          <w:rFonts w:ascii="Tahoma" w:hAnsi="Tahoma" w:cs="Tahoma"/>
          <w:sz w:val="21"/>
          <w:szCs w:val="21"/>
        </w:rPr>
        <w:t xml:space="preserve"> (i)</w:t>
      </w:r>
      <w:r w:rsidR="00831F99" w:rsidRPr="00DB0B20">
        <w:rPr>
          <w:rFonts w:ascii="Tahoma" w:hAnsi="Tahoma" w:cs="Tahoma"/>
          <w:sz w:val="21"/>
          <w:szCs w:val="21"/>
        </w:rPr>
        <w:t xml:space="preserve"> a descrição das unidades</w:t>
      </w:r>
      <w:r w:rsidR="00FD7031" w:rsidRPr="00DB0B20">
        <w:rPr>
          <w:rFonts w:ascii="Tahoma" w:hAnsi="Tahoma" w:cs="Tahoma"/>
          <w:sz w:val="21"/>
          <w:szCs w:val="21"/>
        </w:rPr>
        <w:t xml:space="preserve"> alienadas fiduciariamente, com a inclusão da porcentagem total das frações do Imóvel a serem alienadas</w:t>
      </w:r>
      <w:r w:rsidR="002B6254" w:rsidRPr="00DB0B20">
        <w:rPr>
          <w:rFonts w:ascii="Tahoma" w:hAnsi="Tahoma" w:cs="Tahoma"/>
          <w:sz w:val="21"/>
          <w:szCs w:val="21"/>
        </w:rPr>
        <w:t>; (ii) o valor do Imóvel para fins de primeiro leilão</w:t>
      </w:r>
      <w:r w:rsidR="009354E1" w:rsidRPr="00DB0B20">
        <w:rPr>
          <w:rFonts w:ascii="Tahoma" w:hAnsi="Tahoma" w:cs="Tahoma"/>
          <w:sz w:val="21"/>
          <w:szCs w:val="21"/>
        </w:rPr>
        <w:t xml:space="preserve">; (iii) </w:t>
      </w:r>
      <w:r w:rsidR="00FD7031" w:rsidRPr="00DB0B20">
        <w:rPr>
          <w:rFonts w:ascii="Tahoma" w:hAnsi="Tahoma" w:cs="Tahoma"/>
          <w:sz w:val="21"/>
          <w:szCs w:val="21"/>
        </w:rPr>
        <w:t xml:space="preserve">a </w:t>
      </w:r>
      <w:r w:rsidR="00A907D8" w:rsidRPr="00DB0B20">
        <w:rPr>
          <w:rFonts w:ascii="Tahoma" w:hAnsi="Tahoma" w:cs="Tahoma"/>
          <w:sz w:val="21"/>
          <w:szCs w:val="21"/>
        </w:rPr>
        <w:t xml:space="preserve">inclusão do </w:t>
      </w:r>
      <w:r w:rsidR="00A907D8" w:rsidRPr="00DB0B20">
        <w:rPr>
          <w:rFonts w:ascii="Tahoma" w:hAnsi="Tahoma" w:cs="Tahoma"/>
          <w:b/>
          <w:bCs/>
          <w:sz w:val="21"/>
          <w:szCs w:val="21"/>
        </w:rPr>
        <w:t xml:space="preserve">“Anexo </w:t>
      </w:r>
      <w:r w:rsidR="002355BD" w:rsidRPr="00DB0B20">
        <w:rPr>
          <w:rFonts w:ascii="Tahoma" w:hAnsi="Tahoma" w:cs="Tahoma"/>
          <w:b/>
          <w:bCs/>
          <w:sz w:val="21"/>
          <w:szCs w:val="21"/>
        </w:rPr>
        <w:t>II</w:t>
      </w:r>
      <w:r w:rsidR="00A907D8" w:rsidRPr="00DB0B20">
        <w:rPr>
          <w:rFonts w:ascii="Tahoma" w:hAnsi="Tahoma" w:cs="Tahoma"/>
          <w:b/>
          <w:bCs/>
          <w:sz w:val="21"/>
          <w:szCs w:val="21"/>
        </w:rPr>
        <w:t>”</w:t>
      </w:r>
      <w:r w:rsidR="00A907D8" w:rsidRPr="00DB0B20">
        <w:rPr>
          <w:rFonts w:ascii="Tahoma" w:hAnsi="Tahoma" w:cs="Tahoma"/>
          <w:sz w:val="21"/>
          <w:szCs w:val="21"/>
        </w:rPr>
        <w:t xml:space="preserve"> ao Contrato de Alienação Fiduciária, contendo a </w:t>
      </w:r>
      <w:r w:rsidR="00FD7031" w:rsidRPr="00DB0B20">
        <w:rPr>
          <w:rFonts w:ascii="Tahoma" w:hAnsi="Tahoma" w:cs="Tahoma"/>
          <w:sz w:val="21"/>
          <w:szCs w:val="21"/>
        </w:rPr>
        <w:t>descrição das unidades</w:t>
      </w:r>
      <w:r w:rsidR="00831F99" w:rsidRPr="00DB0B20">
        <w:rPr>
          <w:rFonts w:ascii="Tahoma" w:hAnsi="Tahoma" w:cs="Tahoma"/>
          <w:sz w:val="21"/>
          <w:szCs w:val="21"/>
        </w:rPr>
        <w:t xml:space="preserve"> permutadas com os anteriores proprietários do Imóvel</w:t>
      </w:r>
      <w:r w:rsidR="006478C3" w:rsidRPr="00DB0B20">
        <w:rPr>
          <w:rFonts w:ascii="Tahoma" w:hAnsi="Tahoma" w:cs="Tahoma"/>
          <w:sz w:val="21"/>
          <w:szCs w:val="21"/>
        </w:rPr>
        <w:t>;</w:t>
      </w:r>
      <w:r w:rsidR="009354E1" w:rsidRPr="00DB0B20">
        <w:rPr>
          <w:rFonts w:ascii="Tahoma" w:hAnsi="Tahoma" w:cs="Tahoma"/>
          <w:sz w:val="21"/>
          <w:szCs w:val="21"/>
        </w:rPr>
        <w:t xml:space="preserve"> assim como</w:t>
      </w:r>
      <w:r w:rsidRPr="00DB0B20">
        <w:rPr>
          <w:rFonts w:ascii="Tahoma" w:hAnsi="Tahoma" w:cs="Tahoma"/>
          <w:sz w:val="21"/>
          <w:szCs w:val="21"/>
        </w:rPr>
        <w:t xml:space="preserve"> ratificar os termos e condições que não tenham sido expressamente alterados nos termos deste Aditamento.</w:t>
      </w:r>
    </w:p>
    <w:p w14:paraId="0B4FADB7" w14:textId="77777777" w:rsidR="00BC6C1A" w:rsidRPr="00DB0B20" w:rsidRDefault="00BC6C1A" w:rsidP="00DB0B20">
      <w:pPr>
        <w:pStyle w:val="p0"/>
        <w:tabs>
          <w:tab w:val="clear" w:pos="720"/>
          <w:tab w:val="left" w:pos="0"/>
        </w:tabs>
        <w:spacing w:line="300" w:lineRule="exact"/>
        <w:rPr>
          <w:rFonts w:ascii="Tahoma" w:hAnsi="Tahoma" w:cs="Tahoma"/>
          <w:sz w:val="21"/>
          <w:szCs w:val="21"/>
        </w:rPr>
      </w:pPr>
    </w:p>
    <w:p w14:paraId="36334483" w14:textId="0732714C" w:rsidR="004E1971" w:rsidRPr="00DB0B20" w:rsidRDefault="004E1971" w:rsidP="00DB0B20">
      <w:pPr>
        <w:pStyle w:val="p0"/>
        <w:tabs>
          <w:tab w:val="left" w:pos="2835"/>
        </w:tabs>
        <w:spacing w:line="300" w:lineRule="exact"/>
        <w:rPr>
          <w:rFonts w:ascii="Tahoma" w:hAnsi="Tahoma" w:cs="Tahoma"/>
          <w:b/>
          <w:sz w:val="21"/>
          <w:szCs w:val="21"/>
        </w:rPr>
      </w:pPr>
      <w:r w:rsidRPr="00DB0B20">
        <w:rPr>
          <w:rFonts w:ascii="Tahoma" w:hAnsi="Tahoma" w:cs="Tahoma"/>
          <w:b/>
          <w:sz w:val="21"/>
          <w:szCs w:val="21"/>
        </w:rPr>
        <w:t xml:space="preserve">CLÁUSULA TERCEIRA </w:t>
      </w:r>
      <w:r w:rsidR="005B499C" w:rsidRPr="00DB0B20">
        <w:rPr>
          <w:rFonts w:ascii="Tahoma" w:hAnsi="Tahoma" w:cs="Tahoma"/>
          <w:b/>
          <w:sz w:val="21"/>
          <w:szCs w:val="21"/>
        </w:rPr>
        <w:t>–</w:t>
      </w:r>
      <w:r w:rsidRPr="00DB0B20">
        <w:rPr>
          <w:rFonts w:ascii="Tahoma" w:hAnsi="Tahoma" w:cs="Tahoma"/>
          <w:b/>
          <w:sz w:val="21"/>
          <w:szCs w:val="21"/>
        </w:rPr>
        <w:t xml:space="preserve"> ALTERAÇ</w:t>
      </w:r>
      <w:r w:rsidR="005B499C" w:rsidRPr="00DB0B20">
        <w:rPr>
          <w:rFonts w:ascii="Tahoma" w:hAnsi="Tahoma" w:cs="Tahoma"/>
          <w:b/>
          <w:sz w:val="21"/>
          <w:szCs w:val="21"/>
        </w:rPr>
        <w:t>Õ</w:t>
      </w:r>
      <w:r w:rsidRPr="00DB0B20">
        <w:rPr>
          <w:rFonts w:ascii="Tahoma" w:hAnsi="Tahoma" w:cs="Tahoma"/>
          <w:b/>
          <w:sz w:val="21"/>
          <w:szCs w:val="21"/>
        </w:rPr>
        <w:t>ES</w:t>
      </w:r>
    </w:p>
    <w:p w14:paraId="3072910C" w14:textId="77777777" w:rsidR="004E1971" w:rsidRPr="00DB0B20" w:rsidRDefault="004E1971" w:rsidP="00DB0B20">
      <w:pPr>
        <w:widowControl w:val="0"/>
        <w:tabs>
          <w:tab w:val="left" w:pos="709"/>
        </w:tabs>
        <w:spacing w:after="0" w:line="300" w:lineRule="exact"/>
        <w:contextualSpacing/>
        <w:jc w:val="both"/>
        <w:rPr>
          <w:rFonts w:ascii="Tahoma" w:eastAsia="Arial" w:hAnsi="Tahoma" w:cs="Tahoma"/>
        </w:rPr>
      </w:pPr>
    </w:p>
    <w:p w14:paraId="2BCAECF0" w14:textId="7F63AB46" w:rsidR="00C100DD" w:rsidRPr="00DB0B20" w:rsidRDefault="00351E09" w:rsidP="00DB0B20">
      <w:pPr>
        <w:pStyle w:val="PargrafodaLista"/>
        <w:widowControl w:val="0"/>
        <w:numPr>
          <w:ilvl w:val="1"/>
          <w:numId w:val="37"/>
        </w:numPr>
        <w:tabs>
          <w:tab w:val="left" w:pos="0"/>
        </w:tabs>
        <w:spacing w:after="0" w:line="300" w:lineRule="exact"/>
        <w:ind w:left="0" w:firstLine="0"/>
        <w:jc w:val="both"/>
        <w:rPr>
          <w:rFonts w:ascii="Tahoma" w:hAnsi="Tahoma" w:cs="Tahoma"/>
        </w:rPr>
      </w:pPr>
      <w:r w:rsidRPr="00DB0B20">
        <w:rPr>
          <w:rFonts w:ascii="Tahoma" w:hAnsi="Tahoma" w:cs="Tahoma"/>
        </w:rPr>
        <w:t>De forma a ajustar o Contrato de Alienação Fiduciária face às considerações da Cláusula</w:t>
      </w:r>
      <w:r w:rsidR="004E1971" w:rsidRPr="00DB0B20">
        <w:rPr>
          <w:rFonts w:ascii="Tahoma" w:hAnsi="Tahoma" w:cs="Tahoma"/>
        </w:rPr>
        <w:t xml:space="preserve"> Segunda</w:t>
      </w:r>
      <w:r w:rsidRPr="00DB0B20">
        <w:rPr>
          <w:rFonts w:ascii="Tahoma" w:hAnsi="Tahoma" w:cs="Tahoma"/>
        </w:rPr>
        <w:t xml:space="preserve"> acima, resolvem as Partes alterar o conteúdo do </w:t>
      </w:r>
      <w:r w:rsidRPr="00DB0B20">
        <w:rPr>
          <w:rFonts w:ascii="Tahoma" w:hAnsi="Tahoma" w:cs="Tahoma"/>
          <w:b/>
          <w:bCs/>
        </w:rPr>
        <w:t xml:space="preserve">Anexo </w:t>
      </w:r>
      <w:r w:rsidR="007206AB" w:rsidRPr="00DB0B20">
        <w:rPr>
          <w:rFonts w:ascii="Tahoma" w:hAnsi="Tahoma" w:cs="Tahoma"/>
          <w:b/>
          <w:bCs/>
        </w:rPr>
        <w:t xml:space="preserve">I </w:t>
      </w:r>
      <w:r w:rsidR="002207C7" w:rsidRPr="00DB0B20">
        <w:rPr>
          <w:rFonts w:ascii="Tahoma" w:hAnsi="Tahoma" w:cs="Tahoma"/>
        </w:rPr>
        <w:t xml:space="preserve">do Contrato de Alienação Fiduciária, assim como </w:t>
      </w:r>
      <w:r w:rsidR="006478C3" w:rsidRPr="00DB0B20">
        <w:rPr>
          <w:rFonts w:ascii="Tahoma" w:hAnsi="Tahoma" w:cs="Tahoma"/>
        </w:rPr>
        <w:t xml:space="preserve">incluir o </w:t>
      </w:r>
      <w:r w:rsidR="006478C3" w:rsidRPr="00DB0B20">
        <w:rPr>
          <w:rFonts w:ascii="Tahoma" w:hAnsi="Tahoma" w:cs="Tahoma"/>
          <w:b/>
          <w:bCs/>
        </w:rPr>
        <w:t xml:space="preserve">Anexo </w:t>
      </w:r>
      <w:r w:rsidR="007206AB" w:rsidRPr="00DB0B20">
        <w:rPr>
          <w:rFonts w:ascii="Tahoma" w:hAnsi="Tahoma" w:cs="Tahoma"/>
          <w:b/>
          <w:bCs/>
        </w:rPr>
        <w:t xml:space="preserve">II </w:t>
      </w:r>
      <w:r w:rsidR="002207C7" w:rsidRPr="00DB0B20">
        <w:rPr>
          <w:rFonts w:ascii="Tahoma" w:hAnsi="Tahoma" w:cs="Tahoma"/>
        </w:rPr>
        <w:t xml:space="preserve">ao referido contrato, conforme </w:t>
      </w:r>
      <w:r w:rsidRPr="00DB0B20">
        <w:rPr>
          <w:rFonts w:ascii="Tahoma" w:hAnsi="Tahoma" w:cs="Tahoma"/>
        </w:rPr>
        <w:t>a</w:t>
      </w:r>
      <w:r w:rsidR="005B499C" w:rsidRPr="00DB0B20">
        <w:rPr>
          <w:rFonts w:ascii="Tahoma" w:hAnsi="Tahoma" w:cs="Tahoma"/>
        </w:rPr>
        <w:t>s</w:t>
      </w:r>
      <w:r w:rsidRPr="00DB0B20">
        <w:rPr>
          <w:rFonts w:ascii="Tahoma" w:hAnsi="Tahoma" w:cs="Tahoma"/>
        </w:rPr>
        <w:t xml:space="preserve"> seguinte</w:t>
      </w:r>
      <w:r w:rsidR="005B499C" w:rsidRPr="00DB0B20">
        <w:rPr>
          <w:rFonts w:ascii="Tahoma" w:hAnsi="Tahoma" w:cs="Tahoma"/>
        </w:rPr>
        <w:t>s</w:t>
      </w:r>
      <w:r w:rsidRPr="00DB0B20">
        <w:rPr>
          <w:rFonts w:ascii="Tahoma" w:hAnsi="Tahoma" w:cs="Tahoma"/>
        </w:rPr>
        <w:t xml:space="preserve"> redaç</w:t>
      </w:r>
      <w:r w:rsidR="005B499C" w:rsidRPr="00DB0B20">
        <w:rPr>
          <w:rFonts w:ascii="Tahoma" w:hAnsi="Tahoma" w:cs="Tahoma"/>
        </w:rPr>
        <w:t>ões</w:t>
      </w:r>
      <w:r w:rsidRPr="00DB0B20">
        <w:rPr>
          <w:rFonts w:ascii="Tahoma" w:hAnsi="Tahoma" w:cs="Tahoma"/>
        </w:rPr>
        <w:t>:</w:t>
      </w:r>
    </w:p>
    <w:p w14:paraId="3A89860E" w14:textId="2AE90669" w:rsidR="00100021" w:rsidRPr="00DB0B20" w:rsidRDefault="00100021" w:rsidP="00DB0B20">
      <w:pPr>
        <w:pStyle w:val="western"/>
        <w:widowControl w:val="0"/>
        <w:spacing w:before="0" w:beforeAutospacing="0" w:after="0" w:line="300" w:lineRule="exact"/>
        <w:contextualSpacing/>
        <w:outlineLvl w:val="0"/>
        <w:rPr>
          <w:rFonts w:ascii="Tahoma" w:hAnsi="Tahoma" w:cs="Tahoma"/>
          <w:b/>
          <w:sz w:val="21"/>
          <w:szCs w:val="21"/>
        </w:rPr>
      </w:pPr>
    </w:p>
    <w:p w14:paraId="60EF5BE8" w14:textId="1F1D9722" w:rsidR="005511C6" w:rsidRPr="00DB0B20" w:rsidRDefault="000E2ADE" w:rsidP="00DB0B20">
      <w:pPr>
        <w:pStyle w:val="western"/>
        <w:widowControl w:val="0"/>
        <w:spacing w:before="0" w:beforeAutospacing="0" w:after="0" w:line="300" w:lineRule="exact"/>
        <w:ind w:left="567"/>
        <w:contextualSpacing/>
        <w:outlineLvl w:val="0"/>
        <w:rPr>
          <w:rFonts w:ascii="Tahoma" w:hAnsi="Tahoma" w:cs="Tahoma"/>
          <w:b/>
          <w:i/>
          <w:iCs/>
          <w:sz w:val="21"/>
          <w:szCs w:val="21"/>
        </w:rPr>
      </w:pPr>
      <w:r w:rsidRPr="00DB0B20">
        <w:rPr>
          <w:rFonts w:ascii="Tahoma" w:hAnsi="Tahoma" w:cs="Tahoma"/>
          <w:b/>
          <w:sz w:val="21"/>
          <w:szCs w:val="21"/>
        </w:rPr>
        <w:t>“</w:t>
      </w:r>
      <w:r w:rsidR="005511C6" w:rsidRPr="00DB0B20">
        <w:rPr>
          <w:rFonts w:ascii="Tahoma" w:hAnsi="Tahoma" w:cs="Tahoma"/>
          <w:b/>
          <w:i/>
          <w:iCs/>
          <w:sz w:val="21"/>
          <w:szCs w:val="21"/>
        </w:rPr>
        <w:t xml:space="preserve">Anexo </w:t>
      </w:r>
      <w:r w:rsidR="007206AB" w:rsidRPr="00DB0B20">
        <w:rPr>
          <w:rFonts w:ascii="Tahoma" w:hAnsi="Tahoma" w:cs="Tahoma"/>
          <w:b/>
          <w:i/>
          <w:iCs/>
          <w:sz w:val="21"/>
          <w:szCs w:val="21"/>
        </w:rPr>
        <w:t xml:space="preserve">I </w:t>
      </w:r>
      <w:r w:rsidR="005511C6" w:rsidRPr="00DB0B20">
        <w:rPr>
          <w:rFonts w:ascii="Tahoma" w:hAnsi="Tahoma" w:cs="Tahoma"/>
          <w:b/>
          <w:i/>
          <w:iCs/>
          <w:sz w:val="21"/>
          <w:szCs w:val="21"/>
        </w:rPr>
        <w:t>ao Instrumento Particular de Alienação Fiduciária de Imóveis em Garantia e Outras Avenças</w:t>
      </w:r>
      <w:r w:rsidR="007206AB" w:rsidRPr="00DB0B20">
        <w:rPr>
          <w:rFonts w:ascii="Tahoma" w:hAnsi="Tahoma" w:cs="Tahoma"/>
          <w:b/>
          <w:i/>
          <w:iCs/>
          <w:sz w:val="21"/>
          <w:szCs w:val="21"/>
        </w:rPr>
        <w:t>, celebrado em 24 de setembro de 2021”</w:t>
      </w:r>
    </w:p>
    <w:p w14:paraId="537D7194" w14:textId="59A5AEEB" w:rsidR="005511C6" w:rsidRPr="00DB0B20" w:rsidRDefault="005511C6" w:rsidP="00DB0B20">
      <w:pPr>
        <w:pStyle w:val="western"/>
        <w:widowControl w:val="0"/>
        <w:spacing w:before="0" w:beforeAutospacing="0" w:after="0" w:line="300" w:lineRule="exact"/>
        <w:ind w:left="567"/>
        <w:contextualSpacing/>
        <w:outlineLvl w:val="0"/>
        <w:rPr>
          <w:rFonts w:ascii="Tahoma" w:hAnsi="Tahoma" w:cs="Tahoma"/>
          <w:b/>
          <w:sz w:val="21"/>
          <w:szCs w:val="21"/>
        </w:rPr>
      </w:pPr>
    </w:p>
    <w:p w14:paraId="67B4A2CB" w14:textId="4D3BAAA6" w:rsidR="005511C6" w:rsidRPr="00DB0B20" w:rsidRDefault="007206AB" w:rsidP="00DB0B20">
      <w:pPr>
        <w:pStyle w:val="western"/>
        <w:widowControl w:val="0"/>
        <w:spacing w:before="0" w:beforeAutospacing="0" w:after="0" w:line="300" w:lineRule="exact"/>
        <w:contextualSpacing/>
        <w:jc w:val="center"/>
        <w:outlineLvl w:val="0"/>
        <w:rPr>
          <w:rFonts w:ascii="Tahoma" w:hAnsi="Tahoma" w:cs="Tahoma"/>
          <w:b/>
          <w:i/>
          <w:sz w:val="21"/>
          <w:szCs w:val="21"/>
        </w:rPr>
      </w:pPr>
      <w:r w:rsidRPr="00DB0B20">
        <w:rPr>
          <w:rFonts w:ascii="Tahoma" w:hAnsi="Tahoma" w:cs="Tahoma"/>
          <w:b/>
          <w:i/>
          <w:sz w:val="21"/>
          <w:szCs w:val="21"/>
        </w:rPr>
        <w:t>ANEXO I</w:t>
      </w:r>
    </w:p>
    <w:p w14:paraId="16A55DB6" w14:textId="3A4B556D" w:rsidR="007206AB" w:rsidRPr="00DB0B20" w:rsidRDefault="007206AB" w:rsidP="00DB0B20">
      <w:pPr>
        <w:pStyle w:val="western"/>
        <w:widowControl w:val="0"/>
        <w:spacing w:before="0" w:beforeAutospacing="0" w:after="0" w:line="300" w:lineRule="exact"/>
        <w:contextualSpacing/>
        <w:jc w:val="center"/>
        <w:outlineLvl w:val="0"/>
        <w:rPr>
          <w:rFonts w:ascii="Tahoma" w:hAnsi="Tahoma" w:cs="Tahoma"/>
          <w:b/>
          <w:i/>
          <w:sz w:val="21"/>
          <w:szCs w:val="21"/>
        </w:rPr>
      </w:pPr>
      <w:r w:rsidRPr="00DB0B20">
        <w:rPr>
          <w:rFonts w:ascii="Tahoma" w:hAnsi="Tahoma" w:cs="Tahoma"/>
          <w:b/>
          <w:i/>
          <w:sz w:val="21"/>
          <w:szCs w:val="21"/>
        </w:rPr>
        <w:t>DESCRIÇÃO DAS UNIDADES</w:t>
      </w:r>
    </w:p>
    <w:p w14:paraId="17D64667" w14:textId="07D7D835" w:rsidR="005511C6" w:rsidRPr="00DB0B20" w:rsidRDefault="005511C6" w:rsidP="00DB0B20">
      <w:pPr>
        <w:pStyle w:val="western"/>
        <w:widowControl w:val="0"/>
        <w:spacing w:before="0" w:beforeAutospacing="0" w:after="0" w:line="300" w:lineRule="exact"/>
        <w:ind w:left="567"/>
        <w:contextualSpacing/>
        <w:jc w:val="center"/>
        <w:outlineLvl w:val="0"/>
        <w:rPr>
          <w:rFonts w:ascii="Tahoma" w:hAnsi="Tahoma" w:cs="Tahoma"/>
          <w:b/>
          <w:i/>
          <w:sz w:val="21"/>
          <w:szCs w:val="21"/>
        </w:rPr>
      </w:pPr>
      <w:r w:rsidRPr="00DB0B20">
        <w:rPr>
          <w:rFonts w:ascii="Tahoma" w:hAnsi="Tahoma" w:cs="Tahoma"/>
          <w:b/>
          <w:i/>
          <w:sz w:val="21"/>
          <w:szCs w:val="21"/>
        </w:rPr>
        <w:tab/>
      </w:r>
      <w:r w:rsidRPr="00DB0B20">
        <w:rPr>
          <w:rFonts w:ascii="Tahoma" w:hAnsi="Tahoma" w:cs="Tahoma"/>
          <w:b/>
          <w:i/>
          <w:sz w:val="21"/>
          <w:szCs w:val="21"/>
        </w:rPr>
        <w:tab/>
      </w:r>
    </w:p>
    <w:tbl>
      <w:tblPr>
        <w:tblW w:w="0" w:type="auto"/>
        <w:jc w:val="center"/>
        <w:tblCellMar>
          <w:top w:w="15" w:type="dxa"/>
          <w:left w:w="70" w:type="dxa"/>
          <w:right w:w="70" w:type="dxa"/>
        </w:tblCellMar>
        <w:tblLook w:val="04A0" w:firstRow="1" w:lastRow="0" w:firstColumn="1" w:lastColumn="0" w:noHBand="0" w:noVBand="1"/>
      </w:tblPr>
      <w:tblGrid>
        <w:gridCol w:w="5245"/>
        <w:gridCol w:w="3827"/>
        <w:gridCol w:w="160"/>
      </w:tblGrid>
      <w:tr w:rsidR="00244872" w:rsidRPr="00DB0B20" w14:paraId="53155290" w14:textId="77777777" w:rsidTr="009871E4">
        <w:trPr>
          <w:gridAfter w:val="1"/>
          <w:wAfter w:w="160" w:type="dxa"/>
          <w:trHeight w:val="356"/>
          <w:jc w:val="center"/>
        </w:trPr>
        <w:tc>
          <w:tcPr>
            <w:tcW w:w="5245"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12578C2D" w14:textId="3386DB8A" w:rsidR="00244872" w:rsidRPr="00DB0B20" w:rsidRDefault="00244872" w:rsidP="00DB0B20">
            <w:pPr>
              <w:widowControl w:val="0"/>
              <w:spacing w:after="0" w:line="300" w:lineRule="exact"/>
              <w:jc w:val="center"/>
              <w:rPr>
                <w:rFonts w:ascii="Tahoma" w:eastAsia="Times New Roman" w:hAnsi="Tahoma" w:cs="Tahoma"/>
                <w:b/>
                <w:bCs/>
                <w:i/>
                <w:color w:val="000000"/>
                <w:lang w:eastAsia="pt-BR"/>
              </w:rPr>
            </w:pPr>
            <w:r w:rsidRPr="00DB0B20">
              <w:rPr>
                <w:rFonts w:ascii="Tahoma" w:hAnsi="Tahoma" w:cs="Tahoma"/>
                <w:b/>
                <w:bCs/>
                <w:i/>
                <w:smallCaps/>
                <w:color w:val="002060"/>
              </w:rPr>
              <w:t>Descrição da Unidade</w:t>
            </w:r>
          </w:p>
        </w:tc>
        <w:tc>
          <w:tcPr>
            <w:tcW w:w="3827" w:type="dxa"/>
            <w:tcBorders>
              <w:top w:val="single" w:sz="8" w:space="0" w:color="auto"/>
              <w:left w:val="nil"/>
              <w:bottom w:val="single" w:sz="8" w:space="0" w:color="auto"/>
              <w:right w:val="single" w:sz="8" w:space="0" w:color="auto"/>
            </w:tcBorders>
            <w:shd w:val="clear" w:color="auto" w:fill="ED7D31" w:themeFill="accent2"/>
            <w:vAlign w:val="center"/>
            <w:hideMark/>
          </w:tcPr>
          <w:p w14:paraId="43A95B03" w14:textId="72E34D2C" w:rsidR="00244872" w:rsidRPr="00DB0B20" w:rsidRDefault="00244872" w:rsidP="00DB0B20">
            <w:pPr>
              <w:widowControl w:val="0"/>
              <w:spacing w:after="0" w:line="300" w:lineRule="exact"/>
              <w:jc w:val="center"/>
              <w:rPr>
                <w:rFonts w:ascii="Tahoma" w:eastAsia="Times New Roman" w:hAnsi="Tahoma" w:cs="Tahoma"/>
                <w:b/>
                <w:bCs/>
                <w:i/>
                <w:color w:val="000000"/>
                <w:lang w:eastAsia="pt-BR"/>
              </w:rPr>
            </w:pPr>
            <w:r w:rsidRPr="00DB0B20">
              <w:rPr>
                <w:rFonts w:ascii="Tahoma" w:hAnsi="Tahoma" w:cs="Tahoma"/>
                <w:b/>
                <w:bCs/>
                <w:i/>
                <w:smallCaps/>
                <w:color w:val="002060"/>
              </w:rPr>
              <w:t>Valor Mínimo</w:t>
            </w:r>
          </w:p>
        </w:tc>
      </w:tr>
      <w:tr w:rsidR="005511C6" w:rsidRPr="00DB0B20" w14:paraId="7650CDE6" w14:textId="77777777" w:rsidTr="00267724">
        <w:trPr>
          <w:gridAfter w:val="1"/>
          <w:wAfter w:w="160" w:type="dxa"/>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40D3B4C" w14:textId="7CA7B0DF" w:rsidR="0003683F" w:rsidRPr="00DB0B20" w:rsidRDefault="0003683F"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lang w:eastAsia="pt-BR"/>
              </w:rPr>
              <w:t xml:space="preserve">Apartamento </w:t>
            </w:r>
            <w:r w:rsidRPr="00DB0B20">
              <w:rPr>
                <w:rFonts w:ascii="Tahoma" w:eastAsia="Times New Roman" w:hAnsi="Tahoma" w:cs="Tahoma"/>
                <w:i/>
                <w:color w:val="000000"/>
                <w:lang w:eastAsia="pt-BR"/>
              </w:rPr>
              <w:t xml:space="preserve">nº 04 – no Pavimento Térreo, possuirá a área real privativa de 197,220m² (sendo 166,080m² do apartamento, 28,140m² das vagas de garagem vinculadas conforme quadro no Item V, retro, e, 3,000m² do depósito vinculado conforme quadro do </w:t>
            </w:r>
            <w:r w:rsidRPr="00DB0B20">
              <w:rPr>
                <w:rFonts w:ascii="Tahoma" w:eastAsia="Times New Roman" w:hAnsi="Tahoma" w:cs="Tahoma"/>
                <w:i/>
                <w:color w:val="000000"/>
                <w:lang w:eastAsia="pt-BR"/>
              </w:rPr>
              <w:lastRenderedPageBreak/>
              <w:t xml:space="preserve">Item VI retro), área real comum de 100,306m² (sendo 86,822m² de área coberta e 13,484m² de área descoberta), perfazendo a área total de 297,526m², correspondendo-lhe um </w:t>
            </w:r>
            <w:r w:rsidRPr="00DB0B20">
              <w:rPr>
                <w:rFonts w:ascii="Tahoma" w:eastAsia="Times New Roman" w:hAnsi="Tahoma" w:cs="Tahoma"/>
                <w:b/>
                <w:bCs/>
                <w:i/>
                <w:color w:val="000000"/>
                <w:lang w:eastAsia="pt-BR"/>
              </w:rPr>
              <w:t>coeficiente de proporcionalidade de 0,040372</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w:t>
            </w:r>
            <w:r w:rsidR="005511C6" w:rsidRPr="00DB0B20">
              <w:rPr>
                <w:rFonts w:ascii="Tahoma" w:eastAsia="Times New Roman" w:hAnsi="Tahoma" w:cs="Tahoma"/>
                <w:i/>
                <w:color w:val="000000"/>
                <w:lang w:eastAsia="pt-BR"/>
              </w:rPr>
              <w:t>C</w:t>
            </w:r>
            <w:r w:rsidRPr="00DB0B20">
              <w:rPr>
                <w:rFonts w:ascii="Tahoma" w:eastAsia="Times New Roman" w:hAnsi="Tahoma" w:cs="Tahoma"/>
                <w:i/>
                <w:color w:val="000000"/>
                <w:lang w:eastAsia="pt-BR"/>
              </w:rPr>
              <w:t>I</w:t>
            </w:r>
            <w:r w:rsidR="005511C6" w:rsidRPr="00DB0B20">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180CED" w:rsidRPr="00DB0B20">
              <w:rPr>
                <w:rFonts w:ascii="Tahoma" w:eastAsia="Times New Roman" w:hAnsi="Tahoma" w:cs="Tahoma"/>
                <w:i/>
                <w:color w:val="000000"/>
                <w:lang w:eastAsia="pt-BR"/>
              </w:rPr>
              <w:t>.</w:t>
            </w: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3AA8BC69" w14:textId="06C5FB6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lastRenderedPageBreak/>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 xml:space="preserve">de R$ </w:t>
            </w:r>
            <w:r w:rsidR="00C02568" w:rsidRPr="00DB0B20">
              <w:rPr>
                <w:rFonts w:ascii="Tahoma" w:eastAsia="Times New Roman" w:hAnsi="Tahoma" w:cs="Tahoma"/>
                <w:i/>
                <w:color w:val="000000"/>
                <w:lang w:eastAsia="pt-BR"/>
              </w:rPr>
              <w:t xml:space="preserve">2.461.635,00, </w:t>
            </w:r>
            <w:r w:rsidRPr="00DB0B20">
              <w:rPr>
                <w:rFonts w:ascii="Tahoma" w:eastAsia="Times New Roman" w:hAnsi="Tahoma" w:cs="Tahoma"/>
                <w:i/>
                <w:color w:val="000000"/>
                <w:lang w:eastAsia="pt-BR"/>
              </w:rPr>
              <w:t>equivalente a 7,4595%</w:t>
            </w:r>
            <w:r w:rsidR="0066275F" w:rsidRPr="00DB0B20">
              <w:rPr>
                <w:rFonts w:ascii="Tahoma" w:eastAsia="Times New Roman" w:hAnsi="Tahoma" w:cs="Tahoma"/>
                <w:i/>
                <w:color w:val="000000"/>
                <w:lang w:eastAsia="pt-BR"/>
              </w:rPr>
              <w:t>, nesta data,</w:t>
            </w:r>
            <w:r w:rsidRPr="00DB0B20">
              <w:rPr>
                <w:rFonts w:ascii="Tahoma" w:eastAsia="Times New Roman" w:hAnsi="Tahoma" w:cs="Tahoma"/>
                <w:i/>
                <w:color w:val="000000"/>
                <w:lang w:eastAsia="pt-BR"/>
              </w:rPr>
              <w:t xml:space="preserve">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w:t>
            </w:r>
            <w:r w:rsidRPr="00DB0B20">
              <w:rPr>
                <w:rFonts w:ascii="Tahoma" w:eastAsia="Times New Roman" w:hAnsi="Tahoma" w:cs="Tahoma"/>
                <w:i/>
                <w:color w:val="000000"/>
                <w:lang w:eastAsia="pt-BR"/>
              </w:rPr>
              <w:lastRenderedPageBreak/>
              <w:t xml:space="preserve">por metro quadrado relativo às 10 (dez) últimas Unidades Vendidas do Empreendimento </w:t>
            </w:r>
            <w:r w:rsidR="00A373E0"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r>
      <w:tr w:rsidR="005511C6" w:rsidRPr="00DB0B20" w14:paraId="0CF48E53"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4F7F4E2"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77A2D30"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75244EEB"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2266C29B"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D04D0DC"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CCD3F11"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8F96364"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2F177CDA"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60272D2" w14:textId="3D658084" w:rsidR="005511C6" w:rsidRPr="00DB0B20" w:rsidRDefault="00614057"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15 Tipo 01-E – no Pavimento, possuirá a área real privativa de 116,480m² (sendo 98,210m² do apartamento e 18,270mm² das vagas de garagem, vinculada conforme o quadro retro), área real comum de 70,775m² (sendo 60,379m² de área coberta e 10,396m² de área descoberta), perfazendo a área real total de 187,255m², correspondendo-lhe um </w:t>
            </w:r>
            <w:r w:rsidRPr="00DB0B20">
              <w:rPr>
                <w:rFonts w:ascii="Tahoma" w:eastAsia="Times New Roman" w:hAnsi="Tahoma" w:cs="Tahoma"/>
                <w:b/>
                <w:bCs/>
                <w:i/>
                <w:color w:val="000000"/>
                <w:lang w:eastAsia="pt-BR"/>
              </w:rPr>
              <w:t>coeficiente de proporcionalidade de 0,031128</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ÍCIO</w:t>
            </w:r>
            <w:r w:rsidR="005511C6" w:rsidRPr="00DB0B20">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07BFC2DF" w14:textId="77777777" w:rsidR="00E34ACF" w:rsidRPr="00DB0B20" w:rsidRDefault="00E34ACF" w:rsidP="00DB0B20">
            <w:pPr>
              <w:widowControl w:val="0"/>
              <w:spacing w:after="0" w:line="300" w:lineRule="exact"/>
              <w:jc w:val="both"/>
              <w:rPr>
                <w:rFonts w:ascii="Tahoma" w:eastAsia="Times New Roman" w:hAnsi="Tahoma" w:cs="Tahoma"/>
                <w:i/>
                <w:color w:val="000000"/>
                <w:lang w:eastAsia="pt-BR"/>
              </w:rPr>
            </w:pPr>
          </w:p>
          <w:p w14:paraId="5B446E87" w14:textId="6F65F8B0" w:rsidR="00614057" w:rsidRPr="00DB0B20" w:rsidRDefault="00614057"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51100D" w14:textId="6E270792"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 xml:space="preserve">de R$ </w:t>
            </w:r>
            <w:r w:rsidR="0067515F" w:rsidRPr="00DB0B20">
              <w:rPr>
                <w:rFonts w:ascii="Tahoma" w:eastAsia="Times New Roman" w:hAnsi="Tahoma" w:cs="Tahoma"/>
                <w:i/>
                <w:color w:val="000000"/>
                <w:lang w:eastAsia="pt-BR"/>
              </w:rPr>
              <w:t>1.659.471</w:t>
            </w:r>
            <w:r w:rsidR="0066275F"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66275F" w:rsidRPr="00DB0B20">
              <w:rPr>
                <w:rFonts w:ascii="Tahoma" w:eastAsia="Times New Roman" w:hAnsi="Tahoma" w:cs="Tahoma"/>
                <w:i/>
                <w:color w:val="000000"/>
                <w:lang w:eastAsia="pt-BR"/>
              </w:rPr>
              <w:t>,</w:t>
            </w:r>
            <w:r w:rsidRPr="00DB0B20">
              <w:rPr>
                <w:rFonts w:ascii="Tahoma" w:eastAsia="Times New Roman" w:hAnsi="Tahoma" w:cs="Tahoma"/>
                <w:i/>
                <w:color w:val="000000"/>
                <w:lang w:eastAsia="pt-BR"/>
              </w:rPr>
              <w:t xml:space="preserve"> </w:t>
            </w:r>
            <w:r w:rsidR="0066275F" w:rsidRPr="00DB0B20">
              <w:rPr>
                <w:rFonts w:ascii="Tahoma" w:eastAsia="Times New Roman" w:hAnsi="Tahoma" w:cs="Tahoma"/>
                <w:i/>
                <w:color w:val="000000"/>
                <w:lang w:eastAsia="pt-BR"/>
              </w:rPr>
              <w:t xml:space="preserve">nesta data, </w:t>
            </w:r>
            <w:r w:rsidRPr="00DB0B20">
              <w:rPr>
                <w:rFonts w:ascii="Tahoma" w:eastAsia="Times New Roman" w:hAnsi="Tahoma" w:cs="Tahoma"/>
                <w:i/>
                <w:color w:val="000000"/>
                <w:lang w:eastAsia="pt-BR"/>
              </w:rPr>
              <w:t xml:space="preserve">a 5,0287%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C31E67"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1FE1A8DA"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72375A57"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31D7FE0"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DBF958F"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9D958FB"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5825FEA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5091AE8B"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FE1FCE8"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BB05E7F"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1AEE160C"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CF3A49E" w14:textId="48EFA190" w:rsidR="0025183C" w:rsidRPr="00DB0B20" w:rsidRDefault="00971944"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16 Tipo 01-F – no 1°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DB0B20">
              <w:rPr>
                <w:rFonts w:ascii="Tahoma" w:eastAsia="Times New Roman" w:hAnsi="Tahoma" w:cs="Tahoma"/>
                <w:b/>
                <w:bCs/>
                <w:i/>
                <w:color w:val="000000"/>
                <w:lang w:eastAsia="pt-BR"/>
              </w:rPr>
              <w:t>coeficiente de proporcionalidade de 0,043078</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ÍCIO</w:t>
            </w:r>
            <w:r w:rsidR="005511C6" w:rsidRPr="00DB0B20">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p w14:paraId="44A86387" w14:textId="3EF74503" w:rsidR="00E34ACF" w:rsidRPr="00DB0B20" w:rsidRDefault="00E34ACF"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AFF17B9" w14:textId="5BAC8B73"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 xml:space="preserve">de R$ </w:t>
            </w:r>
            <w:r w:rsidR="009871E4" w:rsidRPr="00DB0B20">
              <w:rPr>
                <w:rFonts w:ascii="Tahoma" w:eastAsia="Times New Roman" w:hAnsi="Tahoma" w:cs="Tahoma"/>
                <w:i/>
                <w:color w:val="000000"/>
                <w:lang w:eastAsia="pt-BR"/>
              </w:rPr>
              <w:t>2.226.510</w:t>
            </w:r>
            <w:r w:rsidR="0066275F"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66275F" w:rsidRPr="00DB0B20">
              <w:rPr>
                <w:rFonts w:ascii="Tahoma" w:eastAsia="Times New Roman" w:hAnsi="Tahoma" w:cs="Tahoma"/>
                <w:i/>
                <w:color w:val="000000"/>
                <w:lang w:eastAsia="pt-BR"/>
              </w:rPr>
              <w:t xml:space="preserve">, nesta data, </w:t>
            </w:r>
            <w:r w:rsidRPr="00DB0B20">
              <w:rPr>
                <w:rFonts w:ascii="Tahoma" w:eastAsia="Times New Roman" w:hAnsi="Tahoma" w:cs="Tahoma"/>
                <w:i/>
                <w:color w:val="000000"/>
                <w:lang w:eastAsia="pt-BR"/>
              </w:rPr>
              <w:t xml:space="preserve">a 6,7470%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773DDA56"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36E7BA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AD08720"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CBC60"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6B33A256"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1A6474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72D7561B"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A0F4E48"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83AFF64"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12A17B5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AC2E138" w14:textId="6686E7C3" w:rsidR="003B3424" w:rsidRPr="00DB0B20" w:rsidRDefault="003B3424"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25 Tipo 02-E – no 2° Pavimento, possuirá a área real privativa de 117,950m² (sendo </w:t>
            </w:r>
            <w:r w:rsidRPr="00DB0B20">
              <w:rPr>
                <w:rFonts w:ascii="Tahoma" w:eastAsia="Times New Roman" w:hAnsi="Tahoma" w:cs="Tahoma"/>
                <w:i/>
                <w:color w:val="000000"/>
                <w:lang w:eastAsia="pt-BR"/>
              </w:rPr>
              <w:lastRenderedPageBreak/>
              <w:t xml:space="preserve">98,210m² do apartamento e 19,740m² das vagas de garagem, vinculadas conforme quadro retro), área real comum de 74,211m² (sendo 63,636m² de área coberta e 10,575 de área descoberta), perfazendo a área total de 192,161m², correspondendo-lhe um </w:t>
            </w:r>
            <w:r w:rsidRPr="00DB0B20">
              <w:rPr>
                <w:rFonts w:ascii="Tahoma" w:eastAsia="Times New Roman" w:hAnsi="Tahoma" w:cs="Tahoma"/>
                <w:b/>
                <w:bCs/>
                <w:i/>
                <w:color w:val="000000"/>
                <w:lang w:eastAsia="pt-BR"/>
              </w:rPr>
              <w:t>coeficiente de proporcionalidade de 0,031663</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w:t>
            </w:r>
            <w:r w:rsidR="005511C6" w:rsidRPr="00DB0B20">
              <w:rPr>
                <w:rFonts w:ascii="Tahoma" w:eastAsia="Times New Roman" w:hAnsi="Tahoma" w:cs="Tahoma"/>
                <w:i/>
                <w:color w:val="000000"/>
                <w:lang w:eastAsia="pt-BR"/>
              </w:rPr>
              <w:t>C</w:t>
            </w:r>
            <w:r w:rsidRPr="00DB0B20">
              <w:rPr>
                <w:rFonts w:ascii="Tahoma" w:eastAsia="Times New Roman" w:hAnsi="Tahoma" w:cs="Tahoma"/>
                <w:i/>
                <w:color w:val="000000"/>
                <w:lang w:eastAsia="pt-BR"/>
              </w:rPr>
              <w:t>I</w:t>
            </w:r>
            <w:r w:rsidR="005511C6" w:rsidRPr="00DB0B20">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146E42E" w14:textId="74963269"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lastRenderedPageBreak/>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 xml:space="preserve">de R$ </w:t>
            </w:r>
            <w:r w:rsidR="00EB097D" w:rsidRPr="00DB0B20">
              <w:rPr>
                <w:rFonts w:ascii="Tahoma" w:eastAsia="Times New Roman" w:hAnsi="Tahoma" w:cs="Tahoma"/>
                <w:i/>
                <w:color w:val="000000"/>
                <w:lang w:eastAsia="pt-BR"/>
              </w:rPr>
              <w:t>1.746.789</w:t>
            </w:r>
            <w:r w:rsidR="0066275F"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66275F" w:rsidRPr="00DB0B20">
              <w:rPr>
                <w:rFonts w:ascii="Tahoma" w:eastAsia="Times New Roman" w:hAnsi="Tahoma" w:cs="Tahoma"/>
                <w:i/>
                <w:color w:val="000000"/>
                <w:lang w:eastAsia="pt-BR"/>
              </w:rPr>
              <w:t>, nesta data,</w:t>
            </w:r>
            <w:r w:rsidRPr="00DB0B20">
              <w:rPr>
                <w:rFonts w:ascii="Tahoma" w:eastAsia="Times New Roman" w:hAnsi="Tahoma" w:cs="Tahoma"/>
                <w:i/>
                <w:color w:val="000000"/>
                <w:lang w:eastAsia="pt-BR"/>
              </w:rPr>
              <w:t xml:space="preserve"> a 5,2933% do </w:t>
            </w:r>
            <w:r w:rsidRPr="00DB0B20">
              <w:rPr>
                <w:rFonts w:ascii="Tahoma" w:eastAsia="Times New Roman" w:hAnsi="Tahoma" w:cs="Tahoma"/>
                <w:i/>
                <w:color w:val="000000"/>
                <w:lang w:eastAsia="pt-BR"/>
              </w:rPr>
              <w:lastRenderedPageBreak/>
              <w:t xml:space="preserve">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57AC9373"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1160507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5805AD45"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502C9"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2D8C73D"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44230899"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6FCC9BD"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AD43AF1"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AE5FCE0"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0A7B009B"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6BC694" w14:textId="6EA5E0B4" w:rsidR="00E34ACF" w:rsidRPr="00DB0B20" w:rsidRDefault="00567DCD"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26 Tipo 02-F – no 2°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DB0B20">
              <w:rPr>
                <w:rFonts w:ascii="Tahoma" w:eastAsia="Times New Roman" w:hAnsi="Tahoma" w:cs="Tahoma"/>
                <w:b/>
                <w:bCs/>
                <w:i/>
                <w:color w:val="000000"/>
                <w:lang w:eastAsia="pt-BR"/>
              </w:rPr>
              <w:t>coeficiente de proporcionalidade de 0,043078</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ÍCIO</w:t>
            </w:r>
            <w:r w:rsidR="005511C6" w:rsidRPr="00DB0B20">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p w14:paraId="1AA538B2" w14:textId="3555852B" w:rsidR="00567DCD" w:rsidRPr="00DB0B20" w:rsidRDefault="00567DCD"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E7A7134" w14:textId="4118DD22"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 xml:space="preserve">de R$ </w:t>
            </w:r>
            <w:r w:rsidR="008C58EE" w:rsidRPr="00DB0B20">
              <w:rPr>
                <w:rFonts w:ascii="Tahoma" w:eastAsia="Times New Roman" w:hAnsi="Tahoma" w:cs="Tahoma"/>
                <w:i/>
                <w:color w:val="000000"/>
                <w:lang w:eastAsia="pt-BR"/>
              </w:rPr>
              <w:t>2.343.693</w:t>
            </w:r>
            <w:r w:rsidR="0066275F"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66275F" w:rsidRPr="00DB0B20">
              <w:rPr>
                <w:rFonts w:ascii="Tahoma" w:eastAsia="Times New Roman" w:hAnsi="Tahoma" w:cs="Tahoma"/>
                <w:i/>
                <w:color w:val="000000"/>
                <w:lang w:eastAsia="pt-BR"/>
              </w:rPr>
              <w:t xml:space="preserve">, nesta data, </w:t>
            </w:r>
            <w:r w:rsidRPr="00DB0B20">
              <w:rPr>
                <w:rFonts w:ascii="Tahoma" w:eastAsia="Times New Roman" w:hAnsi="Tahoma" w:cs="Tahoma"/>
                <w:i/>
                <w:color w:val="000000"/>
                <w:lang w:eastAsia="pt-BR"/>
              </w:rPr>
              <w:t xml:space="preserve">a 7,1021%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3A55D938"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2D163D8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BD2E3D2"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47ABAE4"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360A13C"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1FF9DF2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49446AB8"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0BEF187"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844BC56"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7A660D34"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81B4F3B" w14:textId="412D0556" w:rsidR="00E34ACF" w:rsidRPr="00DB0B20" w:rsidRDefault="00C0612D"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34 Tipo 03-D – no 3°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w:t>
            </w:r>
            <w:r w:rsidRPr="00DB0B20">
              <w:rPr>
                <w:rFonts w:ascii="Tahoma" w:eastAsia="Times New Roman" w:hAnsi="Tahoma" w:cs="Tahoma"/>
                <w:b/>
                <w:bCs/>
                <w:i/>
                <w:color w:val="000000"/>
                <w:lang w:eastAsia="pt-BR"/>
              </w:rPr>
              <w:t>coeficiente de proporcionalidade de 0,014655</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ÍC</w:t>
            </w:r>
            <w:r w:rsidR="005511C6" w:rsidRPr="00DB0B20">
              <w:rPr>
                <w:rFonts w:ascii="Tahoma" w:eastAsia="Times New Roman" w:hAnsi="Tahoma" w:cs="Tahoma"/>
                <w:i/>
                <w:color w:val="000000"/>
                <w:lang w:eastAsia="pt-BR"/>
              </w:rPr>
              <w:t>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p w14:paraId="4FF184B9" w14:textId="2DF97AE2" w:rsidR="00C0612D" w:rsidRPr="00DB0B20" w:rsidRDefault="00C0612D"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7D8C96" w14:textId="71E825E9"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w:t>
            </w:r>
            <w:r w:rsidR="0066275F" w:rsidRPr="00DB0B20">
              <w:rPr>
                <w:rFonts w:ascii="Tahoma" w:eastAsia="Times New Roman" w:hAnsi="Tahoma" w:cs="Tahoma"/>
                <w:i/>
                <w:color w:val="000000"/>
                <w:lang w:eastAsia="pt-BR"/>
              </w:rPr>
              <w:t xml:space="preserve"> de R$ </w:t>
            </w:r>
            <w:r w:rsidR="008C58EE" w:rsidRPr="00DB0B20">
              <w:rPr>
                <w:rFonts w:ascii="Tahoma" w:eastAsia="Times New Roman" w:hAnsi="Tahoma" w:cs="Tahoma"/>
                <w:i/>
                <w:color w:val="000000"/>
                <w:lang w:eastAsia="pt-BR"/>
              </w:rPr>
              <w:t>864.699</w:t>
            </w:r>
            <w:r w:rsidR="0066275F" w:rsidRPr="00DB0B20">
              <w:rPr>
                <w:rFonts w:ascii="Tahoma" w:eastAsia="Times New Roman" w:hAnsi="Tahoma" w:cs="Tahoma"/>
                <w:i/>
                <w:color w:val="000000"/>
                <w:lang w:eastAsia="pt-BR"/>
              </w:rPr>
              <w:t>,00</w:t>
            </w:r>
            <w:r w:rsidRPr="00DB0B20">
              <w:rPr>
                <w:rFonts w:ascii="Tahoma" w:eastAsia="Times New Roman" w:hAnsi="Tahoma" w:cs="Tahoma"/>
                <w:i/>
                <w:color w:val="000000"/>
                <w:lang w:eastAsia="pt-BR"/>
              </w:rPr>
              <w:t xml:space="preserve"> equivalent</w:t>
            </w:r>
            <w:r w:rsidR="0066275F" w:rsidRPr="00DB0B20">
              <w:rPr>
                <w:rFonts w:ascii="Tahoma" w:eastAsia="Times New Roman" w:hAnsi="Tahoma" w:cs="Tahoma"/>
                <w:i/>
                <w:color w:val="000000"/>
                <w:lang w:eastAsia="pt-BR"/>
              </w:rPr>
              <w:t xml:space="preserve">e, nesta data, </w:t>
            </w:r>
            <w:r w:rsidRPr="00DB0B20">
              <w:rPr>
                <w:rFonts w:ascii="Tahoma" w:eastAsia="Times New Roman" w:hAnsi="Tahoma" w:cs="Tahoma"/>
                <w:i/>
                <w:color w:val="000000"/>
                <w:lang w:eastAsia="pt-BR"/>
              </w:rPr>
              <w:t xml:space="preserve">a 2,6203%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0E875F77"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469757A1"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8156DD7"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2923A4F4"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77BE1EE"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5C714D85"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709921B"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536EEC1"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27720688"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552C649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1B7D76A" w14:textId="16F042EE" w:rsidR="00011B36" w:rsidRPr="00DB0B20" w:rsidRDefault="00011B36"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35 Tipo 03-E – no 3° Pavimento, possuirá a área real privativa de 117,950m² (sendo </w:t>
            </w:r>
            <w:r w:rsidRPr="00DB0B20">
              <w:rPr>
                <w:rFonts w:ascii="Tahoma" w:eastAsia="Times New Roman" w:hAnsi="Tahoma" w:cs="Tahoma"/>
                <w:i/>
                <w:color w:val="000000"/>
                <w:lang w:eastAsia="pt-BR"/>
              </w:rPr>
              <w:lastRenderedPageBreak/>
              <w:t xml:space="preserve">98,210m² do apartamento e 19,740m² das vagas de garagem, vinculadas conforme quadro retro), área comum de 74,211m² (sendo 63,636m² de área coberta e 10,575m² de área descoberta), perfazendo a área real total de 192,161m², correspondendo-lhe um </w:t>
            </w:r>
            <w:r w:rsidRPr="00DB0B20">
              <w:rPr>
                <w:rFonts w:ascii="Tahoma" w:eastAsia="Times New Roman" w:hAnsi="Tahoma" w:cs="Tahoma"/>
                <w:b/>
                <w:bCs/>
                <w:i/>
                <w:color w:val="000000"/>
                <w:lang w:eastAsia="pt-BR"/>
              </w:rPr>
              <w:t>coeficiente de proporcionalidade de 0,031663</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w:t>
            </w:r>
            <w:r w:rsidR="005511C6" w:rsidRPr="00DB0B20">
              <w:rPr>
                <w:rFonts w:ascii="Tahoma" w:eastAsia="Times New Roman" w:hAnsi="Tahoma" w:cs="Tahoma"/>
                <w:i/>
                <w:color w:val="000000"/>
                <w:lang w:eastAsia="pt-BR"/>
              </w:rPr>
              <w:t>C</w:t>
            </w:r>
            <w:r w:rsidRPr="00DB0B20">
              <w:rPr>
                <w:rFonts w:ascii="Tahoma" w:eastAsia="Times New Roman" w:hAnsi="Tahoma" w:cs="Tahoma"/>
                <w:i/>
                <w:color w:val="000000"/>
                <w:lang w:eastAsia="pt-BR"/>
              </w:rPr>
              <w:t>I</w:t>
            </w:r>
            <w:r w:rsidR="005511C6" w:rsidRPr="00DB0B20">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4A3914" w14:textId="014FBA8D" w:rsidR="00473227"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lastRenderedPageBreak/>
              <w:t>(a)</w:t>
            </w:r>
            <w:r w:rsidRPr="00DB0B20">
              <w:rPr>
                <w:rFonts w:ascii="Tahoma" w:eastAsia="Times New Roman" w:hAnsi="Tahoma" w:cs="Tahoma"/>
                <w:i/>
                <w:color w:val="000000"/>
                <w:lang w:eastAsia="pt-BR"/>
              </w:rPr>
              <w:t xml:space="preserve"> Valor </w:t>
            </w:r>
            <w:r w:rsidR="0066275F" w:rsidRPr="00DB0B20">
              <w:rPr>
                <w:rFonts w:ascii="Tahoma" w:eastAsia="Times New Roman" w:hAnsi="Tahoma" w:cs="Tahoma"/>
                <w:i/>
                <w:color w:val="000000"/>
                <w:lang w:eastAsia="pt-BR"/>
              </w:rPr>
              <w:t>de R$ 1.</w:t>
            </w:r>
            <w:r w:rsidR="00171F1D" w:rsidRPr="00DB0B20">
              <w:rPr>
                <w:rFonts w:ascii="Tahoma" w:eastAsia="Times New Roman" w:hAnsi="Tahoma" w:cs="Tahoma"/>
                <w:i/>
                <w:color w:val="000000"/>
                <w:lang w:eastAsia="pt-BR"/>
              </w:rPr>
              <w:t>834.140</w:t>
            </w:r>
            <w:r w:rsidR="0066275F"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66275F" w:rsidRPr="00DB0B20">
              <w:rPr>
                <w:rFonts w:ascii="Tahoma" w:eastAsia="Times New Roman" w:hAnsi="Tahoma" w:cs="Tahoma"/>
                <w:i/>
                <w:color w:val="000000"/>
                <w:lang w:eastAsia="pt-BR"/>
              </w:rPr>
              <w:t xml:space="preserve">, nesta data, </w:t>
            </w:r>
            <w:r w:rsidRPr="00DB0B20">
              <w:rPr>
                <w:rFonts w:ascii="Tahoma" w:eastAsia="Times New Roman" w:hAnsi="Tahoma" w:cs="Tahoma"/>
                <w:i/>
                <w:color w:val="000000"/>
                <w:lang w:eastAsia="pt-BR"/>
              </w:rPr>
              <w:t xml:space="preserve">a 5,5580% do </w:t>
            </w:r>
            <w:r w:rsidRPr="00DB0B20">
              <w:rPr>
                <w:rFonts w:ascii="Tahoma" w:eastAsia="Times New Roman" w:hAnsi="Tahoma" w:cs="Tahoma"/>
                <w:i/>
                <w:color w:val="000000"/>
                <w:lang w:eastAsia="pt-BR"/>
              </w:rPr>
              <w:lastRenderedPageBreak/>
              <w:t xml:space="preserve">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p w14:paraId="04CFA6CC" w14:textId="25AE1AE3"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tc>
        <w:tc>
          <w:tcPr>
            <w:tcW w:w="160" w:type="dxa"/>
            <w:vAlign w:val="center"/>
            <w:hideMark/>
          </w:tcPr>
          <w:p w14:paraId="2D3E96D0"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6F227C49"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31C1145"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6CF5165"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A72548D"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1FA4C4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906FF46"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C7BD28F"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75497F47"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03760754"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CAC4893" w14:textId="6C56DE5A" w:rsidR="00E34ACF" w:rsidRPr="00DB0B20" w:rsidRDefault="00BC2C87"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nº 36 Tipo 03-F – no 3° Pavimento, possuirá a área real privativa de 159,910m² (sendo 131,770m² do apartamento e 28,140m² das vagas de garagem, vinculadas conforme quadro retro), área real comum de 103,6535n² (sendo 89,114m² de área coberta e 14,421m² de área descoberta), perfazendo a área real total de 263,445m², correspondendo-lhe um </w:t>
            </w:r>
            <w:r w:rsidRPr="00DB0B20">
              <w:rPr>
                <w:rFonts w:ascii="Tahoma" w:eastAsia="Times New Roman" w:hAnsi="Tahoma" w:cs="Tahoma"/>
                <w:b/>
                <w:bCs/>
                <w:i/>
                <w:color w:val="000000"/>
                <w:lang w:eastAsia="pt-BR"/>
              </w:rPr>
              <w:t>coeficiente de proporcionalidade de 0,043180</w:t>
            </w:r>
            <w:r w:rsidRPr="00DB0B20">
              <w:rPr>
                <w:rFonts w:ascii="Tahoma" w:eastAsia="Times New Roman" w:hAnsi="Tahoma" w:cs="Tahoma"/>
                <w:i/>
                <w:color w:val="000000"/>
                <w:lang w:eastAsia="pt-BR"/>
              </w:rPr>
              <w:t xml:space="preserve"> no terreno e demais partes do Condomínio </w:t>
            </w:r>
            <w:r w:rsidR="005511C6" w:rsidRPr="00DB0B20">
              <w:rPr>
                <w:rFonts w:ascii="Tahoma" w:eastAsia="Times New Roman" w:hAnsi="Tahoma" w:cs="Tahoma"/>
                <w:i/>
                <w:color w:val="000000"/>
                <w:lang w:eastAsia="pt-BR"/>
              </w:rPr>
              <w:t>“EDIF</w:t>
            </w:r>
            <w:r w:rsidRPr="00DB0B20">
              <w:rPr>
                <w:rFonts w:ascii="Tahoma" w:eastAsia="Times New Roman" w:hAnsi="Tahoma" w:cs="Tahoma"/>
                <w:i/>
                <w:color w:val="000000"/>
                <w:lang w:eastAsia="pt-BR"/>
              </w:rPr>
              <w:t>ÍCI</w:t>
            </w:r>
            <w:r w:rsidR="005511C6" w:rsidRPr="00DB0B20">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9871E4" w:rsidRPr="00DB0B20">
              <w:rPr>
                <w:rFonts w:ascii="Tahoma" w:eastAsia="Times New Roman" w:hAnsi="Tahoma" w:cs="Tahoma"/>
                <w:i/>
                <w:color w:val="000000"/>
                <w:lang w:eastAsia="pt-BR"/>
              </w:rPr>
              <w:t>.</w:t>
            </w:r>
          </w:p>
          <w:p w14:paraId="0EFFFB8F" w14:textId="1C34587F" w:rsidR="00BC2C87" w:rsidRPr="00DB0B20" w:rsidRDefault="00BC2C87"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626256" w14:textId="6AB471C9"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w:t>
            </w:r>
            <w:r w:rsidR="0066275F" w:rsidRPr="00DB0B20">
              <w:rPr>
                <w:rFonts w:ascii="Tahoma" w:eastAsia="Times New Roman" w:hAnsi="Tahoma" w:cs="Tahoma"/>
                <w:i/>
                <w:color w:val="000000"/>
                <w:lang w:eastAsia="pt-BR"/>
              </w:rPr>
              <w:t xml:space="preserve"> de R$ </w:t>
            </w:r>
            <w:r w:rsidR="00171F1D" w:rsidRPr="00DB0B20">
              <w:rPr>
                <w:rFonts w:ascii="Tahoma" w:eastAsia="Times New Roman" w:hAnsi="Tahoma" w:cs="Tahoma"/>
                <w:i/>
                <w:color w:val="000000"/>
                <w:lang w:eastAsia="pt-BR"/>
              </w:rPr>
              <w:t>2.460.909</w:t>
            </w:r>
            <w:r w:rsidR="0066275F" w:rsidRPr="00DB0B20">
              <w:rPr>
                <w:rFonts w:ascii="Tahoma" w:eastAsia="Times New Roman" w:hAnsi="Tahoma" w:cs="Tahoma"/>
                <w:i/>
                <w:color w:val="000000"/>
                <w:lang w:eastAsia="pt-BR"/>
              </w:rPr>
              <w:t>,00</w:t>
            </w:r>
            <w:r w:rsidRPr="00DB0B20">
              <w:rPr>
                <w:rFonts w:ascii="Tahoma" w:eastAsia="Times New Roman" w:hAnsi="Tahoma" w:cs="Tahoma"/>
                <w:i/>
                <w:color w:val="000000"/>
                <w:lang w:eastAsia="pt-BR"/>
              </w:rPr>
              <w:t xml:space="preserve"> equivalente</w:t>
            </w:r>
            <w:r w:rsidR="0066275F" w:rsidRPr="00DB0B20">
              <w:rPr>
                <w:rFonts w:ascii="Tahoma" w:eastAsia="Times New Roman" w:hAnsi="Tahoma" w:cs="Tahoma"/>
                <w:i/>
                <w:color w:val="000000"/>
                <w:lang w:eastAsia="pt-BR"/>
              </w:rPr>
              <w:t xml:space="preserve">, nesta data, </w:t>
            </w:r>
            <w:r w:rsidRPr="00DB0B20">
              <w:rPr>
                <w:rFonts w:ascii="Tahoma" w:eastAsia="Times New Roman" w:hAnsi="Tahoma" w:cs="Tahoma"/>
                <w:i/>
                <w:color w:val="000000"/>
                <w:lang w:eastAsia="pt-BR"/>
              </w:rPr>
              <w:t xml:space="preserve"> a 7,4573%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 xml:space="preserve">JK </w:t>
            </w:r>
            <w:r w:rsidRPr="00DB0B20">
              <w:rPr>
                <w:rFonts w:ascii="Tahoma" w:eastAsia="Times New Roman" w:hAnsi="Tahoma" w:cs="Tahoma"/>
                <w:i/>
                <w:color w:val="000000"/>
                <w:lang w:eastAsia="pt-BR"/>
              </w:rPr>
              <w:t xml:space="preserve">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1263385D"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68C5D7CE"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6203D630"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83CE3E0"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62FEEC8D"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70F5D702"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8F4D9F9"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45ADAA8"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C833786"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3E43150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E1770" w14:textId="0219D5F4" w:rsidR="00C709A1" w:rsidRPr="00DB0B20" w:rsidRDefault="00C709A1"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b/>
                <w:bCs/>
                <w:i/>
                <w:color w:val="000000"/>
                <w:lang w:eastAsia="pt-BR"/>
              </w:rPr>
              <w:t>(i)</w:t>
            </w:r>
            <w:r w:rsidRPr="00DB0B20">
              <w:rPr>
                <w:rFonts w:ascii="Tahoma" w:eastAsia="Times New Roman" w:hAnsi="Tahoma" w:cs="Tahoma"/>
                <w:i/>
                <w:color w:val="000000"/>
                <w:lang w:eastAsia="pt-BR"/>
              </w:rPr>
              <w:t xml:space="preserve"> Apartamento de Cobertura nº 41 Tipo 04-AB – no 4° Pavimento/Cobertura, possuirá a área real privativa de 400,300m² (sendo 352,410m² do apartamento, 41,890m² das vagas de garagem vinculadas conforme quadro do Item V, retro, e, 6,000m² dos depósitos vinculados conforme quadro do Item VI retro), área comum de 163,892m² (sendo 139,578m² de área coberta e 24,314m2² de área descoberta), perfazendo a área real total de 564,192m², correspondendo-lhe um </w:t>
            </w:r>
            <w:r w:rsidRPr="00DB0B20">
              <w:rPr>
                <w:rFonts w:ascii="Tahoma" w:eastAsia="Times New Roman" w:hAnsi="Tahoma" w:cs="Tahoma"/>
                <w:b/>
                <w:bCs/>
                <w:i/>
                <w:color w:val="000000"/>
                <w:lang w:eastAsia="pt-BR"/>
              </w:rPr>
              <w:t>coeficiente de proporcionalidade de 0,072775</w:t>
            </w:r>
            <w:r w:rsidRPr="00DB0B20">
              <w:rPr>
                <w:rFonts w:ascii="Tahoma" w:eastAsia="Times New Roman" w:hAnsi="Tahoma" w:cs="Tahoma"/>
                <w:i/>
                <w:color w:val="000000"/>
                <w:lang w:eastAsia="pt-BR"/>
              </w:rPr>
              <w:t xml:space="preserve"> no terreno e demais partes do Condomínio</w:t>
            </w:r>
            <w:r w:rsidR="00473227" w:rsidRPr="00DB0B20">
              <w:rPr>
                <w:rFonts w:ascii="Tahoma" w:eastAsia="Times New Roman" w:hAnsi="Tahoma" w:cs="Tahoma"/>
                <w:i/>
                <w:color w:val="000000"/>
                <w:lang w:eastAsia="pt-BR"/>
              </w:rPr>
              <w:t xml:space="preserve">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00270392" w14:textId="77777777" w:rsidR="00473227" w:rsidRPr="00DB0B20" w:rsidRDefault="00473227" w:rsidP="00DB0B20">
            <w:pPr>
              <w:widowControl w:val="0"/>
              <w:spacing w:after="0" w:line="300" w:lineRule="exact"/>
              <w:jc w:val="both"/>
              <w:rPr>
                <w:rFonts w:ascii="Tahoma" w:eastAsia="Times New Roman" w:hAnsi="Tahoma" w:cs="Tahoma"/>
                <w:i/>
                <w:color w:val="000000"/>
                <w:lang w:eastAsia="pt-BR"/>
              </w:rPr>
            </w:pPr>
          </w:p>
          <w:p w14:paraId="517C16D2" w14:textId="58493744" w:rsidR="00C709A1" w:rsidRPr="00DB0B20" w:rsidRDefault="00C709A1"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b/>
                <w:bCs/>
                <w:i/>
                <w:color w:val="000000"/>
                <w:lang w:eastAsia="pt-BR"/>
              </w:rPr>
              <w:lastRenderedPageBreak/>
              <w:t>(ii)</w:t>
            </w:r>
            <w:r w:rsidRPr="00DB0B20">
              <w:rPr>
                <w:rFonts w:ascii="Tahoma" w:eastAsia="Times New Roman" w:hAnsi="Tahoma" w:cs="Tahoma"/>
                <w:i/>
                <w:color w:val="000000"/>
                <w:lang w:eastAsia="pt-BR"/>
              </w:rPr>
              <w:t xml:space="preserve"> Apartamento de Cobertura n° 42 Tipo 04-C – no 4° Pavimento/Cobertura, possuirá a área real privativa de 364,610m² (sendo 319,720m² do apartamento, 41,890m² das vagas de garagem vinculadas conforme quadro do Item V, retro, e, 3,000m² do depósito vinculado conforme quadro do Item VI retro), área real comum de 155,132m² (sendo 133,368m² de área coberta e 21,764m² de área descoberta), perfazendo a área real total de 519,742m², correspondendo-lhe um </w:t>
            </w:r>
            <w:r w:rsidRPr="00DB0B20">
              <w:rPr>
                <w:rFonts w:ascii="Tahoma" w:eastAsia="Times New Roman" w:hAnsi="Tahoma" w:cs="Tahoma"/>
                <w:b/>
                <w:bCs/>
                <w:i/>
                <w:color w:val="000000"/>
                <w:lang w:eastAsia="pt-BR"/>
              </w:rPr>
              <w:t>coeficiente de proporcionalidade de 0,065163</w:t>
            </w:r>
            <w:r w:rsidRPr="00DB0B20">
              <w:rPr>
                <w:rFonts w:ascii="Tahoma" w:eastAsia="Times New Roman" w:hAnsi="Tahoma" w:cs="Tahoma"/>
                <w:i/>
                <w:color w:val="000000"/>
                <w:lang w:eastAsia="pt-BR"/>
              </w:rPr>
              <w:t xml:space="preserve"> no terreno e demais partes do Condomínio</w:t>
            </w:r>
            <w:r w:rsidR="00473227" w:rsidRPr="00DB0B20">
              <w:rPr>
                <w:rFonts w:ascii="Tahoma" w:eastAsia="Times New Roman" w:hAnsi="Tahoma" w:cs="Tahoma"/>
                <w:i/>
                <w:color w:val="000000"/>
                <w:lang w:eastAsia="pt-BR"/>
              </w:rPr>
              <w:t xml:space="preserve">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208462DD" w14:textId="750F4CDA" w:rsidR="00C709A1" w:rsidRPr="00DB0B20" w:rsidRDefault="00E34ACF"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 </w:t>
            </w:r>
          </w:p>
          <w:p w14:paraId="5B2DB36D" w14:textId="7539F5A5" w:rsidR="00E34ACF" w:rsidRPr="00DB0B20" w:rsidRDefault="00C709A1"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b/>
                <w:bCs/>
                <w:i/>
                <w:color w:val="000000"/>
                <w:lang w:eastAsia="pt-BR"/>
              </w:rPr>
              <w:t>(iii)</w:t>
            </w:r>
            <w:r w:rsidRPr="00DB0B20">
              <w:rPr>
                <w:rFonts w:ascii="Tahoma" w:eastAsia="Times New Roman" w:hAnsi="Tahoma" w:cs="Tahoma"/>
                <w:i/>
                <w:color w:val="000000"/>
                <w:lang w:eastAsia="pt-BR"/>
              </w:rPr>
              <w:t xml:space="preserve"> Apartamento nº 43 Tipo 04-D – no 4° Pavimento, possuirá a área real privativa de 60,050m² (sendo 46,300m² do apartamento e 13,750m² da vaga de garagem, vinculada conforme quadro retro), área real comum de 45,411m² (sendo 39,866m² de área coberta e 5,545m² de área descoberta), perfazendo a área real total de 105,461m², correspondendo-lhe um </w:t>
            </w:r>
            <w:r w:rsidRPr="00DB0B20">
              <w:rPr>
                <w:rFonts w:ascii="Tahoma" w:eastAsia="Times New Roman" w:hAnsi="Tahoma" w:cs="Tahoma"/>
                <w:b/>
                <w:bCs/>
                <w:i/>
                <w:color w:val="000000"/>
                <w:lang w:eastAsia="pt-BR"/>
              </w:rPr>
              <w:t>coeficiente de proporcionalidade de 0,016602</w:t>
            </w:r>
            <w:r w:rsidRPr="00DB0B20">
              <w:rPr>
                <w:rFonts w:ascii="Tahoma" w:eastAsia="Times New Roman" w:hAnsi="Tahoma" w:cs="Tahoma"/>
                <w:i/>
                <w:color w:val="00000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E34ACF" w:rsidRPr="00DB0B20">
              <w:rPr>
                <w:rFonts w:ascii="Tahoma" w:eastAsia="Times New Roman" w:hAnsi="Tahoma" w:cs="Tahoma"/>
                <w:i/>
                <w:color w:val="000000"/>
                <w:lang w:eastAsia="pt-BR"/>
              </w:rPr>
              <w:t>.</w:t>
            </w:r>
          </w:p>
          <w:p w14:paraId="224664EF" w14:textId="1D590164" w:rsidR="00BC2C87" w:rsidRPr="00DB0B20" w:rsidRDefault="00BC2C87" w:rsidP="00DB0B20">
            <w:pPr>
              <w:widowControl w:val="0"/>
              <w:spacing w:after="0" w:line="300" w:lineRule="exact"/>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98A03"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142EE3E3"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3F2A94AB"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23328843"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40A4DA25"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44E3DC55" w14:textId="77777777" w:rsidR="00473227" w:rsidRPr="00DB0B20" w:rsidRDefault="00473227" w:rsidP="00DB0B20">
            <w:pPr>
              <w:widowControl w:val="0"/>
              <w:spacing w:after="0" w:line="300" w:lineRule="exact"/>
              <w:jc w:val="both"/>
              <w:rPr>
                <w:rFonts w:ascii="Tahoma" w:eastAsia="Times New Roman" w:hAnsi="Tahoma" w:cs="Tahoma"/>
                <w:b/>
                <w:bCs/>
                <w:i/>
                <w:color w:val="000000"/>
                <w:lang w:eastAsia="pt-BR"/>
              </w:rPr>
            </w:pPr>
          </w:p>
          <w:p w14:paraId="019AEC63" w14:textId="277E1F90"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(a)</w:t>
            </w:r>
            <w:r w:rsidRPr="00DB0B20">
              <w:rPr>
                <w:rFonts w:ascii="Tahoma" w:eastAsia="Times New Roman" w:hAnsi="Tahoma" w:cs="Tahoma"/>
                <w:i/>
                <w:color w:val="000000"/>
                <w:lang w:eastAsia="pt-BR"/>
              </w:rPr>
              <w:t xml:space="preserve"> Valor </w:t>
            </w:r>
            <w:r w:rsidR="00473227" w:rsidRPr="00DB0B20">
              <w:rPr>
                <w:rFonts w:ascii="Tahoma" w:eastAsia="Times New Roman" w:hAnsi="Tahoma" w:cs="Tahoma"/>
                <w:i/>
                <w:color w:val="000000"/>
                <w:lang w:eastAsia="pt-BR"/>
              </w:rPr>
              <w:t xml:space="preserve">R$ </w:t>
            </w:r>
            <w:r w:rsidR="0099723B" w:rsidRPr="00DB0B20">
              <w:rPr>
                <w:rFonts w:ascii="Tahoma" w:eastAsia="Times New Roman" w:hAnsi="Tahoma" w:cs="Tahoma"/>
                <w:i/>
                <w:color w:val="000000"/>
                <w:lang w:eastAsia="pt-BR"/>
              </w:rPr>
              <w:t>12.777.732</w:t>
            </w:r>
            <w:r w:rsidR="00473227"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473227" w:rsidRPr="00DB0B20">
              <w:rPr>
                <w:rFonts w:ascii="Tahoma" w:eastAsia="Times New Roman" w:hAnsi="Tahoma" w:cs="Tahoma"/>
                <w:i/>
                <w:color w:val="000000"/>
                <w:lang w:eastAsia="pt-BR"/>
              </w:rPr>
              <w:t xml:space="preserve">, neta data, </w:t>
            </w:r>
            <w:r w:rsidRPr="00DB0B20">
              <w:rPr>
                <w:rFonts w:ascii="Tahoma" w:eastAsia="Times New Roman" w:hAnsi="Tahoma" w:cs="Tahoma"/>
                <w:i/>
                <w:color w:val="000000"/>
                <w:lang w:eastAsia="pt-BR"/>
              </w:rPr>
              <w:t xml:space="preserve">a 38,7204%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JK</w:t>
            </w:r>
            <w:r w:rsidRPr="00DB0B20">
              <w:rPr>
                <w:rFonts w:ascii="Tahoma" w:eastAsia="Times New Roman" w:hAnsi="Tahoma" w:cs="Tahoma"/>
                <w:i/>
                <w:color w:val="000000"/>
                <w:lang w:eastAsia="pt-BR"/>
              </w:rPr>
              <w:t xml:space="preserve"> 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2F6B30FD"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3C89C357"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E8A9EF3"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7009391"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C29D980"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074C16B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C17B128"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3F40920"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40ECFF1"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49D3E44B"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0F1204" w14:textId="393AFE58" w:rsidR="00BC2C87" w:rsidRPr="00DB0B20" w:rsidRDefault="005511C6" w:rsidP="00DB0B20">
            <w:pPr>
              <w:widowControl w:val="0"/>
              <w:spacing w:after="0" w:line="300" w:lineRule="exact"/>
              <w:jc w:val="both"/>
              <w:rPr>
                <w:rFonts w:ascii="Tahoma" w:eastAsia="Times New Roman" w:hAnsi="Tahoma" w:cs="Tahoma"/>
                <w:i/>
                <w:color w:val="000000"/>
                <w:lang w:eastAsia="pt-BR"/>
              </w:rPr>
            </w:pPr>
            <w:r w:rsidRPr="00DB0B20">
              <w:rPr>
                <w:rFonts w:ascii="Tahoma" w:eastAsia="Times New Roman" w:hAnsi="Tahoma" w:cs="Tahoma"/>
                <w:i/>
                <w:color w:val="000000"/>
                <w:lang w:eastAsia="pt-BR"/>
              </w:rPr>
              <w:t xml:space="preserve">Apartamento </w:t>
            </w:r>
            <w:r w:rsidR="0001205C" w:rsidRPr="00DB0B20">
              <w:rPr>
                <w:rFonts w:ascii="Tahoma" w:eastAsia="Times New Roman" w:hAnsi="Tahoma" w:cs="Tahoma"/>
                <w:i/>
                <w:color w:val="000000"/>
                <w:lang w:eastAsia="pt-BR"/>
              </w:rPr>
              <w:t xml:space="preserve">de Cobertura </w:t>
            </w:r>
            <w:r w:rsidRPr="00DB0B20">
              <w:rPr>
                <w:rFonts w:ascii="Tahoma" w:eastAsia="Times New Roman" w:hAnsi="Tahoma" w:cs="Tahoma"/>
                <w:i/>
                <w:color w:val="000000"/>
                <w:lang w:eastAsia="pt-BR"/>
              </w:rPr>
              <w:t xml:space="preserve">nº 45 Tipo 04-F </w:t>
            </w:r>
            <w:r w:rsidR="0001205C" w:rsidRPr="00DB0B20">
              <w:rPr>
                <w:rFonts w:ascii="Tahoma" w:eastAsia="Times New Roman" w:hAnsi="Tahoma" w:cs="Tahoma"/>
                <w:i/>
                <w:color w:val="000000"/>
                <w:lang w:eastAsia="pt-BR"/>
              </w:rPr>
              <w:t>– NO 4º PAVIMENTO/COBERTURA, possuirá a área real privativa de 304,870m² (sendo 259,980m² do apartamento, 41,890m² das vagas de garagem vinculadas conforme quadro do Item V, retro, e, 3,000m² do depósito vinculado conforme quadro do Item VI retro), área real comum de 147,847m² (sendo 128,199m² de área coberta e 19,648m² de área descoberta), perfazendo a área real total de 452,717m</w:t>
            </w:r>
            <w:r w:rsidR="00063AC8" w:rsidRPr="00DB0B20">
              <w:rPr>
                <w:rFonts w:ascii="Tahoma" w:eastAsia="Times New Roman" w:hAnsi="Tahoma" w:cs="Tahoma"/>
                <w:i/>
                <w:color w:val="000000"/>
                <w:lang w:eastAsia="pt-BR"/>
              </w:rPr>
              <w:t>², correspondendo-lhe</w:t>
            </w:r>
            <w:r w:rsidR="00473227" w:rsidRPr="00DB0B20">
              <w:rPr>
                <w:rFonts w:ascii="Tahoma" w:eastAsia="Times New Roman" w:hAnsi="Tahoma" w:cs="Tahoma"/>
                <w:i/>
                <w:color w:val="000000"/>
                <w:lang w:eastAsia="pt-BR"/>
              </w:rPr>
              <w:t xml:space="preserve"> a um </w:t>
            </w:r>
            <w:r w:rsidR="00473227" w:rsidRPr="00DB0B20">
              <w:rPr>
                <w:rFonts w:ascii="Tahoma" w:eastAsia="Times New Roman" w:hAnsi="Tahoma" w:cs="Tahoma"/>
                <w:b/>
                <w:bCs/>
                <w:i/>
                <w:color w:val="000000"/>
                <w:lang w:eastAsia="pt-BR"/>
              </w:rPr>
              <w:t>coeficiente de proporcionalidade de 0,058827</w:t>
            </w:r>
            <w:r w:rsidR="00473227" w:rsidRPr="00DB0B20">
              <w:rPr>
                <w:rFonts w:ascii="Tahoma" w:eastAsia="Times New Roman" w:hAnsi="Tahoma" w:cs="Tahoma"/>
                <w:i/>
                <w:color w:val="000000"/>
                <w:lang w:eastAsia="pt-BR"/>
              </w:rPr>
              <w:t xml:space="preserve"> </w:t>
            </w:r>
            <w:r w:rsidR="0058119A" w:rsidRPr="00DB0B20">
              <w:rPr>
                <w:rFonts w:ascii="Tahoma" w:eastAsia="Times New Roman" w:hAnsi="Tahoma" w:cs="Tahoma"/>
                <w:i/>
                <w:color w:val="000000"/>
                <w:lang w:eastAsia="pt-BR"/>
              </w:rPr>
              <w:t>no terreno e demais partes do Condomínio</w:t>
            </w:r>
            <w:r w:rsidR="009C23F0" w:rsidRPr="00DB0B20">
              <w:rPr>
                <w:rFonts w:ascii="Tahoma" w:eastAsia="Times New Roman" w:hAnsi="Tahoma" w:cs="Tahoma"/>
                <w:i/>
                <w:color w:val="000000"/>
                <w:lang w:eastAsia="pt-BR"/>
              </w:rPr>
              <w:t xml:space="preserve"> “</w:t>
            </w:r>
            <w:r w:rsidR="00795343" w:rsidRPr="00DB0B20">
              <w:rPr>
                <w:rFonts w:ascii="Tahoma" w:eastAsia="Times New Roman" w:hAnsi="Tahoma" w:cs="Tahoma"/>
                <w:i/>
                <w:color w:val="000000"/>
                <w:lang w:eastAsia="pt-BR"/>
              </w:rPr>
              <w:t>EDIFÍCIO</w:t>
            </w:r>
            <w:r w:rsidR="009C23F0" w:rsidRPr="00DB0B20">
              <w:rPr>
                <w:rFonts w:ascii="Tahoma" w:eastAsia="Times New Roman" w:hAnsi="Tahoma" w:cs="Tahoma"/>
                <w:i/>
                <w:color w:val="000000"/>
                <w:lang w:eastAsia="pt-BR"/>
              </w:rPr>
              <w:t xml:space="preserve"> </w:t>
            </w:r>
            <w:r w:rsidR="00795343" w:rsidRPr="00DB0B20">
              <w:rPr>
                <w:rFonts w:ascii="Tahoma" w:eastAsia="Times New Roman" w:hAnsi="Tahoma" w:cs="Tahoma"/>
                <w:i/>
                <w:color w:val="000000"/>
                <w:lang w:eastAsia="pt-BR"/>
              </w:rPr>
              <w:t>SAINT BARTHÈLEMY</w:t>
            </w:r>
            <w:r w:rsidR="009C23F0" w:rsidRPr="00DB0B20">
              <w:rPr>
                <w:rFonts w:ascii="Tahoma" w:eastAsia="Times New Roman" w:hAnsi="Tahoma" w:cs="Tahoma"/>
                <w:i/>
                <w:color w:val="000000"/>
                <w:lang w:eastAsia="pt-BR"/>
              </w:rPr>
              <w:t>”</w:t>
            </w:r>
            <w:r w:rsidR="00C453A6" w:rsidRPr="00DB0B20">
              <w:rPr>
                <w:rFonts w:ascii="Tahoma" w:eastAsia="Times New Roman" w:hAnsi="Tahoma" w:cs="Tahoma"/>
                <w:i/>
                <w:color w:val="000000"/>
                <w:lang w:eastAsia="pt-BR"/>
              </w:rPr>
              <w:t xml:space="preserve">, situado na Rua Natividade, 119 - </w:t>
            </w:r>
            <w:r w:rsidR="00C453A6" w:rsidRPr="00DB0B20">
              <w:rPr>
                <w:rFonts w:ascii="Tahoma" w:eastAsia="Times New Roman" w:hAnsi="Tahoma" w:cs="Tahoma"/>
                <w:i/>
                <w:color w:val="000000"/>
                <w:lang w:eastAsia="pt-BR"/>
              </w:rPr>
              <w:lastRenderedPageBreak/>
              <w:t>Indianópolis - 24º Subdistrito, no Município de São Paulo, Estado de São Paulo, conforme o Memorial de Incorporação registrado sob R.2 da matrícula nº 229.799, do 14º Oficial de Registro de Imóveis de São Paulo, Estado de São Paulo</w:t>
            </w:r>
            <w:r w:rsidR="00E34ACF" w:rsidRPr="00DB0B20">
              <w:rPr>
                <w:rFonts w:ascii="Tahoma" w:eastAsia="Times New Roman" w:hAnsi="Tahoma" w:cs="Tahoma"/>
                <w:i/>
                <w:color w:val="000000"/>
                <w:lang w:eastAsia="pt-BR"/>
              </w:rPr>
              <w:t>.</w:t>
            </w: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1632E026" w14:textId="2C8D99B3"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lastRenderedPageBreak/>
              <w:t>(a)</w:t>
            </w:r>
            <w:r w:rsidRPr="00DB0B20">
              <w:rPr>
                <w:rFonts w:ascii="Tahoma" w:eastAsia="Times New Roman" w:hAnsi="Tahoma" w:cs="Tahoma"/>
                <w:i/>
                <w:color w:val="000000"/>
                <w:lang w:eastAsia="pt-BR"/>
              </w:rPr>
              <w:t xml:space="preserve"> Valor </w:t>
            </w:r>
            <w:r w:rsidR="00473227" w:rsidRPr="00DB0B20">
              <w:rPr>
                <w:rFonts w:ascii="Tahoma" w:eastAsia="Times New Roman" w:hAnsi="Tahoma" w:cs="Tahoma"/>
                <w:i/>
                <w:color w:val="000000"/>
                <w:lang w:eastAsia="pt-BR"/>
              </w:rPr>
              <w:t xml:space="preserve">R$ </w:t>
            </w:r>
            <w:r w:rsidR="00614A12" w:rsidRPr="00DB0B20">
              <w:rPr>
                <w:rFonts w:ascii="Tahoma" w:eastAsia="Times New Roman" w:hAnsi="Tahoma" w:cs="Tahoma"/>
                <w:i/>
                <w:color w:val="000000"/>
                <w:lang w:eastAsia="pt-BR"/>
              </w:rPr>
              <w:t>4.624.455</w:t>
            </w:r>
            <w:r w:rsidR="00473227" w:rsidRPr="00DB0B20">
              <w:rPr>
                <w:rFonts w:ascii="Tahoma" w:eastAsia="Times New Roman" w:hAnsi="Tahoma" w:cs="Tahoma"/>
                <w:i/>
                <w:color w:val="000000"/>
                <w:lang w:eastAsia="pt-BR"/>
              </w:rPr>
              <w:t xml:space="preserve">,00 </w:t>
            </w:r>
            <w:r w:rsidRPr="00DB0B20">
              <w:rPr>
                <w:rFonts w:ascii="Tahoma" w:eastAsia="Times New Roman" w:hAnsi="Tahoma" w:cs="Tahoma"/>
                <w:i/>
                <w:color w:val="000000"/>
                <w:lang w:eastAsia="pt-BR"/>
              </w:rPr>
              <w:t>equivalente</w:t>
            </w:r>
            <w:r w:rsidR="00473227" w:rsidRPr="00DB0B20">
              <w:rPr>
                <w:rFonts w:ascii="Tahoma" w:eastAsia="Times New Roman" w:hAnsi="Tahoma" w:cs="Tahoma"/>
                <w:i/>
                <w:color w:val="000000"/>
                <w:lang w:eastAsia="pt-BR"/>
              </w:rPr>
              <w:t xml:space="preserve">, nesta data, </w:t>
            </w:r>
            <w:r w:rsidRPr="00DB0B20">
              <w:rPr>
                <w:rFonts w:ascii="Tahoma" w:eastAsia="Times New Roman" w:hAnsi="Tahoma" w:cs="Tahoma"/>
                <w:i/>
                <w:color w:val="000000"/>
                <w:lang w:eastAsia="pt-BR"/>
              </w:rPr>
              <w:t xml:space="preserve">a 14,0135% do saldo devedor das Obrigações Garantidas (Valor do Imóvel para fins de primeiro leilão), ou </w:t>
            </w:r>
            <w:r w:rsidRPr="00DB0B20">
              <w:rPr>
                <w:rFonts w:ascii="Tahoma" w:eastAsia="Times New Roman" w:hAnsi="Tahoma" w:cs="Tahoma"/>
                <w:b/>
                <w:bCs/>
                <w:i/>
                <w:color w:val="000000"/>
                <w:lang w:eastAsia="pt-BR"/>
              </w:rPr>
              <w:t>(b)</w:t>
            </w:r>
            <w:r w:rsidRPr="00DB0B20">
              <w:rPr>
                <w:rFonts w:ascii="Tahoma" w:eastAsia="Times New Roman" w:hAnsi="Tahoma" w:cs="Tahoma"/>
                <w:i/>
                <w:color w:val="000000"/>
                <w:lang w:eastAsia="pt-BR"/>
              </w:rPr>
              <w:t xml:space="preserve"> o valor médio  por metro quadrado relativo às 10 (dez) últimas Unidades Vendidas do Empreendimento </w:t>
            </w:r>
            <w:r w:rsidR="009871E4" w:rsidRPr="00DB0B20">
              <w:rPr>
                <w:rFonts w:ascii="Tahoma" w:eastAsia="Times New Roman" w:hAnsi="Tahoma" w:cs="Tahoma"/>
                <w:i/>
                <w:color w:val="000000"/>
                <w:lang w:eastAsia="pt-BR"/>
              </w:rPr>
              <w:t>JK</w:t>
            </w:r>
            <w:r w:rsidRPr="00DB0B20">
              <w:rPr>
                <w:rFonts w:ascii="Tahoma" w:eastAsia="Times New Roman" w:hAnsi="Tahoma" w:cs="Tahoma"/>
                <w:i/>
                <w:color w:val="000000"/>
                <w:lang w:eastAsia="pt-BR"/>
              </w:rPr>
              <w:t xml:space="preserve"> que tenham sido prometidas à venda ou alienadas pela Fiduciante multiplicado pela metragem da respectiva Unidade; </w:t>
            </w:r>
            <w:r w:rsidRPr="00DB0B20">
              <w:rPr>
                <w:rFonts w:ascii="Tahoma" w:eastAsia="Times New Roman" w:hAnsi="Tahoma" w:cs="Tahoma"/>
                <w:b/>
                <w:bCs/>
                <w:i/>
                <w:color w:val="000000"/>
                <w:lang w:eastAsia="pt-BR"/>
              </w:rPr>
              <w:t>o que for maior</w:t>
            </w:r>
            <w:r w:rsidRPr="00DB0B20">
              <w:rPr>
                <w:rFonts w:ascii="Tahoma" w:eastAsia="Times New Roman" w:hAnsi="Tahoma" w:cs="Tahoma"/>
                <w:i/>
                <w:color w:val="000000"/>
                <w:lang w:eastAsia="pt-BR"/>
              </w:rPr>
              <w:t>.</w:t>
            </w:r>
          </w:p>
        </w:tc>
        <w:tc>
          <w:tcPr>
            <w:tcW w:w="160" w:type="dxa"/>
            <w:vAlign w:val="center"/>
            <w:hideMark/>
          </w:tcPr>
          <w:p w14:paraId="38CDCA3A"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1A09B87D"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60E9E730"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570365"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D29DCD6" w14:textId="77777777" w:rsidR="005511C6" w:rsidRPr="00DB0B20" w:rsidRDefault="005511C6" w:rsidP="00DB0B20">
            <w:pPr>
              <w:widowControl w:val="0"/>
              <w:spacing w:after="0" w:line="300" w:lineRule="exact"/>
              <w:jc w:val="both"/>
              <w:rPr>
                <w:rFonts w:ascii="Tahoma" w:eastAsia="Times New Roman" w:hAnsi="Tahoma" w:cs="Tahoma"/>
                <w:b/>
                <w:bCs/>
                <w:i/>
                <w:color w:val="000000"/>
                <w:lang w:eastAsia="pt-BR"/>
              </w:rPr>
            </w:pPr>
          </w:p>
        </w:tc>
      </w:tr>
      <w:tr w:rsidR="005511C6" w:rsidRPr="00DB0B20" w14:paraId="4E7D3734"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1F7567A" w14:textId="77777777" w:rsidR="005511C6" w:rsidRPr="00DB0B20" w:rsidRDefault="005511C6" w:rsidP="00DB0B20">
            <w:pPr>
              <w:widowControl w:val="0"/>
              <w:spacing w:after="0" w:line="300" w:lineRule="exact"/>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BD293E" w14:textId="77777777" w:rsidR="005511C6" w:rsidRPr="00DB0B20" w:rsidRDefault="005511C6" w:rsidP="00DB0B20">
            <w:pPr>
              <w:widowControl w:val="0"/>
              <w:spacing w:after="0" w:line="300" w:lineRule="exact"/>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BE3D55D" w14:textId="77777777" w:rsidR="005511C6" w:rsidRPr="00DB0B20" w:rsidRDefault="005511C6" w:rsidP="00DB0B20">
            <w:pPr>
              <w:widowControl w:val="0"/>
              <w:spacing w:after="0" w:line="300" w:lineRule="exact"/>
              <w:rPr>
                <w:rFonts w:ascii="Tahoma" w:eastAsia="Times New Roman" w:hAnsi="Tahoma" w:cs="Tahoma"/>
                <w:i/>
                <w:lang w:eastAsia="pt-BR"/>
              </w:rPr>
            </w:pPr>
          </w:p>
        </w:tc>
      </w:tr>
      <w:tr w:rsidR="005511C6" w:rsidRPr="00DB0B20" w14:paraId="7A1CC10D" w14:textId="77777777" w:rsidTr="009871E4">
        <w:trPr>
          <w:gridAfter w:val="1"/>
          <w:wAfter w:w="160" w:type="dxa"/>
          <w:trHeight w:val="816"/>
          <w:jc w:val="center"/>
        </w:trPr>
        <w:tc>
          <w:tcPr>
            <w:tcW w:w="5245" w:type="dxa"/>
            <w:tcBorders>
              <w:top w:val="nil"/>
              <w:left w:val="single" w:sz="8" w:space="0" w:color="auto"/>
              <w:bottom w:val="single" w:sz="8" w:space="0" w:color="000000"/>
              <w:right w:val="single" w:sz="8" w:space="0" w:color="auto"/>
            </w:tcBorders>
            <w:shd w:val="clear" w:color="auto" w:fill="ED7D31" w:themeFill="accent2"/>
            <w:vAlign w:val="center"/>
            <w:hideMark/>
          </w:tcPr>
          <w:p w14:paraId="34BB9C0F" w14:textId="61882150" w:rsidR="005511C6" w:rsidRPr="00DB0B20" w:rsidRDefault="008C5479" w:rsidP="00DB0B20">
            <w:pPr>
              <w:widowControl w:val="0"/>
              <w:spacing w:after="0" w:line="300" w:lineRule="exact"/>
              <w:jc w:val="center"/>
              <w:rPr>
                <w:rFonts w:ascii="Tahoma" w:eastAsia="Times New Roman" w:hAnsi="Tahoma" w:cs="Tahoma"/>
                <w:i/>
                <w:color w:val="000000"/>
                <w:lang w:eastAsia="pt-BR"/>
              </w:rPr>
            </w:pPr>
            <w:r w:rsidRPr="00DB0B20">
              <w:rPr>
                <w:rFonts w:ascii="Tahoma" w:hAnsi="Tahoma" w:cs="Tahoma"/>
                <w:b/>
                <w:bCs/>
                <w:i/>
                <w:smallCaps/>
                <w:color w:val="002060"/>
              </w:rPr>
              <w:t xml:space="preserve">FRAÇÃO IDEAL </w:t>
            </w:r>
            <w:r w:rsidR="00823255">
              <w:rPr>
                <w:rFonts w:ascii="Tahoma" w:hAnsi="Tahoma" w:cs="Tahoma"/>
                <w:b/>
                <w:bCs/>
                <w:i/>
                <w:smallCaps/>
                <w:color w:val="002060"/>
              </w:rPr>
              <w:t xml:space="preserve">TOTAL </w:t>
            </w:r>
            <w:r w:rsidRPr="00DB0B20">
              <w:rPr>
                <w:rFonts w:ascii="Tahoma" w:hAnsi="Tahoma" w:cs="Tahoma"/>
                <w:b/>
                <w:bCs/>
                <w:i/>
                <w:smallCaps/>
                <w:color w:val="002060"/>
              </w:rPr>
              <w:t>DO IMÓVEL</w:t>
            </w:r>
            <w:r w:rsidR="00E34ACF" w:rsidRPr="00DB0B20">
              <w:rPr>
                <w:rFonts w:ascii="Tahoma" w:hAnsi="Tahoma" w:cs="Tahoma"/>
                <w:b/>
                <w:bCs/>
                <w:i/>
                <w:smallCaps/>
                <w:color w:val="002060"/>
              </w:rPr>
              <w:t xml:space="preserve"> OBJETO DA PRESENTE ALIENAÇÃO FIDUCIÁRIA, OU SEJA, OBJETO DESTA GARANTIA</w:t>
            </w:r>
          </w:p>
        </w:tc>
        <w:tc>
          <w:tcPr>
            <w:tcW w:w="3827" w:type="dxa"/>
            <w:tcBorders>
              <w:top w:val="nil"/>
              <w:left w:val="single" w:sz="8" w:space="0" w:color="auto"/>
              <w:bottom w:val="single" w:sz="8" w:space="0" w:color="000000"/>
              <w:right w:val="single" w:sz="8" w:space="0" w:color="auto"/>
            </w:tcBorders>
            <w:shd w:val="clear" w:color="auto" w:fill="auto"/>
            <w:vAlign w:val="center"/>
            <w:hideMark/>
          </w:tcPr>
          <w:p w14:paraId="1C5EC0F2" w14:textId="59EEE550" w:rsidR="005511C6" w:rsidRPr="00DB0B20" w:rsidRDefault="00473227" w:rsidP="00DB0B20">
            <w:pPr>
              <w:widowControl w:val="0"/>
              <w:spacing w:after="0" w:line="300" w:lineRule="exact"/>
              <w:jc w:val="both"/>
              <w:rPr>
                <w:rFonts w:ascii="Tahoma" w:eastAsia="Times New Roman" w:hAnsi="Tahoma" w:cs="Tahoma"/>
                <w:b/>
                <w:bCs/>
                <w:i/>
                <w:color w:val="000000"/>
                <w:lang w:eastAsia="pt-BR"/>
              </w:rPr>
            </w:pPr>
            <w:r w:rsidRPr="00DB0B20">
              <w:rPr>
                <w:rFonts w:ascii="Tahoma" w:eastAsia="Times New Roman" w:hAnsi="Tahoma" w:cs="Tahoma"/>
                <w:b/>
                <w:bCs/>
                <w:i/>
                <w:color w:val="000000"/>
                <w:lang w:eastAsia="pt-BR"/>
              </w:rPr>
              <w:t>0,492184</w:t>
            </w:r>
            <w:r w:rsidR="00E25744" w:rsidRPr="00DB0B20">
              <w:rPr>
                <w:rFonts w:ascii="Tahoma" w:eastAsia="Times New Roman" w:hAnsi="Tahoma" w:cs="Tahoma"/>
                <w:b/>
                <w:bCs/>
                <w:i/>
                <w:color w:val="000000"/>
                <w:lang w:eastAsia="pt-BR"/>
              </w:rPr>
              <w:t xml:space="preserve"> d</w:t>
            </w:r>
            <w:r w:rsidR="00E34ACF" w:rsidRPr="00DB0B20">
              <w:rPr>
                <w:rFonts w:ascii="Tahoma" w:eastAsia="Times New Roman" w:hAnsi="Tahoma" w:cs="Tahoma"/>
                <w:b/>
                <w:bCs/>
                <w:i/>
                <w:color w:val="000000"/>
                <w:lang w:eastAsia="pt-BR"/>
              </w:rPr>
              <w:t>o</w:t>
            </w:r>
            <w:r w:rsidR="00E25744" w:rsidRPr="00DB0B20">
              <w:rPr>
                <w:rFonts w:ascii="Tahoma" w:eastAsia="Times New Roman" w:hAnsi="Tahoma" w:cs="Tahoma"/>
                <w:b/>
                <w:bCs/>
                <w:i/>
                <w:color w:val="000000"/>
                <w:lang w:eastAsia="pt-BR"/>
              </w:rPr>
              <w:t xml:space="preserve"> Imóvel</w:t>
            </w:r>
            <w:r w:rsidR="00D87623" w:rsidRPr="00DB0B20">
              <w:rPr>
                <w:rFonts w:ascii="Tahoma" w:eastAsia="Times New Roman" w:hAnsi="Tahoma" w:cs="Tahoma"/>
                <w:b/>
                <w:bCs/>
                <w:i/>
                <w:color w:val="000000"/>
                <w:lang w:eastAsia="pt-BR"/>
              </w:rPr>
              <w:t>,</w:t>
            </w:r>
            <w:r w:rsidRPr="00DB0B20">
              <w:rPr>
                <w:rFonts w:ascii="Tahoma" w:eastAsia="Times New Roman" w:hAnsi="Tahoma" w:cs="Tahoma"/>
                <w:b/>
                <w:bCs/>
                <w:i/>
                <w:color w:val="000000"/>
                <w:lang w:eastAsia="pt-BR"/>
              </w:rPr>
              <w:t xml:space="preserve"> de acordo com os coeficientes de proporcionalidade de cada uma das unidades autônomas.</w:t>
            </w:r>
          </w:p>
        </w:tc>
      </w:tr>
    </w:tbl>
    <w:p w14:paraId="37D52656" w14:textId="77777777" w:rsidR="00060115" w:rsidRPr="00DB0B20" w:rsidRDefault="00060115" w:rsidP="00DB0B20">
      <w:pPr>
        <w:widowControl w:val="0"/>
        <w:tabs>
          <w:tab w:val="left" w:pos="6030"/>
        </w:tabs>
        <w:spacing w:after="0" w:line="300" w:lineRule="exact"/>
        <w:ind w:left="567"/>
        <w:rPr>
          <w:rFonts w:ascii="Tahoma" w:hAnsi="Tahoma" w:cs="Tahoma"/>
          <w:i/>
          <w:u w:val="single"/>
        </w:rPr>
      </w:pPr>
    </w:p>
    <w:p w14:paraId="48E8A160" w14:textId="0B9DD1C4" w:rsidR="00100021" w:rsidRPr="00DB0B20" w:rsidRDefault="00F80A1B" w:rsidP="00DB0B20">
      <w:pPr>
        <w:pStyle w:val="western"/>
        <w:widowControl w:val="0"/>
        <w:spacing w:before="0" w:beforeAutospacing="0" w:after="0" w:line="300" w:lineRule="exact"/>
        <w:ind w:left="851"/>
        <w:contextualSpacing/>
        <w:outlineLvl w:val="0"/>
        <w:rPr>
          <w:rFonts w:ascii="Tahoma" w:hAnsi="Tahoma" w:cs="Tahoma"/>
          <w:b/>
          <w:i/>
          <w:iCs/>
          <w:sz w:val="21"/>
          <w:szCs w:val="21"/>
        </w:rPr>
      </w:pPr>
      <w:r w:rsidRPr="00DB0B20">
        <w:rPr>
          <w:rFonts w:ascii="Tahoma" w:hAnsi="Tahoma" w:cs="Tahoma"/>
          <w:b/>
          <w:i/>
          <w:iCs/>
          <w:sz w:val="21"/>
          <w:szCs w:val="21"/>
        </w:rPr>
        <w:t>“</w:t>
      </w:r>
      <w:r w:rsidR="00100021" w:rsidRPr="00DB0B20">
        <w:rPr>
          <w:rFonts w:ascii="Tahoma" w:hAnsi="Tahoma" w:cs="Tahoma"/>
          <w:b/>
          <w:i/>
          <w:iCs/>
          <w:sz w:val="21"/>
          <w:szCs w:val="21"/>
        </w:rPr>
        <w:t xml:space="preserve">Anexo </w:t>
      </w:r>
      <w:r w:rsidR="00A373E0" w:rsidRPr="00DB0B20">
        <w:rPr>
          <w:rFonts w:ascii="Tahoma" w:hAnsi="Tahoma" w:cs="Tahoma"/>
          <w:b/>
          <w:i/>
          <w:iCs/>
          <w:sz w:val="21"/>
          <w:szCs w:val="21"/>
        </w:rPr>
        <w:t xml:space="preserve">II </w:t>
      </w:r>
      <w:r w:rsidR="000E2ADE" w:rsidRPr="00DB0B20">
        <w:rPr>
          <w:rFonts w:ascii="Tahoma" w:hAnsi="Tahoma" w:cs="Tahoma"/>
          <w:b/>
          <w:i/>
          <w:iCs/>
          <w:sz w:val="21"/>
          <w:szCs w:val="21"/>
        </w:rPr>
        <w:t>ao Instrumento Particular de Alienação Fiduciária de Imóveis em Garantia e Outras Avenças</w:t>
      </w:r>
      <w:r w:rsidR="00A373E0" w:rsidRPr="00DB0B20">
        <w:rPr>
          <w:rFonts w:ascii="Tahoma" w:hAnsi="Tahoma" w:cs="Tahoma"/>
          <w:b/>
          <w:i/>
          <w:iCs/>
          <w:sz w:val="21"/>
          <w:szCs w:val="21"/>
        </w:rPr>
        <w:t>, celebrado em 24 de setembro de 2021.</w:t>
      </w:r>
    </w:p>
    <w:p w14:paraId="54D09C26" w14:textId="6203394A" w:rsidR="00A373E0" w:rsidRPr="00DB0B20" w:rsidRDefault="00A373E0" w:rsidP="00DB0B20">
      <w:pPr>
        <w:pStyle w:val="western"/>
        <w:widowControl w:val="0"/>
        <w:spacing w:before="0" w:beforeAutospacing="0" w:after="0" w:line="300" w:lineRule="exact"/>
        <w:ind w:left="851"/>
        <w:contextualSpacing/>
        <w:outlineLvl w:val="0"/>
        <w:rPr>
          <w:rFonts w:ascii="Tahoma" w:hAnsi="Tahoma" w:cs="Tahoma"/>
          <w:b/>
          <w:i/>
          <w:iCs/>
          <w:sz w:val="21"/>
          <w:szCs w:val="21"/>
        </w:rPr>
      </w:pPr>
    </w:p>
    <w:p w14:paraId="1F83B4FF" w14:textId="1073F5A1" w:rsidR="00100021" w:rsidRPr="00DB0B20" w:rsidRDefault="00A373E0" w:rsidP="00DB0B20">
      <w:pPr>
        <w:pStyle w:val="western"/>
        <w:widowControl w:val="0"/>
        <w:spacing w:before="0" w:beforeAutospacing="0" w:after="0" w:line="300" w:lineRule="exact"/>
        <w:ind w:left="851"/>
        <w:contextualSpacing/>
        <w:jc w:val="center"/>
        <w:outlineLvl w:val="0"/>
        <w:rPr>
          <w:rFonts w:ascii="Tahoma" w:hAnsi="Tahoma" w:cs="Tahoma"/>
          <w:b/>
          <w:i/>
          <w:iCs/>
          <w:sz w:val="21"/>
          <w:szCs w:val="21"/>
        </w:rPr>
      </w:pPr>
      <w:r w:rsidRPr="00DB0B20">
        <w:rPr>
          <w:rFonts w:ascii="Tahoma" w:hAnsi="Tahoma" w:cs="Tahoma"/>
          <w:b/>
          <w:i/>
          <w:iCs/>
          <w:sz w:val="21"/>
          <w:szCs w:val="21"/>
        </w:rPr>
        <w:t>ANEXO II</w:t>
      </w:r>
    </w:p>
    <w:p w14:paraId="1AC35B4D" w14:textId="6AC275BC" w:rsidR="00100021" w:rsidRPr="00DB0B20" w:rsidRDefault="007F52C9" w:rsidP="00DB0B20">
      <w:pPr>
        <w:pStyle w:val="western"/>
        <w:widowControl w:val="0"/>
        <w:spacing w:before="0" w:beforeAutospacing="0" w:after="0" w:line="300" w:lineRule="exact"/>
        <w:contextualSpacing/>
        <w:jc w:val="center"/>
        <w:outlineLvl w:val="0"/>
        <w:rPr>
          <w:rFonts w:ascii="Tahoma" w:hAnsi="Tahoma" w:cs="Tahoma"/>
          <w:b/>
          <w:i/>
          <w:iCs/>
          <w:sz w:val="21"/>
          <w:szCs w:val="21"/>
        </w:rPr>
      </w:pPr>
      <w:r w:rsidRPr="00DB0B20">
        <w:rPr>
          <w:rFonts w:ascii="Tahoma" w:hAnsi="Tahoma" w:cs="Tahoma"/>
          <w:b/>
          <w:i/>
          <w:iCs/>
          <w:sz w:val="21"/>
          <w:szCs w:val="21"/>
        </w:rPr>
        <w:t>DESCRIÇÃO DAS UNIDADES PERMUTADAS COM OS ANTERIORES PROPRIETÁRIOS</w:t>
      </w:r>
    </w:p>
    <w:p w14:paraId="53926972" w14:textId="77777777" w:rsidR="00100021" w:rsidRPr="00DB0B20" w:rsidRDefault="00100021" w:rsidP="00DB0B20">
      <w:pPr>
        <w:pStyle w:val="western"/>
        <w:widowControl w:val="0"/>
        <w:spacing w:before="0" w:beforeAutospacing="0" w:after="0" w:line="300" w:lineRule="exact"/>
        <w:contextualSpacing/>
        <w:jc w:val="center"/>
        <w:outlineLvl w:val="0"/>
        <w:rPr>
          <w:rFonts w:ascii="Tahoma" w:hAnsi="Tahoma" w:cs="Tahoma"/>
          <w:b/>
          <w:i/>
          <w:iCs/>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6521"/>
        <w:gridCol w:w="1407"/>
        <w:gridCol w:w="180"/>
      </w:tblGrid>
      <w:tr w:rsidR="00100021" w:rsidRPr="00DB0B20" w14:paraId="26E8D052" w14:textId="77777777" w:rsidTr="00D87623">
        <w:trPr>
          <w:gridAfter w:val="1"/>
          <w:wAfter w:w="180" w:type="dxa"/>
          <w:trHeight w:val="316"/>
          <w:jc w:val="center"/>
        </w:trPr>
        <w:tc>
          <w:tcPr>
            <w:tcW w:w="6521"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32E41767" w14:textId="77777777" w:rsidR="00100021" w:rsidRPr="00DB0B20" w:rsidRDefault="00100021" w:rsidP="00DB0B20">
            <w:pPr>
              <w:widowControl w:val="0"/>
              <w:spacing w:after="0" w:line="300" w:lineRule="exact"/>
              <w:jc w:val="center"/>
              <w:rPr>
                <w:rFonts w:ascii="Tahoma" w:hAnsi="Tahoma" w:cs="Tahoma"/>
                <w:b/>
                <w:bCs/>
                <w:i/>
                <w:smallCaps/>
                <w:color w:val="002060"/>
              </w:rPr>
            </w:pPr>
            <w:r w:rsidRPr="00DB0B20">
              <w:rPr>
                <w:rFonts w:ascii="Tahoma" w:hAnsi="Tahoma" w:cs="Tahoma"/>
                <w:b/>
                <w:bCs/>
                <w:i/>
                <w:smallCaps/>
                <w:color w:val="002060"/>
              </w:rPr>
              <w:t>Descrição da Unidade</w:t>
            </w:r>
          </w:p>
        </w:tc>
        <w:tc>
          <w:tcPr>
            <w:tcW w:w="1407" w:type="dxa"/>
            <w:tcBorders>
              <w:top w:val="single" w:sz="8" w:space="0" w:color="auto"/>
              <w:left w:val="nil"/>
              <w:bottom w:val="single" w:sz="8" w:space="0" w:color="auto"/>
              <w:right w:val="single" w:sz="8" w:space="0" w:color="auto"/>
            </w:tcBorders>
            <w:shd w:val="clear" w:color="auto" w:fill="ED7D31" w:themeFill="accent2"/>
            <w:vAlign w:val="center"/>
            <w:hideMark/>
          </w:tcPr>
          <w:p w14:paraId="73628DDA" w14:textId="77777777" w:rsidR="00100021" w:rsidRPr="00DB0B20" w:rsidRDefault="00100021" w:rsidP="00DB0B20">
            <w:pPr>
              <w:widowControl w:val="0"/>
              <w:spacing w:after="0" w:line="300" w:lineRule="exact"/>
              <w:jc w:val="center"/>
              <w:rPr>
                <w:rFonts w:ascii="Tahoma" w:hAnsi="Tahoma" w:cs="Tahoma"/>
                <w:b/>
                <w:bCs/>
                <w:i/>
                <w:smallCaps/>
                <w:color w:val="002060"/>
              </w:rPr>
            </w:pPr>
            <w:r w:rsidRPr="00DB0B20">
              <w:rPr>
                <w:rFonts w:ascii="Tahoma" w:hAnsi="Tahoma" w:cs="Tahoma"/>
                <w:b/>
                <w:bCs/>
                <w:i/>
                <w:smallCaps/>
                <w:color w:val="002060"/>
              </w:rPr>
              <w:t>Fração Ideal</w:t>
            </w:r>
          </w:p>
        </w:tc>
      </w:tr>
      <w:tr w:rsidR="00100021" w:rsidRPr="00DB0B20" w14:paraId="0D9DD525" w14:textId="77777777" w:rsidTr="00D87623">
        <w:trPr>
          <w:gridAfter w:val="1"/>
          <w:wAfter w:w="180" w:type="dxa"/>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40CE6FF3" w14:textId="77777777" w:rsidR="00100021"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Apartamento nº 14 Tipo 01-D – NO 1º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coeficiente de proporcionalidade de 0,014655 no terreno e demais partes do Condomínio.</w:t>
            </w:r>
          </w:p>
          <w:p w14:paraId="4C8C9176" w14:textId="0714B773" w:rsidR="00E34ACF" w:rsidRPr="00DB0B20" w:rsidRDefault="00E34ACF" w:rsidP="00DB0B20">
            <w:pPr>
              <w:widowControl w:val="0"/>
              <w:spacing w:after="0" w:line="300" w:lineRule="exact"/>
              <w:jc w:val="both"/>
              <w:rPr>
                <w:rFonts w:ascii="Tahoma" w:eastAsia="Times New Roman" w:hAnsi="Tahoma" w:cs="Tahoma"/>
                <w:i/>
                <w:iCs/>
                <w:color w:val="000000"/>
                <w:lang w:eastAsia="pt-BR"/>
              </w:rPr>
            </w:pP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3CC09E6F" w14:textId="0750E0DA" w:rsidR="00244872"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0,014655</w:t>
            </w:r>
          </w:p>
          <w:p w14:paraId="47B53422" w14:textId="1C9289E4"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i/>
                <w:iCs/>
                <w:color w:val="000000"/>
                <w:lang w:eastAsia="pt-BR"/>
              </w:rPr>
              <w:t>do Imóvel</w:t>
            </w:r>
          </w:p>
        </w:tc>
      </w:tr>
      <w:tr w:rsidR="00100021" w:rsidRPr="00DB0B20" w14:paraId="5934FC68"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7B06A948"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49991BE0"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11CF4FCC" w14:textId="77777777"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p>
        </w:tc>
      </w:tr>
      <w:tr w:rsidR="00100021" w:rsidRPr="00DB0B20" w14:paraId="046282FB" w14:textId="77777777" w:rsidTr="00D87623">
        <w:trPr>
          <w:trHeight w:val="275"/>
          <w:jc w:val="center"/>
        </w:trPr>
        <w:tc>
          <w:tcPr>
            <w:tcW w:w="6521" w:type="dxa"/>
            <w:vMerge/>
            <w:tcBorders>
              <w:top w:val="nil"/>
              <w:left w:val="single" w:sz="8" w:space="0" w:color="auto"/>
              <w:bottom w:val="single" w:sz="8" w:space="0" w:color="000000"/>
              <w:right w:val="single" w:sz="8" w:space="0" w:color="auto"/>
            </w:tcBorders>
            <w:vAlign w:val="center"/>
            <w:hideMark/>
          </w:tcPr>
          <w:p w14:paraId="60C3FD91"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59E39112"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0A4140E0"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2AC17273" w14:textId="77777777" w:rsidTr="00D87623">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4BE6699" w14:textId="77777777" w:rsidR="00100021"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Apartamento de Cobertura nº 44 Tipo 04-E – NO 4º PAVIMENTO/COBERTURA, possuirá a área real privativa de 263,740m² (sendo 218,850m² do apartamento, 41,890m² das vagas de garagem vinculadas conforme quadro do Item V, retro, e 3,000m² do depósito vinculado conforme quadro do Item VI retro), área real comum de 137,416m² (sendo 120,798m² de área coberta e 16,618m² de área descoberta), perfazendo a área real total de 401,156m², correspondendo-lhe um coeficiente de proporcionalidade de 0,049755 no terreno e demais partes do Condomínio.</w:t>
            </w:r>
          </w:p>
          <w:p w14:paraId="52479419" w14:textId="4AA98775" w:rsidR="00E34ACF" w:rsidRPr="00DB0B20" w:rsidRDefault="00E34ACF" w:rsidP="00DB0B20">
            <w:pPr>
              <w:widowControl w:val="0"/>
              <w:spacing w:after="0" w:line="300" w:lineRule="exact"/>
              <w:jc w:val="both"/>
              <w:rPr>
                <w:rFonts w:ascii="Tahoma" w:eastAsia="Times New Roman" w:hAnsi="Tahoma" w:cs="Tahoma"/>
                <w:i/>
                <w:iCs/>
                <w:color w:val="000000"/>
                <w:lang w:eastAsia="pt-BR"/>
              </w:rPr>
            </w:pP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1EF6783A" w14:textId="5402B7C5" w:rsidR="00244872"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 xml:space="preserve">0,049755 </w:t>
            </w:r>
          </w:p>
          <w:p w14:paraId="1F0976C6" w14:textId="448AE16A"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i/>
                <w:iCs/>
                <w:color w:val="000000"/>
                <w:lang w:eastAsia="pt-BR"/>
              </w:rPr>
              <w:t>do Imóvel</w:t>
            </w:r>
          </w:p>
        </w:tc>
        <w:tc>
          <w:tcPr>
            <w:tcW w:w="180" w:type="dxa"/>
            <w:vAlign w:val="center"/>
            <w:hideMark/>
          </w:tcPr>
          <w:p w14:paraId="491E4ECA"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04CFD096"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5A50822A"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5D9E5DAC"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1F7C7637" w14:textId="77777777"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p>
        </w:tc>
      </w:tr>
      <w:tr w:rsidR="00100021" w:rsidRPr="00DB0B20" w14:paraId="2F015EC1" w14:textId="77777777" w:rsidTr="00D87623">
        <w:trPr>
          <w:trHeight w:val="445"/>
          <w:jc w:val="center"/>
        </w:trPr>
        <w:tc>
          <w:tcPr>
            <w:tcW w:w="6521" w:type="dxa"/>
            <w:vMerge/>
            <w:tcBorders>
              <w:top w:val="nil"/>
              <w:left w:val="single" w:sz="8" w:space="0" w:color="auto"/>
              <w:bottom w:val="single" w:sz="8" w:space="0" w:color="000000"/>
              <w:right w:val="single" w:sz="8" w:space="0" w:color="auto"/>
            </w:tcBorders>
            <w:vAlign w:val="center"/>
            <w:hideMark/>
          </w:tcPr>
          <w:p w14:paraId="3381AB3D"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1093051A"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733763ED"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0A7E0C62" w14:textId="77777777" w:rsidTr="00D87623">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29CDC11" w14:textId="77777777" w:rsidR="00100021"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Apartamento Duplex nº 01 Tipo 00-A GARDEN – NO PAVIMENTO TERREO, possuirá a área real privativa de 211,640m² (sendo 180,500m² do apartamento, 28,140m² das vagas de garagem vinculadas conforme quadro do Item V, retro, e 3,800m² do depósito vinculado conforme quadro do Item VI retro), área real comum de 101,656m² (sendo 87,780m² de área coberta e 13,876m² de área descoberta), perfazendo a área real total de 313,296m², correspondendo-lhe um coeficiente de proporcionalidade de 0,041547 no terreno e demais partes do Condomínio.</w:t>
            </w: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6D375464" w14:textId="450460CF" w:rsidR="00244872"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 xml:space="preserve">0,041547 </w:t>
            </w:r>
          </w:p>
          <w:p w14:paraId="36B35CBB" w14:textId="706EFEF1"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i/>
                <w:iCs/>
                <w:color w:val="000000"/>
                <w:lang w:eastAsia="pt-BR"/>
              </w:rPr>
              <w:t>do Imóvel</w:t>
            </w:r>
          </w:p>
        </w:tc>
        <w:tc>
          <w:tcPr>
            <w:tcW w:w="180" w:type="dxa"/>
            <w:vAlign w:val="center"/>
            <w:hideMark/>
          </w:tcPr>
          <w:p w14:paraId="19F942A2"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42A4A0B9"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20ADC2AD"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45122DBB"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65713254" w14:textId="77777777"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p>
        </w:tc>
      </w:tr>
      <w:tr w:rsidR="00100021" w:rsidRPr="00DB0B20" w14:paraId="7718725A" w14:textId="77777777" w:rsidTr="00D87623">
        <w:trPr>
          <w:trHeight w:val="712"/>
          <w:jc w:val="center"/>
        </w:trPr>
        <w:tc>
          <w:tcPr>
            <w:tcW w:w="6521" w:type="dxa"/>
            <w:vMerge/>
            <w:tcBorders>
              <w:top w:val="nil"/>
              <w:left w:val="single" w:sz="8" w:space="0" w:color="auto"/>
              <w:bottom w:val="single" w:sz="8" w:space="0" w:color="000000"/>
              <w:right w:val="single" w:sz="8" w:space="0" w:color="auto"/>
            </w:tcBorders>
            <w:vAlign w:val="center"/>
            <w:hideMark/>
          </w:tcPr>
          <w:p w14:paraId="40B6BBBD" w14:textId="77777777" w:rsidR="00100021" w:rsidRPr="00DB0B20" w:rsidRDefault="00100021" w:rsidP="00DB0B20">
            <w:pPr>
              <w:widowControl w:val="0"/>
              <w:spacing w:after="0" w:line="300" w:lineRule="exact"/>
              <w:rPr>
                <w:rFonts w:ascii="Tahoma" w:eastAsia="Times New Roman" w:hAnsi="Tahoma" w:cs="Tahoma"/>
                <w:i/>
                <w:iCs/>
                <w:color w:val="000000"/>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3D4D1608" w14:textId="77777777" w:rsidR="00100021" w:rsidRPr="00DB0B20" w:rsidRDefault="00100021" w:rsidP="00DB0B20">
            <w:pPr>
              <w:widowControl w:val="0"/>
              <w:spacing w:after="0" w:line="300" w:lineRule="exact"/>
              <w:rPr>
                <w:rFonts w:ascii="Tahoma" w:eastAsia="Times New Roman" w:hAnsi="Tahoma" w:cs="Tahoma"/>
                <w:b/>
                <w:bCs/>
                <w:i/>
                <w:iCs/>
                <w:color w:val="000000"/>
                <w:lang w:eastAsia="pt-BR"/>
              </w:rPr>
            </w:pPr>
          </w:p>
        </w:tc>
        <w:tc>
          <w:tcPr>
            <w:tcW w:w="180" w:type="dxa"/>
            <w:tcBorders>
              <w:top w:val="nil"/>
              <w:left w:val="nil"/>
              <w:bottom w:val="nil"/>
              <w:right w:val="nil"/>
            </w:tcBorders>
            <w:shd w:val="clear" w:color="auto" w:fill="auto"/>
            <w:noWrap/>
            <w:vAlign w:val="bottom"/>
            <w:hideMark/>
          </w:tcPr>
          <w:p w14:paraId="5152F89D"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6D91364E" w14:textId="77777777" w:rsidTr="00D87623">
        <w:trPr>
          <w:trHeight w:val="2071"/>
          <w:jc w:val="center"/>
        </w:trPr>
        <w:tc>
          <w:tcPr>
            <w:tcW w:w="6521" w:type="dxa"/>
            <w:tcBorders>
              <w:top w:val="nil"/>
              <w:left w:val="single" w:sz="8" w:space="0" w:color="auto"/>
              <w:bottom w:val="single" w:sz="8" w:space="0" w:color="000000"/>
              <w:right w:val="single" w:sz="8" w:space="0" w:color="auto"/>
            </w:tcBorders>
            <w:shd w:val="clear" w:color="auto" w:fill="auto"/>
            <w:vAlign w:val="center"/>
            <w:hideMark/>
          </w:tcPr>
          <w:p w14:paraId="7FE7E64B" w14:textId="5B876032" w:rsidR="00E34ACF"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lastRenderedPageBreak/>
              <w:t>Apartamento nº 23 Tipo 02-C – NO 2º PAVIMENTO, possuirá a área real privativa de 173,540m² (sendo 145,400m² do apartamento e 28,140m² das vagas de garagem, vinculadas conforme quadro retro), área real comum de 107,304m² (sendo 91,788m² de área coberta e 15,516m² de área descoberta), perfazendo a área real total de 280,844m², correspondendo-lhe um coeficiente de proporcionalidade de 0,046459 no terreno e demais partes do Condomínio.</w:t>
            </w:r>
          </w:p>
        </w:tc>
        <w:tc>
          <w:tcPr>
            <w:tcW w:w="1407" w:type="dxa"/>
            <w:tcBorders>
              <w:top w:val="nil"/>
              <w:left w:val="single" w:sz="8" w:space="0" w:color="auto"/>
              <w:bottom w:val="single" w:sz="8" w:space="0" w:color="000000"/>
              <w:right w:val="single" w:sz="8" w:space="0" w:color="auto"/>
            </w:tcBorders>
            <w:shd w:val="clear" w:color="auto" w:fill="auto"/>
            <w:vAlign w:val="center"/>
            <w:hideMark/>
          </w:tcPr>
          <w:p w14:paraId="5E9950A3" w14:textId="07578E8D" w:rsidR="00244872"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 xml:space="preserve">0,046459 </w:t>
            </w:r>
          </w:p>
          <w:p w14:paraId="7E7AD855" w14:textId="7EAD6F71"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i/>
                <w:iCs/>
                <w:color w:val="000000"/>
                <w:lang w:eastAsia="pt-BR"/>
              </w:rPr>
              <w:t>do Imóvel</w:t>
            </w:r>
          </w:p>
        </w:tc>
        <w:tc>
          <w:tcPr>
            <w:tcW w:w="180" w:type="dxa"/>
            <w:vAlign w:val="center"/>
            <w:hideMark/>
          </w:tcPr>
          <w:p w14:paraId="49CA3648" w14:textId="77777777" w:rsidR="00100021" w:rsidRPr="00DB0B20" w:rsidRDefault="00100021" w:rsidP="00DB0B20">
            <w:pPr>
              <w:widowControl w:val="0"/>
              <w:spacing w:after="0" w:line="300" w:lineRule="exact"/>
              <w:rPr>
                <w:rFonts w:ascii="Tahoma" w:eastAsia="Times New Roman" w:hAnsi="Tahoma" w:cs="Tahoma"/>
                <w:i/>
                <w:iCs/>
                <w:lang w:eastAsia="pt-BR"/>
              </w:rPr>
            </w:pPr>
          </w:p>
        </w:tc>
      </w:tr>
      <w:tr w:rsidR="00100021" w:rsidRPr="00DB0B20" w14:paraId="4C449DC4" w14:textId="77777777" w:rsidTr="00D87623">
        <w:trPr>
          <w:gridAfter w:val="1"/>
          <w:wAfter w:w="180" w:type="dxa"/>
          <w:trHeight w:val="683"/>
          <w:jc w:val="center"/>
        </w:trPr>
        <w:tc>
          <w:tcPr>
            <w:tcW w:w="6521" w:type="dxa"/>
            <w:tcBorders>
              <w:top w:val="nil"/>
              <w:left w:val="single" w:sz="8" w:space="0" w:color="auto"/>
              <w:bottom w:val="single" w:sz="4" w:space="0" w:color="auto"/>
              <w:right w:val="single" w:sz="8" w:space="0" w:color="auto"/>
            </w:tcBorders>
            <w:shd w:val="clear" w:color="auto" w:fill="auto"/>
            <w:vAlign w:val="center"/>
            <w:hideMark/>
          </w:tcPr>
          <w:p w14:paraId="40412434" w14:textId="77777777" w:rsidR="00100021"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Apartamento Duplex nº 21 Tipo 02-A – NO 2º PAVIMENTO, possuirá a área real privativa de 120,490m² (sendo 102,220m² do apartamento e 18,270m² das vagas de garagem, vinculadas conforme quadro retro), área real comum de 71,636m² (sendo 60,990m² de área coberta e 10,646m² de área descoberta), perfazendo a área real total de 192,126m², correspondendo-lhe um coeficiente de proporcionalidade de 0,031876 no terreno e demais partes do Condomínio.</w:t>
            </w:r>
          </w:p>
          <w:p w14:paraId="76DD397B" w14:textId="2A05EC26" w:rsidR="00E34ACF" w:rsidRPr="00DB0B20" w:rsidRDefault="00E34ACF" w:rsidP="00DB0B20">
            <w:pPr>
              <w:widowControl w:val="0"/>
              <w:spacing w:after="0" w:line="300" w:lineRule="exact"/>
              <w:jc w:val="both"/>
              <w:rPr>
                <w:rFonts w:ascii="Tahoma" w:eastAsia="Times New Roman" w:hAnsi="Tahoma" w:cs="Tahoma"/>
                <w:i/>
                <w:iCs/>
                <w:color w:val="000000"/>
                <w:lang w:eastAsia="pt-BR"/>
              </w:rPr>
            </w:pPr>
          </w:p>
        </w:tc>
        <w:tc>
          <w:tcPr>
            <w:tcW w:w="1407" w:type="dxa"/>
            <w:tcBorders>
              <w:top w:val="nil"/>
              <w:left w:val="single" w:sz="8" w:space="0" w:color="auto"/>
              <w:bottom w:val="single" w:sz="4" w:space="0" w:color="auto"/>
              <w:right w:val="single" w:sz="8" w:space="0" w:color="auto"/>
            </w:tcBorders>
            <w:shd w:val="clear" w:color="auto" w:fill="auto"/>
            <w:vAlign w:val="center"/>
            <w:hideMark/>
          </w:tcPr>
          <w:p w14:paraId="2A64D9CA" w14:textId="7ACF8CC0" w:rsidR="00244872" w:rsidRPr="00DB0B20" w:rsidRDefault="00100021" w:rsidP="00DB0B20">
            <w:pPr>
              <w:widowControl w:val="0"/>
              <w:spacing w:after="0" w:line="300" w:lineRule="exact"/>
              <w:jc w:val="both"/>
              <w:rPr>
                <w:rFonts w:ascii="Tahoma" w:eastAsia="Times New Roman" w:hAnsi="Tahoma" w:cs="Tahoma"/>
                <w:i/>
                <w:iCs/>
                <w:color w:val="000000"/>
                <w:lang w:eastAsia="pt-BR"/>
              </w:rPr>
            </w:pPr>
            <w:r w:rsidRPr="00DB0B20">
              <w:rPr>
                <w:rFonts w:ascii="Tahoma" w:eastAsia="Times New Roman" w:hAnsi="Tahoma" w:cs="Tahoma"/>
                <w:i/>
                <w:iCs/>
                <w:color w:val="000000"/>
                <w:lang w:eastAsia="pt-BR"/>
              </w:rPr>
              <w:t xml:space="preserve">0,031876 </w:t>
            </w:r>
          </w:p>
          <w:p w14:paraId="1FF31A4C" w14:textId="3AB77088" w:rsidR="00100021" w:rsidRPr="00DB0B20" w:rsidRDefault="00100021"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i/>
                <w:iCs/>
                <w:color w:val="000000"/>
                <w:lang w:eastAsia="pt-BR"/>
              </w:rPr>
              <w:t>do Imóvel</w:t>
            </w:r>
          </w:p>
        </w:tc>
      </w:tr>
      <w:tr w:rsidR="000E2ADE" w:rsidRPr="00DB0B20" w14:paraId="4AD82FCC" w14:textId="77777777" w:rsidTr="00D87623">
        <w:trPr>
          <w:gridAfter w:val="1"/>
          <w:wAfter w:w="180" w:type="dxa"/>
          <w:trHeight w:val="449"/>
          <w:jc w:val="center"/>
        </w:trPr>
        <w:tc>
          <w:tcPr>
            <w:tcW w:w="6521" w:type="dxa"/>
            <w:tcBorders>
              <w:top w:val="single" w:sz="4" w:space="0" w:color="auto"/>
              <w:left w:val="single" w:sz="8" w:space="0" w:color="auto"/>
              <w:bottom w:val="single" w:sz="8" w:space="0" w:color="000000"/>
              <w:right w:val="single" w:sz="8" w:space="0" w:color="auto"/>
            </w:tcBorders>
            <w:shd w:val="clear" w:color="auto" w:fill="ED7D31" w:themeFill="accent2"/>
            <w:vAlign w:val="center"/>
          </w:tcPr>
          <w:p w14:paraId="439994CC" w14:textId="39F43CFC" w:rsidR="000E2ADE" w:rsidRPr="00DB0B20" w:rsidRDefault="000E2ADE" w:rsidP="00DB0B20">
            <w:pPr>
              <w:widowControl w:val="0"/>
              <w:spacing w:after="0" w:line="300" w:lineRule="exact"/>
              <w:jc w:val="center"/>
              <w:rPr>
                <w:rFonts w:ascii="Tahoma" w:eastAsia="Times New Roman" w:hAnsi="Tahoma" w:cs="Tahoma"/>
                <w:b/>
                <w:bCs/>
                <w:i/>
                <w:iCs/>
                <w:color w:val="000000"/>
                <w:lang w:eastAsia="pt-BR"/>
              </w:rPr>
            </w:pPr>
            <w:r w:rsidRPr="00DB0B20">
              <w:rPr>
                <w:rFonts w:ascii="Tahoma" w:hAnsi="Tahoma" w:cs="Tahoma"/>
                <w:b/>
                <w:bCs/>
                <w:i/>
                <w:smallCaps/>
                <w:color w:val="002060"/>
              </w:rPr>
              <w:t>TOTAL</w:t>
            </w:r>
          </w:p>
        </w:tc>
        <w:tc>
          <w:tcPr>
            <w:tcW w:w="1407" w:type="dxa"/>
            <w:tcBorders>
              <w:top w:val="single" w:sz="4" w:space="0" w:color="auto"/>
              <w:left w:val="single" w:sz="8" w:space="0" w:color="auto"/>
              <w:bottom w:val="single" w:sz="8" w:space="0" w:color="000000"/>
              <w:right w:val="single" w:sz="8" w:space="0" w:color="auto"/>
            </w:tcBorders>
            <w:shd w:val="clear" w:color="auto" w:fill="auto"/>
            <w:vAlign w:val="center"/>
          </w:tcPr>
          <w:p w14:paraId="75EE1CEA" w14:textId="3CE00FEB" w:rsidR="000E2ADE" w:rsidRPr="00DB0B20" w:rsidRDefault="00792459" w:rsidP="00DB0B20">
            <w:pPr>
              <w:widowControl w:val="0"/>
              <w:spacing w:after="0" w:line="300" w:lineRule="exact"/>
              <w:jc w:val="both"/>
              <w:rPr>
                <w:rFonts w:ascii="Tahoma" w:eastAsia="Times New Roman" w:hAnsi="Tahoma" w:cs="Tahoma"/>
                <w:b/>
                <w:bCs/>
                <w:i/>
                <w:iCs/>
                <w:color w:val="000000"/>
                <w:lang w:eastAsia="pt-BR"/>
              </w:rPr>
            </w:pPr>
            <w:r w:rsidRPr="00DB0B20">
              <w:rPr>
                <w:rFonts w:ascii="Tahoma" w:eastAsia="Times New Roman" w:hAnsi="Tahoma" w:cs="Tahoma"/>
                <w:b/>
                <w:bCs/>
                <w:i/>
                <w:iCs/>
                <w:color w:val="000000"/>
                <w:lang w:eastAsia="pt-BR"/>
              </w:rPr>
              <w:t>0,184292 do Imóvel</w:t>
            </w:r>
          </w:p>
        </w:tc>
      </w:tr>
    </w:tbl>
    <w:p w14:paraId="1E99DF19" w14:textId="29835271" w:rsidR="00351E09" w:rsidRPr="00DB0B20" w:rsidRDefault="00351E09" w:rsidP="00DB0B20">
      <w:pPr>
        <w:pStyle w:val="PargrafodaLista"/>
        <w:widowControl w:val="0"/>
        <w:tabs>
          <w:tab w:val="left" w:pos="709"/>
        </w:tabs>
        <w:spacing w:after="0" w:line="300" w:lineRule="exact"/>
        <w:jc w:val="both"/>
        <w:rPr>
          <w:rFonts w:ascii="Tahoma" w:hAnsi="Tahoma" w:cs="Tahoma"/>
          <w:i/>
          <w:iCs/>
        </w:rPr>
      </w:pPr>
    </w:p>
    <w:p w14:paraId="36B0DAA1" w14:textId="77777777" w:rsidR="004978CF" w:rsidRPr="00DB0B20" w:rsidRDefault="004978CF" w:rsidP="00DB0B20">
      <w:pPr>
        <w:pStyle w:val="p0"/>
        <w:tabs>
          <w:tab w:val="left" w:pos="2835"/>
        </w:tabs>
        <w:spacing w:line="300" w:lineRule="exact"/>
        <w:rPr>
          <w:rFonts w:ascii="Tahoma" w:hAnsi="Tahoma" w:cs="Tahoma"/>
          <w:b/>
          <w:sz w:val="21"/>
          <w:szCs w:val="21"/>
        </w:rPr>
      </w:pPr>
      <w:bookmarkStart w:id="1" w:name="_DV_M191"/>
      <w:bookmarkStart w:id="2" w:name="_Hlk39177549"/>
      <w:bookmarkStart w:id="3" w:name="_Toc510869666"/>
      <w:bookmarkEnd w:id="1"/>
      <w:r w:rsidRPr="00DB0B20">
        <w:rPr>
          <w:rFonts w:ascii="Tahoma" w:hAnsi="Tahoma" w:cs="Tahoma"/>
          <w:b/>
          <w:sz w:val="21"/>
          <w:szCs w:val="21"/>
        </w:rPr>
        <w:t>CLÁUSULA QUARTA – REGISTRO</w:t>
      </w:r>
    </w:p>
    <w:p w14:paraId="39C021D7" w14:textId="77777777" w:rsidR="004978CF" w:rsidRPr="00DB0B20" w:rsidRDefault="004978CF" w:rsidP="00DB0B20">
      <w:pPr>
        <w:pStyle w:val="p0"/>
        <w:tabs>
          <w:tab w:val="left" w:pos="2835"/>
        </w:tabs>
        <w:spacing w:line="300" w:lineRule="exact"/>
        <w:rPr>
          <w:rFonts w:ascii="Tahoma" w:hAnsi="Tahoma" w:cs="Tahoma"/>
          <w:sz w:val="21"/>
          <w:szCs w:val="21"/>
        </w:rPr>
      </w:pPr>
    </w:p>
    <w:p w14:paraId="0C0CADC3" w14:textId="77777777" w:rsidR="007F52C9" w:rsidRPr="00DB0B20" w:rsidRDefault="007F52C9" w:rsidP="00DB0B20">
      <w:pPr>
        <w:pStyle w:val="PargrafodaLista"/>
        <w:widowControl w:val="0"/>
        <w:numPr>
          <w:ilvl w:val="0"/>
          <w:numId w:val="37"/>
        </w:numPr>
        <w:tabs>
          <w:tab w:val="left" w:pos="0"/>
        </w:tabs>
        <w:spacing w:after="0" w:line="300" w:lineRule="exact"/>
        <w:jc w:val="both"/>
        <w:rPr>
          <w:rFonts w:ascii="Tahoma" w:hAnsi="Tahoma" w:cs="Tahoma"/>
          <w:vanish/>
        </w:rPr>
      </w:pPr>
    </w:p>
    <w:p w14:paraId="1ADEF64C" w14:textId="73598903" w:rsidR="004978CF" w:rsidRPr="00DB0B20" w:rsidRDefault="004978CF" w:rsidP="00DB0B20">
      <w:pPr>
        <w:pStyle w:val="PargrafodaLista"/>
        <w:widowControl w:val="0"/>
        <w:numPr>
          <w:ilvl w:val="1"/>
          <w:numId w:val="37"/>
        </w:numPr>
        <w:tabs>
          <w:tab w:val="left" w:pos="0"/>
        </w:tabs>
        <w:spacing w:after="0" w:line="300" w:lineRule="exact"/>
        <w:ind w:left="0" w:firstLine="0"/>
        <w:jc w:val="both"/>
        <w:rPr>
          <w:rFonts w:ascii="Tahoma" w:hAnsi="Tahoma" w:cs="Tahoma"/>
        </w:rPr>
      </w:pPr>
      <w:r w:rsidRPr="00DB0B20">
        <w:rPr>
          <w:rFonts w:ascii="Tahoma" w:hAnsi="Tahoma" w:cs="Tahoma"/>
        </w:rPr>
        <w:t>A Fiduciante se obriga, às suas expensas, a solicitar a averbação do presente Aditamento no Cartório de Registro de Imóveis competente no prazo de 10 (dez) dias contados da presente data, devendo cumprir toda e qualquer exigência eventualmente formulada pelo Oficial de Registro de Imóveis.</w:t>
      </w:r>
    </w:p>
    <w:p w14:paraId="1AAEED64" w14:textId="77777777" w:rsidR="004978CF" w:rsidRPr="00DB0B20" w:rsidRDefault="004978CF" w:rsidP="00DB0B20">
      <w:pPr>
        <w:pStyle w:val="p0"/>
        <w:tabs>
          <w:tab w:val="left" w:pos="2835"/>
        </w:tabs>
        <w:spacing w:line="300" w:lineRule="exact"/>
        <w:rPr>
          <w:rFonts w:ascii="Tahoma" w:hAnsi="Tahoma" w:cs="Tahoma"/>
          <w:bCs/>
          <w:sz w:val="21"/>
          <w:szCs w:val="21"/>
          <w:u w:val="single"/>
        </w:rPr>
      </w:pPr>
    </w:p>
    <w:p w14:paraId="4723D008" w14:textId="4F4B15B0" w:rsidR="00146432" w:rsidRPr="00DB0B20" w:rsidRDefault="00146432" w:rsidP="00DB0B20">
      <w:pPr>
        <w:pStyle w:val="p0"/>
        <w:tabs>
          <w:tab w:val="left" w:pos="2835"/>
        </w:tabs>
        <w:spacing w:line="300" w:lineRule="exact"/>
        <w:rPr>
          <w:rFonts w:ascii="Tahoma" w:hAnsi="Tahoma" w:cs="Tahoma"/>
          <w:b/>
          <w:sz w:val="21"/>
          <w:szCs w:val="21"/>
        </w:rPr>
      </w:pPr>
      <w:r w:rsidRPr="00DB0B20">
        <w:rPr>
          <w:rFonts w:ascii="Tahoma" w:hAnsi="Tahoma" w:cs="Tahoma"/>
          <w:b/>
          <w:sz w:val="21"/>
          <w:szCs w:val="21"/>
        </w:rPr>
        <w:t>CLÁUSULA QUINTA – RATIFICAÇÃO</w:t>
      </w:r>
    </w:p>
    <w:p w14:paraId="0E8BDC81" w14:textId="77777777" w:rsidR="008B39F4" w:rsidRPr="00DB0B20" w:rsidRDefault="008B39F4" w:rsidP="00DB0B20">
      <w:pPr>
        <w:pStyle w:val="p0"/>
        <w:tabs>
          <w:tab w:val="left" w:pos="2835"/>
        </w:tabs>
        <w:spacing w:line="300" w:lineRule="exact"/>
        <w:rPr>
          <w:rFonts w:ascii="Tahoma" w:hAnsi="Tahoma" w:cs="Tahoma"/>
          <w:b/>
          <w:sz w:val="21"/>
          <w:szCs w:val="21"/>
        </w:rPr>
      </w:pPr>
    </w:p>
    <w:p w14:paraId="34C29ABE" w14:textId="77777777" w:rsidR="007F52C9" w:rsidRPr="00DB0B20" w:rsidRDefault="007F52C9" w:rsidP="00DB0B20">
      <w:pPr>
        <w:pStyle w:val="PargrafodaLista"/>
        <w:widowControl w:val="0"/>
        <w:numPr>
          <w:ilvl w:val="0"/>
          <w:numId w:val="37"/>
        </w:numPr>
        <w:tabs>
          <w:tab w:val="left" w:pos="0"/>
        </w:tabs>
        <w:spacing w:after="0" w:line="300" w:lineRule="exact"/>
        <w:jc w:val="both"/>
        <w:rPr>
          <w:rFonts w:ascii="Tahoma" w:hAnsi="Tahoma" w:cs="Tahoma"/>
          <w:vanish/>
        </w:rPr>
      </w:pPr>
    </w:p>
    <w:p w14:paraId="01219868" w14:textId="4CEA2C61" w:rsidR="00146432" w:rsidRPr="00DB0B20" w:rsidRDefault="00146432" w:rsidP="00DB0B20">
      <w:pPr>
        <w:pStyle w:val="PargrafodaLista"/>
        <w:widowControl w:val="0"/>
        <w:numPr>
          <w:ilvl w:val="1"/>
          <w:numId w:val="37"/>
        </w:numPr>
        <w:tabs>
          <w:tab w:val="left" w:pos="0"/>
        </w:tabs>
        <w:spacing w:after="0" w:line="300" w:lineRule="exact"/>
        <w:ind w:left="0" w:firstLine="0"/>
        <w:jc w:val="both"/>
        <w:rPr>
          <w:rFonts w:ascii="Tahoma" w:hAnsi="Tahoma" w:cs="Tahoma"/>
        </w:rPr>
      </w:pPr>
      <w:r w:rsidRPr="00DB0B20">
        <w:rPr>
          <w:rFonts w:ascii="Tahoma" w:hAnsi="Tahoma" w:cs="Tahoma"/>
        </w:rPr>
        <w:t>Permanecem inalteradas as demais disposições anteriormente firmadas que não apresentem incompatibilidade com o Aditamento ora firmado, as quais são neste ato ratificadas integralmente, obrigando-se as Partes e seus sucessores ao integral cumprimento dos termos constantes no mesmo, a qualquer título.</w:t>
      </w:r>
    </w:p>
    <w:p w14:paraId="7BE71B8F" w14:textId="77777777" w:rsidR="004978CF" w:rsidRPr="00DB0B20" w:rsidRDefault="004978CF" w:rsidP="00DB0B20">
      <w:pPr>
        <w:pStyle w:val="p0"/>
        <w:tabs>
          <w:tab w:val="left" w:pos="2835"/>
        </w:tabs>
        <w:spacing w:line="300" w:lineRule="exact"/>
        <w:rPr>
          <w:rFonts w:ascii="Tahoma" w:hAnsi="Tahoma" w:cs="Tahoma"/>
          <w:sz w:val="21"/>
          <w:szCs w:val="21"/>
        </w:rPr>
      </w:pPr>
    </w:p>
    <w:p w14:paraId="00E085E8" w14:textId="77777777" w:rsidR="00146432" w:rsidRPr="00DB0B20" w:rsidRDefault="00146432" w:rsidP="00DB0B20">
      <w:pPr>
        <w:pStyle w:val="p0"/>
        <w:tabs>
          <w:tab w:val="left" w:pos="2835"/>
        </w:tabs>
        <w:spacing w:line="300" w:lineRule="exact"/>
        <w:rPr>
          <w:rFonts w:ascii="Tahoma" w:hAnsi="Tahoma" w:cs="Tahoma"/>
          <w:b/>
          <w:sz w:val="21"/>
          <w:szCs w:val="21"/>
        </w:rPr>
      </w:pPr>
      <w:r w:rsidRPr="00DB0B20">
        <w:rPr>
          <w:rFonts w:ascii="Tahoma" w:hAnsi="Tahoma" w:cs="Tahoma"/>
          <w:b/>
          <w:sz w:val="21"/>
          <w:szCs w:val="21"/>
        </w:rPr>
        <w:t>CLÁUSULA SEXTA – DISPOSIÇÕES FINAIS</w:t>
      </w:r>
    </w:p>
    <w:p w14:paraId="407DCAA2" w14:textId="77777777" w:rsidR="00146432" w:rsidRPr="00DB0B20" w:rsidRDefault="00146432" w:rsidP="00DB0B20">
      <w:pPr>
        <w:pStyle w:val="PargrafodaLista"/>
        <w:widowControl w:val="0"/>
        <w:spacing w:after="0" w:line="300" w:lineRule="exact"/>
        <w:ind w:left="0"/>
        <w:jc w:val="both"/>
        <w:rPr>
          <w:rFonts w:ascii="Tahoma" w:hAnsi="Tahoma" w:cs="Tahoma"/>
        </w:rPr>
      </w:pPr>
    </w:p>
    <w:p w14:paraId="28019E28" w14:textId="77777777" w:rsidR="007F52C9" w:rsidRPr="00DB0B20" w:rsidRDefault="007F52C9" w:rsidP="00DB0B20">
      <w:pPr>
        <w:pStyle w:val="PargrafodaLista"/>
        <w:widowControl w:val="0"/>
        <w:numPr>
          <w:ilvl w:val="0"/>
          <w:numId w:val="37"/>
        </w:numPr>
        <w:tabs>
          <w:tab w:val="left" w:pos="0"/>
        </w:tabs>
        <w:spacing w:after="0" w:line="300" w:lineRule="exact"/>
        <w:jc w:val="both"/>
        <w:rPr>
          <w:rFonts w:ascii="Tahoma" w:hAnsi="Tahoma" w:cs="Tahoma"/>
          <w:vanish/>
        </w:rPr>
      </w:pPr>
    </w:p>
    <w:p w14:paraId="2245B0C0" w14:textId="1E835A26" w:rsidR="00834A9C" w:rsidRPr="00DB0B20" w:rsidRDefault="00834A9C" w:rsidP="00DB0B20">
      <w:pPr>
        <w:pStyle w:val="PargrafodaLista"/>
        <w:widowControl w:val="0"/>
        <w:numPr>
          <w:ilvl w:val="1"/>
          <w:numId w:val="37"/>
        </w:numPr>
        <w:tabs>
          <w:tab w:val="left" w:pos="0"/>
        </w:tabs>
        <w:spacing w:after="0" w:line="300" w:lineRule="exact"/>
        <w:ind w:left="0" w:firstLine="0"/>
        <w:jc w:val="both"/>
        <w:rPr>
          <w:rFonts w:ascii="Tahoma" w:hAnsi="Tahoma" w:cs="Tahoma"/>
        </w:rPr>
      </w:pPr>
      <w:r w:rsidRPr="00DB0B20">
        <w:rPr>
          <w:rFonts w:ascii="Tahoma" w:hAnsi="Tahoma" w:cs="Tahoma"/>
        </w:rPr>
        <w:t xml:space="preserve">Qualquer despesa relacionada ao presente Aditamento, incluindo, mas sem se limitar, a obrigação de registro mencionada na Cláusula </w:t>
      </w:r>
      <w:r w:rsidR="008B39F4" w:rsidRPr="00DB0B20">
        <w:rPr>
          <w:rFonts w:ascii="Tahoma" w:hAnsi="Tahoma" w:cs="Tahoma"/>
        </w:rPr>
        <w:t>Quarta</w:t>
      </w:r>
      <w:r w:rsidRPr="00DB0B20">
        <w:rPr>
          <w:rFonts w:ascii="Tahoma" w:hAnsi="Tahoma" w:cs="Tahoma"/>
        </w:rPr>
        <w:t xml:space="preserve"> acima, será suportada exclusivamente pela Fiduciante.</w:t>
      </w:r>
    </w:p>
    <w:p w14:paraId="150B2B71" w14:textId="77777777" w:rsidR="00834A9C" w:rsidRPr="00DB0B20" w:rsidRDefault="00834A9C" w:rsidP="00DB0B20">
      <w:pPr>
        <w:pStyle w:val="PargrafodaLista"/>
        <w:widowControl w:val="0"/>
        <w:spacing w:after="0" w:line="300" w:lineRule="exact"/>
        <w:ind w:left="0"/>
        <w:jc w:val="both"/>
        <w:rPr>
          <w:rFonts w:ascii="Tahoma" w:hAnsi="Tahoma" w:cs="Tahoma"/>
        </w:rPr>
      </w:pPr>
    </w:p>
    <w:p w14:paraId="061A5CC3" w14:textId="30261CD4" w:rsidR="00834A9C" w:rsidRPr="00DB0B20" w:rsidRDefault="00834A9C" w:rsidP="00DB0B20">
      <w:pPr>
        <w:pStyle w:val="PargrafodaLista"/>
        <w:widowControl w:val="0"/>
        <w:numPr>
          <w:ilvl w:val="1"/>
          <w:numId w:val="37"/>
        </w:numPr>
        <w:tabs>
          <w:tab w:val="left" w:pos="0"/>
        </w:tabs>
        <w:spacing w:after="0" w:line="300" w:lineRule="exact"/>
        <w:ind w:left="0" w:firstLine="0"/>
        <w:jc w:val="both"/>
        <w:rPr>
          <w:rFonts w:ascii="Tahoma" w:hAnsi="Tahoma" w:cs="Tahoma"/>
        </w:rPr>
      </w:pPr>
      <w:r w:rsidRPr="00DB0B20">
        <w:rPr>
          <w:rFonts w:ascii="Tahoma" w:hAnsi="Tahoma" w:cs="Tahoma"/>
        </w:rPr>
        <w:t>O presente Aditamento é firmado em caráter irretratável e irrevogável, obrigando as Partes, seus representantes e sucessores a qualquer título, com renúncia expressa ao direito de arrependimento.</w:t>
      </w:r>
    </w:p>
    <w:p w14:paraId="16E5CE01" w14:textId="77777777" w:rsidR="00834A9C" w:rsidRPr="00DB0B20" w:rsidRDefault="00834A9C" w:rsidP="00DB0B20">
      <w:pPr>
        <w:pStyle w:val="PargrafodaLista"/>
        <w:widowControl w:val="0"/>
        <w:spacing w:after="0" w:line="300" w:lineRule="exact"/>
        <w:ind w:left="0"/>
        <w:jc w:val="both"/>
        <w:rPr>
          <w:rFonts w:ascii="Tahoma" w:hAnsi="Tahoma" w:cs="Tahoma"/>
        </w:rPr>
      </w:pPr>
    </w:p>
    <w:p w14:paraId="32EFC8F2" w14:textId="69FF9850" w:rsidR="00834A9C" w:rsidRPr="00DB0B20" w:rsidRDefault="00834A9C" w:rsidP="00DB0B20">
      <w:pPr>
        <w:pStyle w:val="PargrafodaLista"/>
        <w:widowControl w:val="0"/>
        <w:numPr>
          <w:ilvl w:val="1"/>
          <w:numId w:val="37"/>
        </w:numPr>
        <w:tabs>
          <w:tab w:val="left" w:pos="0"/>
        </w:tabs>
        <w:spacing w:after="0" w:line="300" w:lineRule="exact"/>
        <w:ind w:left="0" w:firstLine="0"/>
        <w:jc w:val="both"/>
        <w:rPr>
          <w:rFonts w:ascii="Tahoma" w:eastAsia="Batang" w:hAnsi="Tahoma" w:cs="Tahoma"/>
        </w:rPr>
      </w:pPr>
      <w:r w:rsidRPr="00DB0B20">
        <w:rPr>
          <w:rFonts w:ascii="Tahoma" w:hAnsi="Tahoma" w:cs="Tahoma"/>
        </w:rPr>
        <w:t xml:space="preserve">A celebração deste Aditamento e o cumprimento das obrigações de cada uma das Partes dispostas no Contrato de Alienação Fiduciária conforme alterado, (i) </w:t>
      </w:r>
      <w:r w:rsidRPr="00DB0B20">
        <w:rPr>
          <w:rFonts w:ascii="Tahoma" w:eastAsia="Batang" w:hAnsi="Tahoma" w:cs="Tahoma"/>
        </w:rPr>
        <w:t>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0294964A" w14:textId="77777777" w:rsidR="00834A9C" w:rsidRPr="00DB0B20" w:rsidRDefault="00834A9C" w:rsidP="00DB0B20">
      <w:pPr>
        <w:pStyle w:val="PargrafodaLista"/>
        <w:widowControl w:val="0"/>
        <w:spacing w:after="0" w:line="300" w:lineRule="exact"/>
        <w:ind w:left="0"/>
        <w:jc w:val="both"/>
        <w:rPr>
          <w:rFonts w:ascii="Tahoma" w:eastAsia="Batang" w:hAnsi="Tahoma" w:cs="Tahoma"/>
        </w:rPr>
      </w:pPr>
    </w:p>
    <w:p w14:paraId="2522B4D3" w14:textId="0D831F04" w:rsidR="00834A9C" w:rsidRPr="00DB0B20" w:rsidRDefault="00834A9C" w:rsidP="00DB0B20">
      <w:pPr>
        <w:pStyle w:val="PargrafodaLista"/>
        <w:widowControl w:val="0"/>
        <w:numPr>
          <w:ilvl w:val="1"/>
          <w:numId w:val="37"/>
        </w:numPr>
        <w:tabs>
          <w:tab w:val="left" w:pos="0"/>
        </w:tabs>
        <w:spacing w:after="0" w:line="300" w:lineRule="exact"/>
        <w:ind w:left="0" w:firstLine="0"/>
        <w:jc w:val="both"/>
        <w:rPr>
          <w:rFonts w:ascii="Tahoma" w:eastAsia="Batang" w:hAnsi="Tahoma" w:cs="Tahoma"/>
        </w:rPr>
      </w:pPr>
      <w:r w:rsidRPr="00DB0B20">
        <w:rPr>
          <w:rFonts w:ascii="Tahoma" w:eastAsia="Batang" w:hAnsi="Tahoma" w:cs="Tahoma"/>
        </w:rPr>
        <w:lastRenderedPageBreak/>
        <w:t>As Partes elegem o foro da comarca de São Paulo, Estado de São Paulo, como o único competente para dirimir quaisquer questões ou litígios originários ou decorrente deste Aditamento, renunciando expressamente a qualquer outro, por mais privilegiado que seja ou venha a ser.</w:t>
      </w:r>
    </w:p>
    <w:p w14:paraId="21866125" w14:textId="77777777" w:rsidR="00834A9C" w:rsidRPr="00DB0B20" w:rsidRDefault="00834A9C" w:rsidP="00DB0B20">
      <w:pPr>
        <w:pStyle w:val="PargrafodaLista"/>
        <w:widowControl w:val="0"/>
        <w:pBdr>
          <w:bottom w:val="single" w:sz="6" w:space="1" w:color="auto"/>
        </w:pBdr>
        <w:spacing w:after="0" w:line="300" w:lineRule="exact"/>
        <w:ind w:left="0"/>
        <w:jc w:val="both"/>
        <w:rPr>
          <w:rFonts w:ascii="Tahoma" w:eastAsia="Batang" w:hAnsi="Tahoma" w:cs="Tahoma"/>
        </w:rPr>
      </w:pPr>
    </w:p>
    <w:p w14:paraId="19DFC933" w14:textId="77777777" w:rsidR="00823255" w:rsidRDefault="00823255" w:rsidP="00DB0B20">
      <w:pPr>
        <w:pStyle w:val="PargrafodaLista"/>
        <w:widowControl w:val="0"/>
        <w:spacing w:after="0" w:line="300" w:lineRule="exact"/>
        <w:ind w:left="0"/>
        <w:jc w:val="both"/>
        <w:rPr>
          <w:rFonts w:ascii="Tahoma" w:hAnsi="Tahoma" w:cs="Tahoma"/>
        </w:rPr>
      </w:pPr>
    </w:p>
    <w:p w14:paraId="39366505" w14:textId="77777777" w:rsidR="00823255" w:rsidRPr="001C5ECE" w:rsidRDefault="00823255" w:rsidP="00823255">
      <w:pPr>
        <w:widowControl w:val="0"/>
        <w:spacing w:line="300" w:lineRule="exact"/>
        <w:contextualSpacing/>
        <w:jc w:val="both"/>
        <w:rPr>
          <w:rFonts w:ascii="Tahoma" w:hAnsi="Tahoma" w:cs="Tahoma"/>
        </w:rPr>
      </w:pPr>
      <w:r w:rsidRPr="001C5ECE">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4A172638" w14:textId="77777777" w:rsidR="008B39F4" w:rsidRPr="00DB0B20" w:rsidRDefault="008B39F4" w:rsidP="00DB0B20">
      <w:pPr>
        <w:pStyle w:val="PargrafodaLista"/>
        <w:widowControl w:val="0"/>
        <w:spacing w:after="0" w:line="300" w:lineRule="exact"/>
        <w:ind w:left="0"/>
        <w:jc w:val="both"/>
        <w:rPr>
          <w:rFonts w:ascii="Tahoma" w:hAnsi="Tahoma" w:cs="Tahoma"/>
          <w:b/>
        </w:rPr>
      </w:pPr>
    </w:p>
    <w:p w14:paraId="7651DE30" w14:textId="019E5A52" w:rsidR="0037677E" w:rsidRDefault="00046C6C" w:rsidP="00DB0B20">
      <w:pPr>
        <w:widowControl w:val="0"/>
        <w:spacing w:after="0" w:line="300" w:lineRule="exact"/>
        <w:contextualSpacing/>
        <w:jc w:val="center"/>
        <w:rPr>
          <w:rFonts w:ascii="Tahoma" w:hAnsi="Tahoma" w:cs="Tahoma"/>
        </w:rPr>
      </w:pPr>
      <w:bookmarkStart w:id="4" w:name="_DV_M484"/>
      <w:bookmarkStart w:id="5" w:name="_DV_M495"/>
      <w:bookmarkStart w:id="6" w:name="_DV_M498"/>
      <w:bookmarkStart w:id="7" w:name="_DV_M499"/>
      <w:bookmarkStart w:id="8" w:name="_DV_M501"/>
      <w:bookmarkStart w:id="9" w:name="_DV_M502"/>
      <w:bookmarkEnd w:id="4"/>
      <w:bookmarkEnd w:id="5"/>
      <w:bookmarkEnd w:id="6"/>
      <w:bookmarkEnd w:id="7"/>
      <w:bookmarkEnd w:id="8"/>
      <w:bookmarkEnd w:id="9"/>
      <w:r w:rsidRPr="00DB0B20">
        <w:rPr>
          <w:rFonts w:ascii="Tahoma" w:hAnsi="Tahoma" w:cs="Tahoma"/>
        </w:rPr>
        <w:t>São Paulo</w:t>
      </w:r>
      <w:r w:rsidR="00476171" w:rsidRPr="00DB0B20">
        <w:rPr>
          <w:rFonts w:ascii="Tahoma" w:hAnsi="Tahoma" w:cs="Tahoma"/>
        </w:rPr>
        <w:t>/SP</w:t>
      </w:r>
      <w:r w:rsidRPr="00DB0B20">
        <w:rPr>
          <w:rFonts w:ascii="Tahoma" w:hAnsi="Tahoma" w:cs="Tahoma"/>
        </w:rPr>
        <w:t xml:space="preserve">, </w:t>
      </w:r>
      <w:r w:rsidR="00DB0B20" w:rsidRPr="00DB0B20">
        <w:rPr>
          <w:rFonts w:ascii="Tahoma" w:hAnsi="Tahoma" w:cs="Tahoma"/>
        </w:rPr>
        <w:t>03</w:t>
      </w:r>
      <w:r w:rsidR="00DB0B20" w:rsidRPr="00DB0B20">
        <w:rPr>
          <w:rFonts w:ascii="Tahoma" w:hAnsi="Tahoma" w:cs="Tahoma"/>
        </w:rPr>
        <w:t xml:space="preserve"> </w:t>
      </w:r>
      <w:r w:rsidR="00DF2908" w:rsidRPr="00DB0B20">
        <w:rPr>
          <w:rFonts w:ascii="Tahoma" w:hAnsi="Tahoma" w:cs="Tahoma"/>
        </w:rPr>
        <w:t xml:space="preserve">de </w:t>
      </w:r>
      <w:r w:rsidR="007F52C9" w:rsidRPr="00DB0B20">
        <w:rPr>
          <w:rFonts w:ascii="Tahoma" w:hAnsi="Tahoma" w:cs="Tahoma"/>
        </w:rPr>
        <w:t xml:space="preserve">novembro </w:t>
      </w:r>
      <w:r w:rsidR="00DF2908" w:rsidRPr="00DB0B20">
        <w:rPr>
          <w:rFonts w:ascii="Tahoma" w:hAnsi="Tahoma" w:cs="Tahoma"/>
        </w:rPr>
        <w:t>de 2021</w:t>
      </w:r>
      <w:r w:rsidRPr="00DB0B20">
        <w:rPr>
          <w:rFonts w:ascii="Tahoma" w:hAnsi="Tahoma" w:cs="Tahoma"/>
        </w:rPr>
        <w:t>.</w:t>
      </w:r>
    </w:p>
    <w:p w14:paraId="32FBA7FF" w14:textId="0A1B14A7" w:rsidR="00823255" w:rsidRDefault="00823255" w:rsidP="00DB0B20">
      <w:pPr>
        <w:widowControl w:val="0"/>
        <w:spacing w:after="0" w:line="300" w:lineRule="exact"/>
        <w:contextualSpacing/>
        <w:jc w:val="center"/>
        <w:rPr>
          <w:rFonts w:ascii="Tahoma" w:hAnsi="Tahoma" w:cs="Tahoma"/>
        </w:rPr>
      </w:pPr>
    </w:p>
    <w:p w14:paraId="4BF3F8F9" w14:textId="281AD8E2" w:rsidR="00823255" w:rsidRPr="00823255" w:rsidRDefault="00823255" w:rsidP="00DB0B20">
      <w:pPr>
        <w:widowControl w:val="0"/>
        <w:spacing w:after="0" w:line="300" w:lineRule="exact"/>
        <w:contextualSpacing/>
        <w:jc w:val="center"/>
        <w:rPr>
          <w:rFonts w:ascii="Tahoma" w:hAnsi="Tahoma" w:cs="Tahoma"/>
          <w:i/>
          <w:iCs/>
          <w:smallCaps/>
          <w:color w:val="808080" w:themeColor="background1" w:themeShade="80"/>
        </w:rPr>
      </w:pPr>
      <w:r w:rsidRPr="00823255">
        <w:rPr>
          <w:rFonts w:ascii="Tahoma" w:hAnsi="Tahoma" w:cs="Tahoma"/>
          <w:i/>
          <w:iCs/>
          <w:smallCaps/>
          <w:color w:val="808080" w:themeColor="background1" w:themeShade="80"/>
        </w:rPr>
        <w:t>[assinaturas na próxima página]</w:t>
      </w:r>
    </w:p>
    <w:p w14:paraId="28FF1FC2" w14:textId="3BDEB1C0" w:rsidR="00823255" w:rsidRPr="00823255" w:rsidRDefault="00823255" w:rsidP="00DB0B20">
      <w:pPr>
        <w:widowControl w:val="0"/>
        <w:spacing w:after="0" w:line="300" w:lineRule="exact"/>
        <w:contextualSpacing/>
        <w:jc w:val="center"/>
        <w:rPr>
          <w:rFonts w:ascii="Tahoma" w:hAnsi="Tahoma" w:cs="Tahoma"/>
          <w:i/>
          <w:iCs/>
          <w:smallCaps/>
          <w:color w:val="808080" w:themeColor="background1" w:themeShade="80"/>
        </w:rPr>
      </w:pPr>
    </w:p>
    <w:p w14:paraId="6955DF53" w14:textId="40DC7950" w:rsidR="00823255" w:rsidRPr="00823255" w:rsidRDefault="00823255" w:rsidP="00DB0B20">
      <w:pPr>
        <w:widowControl w:val="0"/>
        <w:spacing w:after="0" w:line="300" w:lineRule="exact"/>
        <w:contextualSpacing/>
        <w:jc w:val="center"/>
        <w:rPr>
          <w:rFonts w:ascii="Tahoma" w:hAnsi="Tahoma" w:cs="Tahoma"/>
          <w:i/>
          <w:iCs/>
          <w:smallCaps/>
          <w:color w:val="808080" w:themeColor="background1" w:themeShade="80"/>
        </w:rPr>
      </w:pPr>
      <w:r w:rsidRPr="00823255">
        <w:rPr>
          <w:rFonts w:ascii="Tahoma" w:hAnsi="Tahoma" w:cs="Tahoma"/>
          <w:i/>
          <w:iCs/>
          <w:smallCaps/>
          <w:color w:val="808080" w:themeColor="background1" w:themeShade="80"/>
        </w:rPr>
        <w:t>[o restante desta página foi deixado intencionalmente em branco]</w:t>
      </w:r>
    </w:p>
    <w:bookmarkEnd w:id="2"/>
    <w:p w14:paraId="36993DDC" w14:textId="447B269A" w:rsidR="0037677E" w:rsidRPr="00823255" w:rsidRDefault="0037677E" w:rsidP="00DB0B20">
      <w:pPr>
        <w:widowControl w:val="0"/>
        <w:spacing w:after="0" w:line="300" w:lineRule="exact"/>
        <w:contextualSpacing/>
        <w:jc w:val="both"/>
        <w:rPr>
          <w:rFonts w:ascii="Tahoma" w:hAnsi="Tahoma" w:cs="Tahoma"/>
          <w:smallCaps/>
          <w:color w:val="808080" w:themeColor="background1" w:themeShade="80"/>
        </w:rPr>
      </w:pPr>
      <w:r w:rsidRPr="00823255">
        <w:rPr>
          <w:rFonts w:ascii="Tahoma" w:hAnsi="Tahoma" w:cs="Tahoma"/>
          <w:smallCaps/>
          <w:color w:val="808080" w:themeColor="background1" w:themeShade="80"/>
        </w:rPr>
        <w:br w:type="page"/>
      </w:r>
      <w:r w:rsidRPr="00823255">
        <w:rPr>
          <w:rFonts w:ascii="Tahoma" w:hAnsi="Tahoma" w:cs="Tahoma"/>
          <w:i/>
          <w:smallCaps/>
          <w:color w:val="808080" w:themeColor="background1" w:themeShade="80"/>
        </w:rPr>
        <w:lastRenderedPageBreak/>
        <w:t>(</w:t>
      </w:r>
      <w:r w:rsidR="001025F3" w:rsidRPr="00823255">
        <w:rPr>
          <w:rFonts w:ascii="Tahoma" w:hAnsi="Tahoma" w:cs="Tahoma"/>
          <w:b/>
          <w:bCs/>
          <w:i/>
          <w:smallCaps/>
          <w:color w:val="808080" w:themeColor="background1" w:themeShade="80"/>
        </w:rPr>
        <w:t xml:space="preserve">Página </w:t>
      </w:r>
      <w:r w:rsidRPr="00823255">
        <w:rPr>
          <w:rFonts w:ascii="Tahoma" w:hAnsi="Tahoma" w:cs="Tahoma"/>
          <w:b/>
          <w:bCs/>
          <w:i/>
          <w:smallCaps/>
          <w:color w:val="808080" w:themeColor="background1" w:themeShade="80"/>
        </w:rPr>
        <w:t>de assinaturas</w:t>
      </w:r>
      <w:r w:rsidRPr="00823255">
        <w:rPr>
          <w:rFonts w:ascii="Tahoma" w:hAnsi="Tahoma" w:cs="Tahoma"/>
          <w:i/>
          <w:smallCaps/>
          <w:color w:val="808080" w:themeColor="background1" w:themeShade="80"/>
        </w:rPr>
        <w:t xml:space="preserve"> do </w:t>
      </w:r>
      <w:r w:rsidR="008801D4" w:rsidRPr="00823255">
        <w:rPr>
          <w:rFonts w:ascii="Tahoma" w:hAnsi="Tahoma" w:cs="Tahoma"/>
          <w:i/>
          <w:smallCaps/>
          <w:color w:val="808080" w:themeColor="background1" w:themeShade="80"/>
        </w:rPr>
        <w:t xml:space="preserve">Primeiro Aditamento ao </w:t>
      </w:r>
      <w:r w:rsidRPr="00823255">
        <w:rPr>
          <w:rFonts w:ascii="Tahoma" w:hAnsi="Tahoma" w:cs="Tahoma"/>
          <w:i/>
          <w:smallCaps/>
          <w:color w:val="808080" w:themeColor="background1" w:themeShade="80"/>
        </w:rPr>
        <w:t>Instrumento Particular de Alienação Fiduciária de Imóveis em Garantia e Outras Avenças, celebrado em</w:t>
      </w:r>
      <w:r w:rsidR="00E76E48" w:rsidRPr="00823255">
        <w:rPr>
          <w:rFonts w:ascii="Tahoma" w:hAnsi="Tahoma" w:cs="Tahoma"/>
          <w:i/>
          <w:smallCaps/>
          <w:color w:val="808080" w:themeColor="background1" w:themeShade="80"/>
        </w:rPr>
        <w:t xml:space="preserve"> </w:t>
      </w:r>
      <w:r w:rsidR="00DB0B20" w:rsidRPr="00823255">
        <w:rPr>
          <w:rFonts w:ascii="Tahoma" w:hAnsi="Tahoma" w:cs="Tahoma"/>
          <w:i/>
          <w:smallCaps/>
          <w:color w:val="808080" w:themeColor="background1" w:themeShade="80"/>
        </w:rPr>
        <w:t>03</w:t>
      </w:r>
      <w:r w:rsidR="00DB0B20" w:rsidRPr="00823255">
        <w:rPr>
          <w:rFonts w:ascii="Tahoma" w:hAnsi="Tahoma" w:cs="Tahoma"/>
          <w:i/>
          <w:smallCaps/>
          <w:color w:val="808080" w:themeColor="background1" w:themeShade="80"/>
        </w:rPr>
        <w:t xml:space="preserve"> </w:t>
      </w:r>
      <w:r w:rsidR="00B36A30" w:rsidRPr="00823255">
        <w:rPr>
          <w:rFonts w:ascii="Tahoma" w:hAnsi="Tahoma" w:cs="Tahoma"/>
          <w:i/>
          <w:smallCaps/>
          <w:color w:val="808080" w:themeColor="background1" w:themeShade="80"/>
        </w:rPr>
        <w:t xml:space="preserve">de </w:t>
      </w:r>
      <w:r w:rsidR="002F76D1" w:rsidRPr="00823255">
        <w:rPr>
          <w:rFonts w:ascii="Tahoma" w:hAnsi="Tahoma" w:cs="Tahoma"/>
          <w:i/>
          <w:smallCaps/>
          <w:color w:val="808080" w:themeColor="background1" w:themeShade="80"/>
        </w:rPr>
        <w:t xml:space="preserve">novembro </w:t>
      </w:r>
      <w:r w:rsidR="00B36A30" w:rsidRPr="00823255">
        <w:rPr>
          <w:rFonts w:ascii="Tahoma" w:hAnsi="Tahoma" w:cs="Tahoma"/>
          <w:i/>
          <w:smallCaps/>
          <w:color w:val="808080" w:themeColor="background1" w:themeShade="80"/>
        </w:rPr>
        <w:t>de 2021</w:t>
      </w:r>
      <w:r w:rsidRPr="00823255">
        <w:rPr>
          <w:rFonts w:ascii="Tahoma" w:hAnsi="Tahoma" w:cs="Tahoma"/>
          <w:i/>
          <w:smallCaps/>
          <w:color w:val="808080" w:themeColor="background1" w:themeShade="80"/>
        </w:rPr>
        <w:t xml:space="preserve">, entre </w:t>
      </w:r>
      <w:r w:rsidR="0055109A" w:rsidRPr="00823255">
        <w:rPr>
          <w:rFonts w:ascii="Tahoma" w:hAnsi="Tahoma" w:cs="Tahoma"/>
          <w:i/>
          <w:smallCaps/>
          <w:color w:val="808080" w:themeColor="background1" w:themeShade="80"/>
        </w:rPr>
        <w:t>a</w:t>
      </w:r>
      <w:r w:rsidR="00717896" w:rsidRPr="00823255">
        <w:rPr>
          <w:rFonts w:ascii="Tahoma" w:hAnsi="Tahoma" w:cs="Tahoma"/>
          <w:i/>
          <w:smallCaps/>
          <w:color w:val="808080" w:themeColor="background1" w:themeShade="80"/>
        </w:rPr>
        <w:t xml:space="preserve"> </w:t>
      </w:r>
      <w:r w:rsidR="00E76E48" w:rsidRPr="00823255">
        <w:rPr>
          <w:rFonts w:ascii="Tahoma" w:hAnsi="Tahoma" w:cs="Tahoma"/>
          <w:i/>
          <w:smallCaps/>
          <w:color w:val="808080" w:themeColor="background1" w:themeShade="80"/>
        </w:rPr>
        <w:t>JK Amazonas Empreendimento Imobiliário Ltda.</w:t>
      </w:r>
      <w:r w:rsidRPr="00823255">
        <w:rPr>
          <w:rFonts w:ascii="Tahoma" w:hAnsi="Tahoma" w:cs="Tahoma"/>
          <w:i/>
          <w:smallCaps/>
          <w:color w:val="808080" w:themeColor="background1" w:themeShade="80"/>
        </w:rPr>
        <w:t>, na qualidade de fiduciante, a</w:t>
      </w:r>
      <w:r w:rsidR="00705683" w:rsidRPr="00823255">
        <w:rPr>
          <w:rFonts w:ascii="Tahoma" w:hAnsi="Tahoma" w:cs="Tahoma"/>
          <w:i/>
          <w:smallCaps/>
          <w:color w:val="808080" w:themeColor="background1" w:themeShade="80"/>
        </w:rPr>
        <w:t xml:space="preserve"> </w:t>
      </w:r>
      <w:r w:rsidR="00A7536C" w:rsidRPr="00823255">
        <w:rPr>
          <w:rFonts w:ascii="Tahoma" w:hAnsi="Tahoma" w:cs="Tahoma"/>
          <w:i/>
          <w:smallCaps/>
          <w:color w:val="808080" w:themeColor="background1" w:themeShade="80"/>
        </w:rPr>
        <w:t>Virgo Companhia de Securitização, na qualidade de fiduciária, e a Vila Nova Conceição Empreendimentos Imobiliários Ltda., na qualidade de interveniente anuente.</w:t>
      </w:r>
      <w:r w:rsidRPr="00823255">
        <w:rPr>
          <w:rFonts w:ascii="Tahoma" w:hAnsi="Tahoma" w:cs="Tahoma"/>
          <w:i/>
          <w:smallCaps/>
          <w:color w:val="808080" w:themeColor="background1" w:themeShade="80"/>
        </w:rPr>
        <w:t>)</w:t>
      </w:r>
    </w:p>
    <w:p w14:paraId="4A41B938" w14:textId="1F5DB122" w:rsidR="00066C94" w:rsidRPr="00DB0B20" w:rsidRDefault="00066C94" w:rsidP="00DB0B20">
      <w:pPr>
        <w:widowControl w:val="0"/>
        <w:autoSpaceDE w:val="0"/>
        <w:autoSpaceDN w:val="0"/>
        <w:adjustRightInd w:val="0"/>
        <w:spacing w:after="0" w:line="300" w:lineRule="exact"/>
        <w:ind w:right="57"/>
        <w:jc w:val="both"/>
        <w:rPr>
          <w:rFonts w:ascii="Tahoma" w:hAnsi="Tahoma" w:cs="Tahoma"/>
          <w:u w:val="single"/>
        </w:rPr>
      </w:pPr>
    </w:p>
    <w:p w14:paraId="68613213" w14:textId="73CB031A" w:rsidR="000221F7" w:rsidRPr="00DB0B20" w:rsidRDefault="000221F7" w:rsidP="00DB0B20">
      <w:pPr>
        <w:widowControl w:val="0"/>
        <w:autoSpaceDE w:val="0"/>
        <w:autoSpaceDN w:val="0"/>
        <w:adjustRightInd w:val="0"/>
        <w:spacing w:after="0" w:line="300" w:lineRule="exact"/>
        <w:ind w:right="57"/>
        <w:jc w:val="both"/>
        <w:rPr>
          <w:rFonts w:ascii="Tahoma" w:hAnsi="Tahoma" w:cs="Tahoma"/>
          <w:u w:val="single"/>
        </w:rPr>
      </w:pPr>
    </w:p>
    <w:p w14:paraId="4E42F47B" w14:textId="77777777" w:rsidR="000221F7" w:rsidRPr="00DB0B20" w:rsidRDefault="000221F7" w:rsidP="00DB0B20">
      <w:pPr>
        <w:widowControl w:val="0"/>
        <w:autoSpaceDE w:val="0"/>
        <w:autoSpaceDN w:val="0"/>
        <w:adjustRightInd w:val="0"/>
        <w:spacing w:after="0" w:line="300" w:lineRule="exact"/>
        <w:ind w:right="57"/>
        <w:jc w:val="both"/>
        <w:rPr>
          <w:rFonts w:ascii="Tahoma" w:hAnsi="Tahoma" w:cs="Tahoma"/>
          <w:u w:val="single"/>
        </w:rPr>
      </w:pPr>
    </w:p>
    <w:p w14:paraId="566B7248" w14:textId="77777777" w:rsidR="00066C94" w:rsidRPr="00DB0B20" w:rsidRDefault="00066C94" w:rsidP="00DB0B20">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066C94" w:rsidRPr="00DB0B20" w14:paraId="746C7128" w14:textId="77777777" w:rsidTr="00500AE8">
        <w:trPr>
          <w:jc w:val="center"/>
        </w:trPr>
        <w:tc>
          <w:tcPr>
            <w:tcW w:w="8504" w:type="dxa"/>
          </w:tcPr>
          <w:p w14:paraId="730C254C" w14:textId="77777777" w:rsidR="00066C94" w:rsidRPr="00DB0B20" w:rsidRDefault="00066C94" w:rsidP="00DB0B20">
            <w:pPr>
              <w:widowControl w:val="0"/>
              <w:tabs>
                <w:tab w:val="left" w:pos="0"/>
              </w:tabs>
              <w:spacing w:after="0" w:line="300" w:lineRule="exact"/>
              <w:jc w:val="center"/>
              <w:rPr>
                <w:rFonts w:ascii="Tahoma" w:hAnsi="Tahoma" w:cs="Tahoma"/>
                <w:b/>
                <w:i/>
              </w:rPr>
            </w:pPr>
            <w:r w:rsidRPr="00DB0B20">
              <w:rPr>
                <w:rFonts w:ascii="Tahoma" w:hAnsi="Tahoma" w:cs="Tahoma"/>
                <w:b/>
                <w:bCs/>
              </w:rPr>
              <w:t>JK AMAZONAS EMPREENDIMENTO IMOBILIÁRIO LTDA.</w:t>
            </w:r>
          </w:p>
          <w:p w14:paraId="33FFB917" w14:textId="05E26BD5" w:rsidR="00066C94" w:rsidRPr="00DB0B20" w:rsidRDefault="00066C94" w:rsidP="00DB0B20">
            <w:pPr>
              <w:widowControl w:val="0"/>
              <w:tabs>
                <w:tab w:val="left" w:pos="0"/>
              </w:tabs>
              <w:spacing w:after="0" w:line="300" w:lineRule="exact"/>
              <w:jc w:val="center"/>
              <w:rPr>
                <w:rFonts w:ascii="Tahoma" w:hAnsi="Tahoma" w:cs="Tahoma"/>
                <w:i/>
              </w:rPr>
            </w:pPr>
            <w:r w:rsidRPr="00DB0B20">
              <w:rPr>
                <w:rFonts w:ascii="Tahoma" w:hAnsi="Tahoma" w:cs="Tahoma"/>
                <w:i/>
              </w:rPr>
              <w:t>Fiduciante</w:t>
            </w:r>
          </w:p>
        </w:tc>
      </w:tr>
      <w:tr w:rsidR="00066C94" w:rsidRPr="00DB0B20" w14:paraId="1D02FF73" w14:textId="77777777" w:rsidTr="00500AE8">
        <w:trPr>
          <w:jc w:val="center"/>
        </w:trPr>
        <w:tc>
          <w:tcPr>
            <w:tcW w:w="8504" w:type="dxa"/>
          </w:tcPr>
          <w:tbl>
            <w:tblPr>
              <w:tblW w:w="5000" w:type="pct"/>
              <w:jc w:val="center"/>
              <w:tblLook w:val="01E0" w:firstRow="1" w:lastRow="1" w:firstColumn="1" w:lastColumn="1" w:noHBand="0" w:noVBand="0"/>
            </w:tblPr>
            <w:tblGrid>
              <w:gridCol w:w="8288"/>
            </w:tblGrid>
            <w:tr w:rsidR="00066C94" w:rsidRPr="00DB0B20" w14:paraId="09D96289" w14:textId="77777777" w:rsidTr="00500AE8">
              <w:trPr>
                <w:trHeight w:val="20"/>
                <w:jc w:val="center"/>
              </w:trPr>
              <w:tc>
                <w:tcPr>
                  <w:tcW w:w="2500" w:type="pct"/>
                  <w:hideMark/>
                </w:tcPr>
                <w:p w14:paraId="7F3E0882" w14:textId="77777777" w:rsidR="00066C94" w:rsidRPr="00DB0B20" w:rsidRDefault="00066C94" w:rsidP="00DB0B20">
                  <w:pPr>
                    <w:widowControl w:val="0"/>
                    <w:spacing w:after="0" w:line="300" w:lineRule="exact"/>
                    <w:rPr>
                      <w:rFonts w:ascii="Tahoma" w:hAnsi="Tahoma" w:cs="Tahoma"/>
                    </w:rPr>
                  </w:pPr>
                  <w:r w:rsidRPr="00DB0B20">
                    <w:rPr>
                      <w:rFonts w:ascii="Tahoma" w:hAnsi="Tahoma" w:cs="Tahoma"/>
                    </w:rPr>
                    <w:t xml:space="preserve">Nome: </w:t>
                  </w:r>
                  <w:r w:rsidRPr="00DB0B20">
                    <w:rPr>
                      <w:rFonts w:ascii="Tahoma" w:hAnsi="Tahoma" w:cs="Tahoma"/>
                      <w:lang w:bidi="he-IL"/>
                    </w:rPr>
                    <w:t>Augusto Papa Napoli</w:t>
                  </w:r>
                </w:p>
              </w:tc>
            </w:tr>
            <w:tr w:rsidR="00066C94" w:rsidRPr="00DB0B20" w14:paraId="4A57B505" w14:textId="77777777" w:rsidTr="00500AE8">
              <w:trPr>
                <w:trHeight w:val="20"/>
                <w:jc w:val="center"/>
              </w:trPr>
              <w:tc>
                <w:tcPr>
                  <w:tcW w:w="2500" w:type="pct"/>
                  <w:hideMark/>
                </w:tcPr>
                <w:p w14:paraId="73A5C642" w14:textId="77777777" w:rsidR="00066C94" w:rsidRPr="00DB0B20" w:rsidRDefault="00066C94" w:rsidP="00DB0B20">
                  <w:pPr>
                    <w:widowControl w:val="0"/>
                    <w:spacing w:after="0" w:line="300" w:lineRule="exact"/>
                    <w:rPr>
                      <w:rFonts w:ascii="Tahoma" w:hAnsi="Tahoma" w:cs="Tahoma"/>
                    </w:rPr>
                  </w:pPr>
                  <w:r w:rsidRPr="00DB0B20">
                    <w:rPr>
                      <w:rFonts w:ascii="Tahoma" w:hAnsi="Tahoma" w:cs="Tahoma"/>
                    </w:rPr>
                    <w:t>Cargo: Administrador</w:t>
                  </w:r>
                </w:p>
                <w:p w14:paraId="39B3BD6D" w14:textId="77777777" w:rsidR="00066C94" w:rsidRPr="00DB0B20" w:rsidRDefault="00066C94" w:rsidP="00DB0B20">
                  <w:pPr>
                    <w:widowControl w:val="0"/>
                    <w:spacing w:after="0" w:line="300" w:lineRule="exact"/>
                    <w:rPr>
                      <w:rFonts w:ascii="Tahoma" w:hAnsi="Tahoma" w:cs="Tahoma"/>
                    </w:rPr>
                  </w:pPr>
                  <w:r w:rsidRPr="00DB0B20">
                    <w:rPr>
                      <w:rFonts w:ascii="Tahoma" w:hAnsi="Tahoma" w:cs="Tahoma"/>
                    </w:rPr>
                    <w:t>CPF: 404.706.228-65</w:t>
                  </w:r>
                </w:p>
                <w:p w14:paraId="3F76C45B" w14:textId="77777777" w:rsidR="00066C94" w:rsidRPr="00DB0B20" w:rsidRDefault="00066C94" w:rsidP="00DB0B20">
                  <w:pPr>
                    <w:widowControl w:val="0"/>
                    <w:spacing w:after="0" w:line="300" w:lineRule="exact"/>
                    <w:rPr>
                      <w:rFonts w:ascii="Tahoma" w:hAnsi="Tahoma" w:cs="Tahoma"/>
                    </w:rPr>
                  </w:pPr>
                  <w:r w:rsidRPr="00DB0B20">
                    <w:rPr>
                      <w:rFonts w:ascii="Tahoma" w:hAnsi="Tahoma" w:cs="Tahoma"/>
                    </w:rPr>
                    <w:t>RG: 35.499.255-7 SSP/SP</w:t>
                  </w:r>
                </w:p>
              </w:tc>
            </w:tr>
          </w:tbl>
          <w:p w14:paraId="21C8521E" w14:textId="77777777" w:rsidR="00066C94" w:rsidRPr="00DB0B20" w:rsidRDefault="00066C94" w:rsidP="00DB0B20">
            <w:pPr>
              <w:widowControl w:val="0"/>
              <w:tabs>
                <w:tab w:val="left" w:pos="604"/>
              </w:tabs>
              <w:spacing w:after="0" w:line="300" w:lineRule="exact"/>
              <w:ind w:left="1313"/>
              <w:rPr>
                <w:rFonts w:ascii="Tahoma" w:hAnsi="Tahoma" w:cs="Tahoma"/>
              </w:rPr>
            </w:pPr>
          </w:p>
        </w:tc>
      </w:tr>
    </w:tbl>
    <w:p w14:paraId="66CE00C2" w14:textId="6824AF73" w:rsidR="00827FFD" w:rsidRPr="00DB0B20" w:rsidRDefault="00827FFD" w:rsidP="00DB0B20">
      <w:pPr>
        <w:widowControl w:val="0"/>
        <w:spacing w:after="0" w:line="300" w:lineRule="exact"/>
        <w:contextualSpacing/>
        <w:jc w:val="both"/>
        <w:rPr>
          <w:rFonts w:ascii="Tahoma" w:hAnsi="Tahoma" w:cs="Tahoma"/>
          <w:lang w:val="it-IT"/>
        </w:rPr>
      </w:pPr>
    </w:p>
    <w:p w14:paraId="25C02D62" w14:textId="5899DB19" w:rsidR="00827FFD" w:rsidRPr="00DB0B20" w:rsidRDefault="00827FFD" w:rsidP="00DB0B20">
      <w:pPr>
        <w:widowControl w:val="0"/>
        <w:spacing w:after="0" w:line="300" w:lineRule="exact"/>
        <w:contextualSpacing/>
        <w:jc w:val="both"/>
        <w:rPr>
          <w:rFonts w:ascii="Tahoma" w:hAnsi="Tahoma" w:cs="Tahoma"/>
          <w:lang w:val="it-IT"/>
        </w:rPr>
      </w:pPr>
    </w:p>
    <w:p w14:paraId="21772766" w14:textId="64A223A1" w:rsidR="00827FFD" w:rsidRDefault="00827FFD" w:rsidP="00DB0B20">
      <w:pPr>
        <w:widowControl w:val="0"/>
        <w:spacing w:after="0" w:line="300" w:lineRule="exact"/>
        <w:contextualSpacing/>
        <w:jc w:val="both"/>
        <w:rPr>
          <w:rFonts w:ascii="Tahoma" w:hAnsi="Tahoma" w:cs="Tahoma"/>
          <w:i/>
          <w:smallCaps/>
          <w:color w:val="808080" w:themeColor="background1" w:themeShade="80"/>
        </w:rPr>
      </w:pPr>
    </w:p>
    <w:p w14:paraId="3B3DD3F2" w14:textId="77777777" w:rsidR="00DB0B20" w:rsidRPr="00DB0B20" w:rsidRDefault="00DB0B20" w:rsidP="00DB0B20">
      <w:pPr>
        <w:widowControl w:val="0"/>
        <w:spacing w:after="0" w:line="300" w:lineRule="exact"/>
        <w:contextualSpacing/>
        <w:jc w:val="both"/>
        <w:rPr>
          <w:rFonts w:ascii="Tahoma" w:hAnsi="Tahoma" w:cs="Tahoma"/>
          <w:i/>
          <w:smallCaps/>
          <w:color w:val="808080" w:themeColor="background1" w:themeShade="80"/>
        </w:rPr>
      </w:pPr>
    </w:p>
    <w:p w14:paraId="08000412" w14:textId="77777777" w:rsidR="00827FFD" w:rsidRPr="00DB0B20" w:rsidRDefault="00827FFD" w:rsidP="00DB0B20">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827FFD" w:rsidRPr="00DB0B20" w14:paraId="7C187786" w14:textId="77777777" w:rsidTr="00500AE8">
        <w:trPr>
          <w:jc w:val="center"/>
        </w:trPr>
        <w:tc>
          <w:tcPr>
            <w:tcW w:w="8978" w:type="dxa"/>
          </w:tcPr>
          <w:p w14:paraId="03A8E81B" w14:textId="77777777" w:rsidR="00827FFD" w:rsidRPr="00DB0B20" w:rsidRDefault="00827FFD" w:rsidP="00DB0B20">
            <w:pPr>
              <w:widowControl w:val="0"/>
              <w:tabs>
                <w:tab w:val="left" w:pos="0"/>
              </w:tabs>
              <w:spacing w:after="0" w:line="300" w:lineRule="exact"/>
              <w:jc w:val="center"/>
              <w:rPr>
                <w:rFonts w:ascii="Tahoma" w:hAnsi="Tahoma" w:cs="Tahoma"/>
                <w:b/>
                <w:i/>
              </w:rPr>
            </w:pPr>
            <w:r w:rsidRPr="00DB0B20">
              <w:rPr>
                <w:rFonts w:ascii="Tahoma" w:hAnsi="Tahoma" w:cs="Tahoma"/>
                <w:b/>
              </w:rPr>
              <w:t>VIRGO COMPANHIA DE SECURITIZAÇÃO</w:t>
            </w:r>
          </w:p>
          <w:p w14:paraId="01DD04D1" w14:textId="40C55F64" w:rsidR="00827FFD" w:rsidRPr="00DB0B20" w:rsidRDefault="00827FFD" w:rsidP="00DB0B20">
            <w:pPr>
              <w:widowControl w:val="0"/>
              <w:tabs>
                <w:tab w:val="left" w:pos="0"/>
              </w:tabs>
              <w:spacing w:after="0" w:line="300" w:lineRule="exact"/>
              <w:jc w:val="center"/>
              <w:rPr>
                <w:rFonts w:ascii="Tahoma" w:hAnsi="Tahoma" w:cs="Tahoma"/>
                <w:i/>
              </w:rPr>
            </w:pPr>
            <w:r w:rsidRPr="00DB0B20">
              <w:rPr>
                <w:rFonts w:ascii="Tahoma" w:hAnsi="Tahoma" w:cs="Tahoma"/>
                <w:i/>
              </w:rPr>
              <w:t>Fiduciária</w:t>
            </w:r>
          </w:p>
          <w:p w14:paraId="170E7176" w14:textId="77777777" w:rsidR="00827FFD" w:rsidRPr="00DB0B20" w:rsidRDefault="00827FFD" w:rsidP="00DB0B20">
            <w:pPr>
              <w:widowControl w:val="0"/>
              <w:spacing w:after="0" w:line="300" w:lineRule="exact"/>
              <w:ind w:left="318"/>
              <w:jc w:val="both"/>
              <w:rPr>
                <w:rFonts w:ascii="Tahoma" w:hAnsi="Tahoma" w:cs="Tahoma"/>
                <w:bCs/>
              </w:rPr>
            </w:pPr>
            <w:r w:rsidRPr="00DB0B20">
              <w:rPr>
                <w:rFonts w:ascii="Tahoma" w:hAnsi="Tahoma" w:cs="Tahoma"/>
                <w:bCs/>
              </w:rPr>
              <w:t>Nome: Pedro Paulo Oliveira de Moraes</w:t>
            </w:r>
            <w:r w:rsidRPr="00DB0B20">
              <w:rPr>
                <w:rFonts w:ascii="Tahoma" w:hAnsi="Tahoma" w:cs="Tahoma"/>
                <w:bCs/>
              </w:rPr>
              <w:tab/>
              <w:t>Nome: Luisa Herkenhoff Mis</w:t>
            </w:r>
          </w:p>
          <w:p w14:paraId="202383CE" w14:textId="77777777" w:rsidR="00827FFD" w:rsidRPr="00DB0B20" w:rsidRDefault="00827FFD" w:rsidP="00DB0B20">
            <w:pPr>
              <w:widowControl w:val="0"/>
              <w:spacing w:after="0" w:line="300" w:lineRule="exact"/>
              <w:ind w:left="318"/>
              <w:jc w:val="both"/>
              <w:rPr>
                <w:rFonts w:ascii="Tahoma" w:hAnsi="Tahoma" w:cs="Tahoma"/>
                <w:bCs/>
              </w:rPr>
            </w:pPr>
            <w:r w:rsidRPr="00DB0B20">
              <w:rPr>
                <w:rFonts w:ascii="Tahoma" w:hAnsi="Tahoma" w:cs="Tahoma"/>
                <w:bCs/>
              </w:rPr>
              <w:t>Cargo: Diretor</w:t>
            </w:r>
            <w:r w:rsidRPr="00DB0B20">
              <w:rPr>
                <w:rFonts w:ascii="Tahoma" w:hAnsi="Tahoma" w:cs="Tahoma"/>
                <w:bCs/>
              </w:rPr>
              <w:tab/>
            </w:r>
            <w:r w:rsidRPr="00DB0B20">
              <w:rPr>
                <w:rFonts w:ascii="Tahoma" w:hAnsi="Tahoma" w:cs="Tahoma"/>
                <w:bCs/>
              </w:rPr>
              <w:tab/>
            </w:r>
            <w:r w:rsidRPr="00DB0B20">
              <w:rPr>
                <w:rFonts w:ascii="Tahoma" w:hAnsi="Tahoma" w:cs="Tahoma"/>
                <w:bCs/>
              </w:rPr>
              <w:tab/>
            </w:r>
            <w:r w:rsidRPr="00DB0B20">
              <w:rPr>
                <w:rFonts w:ascii="Tahoma" w:hAnsi="Tahoma" w:cs="Tahoma"/>
                <w:bCs/>
              </w:rPr>
              <w:tab/>
              <w:t>Cargo: Procuradora</w:t>
            </w:r>
          </w:p>
          <w:p w14:paraId="0D842857" w14:textId="77777777" w:rsidR="00827FFD" w:rsidRPr="00DB0B20" w:rsidRDefault="00827FFD" w:rsidP="00DB0B20">
            <w:pPr>
              <w:widowControl w:val="0"/>
              <w:spacing w:after="0" w:line="300" w:lineRule="exact"/>
              <w:ind w:left="318"/>
              <w:jc w:val="both"/>
              <w:rPr>
                <w:rFonts w:ascii="Tahoma" w:hAnsi="Tahoma" w:cs="Tahoma"/>
                <w:bCs/>
              </w:rPr>
            </w:pPr>
            <w:r w:rsidRPr="00DB0B20">
              <w:rPr>
                <w:rFonts w:ascii="Tahoma" w:hAnsi="Tahoma" w:cs="Tahoma"/>
                <w:bCs/>
              </w:rPr>
              <w:t>CPF: 222.043.388-93</w:t>
            </w:r>
            <w:r w:rsidRPr="00DB0B20">
              <w:rPr>
                <w:rFonts w:ascii="Tahoma" w:hAnsi="Tahoma" w:cs="Tahoma"/>
                <w:bCs/>
              </w:rPr>
              <w:tab/>
            </w:r>
            <w:r w:rsidRPr="00DB0B20">
              <w:rPr>
                <w:rFonts w:ascii="Tahoma" w:hAnsi="Tahoma" w:cs="Tahoma"/>
                <w:bCs/>
              </w:rPr>
              <w:tab/>
            </w:r>
            <w:r w:rsidRPr="00DB0B20">
              <w:rPr>
                <w:rFonts w:ascii="Tahoma" w:hAnsi="Tahoma" w:cs="Tahoma"/>
                <w:bCs/>
              </w:rPr>
              <w:tab/>
              <w:t>CPF: 122.277.507-74</w:t>
            </w:r>
          </w:p>
          <w:p w14:paraId="220C556B" w14:textId="77777777" w:rsidR="00827FFD" w:rsidRPr="00DB0B20" w:rsidRDefault="00827FFD" w:rsidP="00DB0B20">
            <w:pPr>
              <w:widowControl w:val="0"/>
              <w:spacing w:after="0" w:line="300" w:lineRule="exact"/>
              <w:ind w:left="318"/>
              <w:jc w:val="both"/>
              <w:rPr>
                <w:rFonts w:ascii="Tahoma" w:hAnsi="Tahoma" w:cs="Tahoma"/>
                <w:bCs/>
                <w:lang w:val="en-US"/>
              </w:rPr>
            </w:pPr>
            <w:r w:rsidRPr="00DB0B20">
              <w:rPr>
                <w:rFonts w:ascii="Tahoma" w:hAnsi="Tahoma" w:cs="Tahoma"/>
                <w:bCs/>
                <w:lang w:val="en-US"/>
              </w:rPr>
              <w:t>RG: 24.724.747-9 SSP/SP</w:t>
            </w:r>
            <w:r w:rsidRPr="00DB0B20">
              <w:rPr>
                <w:rFonts w:ascii="Tahoma" w:hAnsi="Tahoma" w:cs="Tahoma"/>
                <w:bCs/>
                <w:lang w:val="en-US"/>
              </w:rPr>
              <w:tab/>
            </w:r>
            <w:r w:rsidRPr="00DB0B20">
              <w:rPr>
                <w:rFonts w:ascii="Tahoma" w:hAnsi="Tahoma" w:cs="Tahoma"/>
                <w:bCs/>
                <w:lang w:val="en-US"/>
              </w:rPr>
              <w:tab/>
            </w:r>
            <w:r w:rsidRPr="00DB0B20">
              <w:rPr>
                <w:rFonts w:ascii="Tahoma" w:hAnsi="Tahoma" w:cs="Tahoma"/>
                <w:bCs/>
                <w:lang w:val="en-US"/>
              </w:rPr>
              <w:tab/>
              <w:t>RG: 2175576 - SPTC/ES</w:t>
            </w:r>
          </w:p>
          <w:p w14:paraId="4E35AC1B" w14:textId="77777777" w:rsidR="00827FFD" w:rsidRPr="00DB0B20" w:rsidRDefault="00827FFD" w:rsidP="00DB0B20">
            <w:pPr>
              <w:widowControl w:val="0"/>
              <w:tabs>
                <w:tab w:val="left" w:pos="0"/>
              </w:tabs>
              <w:spacing w:after="0" w:line="300" w:lineRule="exact"/>
              <w:jc w:val="both"/>
              <w:rPr>
                <w:rFonts w:ascii="Tahoma" w:hAnsi="Tahoma" w:cs="Tahoma"/>
                <w:i/>
                <w:lang w:val="en-US"/>
              </w:rPr>
            </w:pPr>
          </w:p>
        </w:tc>
      </w:tr>
    </w:tbl>
    <w:p w14:paraId="5E46F791" w14:textId="24B01F31" w:rsidR="00827FFD" w:rsidRDefault="00827FFD" w:rsidP="00DB0B20">
      <w:pPr>
        <w:widowControl w:val="0"/>
        <w:spacing w:after="0" w:line="300" w:lineRule="exact"/>
        <w:rPr>
          <w:rFonts w:ascii="Tahoma" w:hAnsi="Tahoma" w:cs="Tahoma"/>
          <w:lang w:val="en-US"/>
        </w:rPr>
      </w:pPr>
    </w:p>
    <w:p w14:paraId="13A9655C" w14:textId="77777777" w:rsidR="00DB0B20" w:rsidRDefault="00DB0B20" w:rsidP="00DB0B20">
      <w:pPr>
        <w:widowControl w:val="0"/>
        <w:spacing w:after="0" w:line="300" w:lineRule="exact"/>
        <w:rPr>
          <w:rFonts w:ascii="Tahoma" w:hAnsi="Tahoma" w:cs="Tahoma"/>
          <w:lang w:val="en-US"/>
        </w:rPr>
      </w:pPr>
    </w:p>
    <w:p w14:paraId="58D6C0A7" w14:textId="77777777" w:rsidR="00DB0B20" w:rsidRPr="00DB0B20" w:rsidRDefault="00DB0B20" w:rsidP="00DB0B20">
      <w:pPr>
        <w:widowControl w:val="0"/>
        <w:spacing w:after="0" w:line="300" w:lineRule="exact"/>
        <w:rPr>
          <w:rFonts w:ascii="Tahoma" w:hAnsi="Tahoma" w:cs="Tahoma"/>
          <w:lang w:val="en-US"/>
        </w:rPr>
      </w:pPr>
    </w:p>
    <w:p w14:paraId="719DB223" w14:textId="77777777" w:rsidR="000221F7" w:rsidRPr="00DB0B20" w:rsidRDefault="000221F7" w:rsidP="00DB0B20">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0221F7" w:rsidRPr="00DB0B20" w14:paraId="3D6208D0" w14:textId="77777777" w:rsidTr="00500AE8">
        <w:trPr>
          <w:jc w:val="center"/>
        </w:trPr>
        <w:tc>
          <w:tcPr>
            <w:tcW w:w="8504" w:type="dxa"/>
          </w:tcPr>
          <w:p w14:paraId="49C7DAD5" w14:textId="77777777" w:rsidR="000221F7" w:rsidRPr="00DB0B20" w:rsidRDefault="000221F7" w:rsidP="00DB0B20">
            <w:pPr>
              <w:widowControl w:val="0"/>
              <w:tabs>
                <w:tab w:val="left" w:pos="0"/>
              </w:tabs>
              <w:spacing w:after="0" w:line="300" w:lineRule="exact"/>
              <w:jc w:val="center"/>
              <w:rPr>
                <w:rFonts w:ascii="Tahoma" w:hAnsi="Tahoma" w:cs="Tahoma"/>
                <w:b/>
                <w:i/>
              </w:rPr>
            </w:pPr>
            <w:r w:rsidRPr="00DB0B20">
              <w:rPr>
                <w:rFonts w:ascii="Tahoma" w:hAnsi="Tahoma" w:cs="Tahoma"/>
                <w:b/>
              </w:rPr>
              <w:t>VILA NOVA CONCEIÇÃO EMPREENDIMENTOS IMOBILIÁRIOS LTDA.</w:t>
            </w:r>
          </w:p>
          <w:p w14:paraId="1322E96F" w14:textId="41A9A873" w:rsidR="000221F7" w:rsidRPr="00DB0B20" w:rsidRDefault="000221F7" w:rsidP="00DB0B20">
            <w:pPr>
              <w:widowControl w:val="0"/>
              <w:tabs>
                <w:tab w:val="left" w:pos="0"/>
              </w:tabs>
              <w:spacing w:after="0" w:line="300" w:lineRule="exact"/>
              <w:jc w:val="center"/>
              <w:rPr>
                <w:rFonts w:ascii="Tahoma" w:hAnsi="Tahoma" w:cs="Tahoma"/>
                <w:i/>
              </w:rPr>
            </w:pPr>
            <w:r w:rsidRPr="00DB0B20">
              <w:rPr>
                <w:rFonts w:ascii="Tahoma" w:hAnsi="Tahoma" w:cs="Tahoma"/>
                <w:i/>
              </w:rPr>
              <w:t>Interveniente Anuente</w:t>
            </w:r>
          </w:p>
        </w:tc>
      </w:tr>
      <w:tr w:rsidR="000221F7" w:rsidRPr="00DB0B20" w14:paraId="72ADBD6F" w14:textId="77777777" w:rsidTr="00500AE8">
        <w:trPr>
          <w:jc w:val="center"/>
        </w:trPr>
        <w:tc>
          <w:tcPr>
            <w:tcW w:w="8504" w:type="dxa"/>
          </w:tcPr>
          <w:tbl>
            <w:tblPr>
              <w:tblW w:w="5000" w:type="pct"/>
              <w:jc w:val="center"/>
              <w:tblLook w:val="01E0" w:firstRow="1" w:lastRow="1" w:firstColumn="1" w:lastColumn="1" w:noHBand="0" w:noVBand="0"/>
            </w:tblPr>
            <w:tblGrid>
              <w:gridCol w:w="8288"/>
            </w:tblGrid>
            <w:tr w:rsidR="000221F7" w:rsidRPr="00DB0B20" w14:paraId="0B4E2A63" w14:textId="77777777" w:rsidTr="00500AE8">
              <w:trPr>
                <w:trHeight w:val="20"/>
                <w:jc w:val="center"/>
              </w:trPr>
              <w:tc>
                <w:tcPr>
                  <w:tcW w:w="2500" w:type="pct"/>
                  <w:hideMark/>
                </w:tcPr>
                <w:p w14:paraId="74F8E3F5" w14:textId="77777777" w:rsidR="000221F7" w:rsidRPr="00DB0B20" w:rsidRDefault="000221F7" w:rsidP="00DB0B20">
                  <w:pPr>
                    <w:widowControl w:val="0"/>
                    <w:spacing w:after="0" w:line="300" w:lineRule="exact"/>
                    <w:rPr>
                      <w:rFonts w:ascii="Tahoma" w:hAnsi="Tahoma" w:cs="Tahoma"/>
                    </w:rPr>
                  </w:pPr>
                  <w:r w:rsidRPr="00DB0B20">
                    <w:rPr>
                      <w:rFonts w:ascii="Tahoma" w:hAnsi="Tahoma" w:cs="Tahoma"/>
                    </w:rPr>
                    <w:t xml:space="preserve">Nome: </w:t>
                  </w:r>
                  <w:r w:rsidRPr="00DB0B20">
                    <w:rPr>
                      <w:rFonts w:ascii="Tahoma" w:hAnsi="Tahoma" w:cs="Tahoma"/>
                      <w:lang w:bidi="he-IL"/>
                    </w:rPr>
                    <w:t>Valentina Sampaio Napoli</w:t>
                  </w:r>
                </w:p>
              </w:tc>
            </w:tr>
            <w:tr w:rsidR="000221F7" w:rsidRPr="00DB0B20" w14:paraId="56D47339" w14:textId="77777777" w:rsidTr="00500AE8">
              <w:trPr>
                <w:trHeight w:val="20"/>
                <w:jc w:val="center"/>
              </w:trPr>
              <w:tc>
                <w:tcPr>
                  <w:tcW w:w="2500" w:type="pct"/>
                  <w:hideMark/>
                </w:tcPr>
                <w:p w14:paraId="50BCDF85" w14:textId="77777777" w:rsidR="000221F7" w:rsidRPr="00DB0B20" w:rsidRDefault="000221F7" w:rsidP="00DB0B20">
                  <w:pPr>
                    <w:widowControl w:val="0"/>
                    <w:spacing w:after="0" w:line="300" w:lineRule="exact"/>
                    <w:rPr>
                      <w:rFonts w:ascii="Tahoma" w:hAnsi="Tahoma" w:cs="Tahoma"/>
                    </w:rPr>
                  </w:pPr>
                  <w:r w:rsidRPr="00DB0B20">
                    <w:rPr>
                      <w:rFonts w:ascii="Tahoma" w:hAnsi="Tahoma" w:cs="Tahoma"/>
                    </w:rPr>
                    <w:t>Cargo: Sócia e Administradora</w:t>
                  </w:r>
                </w:p>
                <w:p w14:paraId="78D7DD0F" w14:textId="77777777" w:rsidR="000221F7" w:rsidRPr="00DB0B20" w:rsidRDefault="000221F7" w:rsidP="00DB0B20">
                  <w:pPr>
                    <w:widowControl w:val="0"/>
                    <w:spacing w:after="0" w:line="300" w:lineRule="exact"/>
                    <w:rPr>
                      <w:rFonts w:ascii="Tahoma" w:hAnsi="Tahoma" w:cs="Tahoma"/>
                    </w:rPr>
                  </w:pPr>
                  <w:r w:rsidRPr="00DB0B20">
                    <w:rPr>
                      <w:rFonts w:ascii="Tahoma" w:hAnsi="Tahoma" w:cs="Tahoma"/>
                    </w:rPr>
                    <w:t>CPF: 425.213.268-10</w:t>
                  </w:r>
                </w:p>
                <w:p w14:paraId="0C48904C" w14:textId="77777777" w:rsidR="000221F7" w:rsidRPr="00DB0B20" w:rsidRDefault="000221F7" w:rsidP="00DB0B20">
                  <w:pPr>
                    <w:widowControl w:val="0"/>
                    <w:spacing w:after="0" w:line="300" w:lineRule="exact"/>
                    <w:rPr>
                      <w:rFonts w:ascii="Tahoma" w:hAnsi="Tahoma" w:cs="Tahoma"/>
                    </w:rPr>
                  </w:pPr>
                  <w:r w:rsidRPr="00DB0B20">
                    <w:rPr>
                      <w:rFonts w:ascii="Tahoma" w:hAnsi="Tahoma" w:cs="Tahoma"/>
                    </w:rPr>
                    <w:t>RG: 38.592.815-4 SSP/SP</w:t>
                  </w:r>
                </w:p>
              </w:tc>
            </w:tr>
          </w:tbl>
          <w:p w14:paraId="2F5533B7" w14:textId="77777777" w:rsidR="000221F7" w:rsidRPr="00DB0B20" w:rsidRDefault="000221F7" w:rsidP="00DB0B20">
            <w:pPr>
              <w:widowControl w:val="0"/>
              <w:tabs>
                <w:tab w:val="left" w:pos="604"/>
              </w:tabs>
              <w:spacing w:after="0" w:line="300" w:lineRule="exact"/>
              <w:ind w:left="1313"/>
              <w:rPr>
                <w:rFonts w:ascii="Tahoma" w:hAnsi="Tahoma" w:cs="Tahoma"/>
              </w:rPr>
            </w:pPr>
          </w:p>
        </w:tc>
      </w:tr>
    </w:tbl>
    <w:p w14:paraId="61B481DF" w14:textId="64E729A4" w:rsidR="00EA1F0F" w:rsidRPr="00DB0B20" w:rsidRDefault="00EA1F0F" w:rsidP="00DB0B20">
      <w:pPr>
        <w:pStyle w:val="Recuodecorpodetexto"/>
        <w:widowControl w:val="0"/>
        <w:spacing w:after="0" w:line="300" w:lineRule="exact"/>
        <w:ind w:left="0" w:right="-8"/>
        <w:contextualSpacing/>
        <w:rPr>
          <w:rFonts w:ascii="Tahoma" w:hAnsi="Tahoma" w:cs="Tahoma"/>
          <w:bCs/>
          <w:i/>
        </w:rPr>
      </w:pPr>
    </w:p>
    <w:p w14:paraId="13356C6C" w14:textId="038D17AC" w:rsidR="00EA1F0F" w:rsidRPr="00DB0B20" w:rsidRDefault="00EA1F0F" w:rsidP="00DB0B20">
      <w:pPr>
        <w:pStyle w:val="Recuodecorpodetexto"/>
        <w:widowControl w:val="0"/>
        <w:spacing w:after="0" w:line="300" w:lineRule="exact"/>
        <w:ind w:left="0" w:right="-8"/>
        <w:contextualSpacing/>
        <w:rPr>
          <w:rFonts w:ascii="Tahoma" w:hAnsi="Tahoma" w:cs="Tahoma"/>
          <w:bCs/>
          <w:i/>
        </w:rPr>
      </w:pPr>
    </w:p>
    <w:p w14:paraId="0A512C88" w14:textId="4DF8B970" w:rsidR="0037677E" w:rsidRPr="00DB0B20" w:rsidRDefault="001025F3" w:rsidP="00DB0B20">
      <w:pPr>
        <w:widowControl w:val="0"/>
        <w:spacing w:after="0" w:line="300" w:lineRule="exact"/>
        <w:contextualSpacing/>
        <w:rPr>
          <w:rFonts w:ascii="Tahoma" w:hAnsi="Tahoma" w:cs="Tahoma"/>
        </w:rPr>
      </w:pPr>
      <w:r w:rsidRPr="00DB0B20">
        <w:rPr>
          <w:rFonts w:ascii="Tahoma" w:hAnsi="Tahoma" w:cs="Tahoma"/>
          <w:iCs/>
          <w:u w:val="single"/>
        </w:rPr>
        <w:t>Testemunhas</w:t>
      </w:r>
      <w:r w:rsidRPr="00DB0B20">
        <w:rPr>
          <w:rFonts w:ascii="Tahoma" w:hAnsi="Tahoma" w:cs="Tahoma"/>
          <w:iCs/>
        </w:rPr>
        <w:t>:</w:t>
      </w:r>
    </w:p>
    <w:p w14:paraId="67260F02" w14:textId="77777777" w:rsidR="0037677E" w:rsidRPr="00DB0B20" w:rsidRDefault="0037677E" w:rsidP="00DB0B20">
      <w:pPr>
        <w:widowControl w:val="0"/>
        <w:spacing w:after="0" w:line="300" w:lineRule="exact"/>
        <w:contextualSpacing/>
        <w:rPr>
          <w:rFonts w:ascii="Tahoma" w:hAnsi="Tahoma" w:cs="Tahoma"/>
        </w:rPr>
      </w:pPr>
    </w:p>
    <w:p w14:paraId="3A1AA302" w14:textId="77777777" w:rsidR="0037677E" w:rsidRPr="00DB0B20" w:rsidRDefault="0037677E" w:rsidP="00DB0B20">
      <w:pPr>
        <w:widowControl w:val="0"/>
        <w:spacing w:after="0" w:line="30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DB0B20" w14:paraId="5A79CB24" w14:textId="77777777" w:rsidTr="007602BF">
        <w:tc>
          <w:tcPr>
            <w:tcW w:w="4151" w:type="dxa"/>
            <w:tcBorders>
              <w:top w:val="single" w:sz="4" w:space="0" w:color="auto"/>
              <w:left w:val="nil"/>
              <w:bottom w:val="nil"/>
              <w:right w:val="nil"/>
            </w:tcBorders>
          </w:tcPr>
          <w:p w14:paraId="2AEC510E" w14:textId="072B2851" w:rsidR="0037677E" w:rsidRPr="00DB0B20" w:rsidRDefault="0037677E" w:rsidP="00DB0B20">
            <w:pPr>
              <w:widowControl w:val="0"/>
              <w:spacing w:after="0" w:line="300" w:lineRule="exact"/>
              <w:contextualSpacing/>
              <w:rPr>
                <w:rFonts w:ascii="Tahoma" w:hAnsi="Tahoma" w:cs="Tahoma"/>
              </w:rPr>
            </w:pPr>
            <w:r w:rsidRPr="00DB0B20">
              <w:rPr>
                <w:rFonts w:ascii="Tahoma" w:hAnsi="Tahoma" w:cs="Tahoma"/>
              </w:rPr>
              <w:t>Nome:</w:t>
            </w:r>
            <w:r w:rsidR="00D1393F" w:rsidRPr="00DB0B20">
              <w:rPr>
                <w:rFonts w:ascii="Tahoma" w:hAnsi="Tahoma" w:cs="Tahoma"/>
              </w:rPr>
              <w:t xml:space="preserve"> </w:t>
            </w:r>
          </w:p>
          <w:p w14:paraId="6C21189B" w14:textId="77777777" w:rsidR="00CE35E2" w:rsidRPr="00DB0B20" w:rsidRDefault="0037677E" w:rsidP="00DB0B20">
            <w:pPr>
              <w:widowControl w:val="0"/>
              <w:spacing w:after="0" w:line="300" w:lineRule="exact"/>
              <w:contextualSpacing/>
              <w:rPr>
                <w:rFonts w:ascii="Tahoma" w:hAnsi="Tahoma" w:cs="Tahoma"/>
              </w:rPr>
            </w:pPr>
            <w:r w:rsidRPr="00DB0B20">
              <w:rPr>
                <w:rFonts w:ascii="Tahoma" w:hAnsi="Tahoma" w:cs="Tahoma"/>
              </w:rPr>
              <w:t>RG nº:</w:t>
            </w:r>
            <w:r w:rsidR="00B956F7" w:rsidRPr="00DB0B20">
              <w:rPr>
                <w:rFonts w:ascii="Tahoma" w:hAnsi="Tahoma" w:cs="Tahoma"/>
              </w:rPr>
              <w:t xml:space="preserve"> </w:t>
            </w:r>
          </w:p>
          <w:p w14:paraId="3EBDFCFB" w14:textId="4CB9ECE4" w:rsidR="0037677E" w:rsidRPr="00DB0B20" w:rsidRDefault="0037677E" w:rsidP="00DB0B20">
            <w:pPr>
              <w:widowControl w:val="0"/>
              <w:spacing w:after="0" w:line="300" w:lineRule="exact"/>
              <w:contextualSpacing/>
              <w:rPr>
                <w:rFonts w:ascii="Tahoma" w:hAnsi="Tahoma" w:cs="Tahoma"/>
              </w:rPr>
            </w:pPr>
            <w:r w:rsidRPr="00DB0B20">
              <w:rPr>
                <w:rFonts w:ascii="Tahoma" w:hAnsi="Tahoma" w:cs="Tahoma"/>
              </w:rPr>
              <w:t>CPF/M</w:t>
            </w:r>
            <w:r w:rsidR="00B708FD" w:rsidRPr="00DB0B20">
              <w:rPr>
                <w:rFonts w:ascii="Tahoma" w:hAnsi="Tahoma" w:cs="Tahoma"/>
              </w:rPr>
              <w:t xml:space="preserve">E </w:t>
            </w:r>
            <w:r w:rsidRPr="00DB0B20">
              <w:rPr>
                <w:rFonts w:ascii="Tahoma" w:hAnsi="Tahoma" w:cs="Tahoma"/>
              </w:rPr>
              <w:t>nº:</w:t>
            </w:r>
            <w:r w:rsidR="00B956F7" w:rsidRPr="00DB0B20">
              <w:rPr>
                <w:rFonts w:ascii="Tahoma" w:hAnsi="Tahoma" w:cs="Tahoma"/>
              </w:rPr>
              <w:t xml:space="preserve"> </w:t>
            </w:r>
          </w:p>
        </w:tc>
        <w:tc>
          <w:tcPr>
            <w:tcW w:w="881" w:type="dxa"/>
          </w:tcPr>
          <w:p w14:paraId="199F0593" w14:textId="77777777" w:rsidR="0037677E" w:rsidRPr="00DB0B20" w:rsidRDefault="0037677E" w:rsidP="00DB0B20">
            <w:pPr>
              <w:widowControl w:val="0"/>
              <w:spacing w:after="0" w:line="300" w:lineRule="exact"/>
              <w:contextualSpacing/>
              <w:rPr>
                <w:rFonts w:ascii="Tahoma" w:hAnsi="Tahoma" w:cs="Tahoma"/>
              </w:rPr>
            </w:pPr>
          </w:p>
        </w:tc>
        <w:tc>
          <w:tcPr>
            <w:tcW w:w="4022" w:type="dxa"/>
            <w:tcBorders>
              <w:top w:val="single" w:sz="4" w:space="0" w:color="auto"/>
              <w:left w:val="nil"/>
              <w:bottom w:val="nil"/>
              <w:right w:val="nil"/>
            </w:tcBorders>
          </w:tcPr>
          <w:p w14:paraId="04A58A75" w14:textId="13C1C6F7" w:rsidR="0037677E" w:rsidRPr="00DB0B20" w:rsidRDefault="0037677E" w:rsidP="00DB0B20">
            <w:pPr>
              <w:widowControl w:val="0"/>
              <w:spacing w:after="0" w:line="300" w:lineRule="exact"/>
              <w:contextualSpacing/>
              <w:rPr>
                <w:rFonts w:ascii="Tahoma" w:hAnsi="Tahoma" w:cs="Tahoma"/>
              </w:rPr>
            </w:pPr>
            <w:r w:rsidRPr="00DB0B20">
              <w:rPr>
                <w:rFonts w:ascii="Tahoma" w:hAnsi="Tahoma" w:cs="Tahoma"/>
              </w:rPr>
              <w:t>Nome:</w:t>
            </w:r>
            <w:r w:rsidR="00D1393F" w:rsidRPr="00DB0B20">
              <w:rPr>
                <w:rFonts w:ascii="Tahoma" w:hAnsi="Tahoma" w:cs="Tahoma"/>
              </w:rPr>
              <w:t xml:space="preserve"> </w:t>
            </w:r>
          </w:p>
          <w:p w14:paraId="1200DB88" w14:textId="77777777" w:rsidR="00CE35E2" w:rsidRPr="00DB0B20" w:rsidRDefault="0037677E" w:rsidP="00DB0B20">
            <w:pPr>
              <w:widowControl w:val="0"/>
              <w:spacing w:after="0" w:line="300" w:lineRule="exact"/>
              <w:contextualSpacing/>
              <w:rPr>
                <w:rFonts w:ascii="Tahoma" w:hAnsi="Tahoma" w:cs="Tahoma"/>
              </w:rPr>
            </w:pPr>
            <w:r w:rsidRPr="00DB0B20">
              <w:rPr>
                <w:rFonts w:ascii="Tahoma" w:hAnsi="Tahoma" w:cs="Tahoma"/>
              </w:rPr>
              <w:t>RG nº:</w:t>
            </w:r>
            <w:r w:rsidR="00DF2908" w:rsidRPr="00DB0B20">
              <w:rPr>
                <w:rFonts w:ascii="Tahoma" w:hAnsi="Tahoma" w:cs="Tahoma"/>
              </w:rPr>
              <w:t xml:space="preserve"> </w:t>
            </w:r>
          </w:p>
          <w:p w14:paraId="46B9A19C" w14:textId="07AFEF31" w:rsidR="0037677E" w:rsidRPr="00DB0B20" w:rsidRDefault="0037677E" w:rsidP="00DB0B20">
            <w:pPr>
              <w:widowControl w:val="0"/>
              <w:spacing w:after="0" w:line="300" w:lineRule="exact"/>
              <w:contextualSpacing/>
              <w:rPr>
                <w:rFonts w:ascii="Tahoma" w:hAnsi="Tahoma" w:cs="Tahoma"/>
              </w:rPr>
            </w:pPr>
            <w:r w:rsidRPr="00DB0B20">
              <w:rPr>
                <w:rFonts w:ascii="Tahoma" w:hAnsi="Tahoma" w:cs="Tahoma"/>
              </w:rPr>
              <w:t>CPF/M</w:t>
            </w:r>
            <w:r w:rsidR="00B708FD" w:rsidRPr="00DB0B20">
              <w:rPr>
                <w:rFonts w:ascii="Tahoma" w:hAnsi="Tahoma" w:cs="Tahoma"/>
              </w:rPr>
              <w:t>E</w:t>
            </w:r>
            <w:r w:rsidRPr="00DB0B20">
              <w:rPr>
                <w:rFonts w:ascii="Tahoma" w:hAnsi="Tahoma" w:cs="Tahoma"/>
              </w:rPr>
              <w:t xml:space="preserve"> nº:</w:t>
            </w:r>
            <w:r w:rsidR="00DF2908" w:rsidRPr="00DB0B20">
              <w:rPr>
                <w:rFonts w:ascii="Tahoma" w:hAnsi="Tahoma" w:cs="Tahoma"/>
              </w:rPr>
              <w:t xml:space="preserve"> </w:t>
            </w:r>
          </w:p>
        </w:tc>
      </w:tr>
      <w:bookmarkEnd w:id="3"/>
    </w:tbl>
    <w:p w14:paraId="05EF2B21" w14:textId="0B3F3063" w:rsidR="00AC7DF5" w:rsidRPr="00DB0B20" w:rsidRDefault="00AC7DF5" w:rsidP="00DB0B20">
      <w:pPr>
        <w:widowControl w:val="0"/>
        <w:spacing w:after="0" w:line="300" w:lineRule="exact"/>
        <w:contextualSpacing/>
        <w:rPr>
          <w:rFonts w:ascii="Tahoma" w:hAnsi="Tahoma" w:cs="Tahoma"/>
          <w:b/>
        </w:rPr>
      </w:pPr>
    </w:p>
    <w:sectPr w:rsidR="00AC7DF5" w:rsidRPr="00DB0B20" w:rsidSect="00823255">
      <w:footerReference w:type="even" r:id="rId11"/>
      <w:footerReference w:type="default" r:id="rId12"/>
      <w:footerReference w:type="first" r:id="rId1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A0E" w14:textId="77777777" w:rsidR="00E44372" w:rsidRDefault="00E44372" w:rsidP="0037677E">
      <w:r>
        <w:separator/>
      </w:r>
    </w:p>
  </w:endnote>
  <w:endnote w:type="continuationSeparator" w:id="0">
    <w:p w14:paraId="46729C02" w14:textId="77777777" w:rsidR="00E44372" w:rsidRDefault="00E44372"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B70D" w14:textId="77777777" w:rsidR="00E44372" w:rsidRDefault="00E44372" w:rsidP="0037677E">
      <w:r>
        <w:separator/>
      </w:r>
    </w:p>
  </w:footnote>
  <w:footnote w:type="continuationSeparator" w:id="0">
    <w:p w14:paraId="11E9744B" w14:textId="77777777" w:rsidR="00E44372" w:rsidRDefault="00E44372"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C0708E5"/>
    <w:multiLevelType w:val="multilevel"/>
    <w:tmpl w:val="8E34EE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47B8CBAE"/>
    <w:lvl w:ilvl="0" w:tplc="4A701A4E">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582CE5"/>
    <w:multiLevelType w:val="multilevel"/>
    <w:tmpl w:val="DE5AC9CC"/>
    <w:lvl w:ilvl="0">
      <w:start w:val="3"/>
      <w:numFmt w:val="decimal"/>
      <w:lvlText w:val="%1."/>
      <w:lvlJc w:val="left"/>
      <w:pPr>
        <w:ind w:left="360" w:hanging="360"/>
      </w:pPr>
      <w:rPr>
        <w:rFonts w:eastAsia="Arial" w:hint="default"/>
      </w:rPr>
    </w:lvl>
    <w:lvl w:ilvl="1">
      <w:start w:val="1"/>
      <w:numFmt w:val="decimal"/>
      <w:lvlText w:val="%1.%2."/>
      <w:lvlJc w:val="left"/>
      <w:pPr>
        <w:ind w:left="720" w:hanging="720"/>
      </w:pPr>
      <w:rPr>
        <w:rFonts w:eastAsia="Arial" w:hint="default"/>
        <w:b/>
        <w:bCs/>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440" w:hanging="144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3"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4"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07942BF"/>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37B566C"/>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3E3D0B"/>
    <w:multiLevelType w:val="multilevel"/>
    <w:tmpl w:val="10C23EDC"/>
    <w:lvl w:ilvl="0">
      <w:start w:val="4"/>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1"/>
  </w:num>
  <w:num w:numId="2">
    <w:abstractNumId w:val="28"/>
  </w:num>
  <w:num w:numId="3">
    <w:abstractNumId w:val="24"/>
  </w:num>
  <w:num w:numId="4">
    <w:abstractNumId w:val="36"/>
  </w:num>
  <w:num w:numId="5">
    <w:abstractNumId w:val="34"/>
  </w:num>
  <w:num w:numId="6">
    <w:abstractNumId w:val="2"/>
  </w:num>
  <w:num w:numId="7">
    <w:abstractNumId w:val="13"/>
  </w:num>
  <w:num w:numId="8">
    <w:abstractNumId w:val="6"/>
  </w:num>
  <w:num w:numId="9">
    <w:abstractNumId w:val="30"/>
  </w:num>
  <w:num w:numId="10">
    <w:abstractNumId w:val="19"/>
  </w:num>
  <w:num w:numId="11">
    <w:abstractNumId w:val="35"/>
  </w:num>
  <w:num w:numId="12">
    <w:abstractNumId w:val="33"/>
  </w:num>
  <w:num w:numId="13">
    <w:abstractNumId w:val="18"/>
  </w:num>
  <w:num w:numId="14">
    <w:abstractNumId w:val="31"/>
  </w:num>
  <w:num w:numId="15">
    <w:abstractNumId w:val="32"/>
  </w:num>
  <w:num w:numId="16">
    <w:abstractNumId w:val="27"/>
  </w:num>
  <w:num w:numId="17">
    <w:abstractNumId w:val="11"/>
  </w:num>
  <w:num w:numId="18">
    <w:abstractNumId w:val="25"/>
  </w:num>
  <w:num w:numId="19">
    <w:abstractNumId w:val="7"/>
  </w:num>
  <w:num w:numId="20">
    <w:abstractNumId w:val="21"/>
  </w:num>
  <w:num w:numId="21">
    <w:abstractNumId w:val="14"/>
  </w:num>
  <w:num w:numId="22">
    <w:abstractNumId w:val="22"/>
  </w:num>
  <w:num w:numId="23">
    <w:abstractNumId w:val="5"/>
  </w:num>
  <w:num w:numId="24">
    <w:abstractNumId w:val="39"/>
  </w:num>
  <w:num w:numId="25">
    <w:abstractNumId w:val="10"/>
  </w:num>
  <w:num w:numId="26">
    <w:abstractNumId w:val="20"/>
  </w:num>
  <w:num w:numId="27">
    <w:abstractNumId w:val="38"/>
  </w:num>
  <w:num w:numId="28">
    <w:abstractNumId w:val="9"/>
  </w:num>
  <w:num w:numId="29">
    <w:abstractNumId w:val="26"/>
  </w:num>
  <w:num w:numId="30">
    <w:abstractNumId w:val="29"/>
  </w:num>
  <w:num w:numId="31">
    <w:abstractNumId w:val="16"/>
  </w:num>
  <w:num w:numId="32">
    <w:abstractNumId w:val="4"/>
  </w:num>
  <w:num w:numId="33">
    <w:abstractNumId w:val="17"/>
  </w:num>
  <w:num w:numId="34">
    <w:abstractNumId w:val="23"/>
  </w:num>
  <w:num w:numId="35">
    <w:abstractNumId w:val="15"/>
  </w:num>
  <w:num w:numId="36">
    <w:abstractNumId w:val="3"/>
  </w:num>
  <w:num w:numId="37">
    <w:abstractNumId w:val="12"/>
  </w:num>
  <w:num w:numId="38">
    <w:abstractNumId w:val="37"/>
  </w:num>
  <w:num w:numId="3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1B36"/>
    <w:rsid w:val="0001205C"/>
    <w:rsid w:val="000168E7"/>
    <w:rsid w:val="000173AF"/>
    <w:rsid w:val="000221F7"/>
    <w:rsid w:val="00024AA1"/>
    <w:rsid w:val="00025D7C"/>
    <w:rsid w:val="00030CA8"/>
    <w:rsid w:val="00035DB5"/>
    <w:rsid w:val="0003611E"/>
    <w:rsid w:val="0003683F"/>
    <w:rsid w:val="0003780B"/>
    <w:rsid w:val="000414D5"/>
    <w:rsid w:val="00044237"/>
    <w:rsid w:val="000455E1"/>
    <w:rsid w:val="00046C6C"/>
    <w:rsid w:val="00047637"/>
    <w:rsid w:val="00047964"/>
    <w:rsid w:val="00050A32"/>
    <w:rsid w:val="00052C20"/>
    <w:rsid w:val="0005433E"/>
    <w:rsid w:val="00054AA4"/>
    <w:rsid w:val="00060115"/>
    <w:rsid w:val="000629E7"/>
    <w:rsid w:val="00063835"/>
    <w:rsid w:val="00063AC8"/>
    <w:rsid w:val="00064083"/>
    <w:rsid w:val="00066C94"/>
    <w:rsid w:val="00070362"/>
    <w:rsid w:val="00071CCF"/>
    <w:rsid w:val="0007236A"/>
    <w:rsid w:val="00073E77"/>
    <w:rsid w:val="00074615"/>
    <w:rsid w:val="00083653"/>
    <w:rsid w:val="0009119D"/>
    <w:rsid w:val="000931BC"/>
    <w:rsid w:val="0009386A"/>
    <w:rsid w:val="000A684D"/>
    <w:rsid w:val="000A7193"/>
    <w:rsid w:val="000A7394"/>
    <w:rsid w:val="000B0E37"/>
    <w:rsid w:val="000B1589"/>
    <w:rsid w:val="000B1B82"/>
    <w:rsid w:val="000B3686"/>
    <w:rsid w:val="000C0DE9"/>
    <w:rsid w:val="000C5477"/>
    <w:rsid w:val="000D43E5"/>
    <w:rsid w:val="000D4460"/>
    <w:rsid w:val="000D5E32"/>
    <w:rsid w:val="000D6843"/>
    <w:rsid w:val="000E1C2B"/>
    <w:rsid w:val="000E2ADE"/>
    <w:rsid w:val="000E39AA"/>
    <w:rsid w:val="000E3B0F"/>
    <w:rsid w:val="000E624E"/>
    <w:rsid w:val="000E7B2B"/>
    <w:rsid w:val="000F24A2"/>
    <w:rsid w:val="000F3569"/>
    <w:rsid w:val="00100021"/>
    <w:rsid w:val="001025F3"/>
    <w:rsid w:val="00104049"/>
    <w:rsid w:val="001047B4"/>
    <w:rsid w:val="001057D5"/>
    <w:rsid w:val="00106CEB"/>
    <w:rsid w:val="0010762E"/>
    <w:rsid w:val="00110D01"/>
    <w:rsid w:val="00111FF8"/>
    <w:rsid w:val="00113C5E"/>
    <w:rsid w:val="00117928"/>
    <w:rsid w:val="00121845"/>
    <w:rsid w:val="00124B96"/>
    <w:rsid w:val="001260AC"/>
    <w:rsid w:val="00127E99"/>
    <w:rsid w:val="00132E7B"/>
    <w:rsid w:val="00134BAA"/>
    <w:rsid w:val="00136D4E"/>
    <w:rsid w:val="00145E3B"/>
    <w:rsid w:val="00146432"/>
    <w:rsid w:val="00151CB5"/>
    <w:rsid w:val="00155732"/>
    <w:rsid w:val="00160A90"/>
    <w:rsid w:val="0016297D"/>
    <w:rsid w:val="001636B3"/>
    <w:rsid w:val="00171F1D"/>
    <w:rsid w:val="0017458A"/>
    <w:rsid w:val="00175E84"/>
    <w:rsid w:val="0017746E"/>
    <w:rsid w:val="001779AA"/>
    <w:rsid w:val="00180CED"/>
    <w:rsid w:val="00180F2F"/>
    <w:rsid w:val="0018482D"/>
    <w:rsid w:val="00184C71"/>
    <w:rsid w:val="00191B63"/>
    <w:rsid w:val="0019333E"/>
    <w:rsid w:val="0019393F"/>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7FA"/>
    <w:rsid w:val="00215140"/>
    <w:rsid w:val="00215919"/>
    <w:rsid w:val="0021601F"/>
    <w:rsid w:val="002165BD"/>
    <w:rsid w:val="002176EB"/>
    <w:rsid w:val="002201E6"/>
    <w:rsid w:val="002207C7"/>
    <w:rsid w:val="0023368B"/>
    <w:rsid w:val="002355BD"/>
    <w:rsid w:val="002355FC"/>
    <w:rsid w:val="00237DB9"/>
    <w:rsid w:val="00244872"/>
    <w:rsid w:val="00246BFB"/>
    <w:rsid w:val="002517A7"/>
    <w:rsid w:val="0025183C"/>
    <w:rsid w:val="00252597"/>
    <w:rsid w:val="00253641"/>
    <w:rsid w:val="00261003"/>
    <w:rsid w:val="00262358"/>
    <w:rsid w:val="00267724"/>
    <w:rsid w:val="00270D79"/>
    <w:rsid w:val="00270FA4"/>
    <w:rsid w:val="00274995"/>
    <w:rsid w:val="00274E39"/>
    <w:rsid w:val="00280861"/>
    <w:rsid w:val="002808E3"/>
    <w:rsid w:val="002815AE"/>
    <w:rsid w:val="002827B9"/>
    <w:rsid w:val="00285499"/>
    <w:rsid w:val="002863C2"/>
    <w:rsid w:val="00290D38"/>
    <w:rsid w:val="00293251"/>
    <w:rsid w:val="00297855"/>
    <w:rsid w:val="002A20F0"/>
    <w:rsid w:val="002A374D"/>
    <w:rsid w:val="002A6B69"/>
    <w:rsid w:val="002B1BB4"/>
    <w:rsid w:val="002B3BD1"/>
    <w:rsid w:val="002B3C8F"/>
    <w:rsid w:val="002B5D73"/>
    <w:rsid w:val="002B6254"/>
    <w:rsid w:val="002C04CD"/>
    <w:rsid w:val="002C44FD"/>
    <w:rsid w:val="002C5C7D"/>
    <w:rsid w:val="002D4E6F"/>
    <w:rsid w:val="002D5249"/>
    <w:rsid w:val="002D6585"/>
    <w:rsid w:val="002E0C19"/>
    <w:rsid w:val="002E28F8"/>
    <w:rsid w:val="002E53BF"/>
    <w:rsid w:val="002E7021"/>
    <w:rsid w:val="002F3307"/>
    <w:rsid w:val="002F4740"/>
    <w:rsid w:val="002F5288"/>
    <w:rsid w:val="002F76D1"/>
    <w:rsid w:val="002F7E2B"/>
    <w:rsid w:val="00300232"/>
    <w:rsid w:val="00300E80"/>
    <w:rsid w:val="003014B6"/>
    <w:rsid w:val="00303943"/>
    <w:rsid w:val="0030441D"/>
    <w:rsid w:val="00314D0D"/>
    <w:rsid w:val="003155CC"/>
    <w:rsid w:val="00321B84"/>
    <w:rsid w:val="00330234"/>
    <w:rsid w:val="00331B5A"/>
    <w:rsid w:val="00331D2B"/>
    <w:rsid w:val="00334112"/>
    <w:rsid w:val="0033656E"/>
    <w:rsid w:val="003366BF"/>
    <w:rsid w:val="003366C3"/>
    <w:rsid w:val="00340110"/>
    <w:rsid w:val="00340748"/>
    <w:rsid w:val="00351E09"/>
    <w:rsid w:val="00356A73"/>
    <w:rsid w:val="0036031F"/>
    <w:rsid w:val="00360583"/>
    <w:rsid w:val="00362444"/>
    <w:rsid w:val="00372064"/>
    <w:rsid w:val="0037677E"/>
    <w:rsid w:val="00381A14"/>
    <w:rsid w:val="00382F30"/>
    <w:rsid w:val="00383F91"/>
    <w:rsid w:val="003902B2"/>
    <w:rsid w:val="003906A8"/>
    <w:rsid w:val="00390E6A"/>
    <w:rsid w:val="003934DC"/>
    <w:rsid w:val="003935E1"/>
    <w:rsid w:val="00393B34"/>
    <w:rsid w:val="0039698D"/>
    <w:rsid w:val="003A1075"/>
    <w:rsid w:val="003A3E40"/>
    <w:rsid w:val="003B2CA9"/>
    <w:rsid w:val="003B319E"/>
    <w:rsid w:val="003B3424"/>
    <w:rsid w:val="003B66C0"/>
    <w:rsid w:val="003C1CAD"/>
    <w:rsid w:val="003C67E2"/>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3227"/>
    <w:rsid w:val="00474E48"/>
    <w:rsid w:val="00476171"/>
    <w:rsid w:val="0047660C"/>
    <w:rsid w:val="0048294F"/>
    <w:rsid w:val="00483742"/>
    <w:rsid w:val="00487C8A"/>
    <w:rsid w:val="00487EFF"/>
    <w:rsid w:val="00492C6F"/>
    <w:rsid w:val="00494244"/>
    <w:rsid w:val="00494F88"/>
    <w:rsid w:val="00496EA0"/>
    <w:rsid w:val="004978CF"/>
    <w:rsid w:val="00497D0C"/>
    <w:rsid w:val="004A08D3"/>
    <w:rsid w:val="004A5F4E"/>
    <w:rsid w:val="004B40D6"/>
    <w:rsid w:val="004B4C6C"/>
    <w:rsid w:val="004B53E2"/>
    <w:rsid w:val="004C337D"/>
    <w:rsid w:val="004D200B"/>
    <w:rsid w:val="004D3ECE"/>
    <w:rsid w:val="004D41D2"/>
    <w:rsid w:val="004E196C"/>
    <w:rsid w:val="004E1971"/>
    <w:rsid w:val="004E3B2B"/>
    <w:rsid w:val="004F3E4B"/>
    <w:rsid w:val="004F46E9"/>
    <w:rsid w:val="004F58E6"/>
    <w:rsid w:val="004F6AB9"/>
    <w:rsid w:val="004F7AB3"/>
    <w:rsid w:val="0050718A"/>
    <w:rsid w:val="00510A8C"/>
    <w:rsid w:val="00511304"/>
    <w:rsid w:val="0051234E"/>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11C6"/>
    <w:rsid w:val="005567DD"/>
    <w:rsid w:val="00556D38"/>
    <w:rsid w:val="00557470"/>
    <w:rsid w:val="005603AF"/>
    <w:rsid w:val="00562BC4"/>
    <w:rsid w:val="00566C96"/>
    <w:rsid w:val="00567DCD"/>
    <w:rsid w:val="00570709"/>
    <w:rsid w:val="00570A4F"/>
    <w:rsid w:val="00570CE2"/>
    <w:rsid w:val="005733A7"/>
    <w:rsid w:val="0057735A"/>
    <w:rsid w:val="0058119A"/>
    <w:rsid w:val="00581DE8"/>
    <w:rsid w:val="00582D43"/>
    <w:rsid w:val="005853BA"/>
    <w:rsid w:val="00590C66"/>
    <w:rsid w:val="005A02E8"/>
    <w:rsid w:val="005A1658"/>
    <w:rsid w:val="005A212D"/>
    <w:rsid w:val="005B499C"/>
    <w:rsid w:val="005C4EC5"/>
    <w:rsid w:val="005D1E81"/>
    <w:rsid w:val="005E4992"/>
    <w:rsid w:val="005E6070"/>
    <w:rsid w:val="005E78CF"/>
    <w:rsid w:val="005F5ED8"/>
    <w:rsid w:val="005F6337"/>
    <w:rsid w:val="00613D81"/>
    <w:rsid w:val="00614057"/>
    <w:rsid w:val="00614A12"/>
    <w:rsid w:val="00616731"/>
    <w:rsid w:val="00616C11"/>
    <w:rsid w:val="0062090E"/>
    <w:rsid w:val="00631448"/>
    <w:rsid w:val="00632A2D"/>
    <w:rsid w:val="00632B17"/>
    <w:rsid w:val="00637104"/>
    <w:rsid w:val="006427C6"/>
    <w:rsid w:val="0064335A"/>
    <w:rsid w:val="006478C3"/>
    <w:rsid w:val="00655EC5"/>
    <w:rsid w:val="00660862"/>
    <w:rsid w:val="00661CE6"/>
    <w:rsid w:val="00661F67"/>
    <w:rsid w:val="0066275F"/>
    <w:rsid w:val="00665549"/>
    <w:rsid w:val="00666AEE"/>
    <w:rsid w:val="00667353"/>
    <w:rsid w:val="00667BA1"/>
    <w:rsid w:val="006737AC"/>
    <w:rsid w:val="00673F2B"/>
    <w:rsid w:val="0067515F"/>
    <w:rsid w:val="00675A29"/>
    <w:rsid w:val="006837E1"/>
    <w:rsid w:val="00684413"/>
    <w:rsid w:val="00685383"/>
    <w:rsid w:val="00691DC0"/>
    <w:rsid w:val="00694F3E"/>
    <w:rsid w:val="0069685C"/>
    <w:rsid w:val="006A06D8"/>
    <w:rsid w:val="006A0879"/>
    <w:rsid w:val="006A2F9A"/>
    <w:rsid w:val="006A5522"/>
    <w:rsid w:val="006A6998"/>
    <w:rsid w:val="006B1426"/>
    <w:rsid w:val="006B2538"/>
    <w:rsid w:val="006B4445"/>
    <w:rsid w:val="006B5A40"/>
    <w:rsid w:val="006D2605"/>
    <w:rsid w:val="006D3358"/>
    <w:rsid w:val="006D4735"/>
    <w:rsid w:val="006E0C36"/>
    <w:rsid w:val="006E0EEC"/>
    <w:rsid w:val="006E10D5"/>
    <w:rsid w:val="006E724C"/>
    <w:rsid w:val="006F533A"/>
    <w:rsid w:val="00705683"/>
    <w:rsid w:val="00707D0E"/>
    <w:rsid w:val="00711EEC"/>
    <w:rsid w:val="00714EB6"/>
    <w:rsid w:val="0071546A"/>
    <w:rsid w:val="00716617"/>
    <w:rsid w:val="00717505"/>
    <w:rsid w:val="00717896"/>
    <w:rsid w:val="007206AB"/>
    <w:rsid w:val="007231B4"/>
    <w:rsid w:val="00736D0A"/>
    <w:rsid w:val="007415A2"/>
    <w:rsid w:val="00742B4C"/>
    <w:rsid w:val="00750096"/>
    <w:rsid w:val="0075153C"/>
    <w:rsid w:val="00752DF9"/>
    <w:rsid w:val="00756874"/>
    <w:rsid w:val="00760036"/>
    <w:rsid w:val="007602BF"/>
    <w:rsid w:val="007652A4"/>
    <w:rsid w:val="00766E28"/>
    <w:rsid w:val="007674F2"/>
    <w:rsid w:val="007709CF"/>
    <w:rsid w:val="0077224D"/>
    <w:rsid w:val="00780019"/>
    <w:rsid w:val="0078472E"/>
    <w:rsid w:val="00786690"/>
    <w:rsid w:val="007921E9"/>
    <w:rsid w:val="00792459"/>
    <w:rsid w:val="00794C90"/>
    <w:rsid w:val="00795343"/>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7F52C9"/>
    <w:rsid w:val="00800AA8"/>
    <w:rsid w:val="008025F8"/>
    <w:rsid w:val="0080428F"/>
    <w:rsid w:val="008075EF"/>
    <w:rsid w:val="008113B3"/>
    <w:rsid w:val="00811A6B"/>
    <w:rsid w:val="008144F0"/>
    <w:rsid w:val="00823255"/>
    <w:rsid w:val="0082660B"/>
    <w:rsid w:val="00827FFD"/>
    <w:rsid w:val="00831F99"/>
    <w:rsid w:val="00834A9C"/>
    <w:rsid w:val="00837BD5"/>
    <w:rsid w:val="00843688"/>
    <w:rsid w:val="00844234"/>
    <w:rsid w:val="00847CC2"/>
    <w:rsid w:val="00853C5C"/>
    <w:rsid w:val="00853CE4"/>
    <w:rsid w:val="0085552C"/>
    <w:rsid w:val="00862258"/>
    <w:rsid w:val="008639B7"/>
    <w:rsid w:val="00865712"/>
    <w:rsid w:val="00865AC3"/>
    <w:rsid w:val="00866E15"/>
    <w:rsid w:val="00867B2D"/>
    <w:rsid w:val="00874B01"/>
    <w:rsid w:val="008759DE"/>
    <w:rsid w:val="008801D4"/>
    <w:rsid w:val="00885F58"/>
    <w:rsid w:val="008875D6"/>
    <w:rsid w:val="008943AB"/>
    <w:rsid w:val="008965B3"/>
    <w:rsid w:val="00897F07"/>
    <w:rsid w:val="008A44E3"/>
    <w:rsid w:val="008A5618"/>
    <w:rsid w:val="008A6323"/>
    <w:rsid w:val="008B0425"/>
    <w:rsid w:val="008B39F4"/>
    <w:rsid w:val="008B40D0"/>
    <w:rsid w:val="008C5479"/>
    <w:rsid w:val="008C58EE"/>
    <w:rsid w:val="008C6CA2"/>
    <w:rsid w:val="008D3ED3"/>
    <w:rsid w:val="008D48DD"/>
    <w:rsid w:val="008D57F5"/>
    <w:rsid w:val="008D6375"/>
    <w:rsid w:val="008D6CCB"/>
    <w:rsid w:val="008D71A8"/>
    <w:rsid w:val="008D7912"/>
    <w:rsid w:val="008E08BA"/>
    <w:rsid w:val="008E142F"/>
    <w:rsid w:val="008E2B56"/>
    <w:rsid w:val="008E6277"/>
    <w:rsid w:val="008F286B"/>
    <w:rsid w:val="008F39E2"/>
    <w:rsid w:val="0090347D"/>
    <w:rsid w:val="00903D49"/>
    <w:rsid w:val="00905F10"/>
    <w:rsid w:val="00912456"/>
    <w:rsid w:val="009152A8"/>
    <w:rsid w:val="0092379B"/>
    <w:rsid w:val="009237D3"/>
    <w:rsid w:val="00925076"/>
    <w:rsid w:val="0092702C"/>
    <w:rsid w:val="009272A8"/>
    <w:rsid w:val="00932692"/>
    <w:rsid w:val="009344E5"/>
    <w:rsid w:val="009354E1"/>
    <w:rsid w:val="0093738D"/>
    <w:rsid w:val="00940C99"/>
    <w:rsid w:val="00941565"/>
    <w:rsid w:val="009553AF"/>
    <w:rsid w:val="0095700A"/>
    <w:rsid w:val="009664A3"/>
    <w:rsid w:val="00971944"/>
    <w:rsid w:val="0097327F"/>
    <w:rsid w:val="009757CF"/>
    <w:rsid w:val="00975FC2"/>
    <w:rsid w:val="0098011D"/>
    <w:rsid w:val="00986A25"/>
    <w:rsid w:val="009871E4"/>
    <w:rsid w:val="00990664"/>
    <w:rsid w:val="00990876"/>
    <w:rsid w:val="00991851"/>
    <w:rsid w:val="009923BE"/>
    <w:rsid w:val="00993281"/>
    <w:rsid w:val="0099723B"/>
    <w:rsid w:val="009975A8"/>
    <w:rsid w:val="009A20A1"/>
    <w:rsid w:val="009A25FA"/>
    <w:rsid w:val="009A50DB"/>
    <w:rsid w:val="009B3A6B"/>
    <w:rsid w:val="009B5192"/>
    <w:rsid w:val="009B5901"/>
    <w:rsid w:val="009B6AD0"/>
    <w:rsid w:val="009B7F24"/>
    <w:rsid w:val="009B7FCF"/>
    <w:rsid w:val="009C0785"/>
    <w:rsid w:val="009C1529"/>
    <w:rsid w:val="009C2249"/>
    <w:rsid w:val="009C23F0"/>
    <w:rsid w:val="009C362C"/>
    <w:rsid w:val="009D0EAC"/>
    <w:rsid w:val="009D225F"/>
    <w:rsid w:val="009D32F6"/>
    <w:rsid w:val="009D7177"/>
    <w:rsid w:val="009D7F5D"/>
    <w:rsid w:val="009E075A"/>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719A"/>
    <w:rsid w:val="00A373E0"/>
    <w:rsid w:val="00A4113A"/>
    <w:rsid w:val="00A46C95"/>
    <w:rsid w:val="00A47721"/>
    <w:rsid w:val="00A50B01"/>
    <w:rsid w:val="00A53FD3"/>
    <w:rsid w:val="00A57096"/>
    <w:rsid w:val="00A6095B"/>
    <w:rsid w:val="00A60EE9"/>
    <w:rsid w:val="00A611AC"/>
    <w:rsid w:val="00A63486"/>
    <w:rsid w:val="00A639A5"/>
    <w:rsid w:val="00A72267"/>
    <w:rsid w:val="00A730B2"/>
    <w:rsid w:val="00A7536C"/>
    <w:rsid w:val="00A767EE"/>
    <w:rsid w:val="00A77D2B"/>
    <w:rsid w:val="00A80840"/>
    <w:rsid w:val="00A86C42"/>
    <w:rsid w:val="00A907D8"/>
    <w:rsid w:val="00A91221"/>
    <w:rsid w:val="00A94F2D"/>
    <w:rsid w:val="00A96F2F"/>
    <w:rsid w:val="00AA4185"/>
    <w:rsid w:val="00AA6C89"/>
    <w:rsid w:val="00AB099D"/>
    <w:rsid w:val="00AB45A1"/>
    <w:rsid w:val="00AB52DD"/>
    <w:rsid w:val="00AB5CCD"/>
    <w:rsid w:val="00AC12B8"/>
    <w:rsid w:val="00AC25F8"/>
    <w:rsid w:val="00AC5577"/>
    <w:rsid w:val="00AC647B"/>
    <w:rsid w:val="00AC7532"/>
    <w:rsid w:val="00AC7DF5"/>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230C"/>
    <w:rsid w:val="00B128D8"/>
    <w:rsid w:val="00B14EDE"/>
    <w:rsid w:val="00B15067"/>
    <w:rsid w:val="00B24D7D"/>
    <w:rsid w:val="00B27320"/>
    <w:rsid w:val="00B27959"/>
    <w:rsid w:val="00B27AE2"/>
    <w:rsid w:val="00B30E08"/>
    <w:rsid w:val="00B30F7E"/>
    <w:rsid w:val="00B32C15"/>
    <w:rsid w:val="00B32CD8"/>
    <w:rsid w:val="00B340E7"/>
    <w:rsid w:val="00B36A30"/>
    <w:rsid w:val="00B37FC8"/>
    <w:rsid w:val="00B44E68"/>
    <w:rsid w:val="00B46ABB"/>
    <w:rsid w:val="00B47DB1"/>
    <w:rsid w:val="00B61B99"/>
    <w:rsid w:val="00B63A93"/>
    <w:rsid w:val="00B66D40"/>
    <w:rsid w:val="00B708FD"/>
    <w:rsid w:val="00B720C8"/>
    <w:rsid w:val="00B7501A"/>
    <w:rsid w:val="00B76DDC"/>
    <w:rsid w:val="00B77552"/>
    <w:rsid w:val="00B8410D"/>
    <w:rsid w:val="00B84E39"/>
    <w:rsid w:val="00B85B63"/>
    <w:rsid w:val="00B93EB9"/>
    <w:rsid w:val="00B956F7"/>
    <w:rsid w:val="00B96780"/>
    <w:rsid w:val="00BA5173"/>
    <w:rsid w:val="00BA7AA6"/>
    <w:rsid w:val="00BB41B1"/>
    <w:rsid w:val="00BB53E6"/>
    <w:rsid w:val="00BC2C87"/>
    <w:rsid w:val="00BC39BA"/>
    <w:rsid w:val="00BC6125"/>
    <w:rsid w:val="00BC6C1A"/>
    <w:rsid w:val="00BC78D7"/>
    <w:rsid w:val="00BC7C32"/>
    <w:rsid w:val="00BD2337"/>
    <w:rsid w:val="00BE7ABA"/>
    <w:rsid w:val="00BF15FD"/>
    <w:rsid w:val="00C02568"/>
    <w:rsid w:val="00C0612D"/>
    <w:rsid w:val="00C100DD"/>
    <w:rsid w:val="00C12879"/>
    <w:rsid w:val="00C14312"/>
    <w:rsid w:val="00C20813"/>
    <w:rsid w:val="00C31E67"/>
    <w:rsid w:val="00C33476"/>
    <w:rsid w:val="00C35DC4"/>
    <w:rsid w:val="00C416FC"/>
    <w:rsid w:val="00C41B61"/>
    <w:rsid w:val="00C453A6"/>
    <w:rsid w:val="00C463D5"/>
    <w:rsid w:val="00C473CC"/>
    <w:rsid w:val="00C5489D"/>
    <w:rsid w:val="00C548D1"/>
    <w:rsid w:val="00C622B4"/>
    <w:rsid w:val="00C65BAC"/>
    <w:rsid w:val="00C678B3"/>
    <w:rsid w:val="00C709A1"/>
    <w:rsid w:val="00C71D25"/>
    <w:rsid w:val="00C86931"/>
    <w:rsid w:val="00C90851"/>
    <w:rsid w:val="00C91900"/>
    <w:rsid w:val="00C92031"/>
    <w:rsid w:val="00C961DE"/>
    <w:rsid w:val="00CA13DD"/>
    <w:rsid w:val="00CA622C"/>
    <w:rsid w:val="00CA6400"/>
    <w:rsid w:val="00CB3182"/>
    <w:rsid w:val="00CB363D"/>
    <w:rsid w:val="00CB386F"/>
    <w:rsid w:val="00CC4633"/>
    <w:rsid w:val="00CC781C"/>
    <w:rsid w:val="00CC7FF0"/>
    <w:rsid w:val="00CD1F2D"/>
    <w:rsid w:val="00CD2597"/>
    <w:rsid w:val="00CD7DC6"/>
    <w:rsid w:val="00CE1C5C"/>
    <w:rsid w:val="00CE25B4"/>
    <w:rsid w:val="00CE2A7D"/>
    <w:rsid w:val="00CE35E2"/>
    <w:rsid w:val="00CE7C46"/>
    <w:rsid w:val="00CF0281"/>
    <w:rsid w:val="00CF1431"/>
    <w:rsid w:val="00CF63B5"/>
    <w:rsid w:val="00CF6808"/>
    <w:rsid w:val="00CF6ADD"/>
    <w:rsid w:val="00D01A3C"/>
    <w:rsid w:val="00D05CDF"/>
    <w:rsid w:val="00D1393F"/>
    <w:rsid w:val="00D14E14"/>
    <w:rsid w:val="00D23873"/>
    <w:rsid w:val="00D24121"/>
    <w:rsid w:val="00D25184"/>
    <w:rsid w:val="00D2573F"/>
    <w:rsid w:val="00D25A51"/>
    <w:rsid w:val="00D30E64"/>
    <w:rsid w:val="00D31763"/>
    <w:rsid w:val="00D31EC0"/>
    <w:rsid w:val="00D32873"/>
    <w:rsid w:val="00D338C5"/>
    <w:rsid w:val="00D36804"/>
    <w:rsid w:val="00D463A4"/>
    <w:rsid w:val="00D50859"/>
    <w:rsid w:val="00D51060"/>
    <w:rsid w:val="00D57C2D"/>
    <w:rsid w:val="00D61ED8"/>
    <w:rsid w:val="00D63657"/>
    <w:rsid w:val="00D63F75"/>
    <w:rsid w:val="00D80260"/>
    <w:rsid w:val="00D81E5A"/>
    <w:rsid w:val="00D82B9B"/>
    <w:rsid w:val="00D87623"/>
    <w:rsid w:val="00D90002"/>
    <w:rsid w:val="00D92A7E"/>
    <w:rsid w:val="00D9763D"/>
    <w:rsid w:val="00DA0037"/>
    <w:rsid w:val="00DA0CB4"/>
    <w:rsid w:val="00DA759A"/>
    <w:rsid w:val="00DB0B20"/>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16BDC"/>
    <w:rsid w:val="00E23E4C"/>
    <w:rsid w:val="00E25744"/>
    <w:rsid w:val="00E316C5"/>
    <w:rsid w:val="00E323DC"/>
    <w:rsid w:val="00E34ACF"/>
    <w:rsid w:val="00E36250"/>
    <w:rsid w:val="00E4203C"/>
    <w:rsid w:val="00E4208C"/>
    <w:rsid w:val="00E43A05"/>
    <w:rsid w:val="00E43B9C"/>
    <w:rsid w:val="00E44372"/>
    <w:rsid w:val="00E4506A"/>
    <w:rsid w:val="00E5228F"/>
    <w:rsid w:val="00E57006"/>
    <w:rsid w:val="00E60019"/>
    <w:rsid w:val="00E65E57"/>
    <w:rsid w:val="00E74927"/>
    <w:rsid w:val="00E7584F"/>
    <w:rsid w:val="00E75CF6"/>
    <w:rsid w:val="00E76E48"/>
    <w:rsid w:val="00E77E11"/>
    <w:rsid w:val="00E834BC"/>
    <w:rsid w:val="00E838E3"/>
    <w:rsid w:val="00E914C3"/>
    <w:rsid w:val="00E92A73"/>
    <w:rsid w:val="00E9321D"/>
    <w:rsid w:val="00E956CC"/>
    <w:rsid w:val="00EA0857"/>
    <w:rsid w:val="00EA1F0F"/>
    <w:rsid w:val="00EA282E"/>
    <w:rsid w:val="00EA5659"/>
    <w:rsid w:val="00EB097D"/>
    <w:rsid w:val="00EB1ACA"/>
    <w:rsid w:val="00EB2293"/>
    <w:rsid w:val="00EB46A3"/>
    <w:rsid w:val="00EB690E"/>
    <w:rsid w:val="00EC02A5"/>
    <w:rsid w:val="00EC6455"/>
    <w:rsid w:val="00ED3712"/>
    <w:rsid w:val="00ED6E86"/>
    <w:rsid w:val="00EE226C"/>
    <w:rsid w:val="00EE3C67"/>
    <w:rsid w:val="00EF0424"/>
    <w:rsid w:val="00EF04F8"/>
    <w:rsid w:val="00EF399E"/>
    <w:rsid w:val="00EF42CA"/>
    <w:rsid w:val="00EF43C0"/>
    <w:rsid w:val="00EF6EA2"/>
    <w:rsid w:val="00EF7CAA"/>
    <w:rsid w:val="00F03713"/>
    <w:rsid w:val="00F03798"/>
    <w:rsid w:val="00F053BE"/>
    <w:rsid w:val="00F06F31"/>
    <w:rsid w:val="00F11072"/>
    <w:rsid w:val="00F1227A"/>
    <w:rsid w:val="00F1380D"/>
    <w:rsid w:val="00F15C37"/>
    <w:rsid w:val="00F20958"/>
    <w:rsid w:val="00F218F6"/>
    <w:rsid w:val="00F24B16"/>
    <w:rsid w:val="00F30FD3"/>
    <w:rsid w:val="00F33FA6"/>
    <w:rsid w:val="00F35DBF"/>
    <w:rsid w:val="00F36890"/>
    <w:rsid w:val="00F40190"/>
    <w:rsid w:val="00F401F6"/>
    <w:rsid w:val="00F4284A"/>
    <w:rsid w:val="00F44A05"/>
    <w:rsid w:val="00F47086"/>
    <w:rsid w:val="00F476EA"/>
    <w:rsid w:val="00F55AAF"/>
    <w:rsid w:val="00F64DCE"/>
    <w:rsid w:val="00F66C59"/>
    <w:rsid w:val="00F67702"/>
    <w:rsid w:val="00F80A1B"/>
    <w:rsid w:val="00F9125C"/>
    <w:rsid w:val="00F95BCB"/>
    <w:rsid w:val="00F96E18"/>
    <w:rsid w:val="00FA2A17"/>
    <w:rsid w:val="00FA3C45"/>
    <w:rsid w:val="00FB2DAD"/>
    <w:rsid w:val="00FC1900"/>
    <w:rsid w:val="00FC3FEF"/>
    <w:rsid w:val="00FC4EDE"/>
    <w:rsid w:val="00FC53BA"/>
    <w:rsid w:val="00FD0B1C"/>
    <w:rsid w:val="00FD1137"/>
    <w:rsid w:val="00FD2A89"/>
    <w:rsid w:val="00FD7031"/>
    <w:rsid w:val="00FE0A0F"/>
    <w:rsid w:val="00FF1DD8"/>
    <w:rsid w:val="00FF3635"/>
    <w:rsid w:val="00FF546C"/>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20667745">
      <w:bodyDiv w:val="1"/>
      <w:marLeft w:val="0"/>
      <w:marRight w:val="0"/>
      <w:marTop w:val="0"/>
      <w:marBottom w:val="0"/>
      <w:divBdr>
        <w:top w:val="none" w:sz="0" w:space="0" w:color="auto"/>
        <w:left w:val="none" w:sz="0" w:space="0" w:color="auto"/>
        <w:bottom w:val="none" w:sz="0" w:space="0" w:color="auto"/>
        <w:right w:val="none" w:sz="0" w:space="0" w:color="auto"/>
      </w:divBdr>
      <w:divsChild>
        <w:div w:id="1546210161">
          <w:marLeft w:val="0"/>
          <w:marRight w:val="0"/>
          <w:marTop w:val="0"/>
          <w:marBottom w:val="0"/>
          <w:divBdr>
            <w:top w:val="none" w:sz="0" w:space="0" w:color="auto"/>
            <w:left w:val="none" w:sz="0" w:space="0" w:color="auto"/>
            <w:bottom w:val="none" w:sz="0" w:space="0" w:color="auto"/>
            <w:right w:val="none" w:sz="0" w:space="0" w:color="auto"/>
          </w:divBdr>
        </w:div>
      </w:divsChild>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4004</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Aditivo AF de Imóvel</vt:lpstr>
    </vt:vector>
  </TitlesOfParts>
  <Company>DTAdvs</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AF de Imóvel</dc:title>
  <dc:subject>CRI JK (VNC)</dc:subject>
  <dc:creator>Francisco Timoni</dc:creator>
  <cp:keywords/>
  <dc:description/>
  <cp:lastModifiedBy>Francisco Timoni</cp:lastModifiedBy>
  <cp:revision>4</cp:revision>
  <cp:lastPrinted>2019-05-14T19:32:00Z</cp:lastPrinted>
  <dcterms:created xsi:type="dcterms:W3CDTF">2021-11-03T11:59:00Z</dcterms:created>
  <dcterms:modified xsi:type="dcterms:W3CDTF">2021-11-03T12:02:00Z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