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Header"/>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itle"/>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482ABB4D" w:rsidR="007313E5" w:rsidRPr="00283D6D" w:rsidRDefault="006A29EB" w:rsidP="007313E5">
      <w:pPr>
        <w:pStyle w:val="CM3"/>
        <w:spacing w:after="140" w:line="290" w:lineRule="auto"/>
        <w:jc w:val="center"/>
        <w:rPr>
          <w:rFonts w:ascii="Arial" w:hAnsi="Arial" w:cs="Arial"/>
          <w:sz w:val="20"/>
          <w:szCs w:val="20"/>
        </w:rPr>
      </w:pPr>
      <w:r>
        <w:rPr>
          <w:rFonts w:ascii="Arial" w:hAnsi="Arial" w:cs="Arial"/>
          <w:sz w:val="20"/>
          <w:szCs w:val="20"/>
        </w:rPr>
        <w:t>19</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e na melhor forma de direito, de um lado, na qualidade de companhia securitizadora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nova denominação da ISEC Securitizadora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r w:rsidRPr="00283D6D">
        <w:rPr>
          <w:b/>
          <w:szCs w:val="20"/>
        </w:rPr>
        <w:t>Securitizadora</w:t>
      </w:r>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sociedade de natureza limitada, atuando por sua filial na cidade de São Paulo, Estado de São Paulo, na Rua Joaquim Floriano, 466, sl.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3BAB5FE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6A00E0">
              <w:rPr>
                <w:rFonts w:ascii="Arial" w:hAnsi="Arial" w:cs="Arial"/>
              </w:rPr>
              <w:t>5.10.1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0958A22E"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6A00E0">
              <w:rPr>
                <w:rFonts w:ascii="Arial" w:hAnsi="Arial" w:cs="Arial"/>
              </w:rPr>
              <w:t>6.5.9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7C557FB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6A00E0">
              <w:rPr>
                <w:rFonts w:ascii="Arial" w:hAnsi="Arial" w:cs="Arial"/>
              </w:rPr>
              <w:t>14</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Código Anbima</w:t>
            </w:r>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261494B8"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8.3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r w:rsidRPr="00105C76">
              <w:rPr>
                <w:rFonts w:ascii="Arial" w:hAnsi="Arial" w:cs="Arial"/>
                <w:b/>
                <w:bCs/>
                <w:i/>
                <w:iCs/>
              </w:rPr>
              <w:t>Completion</w:t>
            </w:r>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Completion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xml:space="preserve">: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(ii)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(iii)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BodyTextIndent"/>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BodyTextIndent"/>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BodyTextIndent"/>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BodyTextIndent"/>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BodyTextIndent"/>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BodyTextIndent"/>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(ii)</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(ii)</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76E6B9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6A00E0">
              <w:rPr>
                <w:rFonts w:ascii="Arial" w:hAnsi="Arial" w:cs="Arial"/>
              </w:rPr>
              <w:t>5.15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6A654581"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6A00E0">
              <w:rPr>
                <w:rFonts w:ascii="Arial" w:hAnsi="Arial" w:cs="Arial"/>
                <w:bCs/>
              </w:rPr>
              <w:t>8.3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E705E7">
              <w:rPr>
                <w:rFonts w:ascii="Arial" w:hAnsi="Arial" w:cs="Arial"/>
                <w:bCs/>
              </w:rPr>
              <w:t>Em</w:t>
            </w:r>
            <w:r w:rsidR="00116CE0" w:rsidRPr="00E705E7">
              <w:rPr>
                <w:rFonts w:ascii="Arial" w:hAnsi="Arial" w:cs="Arial"/>
              </w:rPr>
              <w:t xml:space="preserve"> </w:t>
            </w:r>
            <w:r w:rsidR="00E705E7" w:rsidRPr="00F74FB5">
              <w:rPr>
                <w:rFonts w:ascii="Arial" w:hAnsi="Arial" w:cs="Arial"/>
              </w:rPr>
              <w:t>1</w:t>
            </w:r>
            <w:r w:rsidR="00DB29A6">
              <w:rPr>
                <w:rFonts w:ascii="Arial" w:hAnsi="Arial" w:cs="Arial"/>
              </w:rPr>
              <w:t>8</w:t>
            </w:r>
            <w:r w:rsidRPr="00E705E7">
              <w:rPr>
                <w:rFonts w:ascii="Arial" w:hAnsi="Arial" w:cs="Arial"/>
              </w:rPr>
              <w:t xml:space="preserve"> </w:t>
            </w:r>
            <w:r w:rsidR="00116CE0" w:rsidRPr="00E705E7">
              <w:rPr>
                <w:rFonts w:ascii="Arial" w:hAnsi="Arial" w:cs="Arial"/>
              </w:rPr>
              <w:t xml:space="preserve">de </w:t>
            </w:r>
            <w:r w:rsidR="00E705E7" w:rsidRPr="00F74FB5">
              <w:rPr>
                <w:rFonts w:ascii="Arial" w:hAnsi="Arial" w:cs="Arial"/>
              </w:rPr>
              <w:t>novembro</w:t>
            </w:r>
            <w:r w:rsidRPr="00E705E7">
              <w:rPr>
                <w:rFonts w:ascii="Arial" w:hAnsi="Arial" w:cs="Arial"/>
              </w:rPr>
              <w:t xml:space="preserve"> </w:t>
            </w:r>
            <w:r w:rsidR="00116CE0" w:rsidRPr="00E705E7">
              <w:rPr>
                <w:rFonts w:ascii="Arial" w:hAnsi="Arial" w:cs="Arial"/>
              </w:rPr>
              <w:t>de 20</w:t>
            </w:r>
            <w:r w:rsidR="00E705E7" w:rsidRPr="00F74FB5">
              <w:rPr>
                <w:rFonts w:ascii="Arial" w:hAnsi="Arial" w:cs="Arial"/>
              </w:rPr>
              <w:t>3</w:t>
            </w:r>
            <w:r w:rsidR="00BB3E00">
              <w:rPr>
                <w:rFonts w:ascii="Arial" w:hAnsi="Arial" w:cs="Arial"/>
              </w:rPr>
              <w:t>1</w:t>
            </w:r>
            <w:r w:rsidR="00A8065A" w:rsidRPr="00E705E7">
              <w:rPr>
                <w:rFonts w:ascii="Arial" w:hAnsi="Arial" w:cs="Arial"/>
              </w:rPr>
              <w:t>,</w:t>
            </w:r>
            <w:r w:rsidR="00116CE0" w:rsidRPr="00E705E7" w:rsidDel="00AA03D3">
              <w:rPr>
                <w:rFonts w:ascii="Arial" w:hAnsi="Arial" w:cs="Arial"/>
              </w:rPr>
              <w:t xml:space="preserve"> </w:t>
            </w:r>
            <w:r w:rsidR="00116CE0" w:rsidRPr="00E705E7">
              <w:rPr>
                <w:rFonts w:ascii="Arial" w:hAnsi="Arial" w:cs="Arial"/>
              </w:rPr>
              <w:t>ressalvadas as hipóteses de Resgate Antecipado Facultativo das Debêntures</w:t>
            </w:r>
            <w:r w:rsidR="00A8065A" w:rsidRPr="00E705E7">
              <w:rPr>
                <w:rFonts w:ascii="Arial" w:hAnsi="Arial" w:cs="Arial"/>
              </w:rPr>
              <w:t>, Resgate Antecipado Obrigatór</w:t>
            </w:r>
            <w:r w:rsidR="000D12BE" w:rsidRPr="00E705E7">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729EFA3"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w:t>
            </w:r>
            <w:r w:rsidRPr="002B4D58">
              <w:rPr>
                <w:rFonts w:ascii="Arial" w:hAnsi="Arial" w:cs="Arial"/>
              </w:rPr>
              <w:t xml:space="preserve">será de </w:t>
            </w:r>
            <w:bookmarkStart w:id="15" w:name="_Hlk77933592"/>
            <w:r w:rsidR="001132E0">
              <w:rPr>
                <w:rFonts w:ascii="Arial" w:hAnsi="Arial" w:cs="Arial"/>
              </w:rPr>
              <w:t>3.633 (três ,mil, seiscentos e trinta e três)</w:t>
            </w:r>
            <w:r w:rsidRPr="002B4D58">
              <w:rPr>
                <w:rFonts w:ascii="Arial" w:hAnsi="Arial" w:cs="Arial"/>
              </w:rPr>
              <w:t xml:space="preserve"> dias contados da Data de Emissão, vencendo-se, portanto, em </w:t>
            </w:r>
            <w:r w:rsidR="00E705E7" w:rsidRPr="002B4D58">
              <w:rPr>
                <w:rFonts w:ascii="Arial" w:hAnsi="Arial" w:cs="Arial"/>
                <w:bCs/>
              </w:rPr>
              <w:t>1</w:t>
            </w:r>
            <w:r w:rsidR="001132E0">
              <w:rPr>
                <w:rFonts w:ascii="Arial" w:hAnsi="Arial" w:cs="Arial"/>
                <w:bCs/>
              </w:rPr>
              <w:t>4</w:t>
            </w:r>
            <w:r w:rsidR="00E705E7" w:rsidRPr="002B4D58">
              <w:rPr>
                <w:rFonts w:ascii="Arial" w:hAnsi="Arial" w:cs="Arial"/>
                <w:bCs/>
              </w:rPr>
              <w:t xml:space="preserve"> </w:t>
            </w:r>
            <w:r w:rsidR="007A016D" w:rsidRPr="002B4D58">
              <w:rPr>
                <w:rFonts w:ascii="Arial" w:hAnsi="Arial" w:cs="Arial"/>
                <w:bCs/>
              </w:rPr>
              <w:t>de novembro</w:t>
            </w:r>
            <w:r w:rsidRPr="002B4D58">
              <w:rPr>
                <w:rFonts w:ascii="Arial" w:hAnsi="Arial" w:cs="Arial"/>
              </w:rPr>
              <w:t xml:space="preserve"> de 203</w:t>
            </w:r>
            <w:r w:rsidR="001132E0">
              <w:rPr>
                <w:rFonts w:ascii="Arial" w:hAnsi="Arial" w:cs="Arial"/>
              </w:rPr>
              <w:t>1</w:t>
            </w:r>
            <w:r w:rsidRPr="002B4D58">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08EF223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6A00E0">
              <w:rPr>
                <w:rFonts w:ascii="Arial" w:hAnsi="Arial" w:cs="Arial"/>
              </w:rPr>
              <w:t>9.3.1(xix)</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incluindo publicações, inscrições, registros, contratação do Agente Fiduciário, do Escriturador,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(ii)</w:t>
            </w:r>
            <w:r w:rsidRPr="00283D6D">
              <w:rPr>
                <w:rFonts w:ascii="Arial" w:hAnsi="Arial" w:cs="Arial"/>
                <w:bCs/>
              </w:rPr>
              <w:t xml:space="preserve"> a Escritura de Emissão de CCI; </w:t>
            </w:r>
            <w:r w:rsidRPr="002B4D58">
              <w:rPr>
                <w:rFonts w:ascii="Arial" w:hAnsi="Arial" w:cs="Arial"/>
                <w:b/>
              </w:rPr>
              <w:t>(iii)</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(iv)</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(vii)</w:t>
            </w:r>
            <w:r w:rsidRPr="00283D6D">
              <w:rPr>
                <w:rFonts w:ascii="Arial" w:hAnsi="Arial" w:cs="Arial"/>
                <w:bCs/>
              </w:rPr>
              <w:t xml:space="preserve"> o Boletim de Subscrição das Debêntures; </w:t>
            </w:r>
            <w:r w:rsidRPr="002B4D58">
              <w:rPr>
                <w:rFonts w:ascii="Arial" w:hAnsi="Arial" w:cs="Arial"/>
                <w:b/>
              </w:rPr>
              <w:t>(viii)</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(ix)</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(ii)</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r w:rsidRPr="00283D6D">
              <w:rPr>
                <w:rFonts w:ascii="Arial" w:hAnsi="Arial" w:cs="Arial"/>
                <w:b/>
                <w:bCs/>
              </w:rPr>
              <w:t>Securitizadora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Escriturador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0A254EDB"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6A00E0">
              <w:rPr>
                <w:rFonts w:ascii="Arial" w:hAnsi="Arial" w:cs="Arial"/>
              </w:rPr>
              <w:t>8.4.1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7329B7ED"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6A00E0">
              <w:rPr>
                <w:rFonts w:ascii="Arial" w:hAnsi="Arial" w:cs="Arial"/>
              </w:rPr>
              <w:t>8.4.2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(ii)</w:t>
            </w:r>
            <w:r w:rsidRPr="00283D6D">
              <w:rPr>
                <w:rFonts w:ascii="Arial" w:hAnsi="Arial" w:cs="Arial"/>
              </w:rPr>
              <w:t xml:space="preserve"> companhias seguradoras e sociedades de capitalização; </w:t>
            </w:r>
            <w:r w:rsidRPr="00283D6D">
              <w:rPr>
                <w:rFonts w:ascii="Arial" w:hAnsi="Arial" w:cs="Arial"/>
                <w:b/>
              </w:rPr>
              <w:t>(iii)</w:t>
            </w:r>
            <w:r w:rsidRPr="00283D6D">
              <w:rPr>
                <w:rFonts w:ascii="Arial" w:hAnsi="Arial" w:cs="Arial"/>
              </w:rPr>
              <w:t xml:space="preserve"> entidades abertas e fechadas de previdência complementar; </w:t>
            </w:r>
            <w:r w:rsidRPr="00283D6D">
              <w:rPr>
                <w:rFonts w:ascii="Arial" w:hAnsi="Arial" w:cs="Arial"/>
                <w:b/>
              </w:rPr>
              <w:t>(iv)</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(vii)</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(viii)</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6EA7F01A"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6A00E0">
              <w:rPr>
                <w:rFonts w:ascii="Arial" w:hAnsi="Arial" w:cs="Arial"/>
              </w:rPr>
              <w:t>7.1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pro rata temporis</w:t>
            </w:r>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U.S. Foreign Corrupt Practices Act</w:t>
            </w:r>
            <w:r w:rsidRPr="00283D6D">
              <w:rPr>
                <w:rFonts w:ascii="Arial" w:hAnsi="Arial" w:cs="Arial"/>
              </w:rPr>
              <w:t xml:space="preserve"> de 1977 e a </w:t>
            </w:r>
            <w:r w:rsidRPr="00283D6D">
              <w:rPr>
                <w:rFonts w:ascii="Arial" w:hAnsi="Arial" w:cs="Arial"/>
                <w:i/>
              </w:rPr>
              <w:t>UK Bribery Act</w:t>
            </w:r>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(ii)</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(iii)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(ii)</w:t>
            </w:r>
            <w:r w:rsidRPr="00283D6D">
              <w:rPr>
                <w:rFonts w:ascii="Arial" w:hAnsi="Arial" w:cs="Arial"/>
                <w:szCs w:val="20"/>
              </w:rPr>
              <w:t xml:space="preserve"> Fiadora; </w:t>
            </w:r>
            <w:r w:rsidRPr="00283D6D">
              <w:rPr>
                <w:rFonts w:ascii="Arial" w:hAnsi="Arial" w:cs="Arial"/>
                <w:b/>
                <w:szCs w:val="20"/>
              </w:rPr>
              <w:t>(iii)</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(iv)</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r w:rsidR="008170F0" w:rsidRPr="00283D6D">
              <w:rPr>
                <w:rFonts w:ascii="Arial" w:hAnsi="Arial" w:cs="Arial"/>
                <w:b/>
                <w:bCs/>
                <w:color w:val="000000"/>
                <w:szCs w:val="20"/>
              </w:rPr>
              <w:t>vii</w:t>
            </w:r>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xml:space="preserve">; (ii) Fiadora; (iii) WTS; (iv)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(ii)</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5D6414E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6A00E0">
              <w:rPr>
                <w:rFonts w:ascii="Arial" w:hAnsi="Arial" w:cs="Arial"/>
              </w:rPr>
              <w:t>6.3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092766B5"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6A00E0">
              <w:rPr>
                <w:rFonts w:ascii="Arial" w:hAnsi="Arial" w:cs="Arial"/>
              </w:rPr>
              <w:t>8.1.3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(ii)</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(iii)</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(ii)</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(ii)</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3FE05FD7"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6A00E0">
              <w:rPr>
                <w:rFonts w:ascii="Arial" w:hAnsi="Arial" w:cs="Arial"/>
              </w:rPr>
              <w:t>8.1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5B7D616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8.2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SPEs</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6BAECA3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10.2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0B8E507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5.9.1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sociedade limitada, com sede na Cidade de Barretos, na V. Hosny Daher – Nene Daher,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01761DF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5.5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87A15E3"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7.1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47A3501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6A00E0">
              <w:rPr>
                <w:rFonts w:ascii="Arial" w:hAnsi="Arial" w:cs="Arial"/>
              </w:rPr>
              <w:t>5.4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695D21B0"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6A00E0">
        <w:t>1.1</w:t>
      </w:r>
      <w:r w:rsidRPr="00283D6D">
        <w:fldChar w:fldCharType="end"/>
      </w:r>
      <w:r w:rsidRPr="00283D6D">
        <w:t xml:space="preserve"> acima, (i) os cabeçalhos e títulos deste Termo de </w:t>
      </w:r>
      <w:bookmarkEnd w:id="18"/>
      <w:r w:rsidRPr="00283D6D">
        <w:t xml:space="preserve">Securitização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6A00E0">
        <w:t>1.1</w:t>
      </w:r>
      <w:r w:rsidR="00AF43A9" w:rsidRPr="00283D6D">
        <w:fldChar w:fldCharType="end"/>
      </w:r>
      <w:r w:rsidRPr="00283D6D">
        <w:t xml:space="preserve">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(vii) todas as referências à Securitizadora e ao Agente Fiduciário dos CRI incluem seus sucessores, representantes e cessionários devidamente autorizados; e (viii)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Securitizadora, até o limite de R$80.000.000.000,00 (oitenta bilhões de reais).</w:t>
      </w:r>
      <w:r w:rsidR="00AC6CE0">
        <w:rPr>
          <w:b/>
          <w:bCs/>
        </w:rPr>
        <w:t xml:space="preserve"> </w:t>
      </w:r>
    </w:p>
    <w:p w14:paraId="50C133EF" w14:textId="67676A6D" w:rsidR="003D6A14" w:rsidRPr="00283D6D" w:rsidRDefault="003D6A14" w:rsidP="00853D9B">
      <w:pPr>
        <w:pStyle w:val="Level2"/>
      </w:pPr>
      <w:r w:rsidRPr="00283D6D">
        <w:rPr>
          <w:b/>
        </w:rPr>
        <w:t xml:space="preserve">Vinculação dos Créditos Imobiliários. </w:t>
      </w:r>
      <w:r w:rsidRPr="00283D6D">
        <w:t>Pelo presente Termo de Securitização, a Securitizadora</w:t>
      </w:r>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6A00E0">
        <w:t>5</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Para fins do artigo 8º da Lei nº 9.514, a Securitizadora</w:t>
      </w:r>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Securitizadora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6BA9CA63" w:rsidR="003D6A14" w:rsidRPr="00283D6D" w:rsidRDefault="003D6A14" w:rsidP="00157F4D">
      <w:pPr>
        <w:pStyle w:val="Level2"/>
      </w:pPr>
      <w:r w:rsidRPr="00283D6D">
        <w:t xml:space="preserve">A titularidade dos Créditos Imobiliários foi adquirida pela Securitizadora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6A00E0">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2DF86049"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6A00E0">
        <w:t>5</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0D544E80"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6A00E0">
        <w:t>2.3.5</w:t>
      </w:r>
      <w:r w:rsidRPr="00283D6D">
        <w:fldChar w:fldCharType="end"/>
      </w:r>
      <w:r w:rsidRPr="00283D6D">
        <w:t xml:space="preserve"> acima, a Securitizadora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A CCI, representativa dos Créditos Imobiliários, foi emitida pela Securitizadora,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O Regime Fiduciário a ser instituído pela Securitizadora</w:t>
      </w:r>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Securitizadora</w:t>
      </w:r>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sociedade de natureza limitada, atuando por sua filial na cidade de São Paulo, Estado de São Paulo, na Rua Joaquim Floriano, 466, sl.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(ii) fará a custódia de uma via original da Escritura de Emissão de CCI; e (iii)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(ii)</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1816C1F1" w:rsidR="00116CE0" w:rsidRPr="00283D6D" w:rsidRDefault="00116CE0" w:rsidP="004E7E29">
      <w:pPr>
        <w:pStyle w:val="Level3"/>
        <w:rPr>
          <w:szCs w:val="20"/>
        </w:rPr>
      </w:pPr>
      <w:r w:rsidRPr="00283D6D">
        <w:t xml:space="preserve">Os Recursos Líquidos deverão ser integralmente utilizados, pela Devedora e pelas SPEs,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6A00E0">
        <w:t>6.4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3D63371B"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o saldo remanescente da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77777777" w:rsidR="000E21FC" w:rsidRPr="00283D6D" w:rsidRDefault="000E21FC" w:rsidP="000E21FC">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4F00D765" w14:textId="743525A8"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6A00E0">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r w:rsidRPr="00283D6D">
        <w:rPr>
          <w:b/>
          <w:bCs/>
        </w:rPr>
        <w:t>Constituição do Fundo de Despesas.</w:t>
      </w:r>
      <w:r w:rsidRPr="00283D6D">
        <w:t xml:space="preserve"> A Emissora deverá constituir o Fundo de Despesas por meio da dedução do Valor do Fundo de Despesas dos Recursos Líquidos, nos termos da Escritura.</w:t>
      </w:r>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33BF22CF"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6A00E0">
        <w:t>3.4</w:t>
      </w:r>
      <w:r>
        <w:fldChar w:fldCharType="end"/>
      </w:r>
      <w:r w:rsidRPr="00283D6D">
        <w:t xml:space="preserve"> acima, toda vez que, por qualquer motivo, os recursos do Fundo de Despesas venham a ser inferiores ao Valor Mínimo do Fundo de Despesas, mediante comprovação por meio de notificação da Securitizadora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6.1.2(xvii)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738D5356" w14:textId="77777777" w:rsidR="000E21FC" w:rsidRPr="00283D6D" w:rsidRDefault="000E21FC" w:rsidP="000E21FC">
      <w:pPr>
        <w:pStyle w:val="Level1"/>
        <w:rPr>
          <w:szCs w:val="20"/>
        </w:rPr>
      </w:pPr>
      <w:r w:rsidRPr="00283D6D">
        <w:t>IDENTIFICAÇÃO DOS CRI E FORMA DE DISTRIBUIÇÃO</w:t>
      </w:r>
    </w:p>
    <w:p w14:paraId="0FC2EFB3" w14:textId="77777777" w:rsidR="000E21FC" w:rsidRPr="00283D6D" w:rsidRDefault="000E21FC" w:rsidP="000E21FC">
      <w:pPr>
        <w:pStyle w:val="Level2"/>
      </w:pPr>
      <w:r w:rsidRPr="00283D6D">
        <w:rPr>
          <w:b/>
          <w:bCs/>
          <w:iCs/>
        </w:rPr>
        <w:t>Número da Emissão</w:t>
      </w:r>
      <w:r w:rsidRPr="00283D6D">
        <w:t>.</w:t>
      </w:r>
      <w:r w:rsidRPr="00283D6D">
        <w:rPr>
          <w:b/>
        </w:rPr>
        <w:t xml:space="preserve"> </w:t>
      </w:r>
      <w:r w:rsidRPr="00283D6D">
        <w:rPr>
          <w:bCs/>
        </w:rPr>
        <w:t xml:space="preserve">Esta </w:t>
      </w:r>
      <w:r w:rsidRPr="00283D6D">
        <w:t>é a 4ª (quarta) emissão de certificados de recebíveis imobiliários da Emissora.</w:t>
      </w:r>
    </w:p>
    <w:p w14:paraId="44725768" w14:textId="77777777" w:rsidR="000E21FC" w:rsidRPr="00283D6D" w:rsidRDefault="000E21FC" w:rsidP="000E21FC">
      <w:pPr>
        <w:pStyle w:val="Level2"/>
      </w:pPr>
      <w:r w:rsidRPr="00283D6D">
        <w:rPr>
          <w:b/>
          <w:iCs/>
        </w:rPr>
        <w:t>Número das Séries</w:t>
      </w:r>
      <w:r w:rsidRPr="00283D6D">
        <w:rPr>
          <w:bCs/>
        </w:rPr>
        <w:t xml:space="preserve">. </w:t>
      </w:r>
      <w:r w:rsidRPr="00283D6D">
        <w:t>Os CRI serão emitidos em série única.</w:t>
      </w:r>
    </w:p>
    <w:p w14:paraId="718FFF27" w14:textId="77777777" w:rsidR="000E21FC" w:rsidRPr="00283D6D" w:rsidRDefault="000E21FC" w:rsidP="000E21FC">
      <w:pPr>
        <w:pStyle w:val="Level2"/>
      </w:pPr>
      <w:r w:rsidRPr="00283D6D">
        <w:rPr>
          <w:b/>
          <w:bCs/>
          <w:iCs/>
        </w:rPr>
        <w:t>Quantidade de CRI</w:t>
      </w:r>
      <w:r w:rsidRPr="00283D6D">
        <w:t xml:space="preserve">. Serão emitidos </w:t>
      </w:r>
      <w:r w:rsidRPr="00283D6D">
        <w:rPr>
          <w:bCs/>
        </w:rPr>
        <w:t>56.000</w:t>
      </w:r>
      <w:r w:rsidRPr="00283D6D">
        <w:t xml:space="preserve"> (</w:t>
      </w:r>
      <w:r w:rsidRPr="00283D6D">
        <w:rPr>
          <w:bCs/>
        </w:rPr>
        <w:t>cinquenta e seis mil</w:t>
      </w:r>
      <w:r w:rsidRPr="00283D6D">
        <w:t>) Certificados de Recebíveis Imobiliários.</w:t>
      </w:r>
    </w:p>
    <w:p w14:paraId="3C3C7B39" w14:textId="77777777" w:rsidR="000E21FC" w:rsidRPr="00283D6D" w:rsidRDefault="000E21FC" w:rsidP="000E21FC">
      <w:pPr>
        <w:pStyle w:val="Level2"/>
      </w:pPr>
      <w:r w:rsidRPr="00283D6D">
        <w:rPr>
          <w:b/>
          <w:bCs/>
          <w:iCs/>
        </w:rPr>
        <w:t>Valor Total da Emissão</w:t>
      </w:r>
      <w:r w:rsidRPr="00283D6D">
        <w:t xml:space="preserve">. O Valor Total da Emissão será de R$ </w:t>
      </w:r>
      <w:r w:rsidRPr="00283D6D">
        <w:rPr>
          <w:bCs/>
        </w:rPr>
        <w:t>56.000.000,00</w:t>
      </w:r>
      <w:r w:rsidRPr="00283D6D">
        <w:t xml:space="preserve"> (cinquenta e seis </w:t>
      </w:r>
      <w:r w:rsidRPr="00283D6D">
        <w:rPr>
          <w:bCs/>
        </w:rPr>
        <w:t xml:space="preserve">milhões) de reais, </w:t>
      </w:r>
      <w:r w:rsidRPr="00283D6D">
        <w:t>na Data de Emissão.</w:t>
      </w:r>
    </w:p>
    <w:p w14:paraId="774FFD84" w14:textId="77777777" w:rsidR="000E21FC" w:rsidRPr="00283D6D" w:rsidRDefault="000E21FC" w:rsidP="000E21FC">
      <w:pPr>
        <w:pStyle w:val="Level2"/>
      </w:pPr>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p>
    <w:p w14:paraId="0F0939DD" w14:textId="52BD998D" w:rsidR="00116CE0" w:rsidRPr="00283D6D" w:rsidRDefault="000E21FC" w:rsidP="000E21FC">
      <w:pPr>
        <w:pStyle w:val="Level2"/>
        <w:rPr>
          <w:szCs w:val="20"/>
        </w:rPr>
      </w:pPr>
      <w:r w:rsidRPr="00302FE2">
        <w:rPr>
          <w:b/>
          <w:bCs/>
          <w:iCs/>
        </w:rPr>
        <w:t>Prazo.</w:t>
      </w:r>
      <w:r w:rsidRPr="00302FE2">
        <w:t xml:space="preserve"> Os CRI terão o prazo de</w:t>
      </w:r>
    </w:p>
    <w:p w14:paraId="6B923F3C" w14:textId="7FF89303"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002D3BF9">
        <w:t xml:space="preserve"> contados da data em que o Agente Fiduciário atestar o integral cumprimento das Obrigações Garantidas</w:t>
      </w:r>
      <w:r w:rsidRPr="00283D6D">
        <w:t>,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16EDF5B2" w:rsidR="00116CE0" w:rsidRPr="00283D6D" w:rsidRDefault="00C65742" w:rsidP="00B24D2B">
      <w:pPr>
        <w:pStyle w:val="Level3"/>
        <w:rPr>
          <w:szCs w:val="20"/>
        </w:rPr>
      </w:pPr>
      <w:r>
        <w:t xml:space="preserve">Observado o disposto na Cláusula </w:t>
      </w:r>
      <w:r>
        <w:fldChar w:fldCharType="begin"/>
      </w:r>
      <w:r>
        <w:instrText xml:space="preserve"> REF _Ref74311505 \r \h </w:instrText>
      </w:r>
      <w:r>
        <w:fldChar w:fldCharType="separate"/>
      </w:r>
      <w:r w:rsidR="006A00E0">
        <w:t>3.4</w:t>
      </w:r>
      <w:r>
        <w:fldChar w:fldCharType="end"/>
      </w:r>
      <w:r>
        <w:t xml:space="preserve"> acima, a</w:t>
      </w:r>
      <w:r w:rsidR="00116CE0" w:rsidRPr="00283D6D">
        <w:t>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00116CE0" w:rsidRPr="00283D6D">
        <w:t>.</w:t>
      </w:r>
    </w:p>
    <w:p w14:paraId="3B10A595" w14:textId="106A1ECC" w:rsidR="00116CE0" w:rsidRPr="00283D6D" w:rsidRDefault="00116CE0" w:rsidP="00B24D2B">
      <w:pPr>
        <w:pStyle w:val="Level2"/>
        <w:tabs>
          <w:tab w:val="clear" w:pos="680"/>
          <w:tab w:val="num" w:pos="-27009"/>
        </w:tabs>
      </w:pPr>
      <w:bookmarkStart w:id="36" w:name="_Ref79485134"/>
      <w:r w:rsidRPr="00283D6D">
        <w:rPr>
          <w:b/>
          <w:bCs/>
        </w:rPr>
        <w:t>Recomposição do Fundo de Reserva</w:t>
      </w:r>
      <w:r w:rsidRPr="00283D6D">
        <w:t xml:space="preserve">. Observado o disposto na Cláusula </w:t>
      </w:r>
      <w:r w:rsidR="0096515F" w:rsidRPr="00283D6D">
        <w:t>5</w:t>
      </w:r>
      <w:r w:rsidRPr="00283D6D">
        <w:t>.</w:t>
      </w:r>
      <w:r w:rsidR="00C65BA4">
        <w:t>41</w:t>
      </w:r>
      <w:r w:rsidRPr="00283D6D">
        <w:t>.</w:t>
      </w:r>
      <w:r w:rsidR="0096515F" w:rsidRPr="00283D6D">
        <w:t>2</w:t>
      </w:r>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36"/>
    </w:p>
    <w:p w14:paraId="751C7B2B" w14:textId="1339EBA7" w:rsidR="00116CE0" w:rsidRPr="00283D6D" w:rsidRDefault="00116CE0" w:rsidP="00B24D2B">
      <w:pPr>
        <w:pStyle w:val="Level2"/>
        <w:tabs>
          <w:tab w:val="clear" w:pos="680"/>
          <w:tab w:val="num" w:pos="-27009"/>
        </w:tabs>
      </w:pPr>
      <w:bookmarkStart w:id="37"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38" w:name="_Ref83908919"/>
      <w:bookmarkEnd w:id="37"/>
    </w:p>
    <w:p w14:paraId="105C90CA" w14:textId="2932EB9B" w:rsidR="00116CE0" w:rsidRPr="00283D6D" w:rsidRDefault="00116CE0" w:rsidP="00B24D2B">
      <w:pPr>
        <w:pStyle w:val="Level2"/>
        <w:tabs>
          <w:tab w:val="clear" w:pos="680"/>
          <w:tab w:val="num" w:pos="-27009"/>
        </w:tabs>
      </w:pPr>
      <w:bookmarkStart w:id="39" w:name="_Ref63367397"/>
      <w:bookmarkEnd w:id="38"/>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39"/>
      <w:r w:rsidRPr="00283D6D">
        <w:t xml:space="preserve"> </w:t>
      </w:r>
    </w:p>
    <w:p w14:paraId="794F14D3" w14:textId="4EC5E0AA" w:rsidR="00116CE0" w:rsidRPr="00283D6D" w:rsidRDefault="00116CE0" w:rsidP="00B24D2B">
      <w:pPr>
        <w:pStyle w:val="Level2"/>
        <w:tabs>
          <w:tab w:val="clear" w:pos="680"/>
          <w:tab w:val="num" w:pos="-27009"/>
        </w:tabs>
      </w:pPr>
      <w:bookmarkStart w:id="40"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6A00E0">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Securitizadora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6.1.2(xvii) da Escritura de Emissão.</w:t>
      </w:r>
      <w:bookmarkEnd w:id="40"/>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41" w:name="_Toc5023981"/>
      <w:bookmarkStart w:id="42" w:name="_Ref5033619"/>
      <w:bookmarkStart w:id="43" w:name="_Toc79516049"/>
      <w:r w:rsidRPr="00283D6D">
        <w:t>IDENTIFICAÇÃO DOS CRI E FORMA DE DISTRIBUIÇÃO</w:t>
      </w:r>
      <w:bookmarkStart w:id="44" w:name="_Ref84220493"/>
      <w:bookmarkEnd w:id="41"/>
      <w:bookmarkEnd w:id="42"/>
      <w:bookmarkEnd w:id="43"/>
    </w:p>
    <w:p w14:paraId="5A809036" w14:textId="14EF2118" w:rsidR="00116CE0" w:rsidRPr="00283D6D" w:rsidRDefault="00116CE0" w:rsidP="0080101B">
      <w:pPr>
        <w:pStyle w:val="Level2"/>
      </w:pPr>
      <w:bookmarkStart w:id="45" w:name="_DV_M145"/>
      <w:bookmarkEnd w:id="44"/>
      <w:bookmarkEnd w:id="45"/>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6"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7" w:name="_Ref84220241"/>
      <w:bookmarkEnd w:id="46"/>
    </w:p>
    <w:p w14:paraId="1918B3E7" w14:textId="4117EA5F" w:rsidR="00116CE0" w:rsidRPr="00283D6D" w:rsidRDefault="00116CE0" w:rsidP="0080101B">
      <w:pPr>
        <w:pStyle w:val="Level2"/>
      </w:pPr>
      <w:bookmarkStart w:id="48" w:name="_Ref7010885"/>
      <w:bookmarkEnd w:id="47"/>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9" w:name="_Ref84220160"/>
      <w:bookmarkEnd w:id="48"/>
    </w:p>
    <w:bookmarkEnd w:id="49"/>
    <w:p w14:paraId="01C94ABE" w14:textId="5AF30859" w:rsidR="00116CE0" w:rsidRPr="00302FE2" w:rsidRDefault="00116CE0" w:rsidP="0080101B">
      <w:pPr>
        <w:pStyle w:val="Level2"/>
      </w:pPr>
      <w:r w:rsidRPr="00302FE2">
        <w:rPr>
          <w:b/>
          <w:bCs/>
          <w:iCs/>
        </w:rPr>
        <w:t>Prazo.</w:t>
      </w:r>
      <w:r w:rsidRPr="00302FE2">
        <w:t xml:space="preserve"> Os CRI terão o prazo de </w:t>
      </w:r>
      <w:r w:rsidR="001132E0">
        <w:t>3.637 (três ,mil, seiscentos e trinta e sete)</w:t>
      </w:r>
      <w:r w:rsidRPr="00302FE2">
        <w:t>.</w:t>
      </w:r>
    </w:p>
    <w:p w14:paraId="3E261C2C" w14:textId="4E9A3671" w:rsidR="007138FC" w:rsidRDefault="007138FC" w:rsidP="007138FC">
      <w:pPr>
        <w:pStyle w:val="Level2"/>
      </w:pPr>
      <w:bookmarkStart w:id="50" w:name="_Ref85565896"/>
      <w:bookmarkStart w:id="51"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r>
        <w:t>Securitizador</w:t>
      </w:r>
      <w:r w:rsidRPr="007138FC">
        <w:t>a:</w:t>
      </w:r>
      <w:bookmarkEnd w:id="50"/>
      <w:r w:rsidRPr="007138FC">
        <w:t xml:space="preserve"> </w:t>
      </w:r>
    </w:p>
    <w:p w14:paraId="308078E9" w14:textId="1AE613B3" w:rsidR="007138FC" w:rsidRDefault="007138FC" w:rsidP="007138FC">
      <w:pPr>
        <w:pStyle w:val="Level2"/>
        <w:numPr>
          <w:ilvl w:val="0"/>
          <w:numId w:val="0"/>
        </w:numPr>
        <w:ind w:left="680"/>
        <w:jc w:val="center"/>
      </w:pPr>
      <w:r>
        <w:t>Aai = VNa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r>
        <w:t>Aai = valor unitário da i-ésima parcela de amortização, calculado com 8 (oito) casas decimais, sem arredondamento;</w:t>
      </w:r>
    </w:p>
    <w:p w14:paraId="54A4E39F" w14:textId="3B520166" w:rsidR="007138FC" w:rsidRDefault="007138FC" w:rsidP="007138FC">
      <w:pPr>
        <w:pStyle w:val="Level2"/>
        <w:numPr>
          <w:ilvl w:val="0"/>
          <w:numId w:val="0"/>
        </w:numPr>
        <w:ind w:left="680"/>
      </w:pPr>
      <w:r>
        <w:t xml:space="preserve">VNa = Conforme definido na Cláusula </w:t>
      </w:r>
      <w:r>
        <w:fldChar w:fldCharType="begin"/>
      </w:r>
      <w:r>
        <w:instrText xml:space="preserve"> REF _Ref85563846 \r \h </w:instrText>
      </w:r>
      <w:r>
        <w:fldChar w:fldCharType="separate"/>
      </w:r>
      <w:r w:rsidR="006A00E0">
        <w:t>5.9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i-ésima parcela do Valor Nominal Unitário Atualizado, conforme percentuais informados nos termos estabelecidos no Anexo II deste Termo de Securitização.</w:t>
      </w:r>
    </w:p>
    <w:p w14:paraId="4EA0524B" w14:textId="7AF88F60"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6A00E0">
        <w:t>7</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83BB2">
        <w:t>18 de fevereiro</w:t>
      </w:r>
      <w:r w:rsidRPr="00283D6D">
        <w:t xml:space="preserve"> de 202</w:t>
      </w:r>
      <w:r w:rsidR="00283BB2">
        <w:t>2</w:t>
      </w:r>
      <w:r w:rsidRPr="00283D6D">
        <w:t>.</w:t>
      </w:r>
      <w:bookmarkEnd w:id="51"/>
    </w:p>
    <w:p w14:paraId="4EBE627B" w14:textId="4E9F53F1" w:rsidR="00116CE0" w:rsidRPr="00283D6D" w:rsidRDefault="00116CE0" w:rsidP="00D20C36">
      <w:pPr>
        <w:pStyle w:val="Level2"/>
        <w:rPr>
          <w:szCs w:val="20"/>
        </w:rPr>
      </w:pPr>
      <w:bookmarkStart w:id="52"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pro rata temporis</w:t>
      </w:r>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52"/>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r w:rsidRPr="00283D6D">
        <w:rPr>
          <w:rFonts w:ascii="Arial" w:hAnsi="Arial" w:cs="Arial"/>
          <w:i/>
          <w:szCs w:val="20"/>
        </w:rPr>
        <w:t>VN</w:t>
      </w:r>
      <w:r w:rsidRPr="00283D6D">
        <w:rPr>
          <w:rFonts w:ascii="Arial" w:hAnsi="Arial" w:cs="Arial"/>
          <w:i/>
          <w:szCs w:val="20"/>
          <w:vertAlign w:val="subscript"/>
        </w:rPr>
        <w:t>a</w:t>
      </w:r>
      <w:r w:rsidRPr="00283D6D">
        <w:rPr>
          <w:rFonts w:ascii="Arial" w:hAnsi="Arial" w:cs="Arial"/>
          <w:i/>
          <w:szCs w:val="20"/>
        </w:rPr>
        <w:t xml:space="preserve"> = VN</w:t>
      </w:r>
      <w:r w:rsidRPr="00283D6D">
        <w:rPr>
          <w:rFonts w:ascii="Arial" w:hAnsi="Arial" w:cs="Arial"/>
          <w:i/>
          <w:szCs w:val="20"/>
          <w:vertAlign w:val="subscript"/>
        </w:rPr>
        <w:t>e</w:t>
      </w:r>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“VNa”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t xml:space="preserve">“VNe” = Valor Nominal Unitário ou o saldo do Valor Nominal Unitário, </w:t>
      </w:r>
      <w:r w:rsidR="00D20C36" w:rsidRPr="00283D6D">
        <w:rPr>
          <w:rFonts w:ascii="Arial" w:hAnsi="Arial" w:cs="Arial"/>
          <w:szCs w:val="20"/>
        </w:rPr>
        <w:t>conforme aplicável, após atualização ou após cada amortização, se houver, calculado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3"/>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“k” = número de ordem de NI</w:t>
      </w:r>
      <w:r w:rsidRPr="00283D6D">
        <w:rPr>
          <w:rFonts w:ascii="Arial" w:hAnsi="Arial" w:cs="Arial"/>
          <w:szCs w:val="20"/>
          <w:vertAlign w:val="subscript"/>
        </w:rPr>
        <w:t>k</w:t>
      </w:r>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r w:rsidRPr="00283D6D">
        <w:t xml:space="preserve">dup = número de Dias Úteis entre a </w:t>
      </w:r>
      <w:bookmarkStart w:id="54" w:name="_Hlk71315295"/>
      <w:r w:rsidRPr="00283D6D">
        <w:t xml:space="preserve">(i) </w:t>
      </w:r>
      <w:bookmarkEnd w:id="54"/>
      <w:r w:rsidRPr="00283D6D">
        <w:t>primeira Data de Integralização, (inclusive) no caso do primeiro Período de Capitalização ou (ii) a última Data de Pagamento dos CRI, no caso dos demais Períodos de Capitalização (inclusive)</w:t>
      </w:r>
      <w:bookmarkStart w:id="55" w:name="_Hlk71315306"/>
      <w:r w:rsidRPr="00283D6D">
        <w:t>, conforme o caso</w:t>
      </w:r>
      <w:bookmarkEnd w:id="55"/>
      <w:r w:rsidRPr="00283D6D">
        <w:t xml:space="preserve"> e a data de cálculo (exclusive), limitado ao número total de dias úteis de vigência do índice de preço, sendo “dup” um número inteiro. </w:t>
      </w:r>
    </w:p>
    <w:p w14:paraId="31826CC5" w14:textId="1379DD18" w:rsidR="0018668A" w:rsidRPr="00283D6D" w:rsidRDefault="0018668A" w:rsidP="0018668A">
      <w:pPr>
        <w:pStyle w:val="Body"/>
        <w:ind w:left="1418"/>
      </w:pPr>
      <w:r w:rsidRPr="00283D6D">
        <w:t>dut = número de Dias Úteis entre a última Data de Pagamento dos CRI (inclusive) e a próxima Data de Pagamento dos CRI (exclusive), sendo “dut” um número inteiro.</w:t>
      </w:r>
      <w:r w:rsidR="000147C6" w:rsidRPr="000147C6">
        <w:t xml:space="preserve"> </w:t>
      </w:r>
      <w:r w:rsidR="000147C6">
        <w:t>Exclusivamente para a primeira Data de Pagamento dos CRI, “dut” será considerado como sendo 22 (vinte e dois) Dias Úteis;</w:t>
      </w:r>
    </w:p>
    <w:p w14:paraId="73939CD4" w14:textId="6329DC7F" w:rsidR="0018668A" w:rsidRPr="00283D6D" w:rsidRDefault="0018668A" w:rsidP="0018668A">
      <w:pPr>
        <w:pStyle w:val="Body"/>
        <w:ind w:left="1418"/>
      </w:pPr>
      <w:r w:rsidRPr="00283D6D">
        <w:t>NI</w:t>
      </w:r>
      <w:r w:rsidRPr="00283D6D">
        <w:rPr>
          <w:vertAlign w:val="subscript"/>
        </w:rPr>
        <w:t>k</w:t>
      </w:r>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“NIk”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6" w:name="_Hlk64654201"/>
      <w:r w:rsidRPr="00283D6D">
        <w:t xml:space="preserve">valor do número-índice utilizado por NIk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6"/>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9F7A55"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7" w:name="_Hlk63853216"/>
      <w:bookmarkStart w:id="58"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7"/>
    <w:bookmarkEnd w:id="58"/>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Se até a Data de Pagamento o NIk não houver sido divulgado, deverá ser utilizado em substituição a NIk na apuração do Fator "C" a última variação disponível do IPCA.</w:t>
      </w:r>
    </w:p>
    <w:p w14:paraId="51BF8EE5" w14:textId="02AF9D1B" w:rsidR="00116CE0" w:rsidRPr="00283D6D" w:rsidRDefault="00116CE0" w:rsidP="0018668A">
      <w:pPr>
        <w:pStyle w:val="Level3"/>
      </w:pPr>
      <w:bookmarkStart w:id="59"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60" w:name="_Ref84218714"/>
      <w:bookmarkEnd w:id="59"/>
    </w:p>
    <w:bookmarkEnd w:id="60"/>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pro rata temporis</w:t>
      </w:r>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pro rata temporis</w:t>
      </w:r>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1" w:name="_Ref83919081"/>
      <w:r w:rsidR="009028E2" w:rsidRPr="00283D6D">
        <w:t>.</w:t>
      </w:r>
    </w:p>
    <w:p w14:paraId="7A6A2106" w14:textId="38CF1A09" w:rsidR="008B26FE" w:rsidRPr="00283D6D" w:rsidRDefault="00116CE0" w:rsidP="008B26FE">
      <w:pPr>
        <w:pStyle w:val="Level3"/>
        <w:rPr>
          <w:szCs w:val="20"/>
        </w:rPr>
      </w:pPr>
      <w:bookmarkStart w:id="62" w:name="_Ref19039075"/>
      <w:bookmarkStart w:id="63" w:name="_Ref7160615"/>
      <w:bookmarkStart w:id="64" w:name="_Ref7192418"/>
      <w:bookmarkStart w:id="65" w:name="_Ref15383220"/>
      <w:bookmarkStart w:id="66" w:name="_Ref15394389"/>
      <w:bookmarkStart w:id="67" w:name="_Ref79438123"/>
      <w:bookmarkStart w:id="68" w:name="_Ref85565720"/>
      <w:bookmarkEnd w:id="61"/>
      <w:r w:rsidRPr="00283D6D">
        <w:rPr>
          <w:b/>
          <w:bCs/>
          <w:iCs/>
        </w:rPr>
        <w:t>Amortização Extraordinária Obrigatória das Debêntures.</w:t>
      </w:r>
      <w:bookmarkEnd w:id="62"/>
      <w:r w:rsidRPr="00283D6D">
        <w:t xml:space="preserve"> </w:t>
      </w:r>
      <w:bookmarkStart w:id="69" w:name="_Ref19039504"/>
      <w:bookmarkEnd w:id="63"/>
      <w:bookmarkEnd w:id="64"/>
      <w:bookmarkEnd w:id="65"/>
      <w:bookmarkEnd w:id="66"/>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7"/>
      <w:bookmarkEnd w:id="69"/>
      <w:r w:rsidR="008C7078">
        <w:t>, hipótese em que haverá amortização extraordinária obrigatória nos termos abaixo</w:t>
      </w:r>
      <w:r w:rsidR="00A86646" w:rsidRPr="00283D6D">
        <w:t>.</w:t>
      </w:r>
      <w:bookmarkEnd w:id="68"/>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Securitizadora. Uma vez realizada a validação do ICSD, a Securitizadora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r w:rsidRPr="00F6090E">
        <w:rPr>
          <w:i/>
        </w:rPr>
        <w:t>Earnings Before Interest, Tax, Depreciation and Amortization</w:t>
      </w:r>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70" w:name="_Ref324932809"/>
      <w:bookmarkStart w:id="71"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70"/>
      <w:bookmarkEnd w:id="71"/>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(ii)</w:t>
      </w:r>
      <w:r w:rsidRPr="00283D6D">
        <w:t xml:space="preserve"> </w:t>
      </w:r>
      <w:r w:rsidR="00A27ED2" w:rsidRPr="00283D6D">
        <w:t>a Cessão Fiduciária de Recebíveis</w:t>
      </w:r>
      <w:r w:rsidRPr="00283D6D">
        <w:t xml:space="preserve">; e </w:t>
      </w:r>
      <w:r w:rsidRPr="00283D6D">
        <w:rPr>
          <w:b/>
        </w:rPr>
        <w:t>(iii)</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72" w:name="_Hlk72948842"/>
      <w:r w:rsidRPr="00283D6D">
        <w:t xml:space="preserve">regresso </w:t>
      </w:r>
      <w:bookmarkEnd w:id="72"/>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3" w:name="_Ref80864086"/>
      <w:bookmarkStart w:id="74" w:name="_Ref31847991"/>
      <w:bookmarkStart w:id="75" w:name="_Ref66996171"/>
      <w:bookmarkStart w:id="76" w:name="_Ref31847986"/>
      <w:r w:rsidRPr="00283D6D">
        <w:rPr>
          <w:u w:val="single"/>
        </w:rPr>
        <w:t>Garantia Fidejussória</w:t>
      </w:r>
      <w:bookmarkStart w:id="77" w:name="_Ref244087124"/>
      <w:bookmarkStart w:id="78"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3"/>
    <w:bookmarkEnd w:id="74"/>
    <w:bookmarkEnd w:id="75"/>
    <w:bookmarkEnd w:id="76"/>
    <w:bookmarkEnd w:id="77"/>
    <w:bookmarkEnd w:id="78"/>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A Fiadora expressamente renuncia, nos termos da Escritura de Emissão, aos benefícios de ordem, direitos e faculdades de exoneração de qualquer natureza previstos nos artigos 277, 333, parágrafo único, 364, 366, 368, 821, 824, 827, 830, 834, 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9"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80" w:name="_Ref4623106"/>
      <w:bookmarkEnd w:id="79"/>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(ii)</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80"/>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r w:rsidRPr="00283D6D">
        <w:rPr>
          <w:i/>
          <w:iCs/>
        </w:rPr>
        <w:t>Completion</w:t>
      </w:r>
      <w:r w:rsidRPr="00283D6D">
        <w:t xml:space="preserve"> Financeiro, observado que, uma vez verificado o </w:t>
      </w:r>
      <w:r w:rsidRPr="00283D6D">
        <w:rPr>
          <w:i/>
          <w:iCs/>
        </w:rPr>
        <w:t xml:space="preserve">Completion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81" w:name="_Ref85631292"/>
      <w:r>
        <w:t xml:space="preserve">O </w:t>
      </w:r>
      <w:r>
        <w:rPr>
          <w:i/>
          <w:iCs/>
        </w:rPr>
        <w:t>Completion</w:t>
      </w:r>
      <w:r>
        <w:t xml:space="preserve"> Financeiro será evidenciado pelo cumprimento dos itens a seguir, devendo ser devidamente atestado pela Emissora:</w:t>
      </w:r>
      <w:bookmarkEnd w:id="81"/>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apresentação das apólices dos Seguros válidas, vigentes e aplicáveis, conforme a etapa dos Empreendimentos Alvo então verificada, e nos termos da Escritura de Emissão, todas devidamente acompanhadas dos respectivos documentos comprobatórios da quitação do prêmio devido e/ou declaração de quitação do prêmio emitida pela respectiva seguradora;</w:t>
      </w:r>
    </w:p>
    <w:p w14:paraId="5278A627" w14:textId="77777777" w:rsidR="00302FE2" w:rsidRDefault="00302FE2" w:rsidP="00302FE2">
      <w:pPr>
        <w:pStyle w:val="Level4"/>
        <w:numPr>
          <w:ilvl w:val="3"/>
          <w:numId w:val="59"/>
        </w:numPr>
        <w:autoSpaceDE w:val="0"/>
        <w:autoSpaceDN w:val="0"/>
        <w:adjustRightInd w:val="0"/>
        <w:spacing w:line="288" w:lineRule="auto"/>
      </w:pPr>
      <w:r>
        <w:t>Comunicação,</w:t>
      </w:r>
      <w:r>
        <w:rPr>
          <w:rFonts w:eastAsia="Arial Unicode MS"/>
          <w:w w:val="1"/>
        </w:rPr>
        <w:t xml:space="preserve">  </w:t>
      </w:r>
      <w:r>
        <w:t>por meio de correio eletrônico, pela Devedora à Emissora, em até 5 (cinco) Dias Úteis da referida conclusão; e</w:t>
      </w:r>
    </w:p>
    <w:p w14:paraId="6A3063F1" w14:textId="798AF9C9" w:rsidR="00302FE2" w:rsidRPr="0035505C" w:rsidRDefault="00302FE2" w:rsidP="00302FE2">
      <w:pPr>
        <w:pStyle w:val="Level3"/>
        <w:rPr>
          <w:szCs w:val="24"/>
          <w:lang w:eastAsia="pt-BR"/>
        </w:rPr>
      </w:pPr>
      <w:r>
        <w:t>Obtenção da anuência, pelo Cliente (conforme definido no Contrato de Cessão Fiduciária de Recebíveis), para a outorga, pelas Fiduciantes, da Cessão Fiduciária de Recebíveis</w:t>
      </w:r>
    </w:p>
    <w:p w14:paraId="2A6DB1CA" w14:textId="6FE78670" w:rsidR="00116CE0" w:rsidRPr="00283D6D" w:rsidRDefault="00116CE0" w:rsidP="00552680">
      <w:pPr>
        <w:pStyle w:val="Level3"/>
      </w:pPr>
      <w:bookmarkStart w:id="82"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2"/>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83" w:name="_Ref7013972"/>
      <w:bookmarkStart w:id="84" w:name="_Ref18772153"/>
      <w:bookmarkStart w:id="85" w:name="_Ref79513694"/>
      <w:r w:rsidRPr="00283D6D">
        <w:rPr>
          <w:b/>
          <w:bCs/>
          <w:iCs/>
        </w:rPr>
        <w:t xml:space="preserve">Data de Emissão. </w:t>
      </w:r>
      <w:r w:rsidRPr="00283D6D">
        <w:t xml:space="preserve">Para todos os efeitos, a Data de Emissão será </w:t>
      </w:r>
      <w:r w:rsidR="00C4577C" w:rsidRPr="00283D6D">
        <w:t>05 de novembro</w:t>
      </w:r>
      <w:r w:rsidR="00AC32A5" w:rsidRPr="00283D6D">
        <w:t xml:space="preserve"> </w:t>
      </w:r>
      <w:r w:rsidRPr="00283D6D">
        <w:t>de 2021.</w:t>
      </w:r>
      <w:bookmarkStart w:id="86" w:name="_Ref84010039"/>
      <w:bookmarkEnd w:id="83"/>
      <w:bookmarkEnd w:id="84"/>
      <w:bookmarkEnd w:id="85"/>
    </w:p>
    <w:bookmarkEnd w:id="86"/>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Vencimento será</w:t>
      </w:r>
      <w:r w:rsidR="00C4577C" w:rsidRPr="004C2769">
        <w:t xml:space="preserve"> </w:t>
      </w:r>
      <w:r w:rsidR="007A016D" w:rsidRPr="004C2769">
        <w:t>1</w:t>
      </w:r>
      <w:r w:rsidR="00DB29A6">
        <w:t>8</w:t>
      </w:r>
      <w:r w:rsidR="00C4577C" w:rsidRPr="004C2769">
        <w:t xml:space="preserve"> de novembro </w:t>
      </w:r>
      <w:r w:rsidRPr="004C2769">
        <w:t>de 20</w:t>
      </w:r>
      <w:r w:rsidR="00C4577C" w:rsidRPr="004C2769">
        <w:t>3</w:t>
      </w:r>
      <w:r w:rsidR="001132E0">
        <w:t>1</w:t>
      </w:r>
      <w:r w:rsidR="004C2769" w:rsidRPr="004C2769">
        <w:t>;</w:t>
      </w:r>
      <w:r w:rsidRPr="004C2769">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7"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pro rata temporis</w:t>
      </w:r>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pro rata temporis</w:t>
      </w:r>
      <w:r w:rsidR="000667A5" w:rsidRPr="00F6090E">
        <w:rPr>
          <w:iCs/>
        </w:rPr>
        <w:t>,</w:t>
      </w:r>
      <w:r w:rsidR="000667A5" w:rsidRPr="00F6090E">
        <w:t xml:space="preserve"> desde a data de inadimplemento até a data do efetivo pagamento; e (ii) multa moratória de 2% (dois inteiros por cento) (“</w:t>
      </w:r>
      <w:r w:rsidR="000667A5" w:rsidRPr="00F6090E">
        <w:rPr>
          <w:b/>
        </w:rPr>
        <w:t>Encargos Moratórios</w:t>
      </w:r>
      <w:r w:rsidR="000667A5" w:rsidRPr="00F6090E">
        <w:t>”)</w:t>
      </w:r>
      <w:r w:rsidR="000667A5">
        <w:t>.</w:t>
      </w:r>
      <w:bookmarkStart w:id="88" w:name="_Ref84221172"/>
      <w:bookmarkEnd w:id="87"/>
    </w:p>
    <w:bookmarkEnd w:id="88"/>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9" w:name="_DV_M82"/>
      <w:bookmarkEnd w:id="89"/>
      <w:r w:rsidRPr="00283D6D">
        <w:rPr>
          <w:b/>
          <w:bCs/>
          <w:iCs/>
          <w:szCs w:val="20"/>
        </w:rPr>
        <w:t>Cobrança dos Créditos Imobiliários.</w:t>
      </w:r>
      <w:r w:rsidRPr="00283D6D">
        <w:rPr>
          <w:szCs w:val="20"/>
        </w:rPr>
        <w:t xml:space="preserve"> Os pagamentos dos Créditos Imobiliários </w:t>
      </w:r>
      <w:bookmarkStart w:id="90" w:name="_DV_M83"/>
      <w:bookmarkEnd w:id="90"/>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(ii)</w:t>
      </w:r>
      <w:r w:rsidRPr="00283D6D">
        <w:rPr>
          <w:szCs w:val="20"/>
        </w:rPr>
        <w:t xml:space="preserve"> o extrato emitido pelo Escriturador em nome de cada Titular de CRI, com base nas informações prestadas pela B3.</w:t>
      </w:r>
    </w:p>
    <w:p w14:paraId="51E1CDA1" w14:textId="416511FC" w:rsidR="00116CE0" w:rsidRPr="00283D6D" w:rsidRDefault="00116CE0" w:rsidP="00625D5C">
      <w:pPr>
        <w:pStyle w:val="Level2"/>
        <w:rPr>
          <w:szCs w:val="20"/>
        </w:rPr>
      </w:pPr>
      <w:bookmarkStart w:id="91"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6A00E0">
        <w:rPr>
          <w:szCs w:val="20"/>
        </w:rPr>
        <w:t>5.18</w:t>
      </w:r>
      <w:r w:rsidR="005314BB" w:rsidRPr="00283D6D">
        <w:rPr>
          <w:szCs w:val="20"/>
        </w:rPr>
        <w:fldChar w:fldCharType="end"/>
      </w:r>
      <w:r w:rsidRPr="00283D6D">
        <w:rPr>
          <w:szCs w:val="20"/>
        </w:rPr>
        <w:t xml:space="preserve"> acima</w:t>
      </w:r>
      <w:r w:rsidR="00211049" w:rsidRPr="00283D6D">
        <w:rPr>
          <w:szCs w:val="20"/>
        </w:rPr>
        <w:t>.</w:t>
      </w:r>
      <w:bookmarkStart w:id="92" w:name="_Ref84221075"/>
      <w:bookmarkEnd w:id="91"/>
    </w:p>
    <w:bookmarkEnd w:id="92"/>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3" w:name="_DV_C294"/>
      <w:r w:rsidRPr="00283D6D">
        <w:rPr>
          <w:szCs w:val="20"/>
        </w:rPr>
        <w:t xml:space="preserve">prorrogadas as datas de pagamento de qualquer obrigação relativa ao CRI </w:t>
      </w:r>
      <w:bookmarkEnd w:id="93"/>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4"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5" w:name="_Ref84221213"/>
      <w:bookmarkEnd w:id="94"/>
    </w:p>
    <w:bookmarkEnd w:id="95"/>
    <w:p w14:paraId="4D214847" w14:textId="2546A30B"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6A00E0">
        <w:rPr>
          <w:szCs w:val="20"/>
        </w:rPr>
        <w:t>5.26.1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(ii)</w:t>
      </w:r>
      <w:r w:rsidRPr="00283D6D">
        <w:t xml:space="preserve"> os CRI ofertados estão sujeitos às restrições de negociação previstas na Instrução CVM 476.</w:t>
      </w:r>
      <w:bookmarkStart w:id="96" w:name="_Ref486511799"/>
      <w:bookmarkStart w:id="97" w:name="_Ref4883781"/>
    </w:p>
    <w:p w14:paraId="2FA34E4F" w14:textId="02917577" w:rsidR="00116CE0" w:rsidRPr="00283D6D" w:rsidRDefault="00116CE0" w:rsidP="003C32A7">
      <w:pPr>
        <w:pStyle w:val="Level3"/>
      </w:pPr>
      <w:bookmarkStart w:id="98"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9" w:name="_Ref83909102"/>
      <w:bookmarkEnd w:id="96"/>
      <w:bookmarkEnd w:id="97"/>
      <w:bookmarkEnd w:id="98"/>
    </w:p>
    <w:p w14:paraId="46AE91D0" w14:textId="21541B17" w:rsidR="00116CE0" w:rsidRPr="00283D6D" w:rsidRDefault="00116CE0" w:rsidP="003C32A7">
      <w:pPr>
        <w:pStyle w:val="Level3"/>
        <w:ind w:hanging="680"/>
      </w:pPr>
      <w:bookmarkStart w:id="100" w:name="_Ref486511808"/>
      <w:bookmarkStart w:id="101" w:name="_Ref4883782"/>
      <w:bookmarkEnd w:id="99"/>
      <w:r w:rsidRPr="00283D6D">
        <w:t>Em conformidade com o artigo 8° da Instrução CVM 476, o encerramento da Oferta Restrita deverá ser informado pelo Coordenador Líder à CVM no prazo de 5 (cinco) dias contados do seu encerramento.</w:t>
      </w:r>
      <w:bookmarkStart w:id="102" w:name="_Ref83909111"/>
      <w:bookmarkEnd w:id="100"/>
      <w:bookmarkEnd w:id="101"/>
    </w:p>
    <w:bookmarkEnd w:id="102"/>
    <w:p w14:paraId="13C97603" w14:textId="15245AE3"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6A00E0">
        <w:t>5.27.2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6A00E0">
        <w:t>5.27.3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3"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3"/>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4" w:name="_Ref7217448"/>
      <w:bookmarkStart w:id="105" w:name="_DV_C32"/>
      <w:r w:rsidRPr="00283D6D">
        <w:rPr>
          <w:b/>
          <w:bCs/>
          <w:iCs/>
        </w:rPr>
        <w:t>Garantia Firme.</w:t>
      </w:r>
      <w:r w:rsidRPr="00283D6D">
        <w:t xml:space="preserve"> A Oferta Restrita contará com garantia firme de colocação pelo Coordenador Líder.</w:t>
      </w:r>
      <w:bookmarkEnd w:id="104"/>
      <w:bookmarkEnd w:id="105"/>
    </w:p>
    <w:p w14:paraId="6EFB31AA" w14:textId="4077A91B" w:rsidR="00116CE0" w:rsidRPr="00283D6D" w:rsidRDefault="00116CE0" w:rsidP="00625D5C">
      <w:pPr>
        <w:pStyle w:val="Level1"/>
        <w:rPr>
          <w:szCs w:val="20"/>
        </w:rPr>
      </w:pPr>
      <w:bookmarkStart w:id="106" w:name="_Toc163380701"/>
      <w:bookmarkStart w:id="107" w:name="_Toc180553617"/>
      <w:bookmarkStart w:id="108" w:name="_Toc302458790"/>
      <w:bookmarkStart w:id="109" w:name="_Toc411606362"/>
      <w:bookmarkStart w:id="110" w:name="_Toc5023986"/>
      <w:bookmarkStart w:id="111" w:name="_Toc79516050"/>
      <w:r w:rsidRPr="00283D6D">
        <w:t>SUBSCRIÇÃO E INTEGRALIZAÇÃO DOS CRI</w:t>
      </w:r>
      <w:bookmarkStart w:id="112" w:name="_Toc110076263"/>
      <w:bookmarkEnd w:id="106"/>
      <w:bookmarkEnd w:id="107"/>
      <w:bookmarkEnd w:id="108"/>
      <w:bookmarkEnd w:id="109"/>
      <w:bookmarkEnd w:id="110"/>
      <w:bookmarkEnd w:id="111"/>
    </w:p>
    <w:p w14:paraId="5140974B" w14:textId="109C73F0" w:rsidR="00116CE0" w:rsidRPr="00283D6D" w:rsidRDefault="00116CE0" w:rsidP="00BB4B32">
      <w:pPr>
        <w:pStyle w:val="Level2"/>
        <w:rPr>
          <w:szCs w:val="20"/>
        </w:rPr>
      </w:pPr>
      <w:bookmarkStart w:id="113"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3"/>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obtenção, pela Devedora e/ou pelas SPEs,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0432A77B"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(ii)</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6A00E0">
        <w:t>6.4</w:t>
      </w:r>
      <w:r w:rsidR="00E26B78" w:rsidRPr="00283D6D">
        <w:fldChar w:fldCharType="end"/>
      </w:r>
      <w:r w:rsidR="00E26B78" w:rsidRPr="00283D6D">
        <w:t xml:space="preserve"> abaixo</w:t>
      </w:r>
      <w:r w:rsidRPr="00283D6D">
        <w:t xml:space="preserve">; </w:t>
      </w:r>
      <w:r w:rsidRPr="00283D6D">
        <w:rPr>
          <w:b/>
          <w:bCs/>
        </w:rPr>
        <w:t>(iii)</w:t>
      </w:r>
      <w:r w:rsidRPr="00283D6D">
        <w:t xml:space="preserve"> </w:t>
      </w:r>
      <w:r w:rsidR="00E26B78" w:rsidRPr="00283D6D">
        <w:t xml:space="preserve">poderão ser utilizados para a aplicação em Investimentos permitidos, e </w:t>
      </w:r>
      <w:r w:rsidR="00E26B78" w:rsidRPr="00283D6D">
        <w:rPr>
          <w:b/>
          <w:bCs/>
        </w:rPr>
        <w:t xml:space="preserve">(iv) </w:t>
      </w:r>
      <w:r w:rsidR="00E26B78" w:rsidRPr="00283D6D">
        <w:t>poderão vir a ser bloqueados pela Securitizadora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4"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5" w:name="_Ref84221399"/>
      <w:bookmarkEnd w:id="114"/>
    </w:p>
    <w:p w14:paraId="3C3DB8CC" w14:textId="5D75FB76" w:rsidR="00116CE0" w:rsidRPr="00283D6D" w:rsidRDefault="00116CE0" w:rsidP="00050C86">
      <w:pPr>
        <w:pStyle w:val="Level3"/>
        <w:rPr>
          <w:szCs w:val="20"/>
        </w:rPr>
      </w:pPr>
      <w:bookmarkStart w:id="116" w:name="_Hlk35972875"/>
      <w:bookmarkEnd w:id="115"/>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6A00E0">
        <w:t>6.1.3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6"/>
      <w:r w:rsidRPr="00283D6D">
        <w:t>.</w:t>
      </w:r>
    </w:p>
    <w:p w14:paraId="11041481" w14:textId="436272BF"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6A00E0">
        <w:t>6.1.3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7"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(ii)</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8" w:name="_Ref84011685"/>
      <w:bookmarkEnd w:id="117"/>
    </w:p>
    <w:bookmarkEnd w:id="118"/>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9"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20" w:name="_Ref7180616"/>
      <w:bookmarkStart w:id="121" w:name="_Ref85551402"/>
      <w:bookmarkStart w:id="122" w:name="_Ref15387360"/>
      <w:bookmarkStart w:id="123" w:name="_Ref85550830"/>
      <w:bookmarkEnd w:id="119"/>
      <w:r w:rsidRPr="00283D6D">
        <w:rPr>
          <w:b/>
          <w:bCs/>
          <w:iCs/>
        </w:rPr>
        <w:t>Destinação dos Recursos.</w:t>
      </w:r>
      <w:r w:rsidRPr="00283D6D">
        <w:t xml:space="preserve"> </w:t>
      </w:r>
      <w:bookmarkStart w:id="124" w:name="_Ref4890622"/>
      <w:bookmarkEnd w:id="120"/>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(ii)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21"/>
    </w:p>
    <w:p w14:paraId="340FBFCC" w14:textId="5995D42F" w:rsidR="0061439F" w:rsidRPr="00283D6D" w:rsidRDefault="0061439F" w:rsidP="0061439F">
      <w:pPr>
        <w:pStyle w:val="Level3"/>
      </w:pPr>
      <w:bookmarkStart w:id="125" w:name="_Ref85551251"/>
      <w:r w:rsidRPr="00283D6D">
        <w:t xml:space="preserve">Os recursos acima mencionados poderão ser transferidos para as </w:t>
      </w:r>
      <w:r w:rsidR="002135CA">
        <w:t>SPEs</w:t>
      </w:r>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5"/>
    </w:p>
    <w:p w14:paraId="0DDDA696" w14:textId="2A64B614" w:rsidR="00116CE0" w:rsidRPr="00283D6D" w:rsidRDefault="00116CE0" w:rsidP="001B7DDE">
      <w:pPr>
        <w:pStyle w:val="Level2"/>
      </w:pPr>
      <w:bookmarkStart w:id="126" w:name="_Ref73033364"/>
      <w:bookmarkEnd w:id="122"/>
      <w:bookmarkEnd w:id="124"/>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3"/>
      <w:bookmarkEnd w:id="126"/>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Securitizadora,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SPEs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4604F492" w:rsidR="001C7FA2" w:rsidRDefault="00012BD1" w:rsidP="001C7FA2">
      <w:pPr>
        <w:pStyle w:val="Level4"/>
      </w:pPr>
      <w:bookmarkStart w:id="127"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6A00E0">
        <w:t>6.4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27"/>
      <w:r w:rsidR="001C7FA2">
        <w:t>.</w:t>
      </w:r>
    </w:p>
    <w:p w14:paraId="576F590B" w14:textId="4AA983D8"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6A00E0">
        <w:t>6.4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8" w:name="_Ref4519123"/>
      <w:r w:rsidR="00BB0D06" w:rsidRPr="00283D6D">
        <w:t>.</w:t>
      </w:r>
    </w:p>
    <w:p w14:paraId="4789930A" w14:textId="326B5DF5"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 xml:space="preserve">do inciso (b) (ii)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6A00E0">
        <w:t>6.4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9" w:name="_Ref72749343"/>
      <w:r w:rsidRPr="00283D6D">
        <w:t>.</w:t>
      </w:r>
      <w:bookmarkStart w:id="130" w:name="_Ref7199179"/>
      <w:bookmarkStart w:id="131" w:name="_Ref4891240"/>
      <w:bookmarkEnd w:id="128"/>
      <w:bookmarkEnd w:id="129"/>
    </w:p>
    <w:p w14:paraId="2F8A841B" w14:textId="154CBC17" w:rsidR="00B41966" w:rsidRPr="00283D6D" w:rsidRDefault="00B41966" w:rsidP="00B41966">
      <w:pPr>
        <w:pStyle w:val="Level3"/>
      </w:pPr>
      <w:r w:rsidRPr="00283D6D">
        <w:t xml:space="preserve">A Devedora: (i) compromete-se, em caráter irrevogável e irretratável, a aplicar os Recursos Líquidos ou fazer que eles sejam aplicados pelas SPEs,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6A00E0">
        <w:t>6.4</w:t>
      </w:r>
      <w:r w:rsidRPr="00283D6D">
        <w:fldChar w:fldCharType="end"/>
      </w:r>
      <w:r w:rsidRPr="00283D6D">
        <w:t xml:space="preserve"> e seguintes; e (ii) confirma que os Empreendimentos Alvo serão registrados, em cada SPE, no respectivo ativo imobilizado, pressupondo a sua incorporação ao respectivo imóvel, por acessão, nos termos do artigo 1.248, inciso V, do Código Civil. </w:t>
      </w:r>
    </w:p>
    <w:p w14:paraId="1B6E0899" w14:textId="7C45AB02" w:rsidR="00836840" w:rsidRPr="00283D6D" w:rsidRDefault="00116CE0" w:rsidP="00836840">
      <w:pPr>
        <w:pStyle w:val="Level3"/>
      </w:pPr>
      <w:bookmarkStart w:id="132"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6A00E0">
        <w:t>6.4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(ii)</w:t>
      </w:r>
      <w:r w:rsidRPr="00283D6D">
        <w:t xml:space="preserve"> cópia das notas fiscais, contratos e demais documentos que comprovem as despesas incorridas; e </w:t>
      </w:r>
      <w:r w:rsidRPr="00283D6D">
        <w:rPr>
          <w:b/>
        </w:rPr>
        <w:t>(ii)</w:t>
      </w:r>
      <w:r w:rsidRPr="00283D6D">
        <w:t xml:space="preserve"> cronograma físico-financeiro de avanço de obras.</w:t>
      </w:r>
      <w:bookmarkEnd w:id="130"/>
      <w:bookmarkEnd w:id="131"/>
      <w:bookmarkEnd w:id="132"/>
    </w:p>
    <w:p w14:paraId="7888BBF4" w14:textId="049F29D9" w:rsidR="00836840" w:rsidRDefault="00116CE0">
      <w:pPr>
        <w:pStyle w:val="Level3"/>
      </w:pPr>
      <w:bookmarkStart w:id="133"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3"/>
      <w:r w:rsidRPr="00283D6D">
        <w:t xml:space="preserve"> </w:t>
      </w:r>
      <w:bookmarkStart w:id="134" w:name="_Ref7099479"/>
    </w:p>
    <w:p w14:paraId="1934E796" w14:textId="00700D81" w:rsidR="004824E9" w:rsidRDefault="004824E9" w:rsidP="004824E9">
      <w:pPr>
        <w:pStyle w:val="Level3"/>
        <w:rPr>
          <w:szCs w:val="24"/>
          <w:lang w:eastAsia="pt-BR"/>
        </w:rPr>
      </w:pPr>
      <w:bookmarkStart w:id="135"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6A00E0">
        <w:t>6.5.5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5"/>
    </w:p>
    <w:p w14:paraId="13D3B724" w14:textId="7A40E6A1"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6A00E0">
        <w:t>6.5.6</w:t>
      </w:r>
      <w:r w:rsidR="002C3D8E" w:rsidRPr="00283D6D">
        <w:rPr>
          <w:highlight w:val="yellow"/>
        </w:rPr>
        <w:fldChar w:fldCharType="end"/>
      </w:r>
      <w:r w:rsidR="002C3D8E" w:rsidRPr="00283D6D">
        <w:t xml:space="preserve"> </w:t>
      </w:r>
      <w:r w:rsidRPr="00283D6D">
        <w:t>acima.</w:t>
      </w:r>
      <w:bookmarkStart w:id="136" w:name="_Ref71743491"/>
      <w:bookmarkEnd w:id="134"/>
    </w:p>
    <w:p w14:paraId="0E007B07" w14:textId="2E2A217A" w:rsidR="00836840" w:rsidRPr="00283D6D" w:rsidRDefault="00116CE0" w:rsidP="00540E56">
      <w:pPr>
        <w:pStyle w:val="Level3"/>
      </w:pPr>
      <w:bookmarkStart w:id="137"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6A00E0">
        <w:t>6.5</w:t>
      </w:r>
      <w:r w:rsidR="00D705A4" w:rsidRPr="00283D6D">
        <w:fldChar w:fldCharType="end"/>
      </w:r>
      <w:r w:rsidRPr="00283D6D">
        <w:t xml:space="preserve"> e seguintes acima, transferir os Recursos Líquidos para as SPEs por meio de Aporte de Recursos; e </w:t>
      </w:r>
      <w:r w:rsidRPr="00283D6D">
        <w:rPr>
          <w:b/>
          <w:bCs/>
        </w:rPr>
        <w:t>(ii)</w:t>
      </w:r>
      <w:r w:rsidRPr="00283D6D">
        <w:t xml:space="preserve"> tomará todas as providências para que as SPEs utilizem tais recursos nos Empreendimentos Alvo.</w:t>
      </w:r>
      <w:bookmarkEnd w:id="136"/>
      <w:bookmarkEnd w:id="137"/>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8" w:name="_Ref486448440"/>
      <w:bookmarkStart w:id="139" w:name="_Ref4950417"/>
      <w:bookmarkStart w:id="140" w:name="_Ref7225085"/>
      <w:bookmarkEnd w:id="112"/>
    </w:p>
    <w:p w14:paraId="53968DB4" w14:textId="7C5D0014" w:rsidR="00116CE0" w:rsidRDefault="00836840" w:rsidP="00836840">
      <w:pPr>
        <w:pStyle w:val="Level3"/>
      </w:pPr>
      <w:r w:rsidRPr="00283D6D">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6A00E0">
        <w:t>6.4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41" w:name="_Ref87968116"/>
      <w:r w:rsidRPr="00283D6D">
        <w:t>JUROS REMUNERATÓRIOS DOS CRI</w:t>
      </w:r>
      <w:bookmarkEnd w:id="141"/>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2" w:name="_Ref79485188"/>
      <w:bookmarkEnd w:id="138"/>
      <w:bookmarkEnd w:id="139"/>
      <w:bookmarkEnd w:id="140"/>
    </w:p>
    <w:p w14:paraId="0BD0D403" w14:textId="3A1EFBF6" w:rsidR="00116CE0" w:rsidRPr="00283D6D" w:rsidRDefault="00B379B7">
      <w:pPr>
        <w:pStyle w:val="Level2"/>
      </w:pPr>
      <w:bookmarkStart w:id="143" w:name="_Ref84220198"/>
      <w:bookmarkStart w:id="144"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pro rata temporis</w:t>
      </w:r>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2"/>
      <w:bookmarkEnd w:id="143"/>
      <w:r w:rsidR="001A0C2D" w:rsidRPr="00283D6D">
        <w:t>.</w:t>
      </w:r>
      <w:bookmarkEnd w:id="144"/>
    </w:p>
    <w:p w14:paraId="4C237C2B" w14:textId="2A3ED962" w:rsidR="001A0C2D" w:rsidRPr="00283D6D" w:rsidRDefault="001A0C2D" w:rsidP="001A0C2D">
      <w:pPr>
        <w:pStyle w:val="Level3"/>
      </w:pPr>
      <w:bookmarkStart w:id="145" w:name="_Ref286330516"/>
      <w:bookmarkStart w:id="146" w:name="_Ref286331549"/>
      <w:bookmarkStart w:id="147"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pro rata temporis</w:t>
      </w:r>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r w:rsidRPr="00283D6D">
        <w:t>VNa = Conforme definido acima;</w:t>
      </w:r>
    </w:p>
    <w:p w14:paraId="76C7E264" w14:textId="77777777" w:rsidR="001A0C2D" w:rsidRPr="00283D6D" w:rsidRDefault="001A0C2D" w:rsidP="001A0C2D">
      <w:pPr>
        <w:pStyle w:val="Body"/>
        <w:ind w:left="1361"/>
      </w:pPr>
      <w:r w:rsidRPr="00283D6D">
        <w:t>FatorJuros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r w:rsidRPr="00283D6D">
        <w:t>dup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8" w:name="_DV_M274"/>
      <w:bookmarkStart w:id="149" w:name="_DV_M275"/>
      <w:bookmarkStart w:id="150" w:name="_DV_M276"/>
      <w:bookmarkStart w:id="151" w:name="_DV_M277"/>
      <w:bookmarkStart w:id="152" w:name="_DV_M278"/>
      <w:bookmarkStart w:id="153" w:name="_DV_M282"/>
      <w:bookmarkStart w:id="154" w:name="_DV_M283"/>
      <w:bookmarkStart w:id="155" w:name="_DV_M284"/>
      <w:bookmarkStart w:id="156" w:name="_DV_M100"/>
      <w:bookmarkStart w:id="157" w:name="_DV_M101"/>
      <w:bookmarkStart w:id="158" w:name="_DV_M108"/>
      <w:bookmarkStart w:id="159" w:name="_DV_M111"/>
      <w:bookmarkStart w:id="160" w:name="_DV_M112"/>
      <w:bookmarkStart w:id="161" w:name="_DV_M113"/>
      <w:bookmarkStart w:id="162" w:name="_Toc7225791"/>
      <w:bookmarkStart w:id="163" w:name="_Toc7225853"/>
      <w:bookmarkStart w:id="164" w:name="_Toc7225886"/>
      <w:bookmarkStart w:id="165" w:name="_Toc7225919"/>
      <w:bookmarkStart w:id="166" w:name="_Toc7303878"/>
      <w:bookmarkStart w:id="167" w:name="_Toc7325050"/>
      <w:bookmarkStart w:id="168" w:name="_Toc7225792"/>
      <w:bookmarkStart w:id="169" w:name="_Toc7225854"/>
      <w:bookmarkStart w:id="170" w:name="_Toc7225887"/>
      <w:bookmarkStart w:id="171" w:name="_Toc7225920"/>
      <w:bookmarkStart w:id="172" w:name="_Toc7303879"/>
      <w:bookmarkStart w:id="173" w:name="_Toc7325051"/>
      <w:bookmarkStart w:id="174" w:name="_Toc7225793"/>
      <w:bookmarkStart w:id="175" w:name="_Toc7225855"/>
      <w:bookmarkStart w:id="176" w:name="_Toc7225888"/>
      <w:bookmarkStart w:id="177" w:name="_Toc7225921"/>
      <w:bookmarkStart w:id="178" w:name="_Toc7303880"/>
      <w:bookmarkStart w:id="179" w:name="_Toc7325052"/>
      <w:bookmarkStart w:id="180" w:name="_Toc7225794"/>
      <w:bookmarkStart w:id="181" w:name="_Toc7225856"/>
      <w:bookmarkStart w:id="182" w:name="_Toc7225889"/>
      <w:bookmarkStart w:id="183" w:name="_Toc7225922"/>
      <w:bookmarkStart w:id="184" w:name="_Toc7303881"/>
      <w:bookmarkStart w:id="185" w:name="_Toc7325053"/>
      <w:bookmarkStart w:id="186" w:name="_Toc411606364"/>
      <w:bookmarkStart w:id="187" w:name="_Ref486427263"/>
      <w:bookmarkStart w:id="188" w:name="_Toc502399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283D6D">
        <w:t xml:space="preserve">RESGATE ANTECIPADO </w:t>
      </w:r>
      <w:bookmarkEnd w:id="186"/>
      <w:bookmarkEnd w:id="187"/>
      <w:r w:rsidRPr="00283D6D">
        <w:t>DOS CRI</w:t>
      </w:r>
      <w:bookmarkEnd w:id="188"/>
    </w:p>
    <w:p w14:paraId="4A16058F" w14:textId="03938FEB"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6A00E0">
        <w:t>5.9.1</w:t>
      </w:r>
      <w:r w:rsidR="00D705A4" w:rsidRPr="00283D6D">
        <w:fldChar w:fldCharType="end"/>
      </w:r>
      <w:r w:rsidRPr="00283D6D">
        <w:t xml:space="preserve"> e seguintes acima; </w:t>
      </w:r>
      <w:r w:rsidRPr="00283D6D">
        <w:rPr>
          <w:b/>
        </w:rPr>
        <w:t>(ii)</w:t>
      </w:r>
      <w:r w:rsidRPr="00283D6D">
        <w:t xml:space="preserve"> declaração de vencimento antecipado das Debêntures; e/ou </w:t>
      </w:r>
      <w:r w:rsidRPr="00283D6D">
        <w:rPr>
          <w:b/>
        </w:rPr>
        <w:t>(iii)</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6A00E0">
        <w:t>12</w:t>
      </w:r>
      <w:r w:rsidR="00BB11F1" w:rsidRPr="00283D6D">
        <w:fldChar w:fldCharType="end"/>
      </w:r>
      <w:r w:rsidRPr="00283D6D">
        <w:t xml:space="preserve"> abaixo.</w:t>
      </w:r>
      <w:bookmarkStart w:id="189" w:name="_Ref84218485"/>
    </w:p>
    <w:p w14:paraId="33C7FEB4" w14:textId="3EA2DB97" w:rsidR="00116CE0" w:rsidRPr="00283D6D" w:rsidRDefault="00116CE0" w:rsidP="00B3342D">
      <w:pPr>
        <w:pStyle w:val="Level3"/>
      </w:pPr>
      <w:bookmarkStart w:id="190" w:name="_DV_M110"/>
      <w:bookmarkStart w:id="191" w:name="_Ref19039850"/>
      <w:bookmarkStart w:id="192" w:name="_Ref74334667"/>
      <w:bookmarkStart w:id="193" w:name="_Toc5206755"/>
      <w:bookmarkStart w:id="194" w:name="_Ref298842333"/>
      <w:bookmarkEnd w:id="189"/>
      <w:bookmarkEnd w:id="190"/>
      <w:r w:rsidRPr="00283D6D">
        <w:rPr>
          <w:b/>
          <w:bCs/>
          <w:iCs/>
        </w:rPr>
        <w:t>Resgate Antecipado Facultativo das Debêntures</w:t>
      </w:r>
      <w:r w:rsidRPr="00283D6D">
        <w:t>.</w:t>
      </w:r>
      <w:bookmarkEnd w:id="191"/>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2"/>
    </w:p>
    <w:p w14:paraId="6B8F6727" w14:textId="77777777" w:rsidR="00B3342D" w:rsidRPr="00283D6D" w:rsidRDefault="00116CE0">
      <w:pPr>
        <w:pStyle w:val="Level3"/>
      </w:pPr>
      <w:bookmarkStart w:id="195"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5"/>
    </w:p>
    <w:p w14:paraId="25D03A91" w14:textId="73845770" w:rsidR="00EC757D" w:rsidRPr="00283D6D" w:rsidRDefault="00116CE0" w:rsidP="00B3342D">
      <w:pPr>
        <w:pStyle w:val="Level3"/>
      </w:pPr>
      <w:bookmarkStart w:id="196"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7"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8" w:name="_Hlk85037531"/>
      <w:r w:rsidR="00EC757D" w:rsidRPr="00283D6D">
        <w:t xml:space="preserve">indicado no item (i) ou no item (ii) abaixo, dos dois o maior: (i) o Valor Nominal Unitário Atualizado, acrescido dos Juros Remuneratórios das Debêntures, calculada </w:t>
      </w:r>
      <w:r w:rsidR="00EC757D" w:rsidRPr="00283D6D">
        <w:rPr>
          <w:i/>
          <w:iCs/>
        </w:rPr>
        <w:t>pro rata temporis</w:t>
      </w:r>
      <w:r w:rsidR="00EC757D" w:rsidRPr="00283D6D">
        <w:t xml:space="preserve">, desde a primeira Data de Integralização dos CRI ou a data de pagamento dos Juros Remuneratórios das Debêntures imediatamente anterior (inclusive), conforme o caso, até́ a data do Resgate Antecipado Facultativo (exclusive), ou (ii)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r w:rsidR="00EC757D" w:rsidRPr="00283D6D">
        <w:rPr>
          <w:i/>
          <w:iCs/>
        </w:rPr>
        <w:t>duration</w:t>
      </w:r>
      <w:r w:rsidR="00EC757D" w:rsidRPr="00283D6D">
        <w:t xml:space="preserve"> mais próxima a </w:t>
      </w:r>
      <w:r w:rsidR="00EC757D" w:rsidRPr="00283D6D">
        <w:rPr>
          <w:i/>
          <w:iCs/>
        </w:rPr>
        <w:t>duration</w:t>
      </w:r>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6"/>
      <w:bookmarkEnd w:id="198"/>
    </w:p>
    <w:bookmarkEnd w:id="197"/>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VNEk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FVPk = fator de valor presente, apurado conforme fórmula a seguir, calculado com 9 (nove) casas decimais, com arredondamento:</w:t>
      </w:r>
    </w:p>
    <w:p w14:paraId="3EC32B14" w14:textId="4B5FCB6F" w:rsidR="00B3342D" w:rsidRPr="00283D6D" w:rsidRDefault="00B3342D" w:rsidP="003973D1">
      <w:pPr>
        <w:pStyle w:val="ListParagraph"/>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TESOUROIPCA = taxa interna de retorno da NTN-B, com duration mais próxima a duration remanescente das Debêntures na data do efetivo resgate;</w:t>
      </w:r>
    </w:p>
    <w:p w14:paraId="0CF96636" w14:textId="0CBBE9D1" w:rsidR="00B3342D" w:rsidRPr="00283D6D" w:rsidRDefault="00B3342D" w:rsidP="003973D1">
      <w:pPr>
        <w:pStyle w:val="ListParagraph"/>
        <w:spacing w:line="320" w:lineRule="exact"/>
        <w:ind w:left="709"/>
        <w:rPr>
          <w:rFonts w:ascii="Arial" w:hAnsi="Arial" w:cs="Arial"/>
          <w:szCs w:val="20"/>
        </w:rPr>
      </w:pPr>
      <w:r w:rsidRPr="00283D6D">
        <w:rPr>
          <w:rFonts w:ascii="Arial" w:hAnsi="Arial" w:cs="Arial"/>
          <w:szCs w:val="20"/>
        </w:rPr>
        <w:t xml:space="preserve">nk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9" w:name="_Ref84237991"/>
      <w:bookmarkStart w:id="200" w:name="_Ref4899136"/>
      <w:bookmarkEnd w:id="193"/>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9"/>
    </w:p>
    <w:p w14:paraId="0C7EAA82" w14:textId="330C3DFD" w:rsidR="00B3342D" w:rsidRPr="00283D6D" w:rsidRDefault="00B3342D" w:rsidP="00B3342D">
      <w:pPr>
        <w:pStyle w:val="Level2"/>
      </w:pPr>
      <w:bookmarkStart w:id="201"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6A00E0">
        <w:t>8.2</w:t>
      </w:r>
      <w:r w:rsidRPr="00283D6D">
        <w:fldChar w:fldCharType="end"/>
      </w:r>
      <w:r w:rsidRPr="00283D6D">
        <w:t xml:space="preserve"> acima.</w:t>
      </w:r>
      <w:bookmarkEnd w:id="201"/>
    </w:p>
    <w:p w14:paraId="43F72912" w14:textId="4E34628D"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2"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pro rata temporis</w:t>
      </w:r>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6A00E0">
        <w:t>8.4.1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6A00E0">
        <w:t>8.4.2</w:t>
      </w:r>
      <w:r w:rsidR="00554F6D" w:rsidRPr="00283D6D">
        <w:fldChar w:fldCharType="end"/>
      </w:r>
      <w:r w:rsidRPr="00283D6D">
        <w:t xml:space="preserve"> abaixo</w:t>
      </w:r>
      <w:bookmarkEnd w:id="202"/>
      <w:r w:rsidRPr="00283D6D">
        <w:t>.</w:t>
      </w:r>
      <w:r w:rsidR="002135CA">
        <w:t xml:space="preserve"> </w:t>
      </w:r>
    </w:p>
    <w:p w14:paraId="2D9DD3BD" w14:textId="12168DB6" w:rsidR="00116CE0" w:rsidRPr="00283D6D" w:rsidRDefault="00116CE0" w:rsidP="001D38DC">
      <w:pPr>
        <w:pStyle w:val="Level3"/>
        <w:rPr>
          <w:szCs w:val="20"/>
        </w:rPr>
      </w:pPr>
      <w:bookmarkStart w:id="203" w:name="_Ref15397585"/>
      <w:bookmarkStart w:id="204" w:name="_Ref19020809"/>
      <w:r w:rsidRPr="00283D6D">
        <w:rPr>
          <w:b/>
          <w:bCs/>
          <w:iCs/>
        </w:rPr>
        <w:t>Vencimento Antecipado Automático</w:t>
      </w:r>
      <w:r w:rsidRPr="00283D6D">
        <w:rPr>
          <w:i/>
        </w:rPr>
        <w:t xml:space="preserve">. </w:t>
      </w:r>
      <w:bookmarkEnd w:id="200"/>
      <w:bookmarkEnd w:id="203"/>
      <w:r w:rsidRPr="00283D6D">
        <w:t>Constituem Eventos de Vencimento Antecipado Automático que acarretam o vencimento automático das obrigações decorrentes das Debêntures, independentemente de aviso ou notificação, judicial ou extrajudicial:</w:t>
      </w:r>
      <w:bookmarkStart w:id="205" w:name="_Ref83909358"/>
      <w:bookmarkEnd w:id="204"/>
    </w:p>
    <w:p w14:paraId="53E7D9DE" w14:textId="5595BD9B" w:rsidR="00116CE0" w:rsidRPr="00283D6D" w:rsidRDefault="00116CE0" w:rsidP="001D38DC">
      <w:pPr>
        <w:pStyle w:val="Level4"/>
        <w:tabs>
          <w:tab w:val="clear" w:pos="2041"/>
          <w:tab w:val="num" w:pos="2098"/>
        </w:tabs>
        <w:ind w:left="2098"/>
      </w:pPr>
      <w:bookmarkStart w:id="206" w:name="_Ref137475231"/>
      <w:bookmarkStart w:id="207" w:name="_Ref149033996"/>
      <w:bookmarkStart w:id="208" w:name="_Ref164238998"/>
      <w:bookmarkStart w:id="209" w:name="_Ref130283570"/>
      <w:bookmarkStart w:id="210" w:name="_Ref130301134"/>
      <w:bookmarkStart w:id="211" w:name="_Ref137104995"/>
      <w:bookmarkStart w:id="212" w:name="_Ref137475230"/>
      <w:bookmarkEnd w:id="205"/>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35E498CD"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6A00E0">
        <w:t>6.4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3"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3"/>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WTS, para cada uma das </w:t>
      </w:r>
      <w:r w:rsidR="004C2769">
        <w:t>SPEs</w:t>
      </w:r>
      <w:r w:rsidR="00AF2437" w:rsidRPr="00283D6D">
        <w:t>, da posição contratual dos respectivos Contratos dos Empreendimentos Alvo, incluindo, sem qualquer limitação, todos os seus direitos e obrigações, sem prévia aprovação dos Titulares dos CRI;</w:t>
      </w:r>
    </w:p>
    <w:p w14:paraId="4A85E6DA" w14:textId="0BACBCE6"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6A00E0">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r w:rsidR="00AF2437" w:rsidRPr="00283D6D">
        <w:rPr>
          <w:i/>
          <w:iCs/>
        </w:rPr>
        <w:t>Completion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 xml:space="preserve">observado o disposto no inciso (xii) abaixo, e exceto se previamente autorizado pela Emissora, qualquer dos eventos a seguir em relação à Devedora e/ou </w:t>
      </w:r>
      <w:r w:rsidR="00E5159B">
        <w:t>à Fiduciante</w:t>
      </w:r>
      <w:r w:rsidRPr="00283D6D">
        <w:t xml:space="preserve">: </w:t>
      </w:r>
      <w:bookmarkStart w:id="214"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4"/>
      <w:r w:rsidRPr="00283D6D">
        <w:t>;</w:t>
      </w:r>
    </w:p>
    <w:p w14:paraId="416B96CF" w14:textId="6C666697" w:rsidR="00AB6052" w:rsidRPr="00283D6D" w:rsidRDefault="00AB6052" w:rsidP="00AB6052">
      <w:pPr>
        <w:pStyle w:val="Level4"/>
        <w:rPr>
          <w:lang w:eastAsia="pt-BR"/>
        </w:rPr>
      </w:pPr>
      <w:bookmarkStart w:id="215"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6A00E0">
        <w:t>(xii)</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r w:rsidRPr="00283D6D">
        <w:rPr>
          <w:i/>
          <w:iCs/>
        </w:rPr>
        <w:t>Completion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6"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r w:rsidR="00E2378B" w:rsidRPr="00283D6D">
        <w:rPr>
          <w:i/>
          <w:iCs/>
        </w:rPr>
        <w:t>Completion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5"/>
      <w:bookmarkEnd w:id="216"/>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r w:rsidR="00DC1E76" w:rsidRPr="00283D6D">
        <w:rPr>
          <w:i/>
          <w:iCs/>
        </w:rPr>
        <w:t>Completion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r w:rsidR="00383B20" w:rsidRPr="00283D6D">
        <w:rPr>
          <w:i/>
          <w:iCs/>
        </w:rPr>
        <w:t>Completion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7"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7"/>
    </w:p>
    <w:p w14:paraId="0A76AB1A" w14:textId="77777777" w:rsidR="00383B20" w:rsidRPr="00283D6D" w:rsidRDefault="00383B20" w:rsidP="00383B20">
      <w:pPr>
        <w:pStyle w:val="Level4"/>
      </w:pPr>
      <w:bookmarkStart w:id="218"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8"/>
      <w:r w:rsidRPr="00283D6D">
        <w:t xml:space="preserve">; </w:t>
      </w:r>
      <w:bookmarkStart w:id="219" w:name="_Ref74042853"/>
      <w:r w:rsidRPr="00283D6D">
        <w:t>destruição ou deterioração total ou parcial dos Empreendimentos Alvo que torne inviável sua implementação ou sua continuidade;</w:t>
      </w:r>
      <w:bookmarkEnd w:id="219"/>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de empréstimos, emissão de títulos de dívida ou outras formas de endividamento (de qualquer natureza), sem o prévio e expresso consentimento da Securitizadora;</w:t>
      </w:r>
    </w:p>
    <w:p w14:paraId="4E0C7B82" w14:textId="0E572DEA"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6A00E0">
        <w:t>6.5.9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6A00E0">
        <w:t>(xv)</w:t>
      </w:r>
      <w:r w:rsidRPr="00283D6D">
        <w:fldChar w:fldCharType="end"/>
      </w:r>
      <w:r w:rsidRPr="00283D6D">
        <w:t xml:space="preserve"> desta Cláusula; </w:t>
      </w:r>
      <w:r w:rsidRPr="00283D6D">
        <w:rPr>
          <w:b/>
          <w:bCs/>
        </w:rPr>
        <w:t>(c)</w:t>
      </w:r>
      <w:r w:rsidRPr="00283D6D">
        <w:t xml:space="preserve"> de transferência à SPEs,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6"/>
      <w:bookmarkEnd w:id="207"/>
      <w:bookmarkEnd w:id="208"/>
      <w:bookmarkEnd w:id="209"/>
      <w:bookmarkEnd w:id="210"/>
      <w:bookmarkEnd w:id="211"/>
      <w:bookmarkEnd w:id="212"/>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43375B7D"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6A00E0">
        <w:t>8.3</w:t>
      </w:r>
      <w:r w:rsidRPr="00283D6D">
        <w:fldChar w:fldCharType="end"/>
      </w:r>
      <w:r w:rsidRPr="00283D6D">
        <w:t xml:space="preserve"> acima.</w:t>
      </w:r>
    </w:p>
    <w:p w14:paraId="1D84A692" w14:textId="2DF72C92" w:rsidR="00116CE0" w:rsidRPr="00283D6D" w:rsidRDefault="00116CE0" w:rsidP="00301BA6">
      <w:pPr>
        <w:pStyle w:val="Level3"/>
        <w:rPr>
          <w:szCs w:val="20"/>
        </w:rPr>
      </w:pPr>
      <w:bookmarkStart w:id="220" w:name="_Ref15397460"/>
      <w:bookmarkStart w:id="221" w:name="_Ref4899140"/>
      <w:bookmarkStart w:id="222"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6A00E0">
        <w:t>8.4.3</w:t>
      </w:r>
      <w:r w:rsidR="00A926B5" w:rsidRPr="00283D6D">
        <w:fldChar w:fldCharType="end"/>
      </w:r>
      <w:r w:rsidR="00A926B5" w:rsidRPr="00283D6D">
        <w:t xml:space="preserve"> </w:t>
      </w:r>
      <w:r w:rsidRPr="00283D6D">
        <w:t>e seguintes abaixo</w:t>
      </w:r>
      <w:bookmarkEnd w:id="220"/>
      <w:bookmarkEnd w:id="221"/>
      <w:r w:rsidRPr="00283D6D">
        <w:t>:</w:t>
      </w:r>
      <w:bookmarkStart w:id="223" w:name="_Ref83909372"/>
      <w:bookmarkEnd w:id="222"/>
    </w:p>
    <w:bookmarkEnd w:id="223"/>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04E18852"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6A00E0">
        <w:t>8.4.1(iv)</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4"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4"/>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5"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r w:rsidR="00CD6EAD" w:rsidRPr="00283D6D">
        <w:rPr>
          <w:i/>
          <w:iCs/>
        </w:rPr>
        <w:t>Completion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5"/>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r w:rsidR="00CD6EAD" w:rsidRPr="00283D6D">
        <w:rPr>
          <w:i/>
          <w:iCs/>
        </w:rPr>
        <w:t>Completion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 xml:space="preserve">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r w:rsidR="00B642CE" w:rsidRPr="00283D6D">
        <w:rPr>
          <w:i/>
          <w:iCs/>
        </w:rPr>
        <w:t>Completion Financeiro</w:t>
      </w:r>
      <w:r w:rsidRPr="00283D6D">
        <w:t>, em valor individual ou agregado superior a R$4.000.000,00 (quatro milhões de reais) ou o seu equivalente em outras moedas, seja no âmbito de apenas uma ou de diversas decisões;</w:t>
      </w:r>
      <w:bookmarkStart w:id="226" w:name="_DV_M45"/>
      <w:bookmarkEnd w:id="226"/>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r w:rsidR="003A77D8">
        <w:rPr>
          <w:i/>
          <w:iCs/>
        </w:rPr>
        <w:t xml:space="preserve">Completion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7"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7"/>
    </w:p>
    <w:p w14:paraId="02DA2419" w14:textId="26F0E3EA" w:rsidR="00116CE0" w:rsidRPr="00283D6D" w:rsidRDefault="00116CE0" w:rsidP="00301BA6">
      <w:pPr>
        <w:pStyle w:val="Level4"/>
        <w:tabs>
          <w:tab w:val="clear" w:pos="2041"/>
          <w:tab w:val="num" w:pos="2098"/>
        </w:tabs>
        <w:ind w:left="2098"/>
      </w:pPr>
      <w:bookmarkStart w:id="228"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8"/>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9" w:name="_Ref279344869"/>
      <w:bookmarkStart w:id="230"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31" w:name="_Ref18859722"/>
      <w:bookmarkStart w:id="232" w:name="_Ref4876044"/>
      <w:bookmarkEnd w:id="229"/>
      <w:bookmarkEnd w:id="230"/>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233" w:name="_Ref6855028"/>
      <w:r w:rsidRPr="00283D6D">
        <w:rPr>
          <w:szCs w:val="20"/>
        </w:rPr>
        <w:t>.</w:t>
      </w:r>
      <w:bookmarkStart w:id="234" w:name="_Ref83918236"/>
      <w:bookmarkEnd w:id="231"/>
      <w:bookmarkEnd w:id="233"/>
    </w:p>
    <w:p w14:paraId="2F858702" w14:textId="75B94471" w:rsidR="00C45FD0" w:rsidRPr="00283D6D" w:rsidRDefault="00116CE0" w:rsidP="00C45FD0">
      <w:pPr>
        <w:pStyle w:val="Level3"/>
      </w:pPr>
      <w:bookmarkStart w:id="235" w:name="_Ref19046245"/>
      <w:bookmarkStart w:id="236" w:name="_Ref10023738"/>
      <w:bookmarkEnd w:id="234"/>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6A00E0">
        <w:t>8.4.3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(ii)</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5"/>
      <w:r w:rsidRPr="00283D6D">
        <w:t xml:space="preserve"> </w:t>
      </w:r>
      <w:bookmarkEnd w:id="236"/>
      <w:r w:rsidR="00C45FD0" w:rsidRPr="00283D6D">
        <w:t>Na hipótese de instalação e deliberação favorável ao não vencimento antecipado das Debêntures, a Securitizadora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2"/>
    <w:p w14:paraId="13ECFE44" w14:textId="2FC68F33"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6A00E0">
        <w:t>8.4.1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6A00E0">
        <w:t>8.4.2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pro rata temporis</w:t>
      </w:r>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7" w:name="_Toc110076265"/>
      <w:bookmarkStart w:id="238" w:name="_Toc163380704"/>
      <w:bookmarkStart w:id="239" w:name="_Toc180553620"/>
      <w:bookmarkStart w:id="240" w:name="_Toc302458793"/>
      <w:bookmarkStart w:id="241" w:name="_Toc411606365"/>
      <w:bookmarkEnd w:id="194"/>
    </w:p>
    <w:p w14:paraId="668461AD" w14:textId="15C957C5" w:rsidR="00116CE0" w:rsidRPr="00283D6D" w:rsidRDefault="00116CE0" w:rsidP="00C45FD0">
      <w:pPr>
        <w:pStyle w:val="Level1"/>
        <w:rPr>
          <w:szCs w:val="20"/>
        </w:rPr>
      </w:pPr>
      <w:bookmarkStart w:id="242" w:name="_Toc5023993"/>
      <w:bookmarkStart w:id="243" w:name="_Toc79516051"/>
      <w:r w:rsidRPr="00283D6D">
        <w:t>DECLARAÇÕES E OBRIGAÇÕES DA EMISSORA</w:t>
      </w:r>
      <w:bookmarkEnd w:id="237"/>
      <w:bookmarkEnd w:id="238"/>
      <w:bookmarkEnd w:id="239"/>
      <w:bookmarkEnd w:id="240"/>
      <w:bookmarkEnd w:id="241"/>
      <w:bookmarkEnd w:id="242"/>
      <w:bookmarkEnd w:id="243"/>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4" w:name="_Ref7304080"/>
      <w:r w:rsidRPr="00283D6D">
        <w:t>A Emissora declara, sob as penas da lei, que:</w:t>
      </w:r>
      <w:bookmarkEnd w:id="244"/>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5"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6" w:name="_Ref84010920"/>
      <w:bookmarkEnd w:id="245"/>
    </w:p>
    <w:bookmarkEnd w:id="246"/>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7" w:name="_Ref9860520"/>
      <w:bookmarkStart w:id="248"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7"/>
      <w:bookmarkEnd w:id="248"/>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(ii)</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9" w:name="_DV_M476"/>
      <w:bookmarkStart w:id="250" w:name="_DV_M477"/>
      <w:bookmarkStart w:id="251" w:name="_DV_M478"/>
      <w:bookmarkStart w:id="252" w:name="_DV_M480"/>
      <w:bookmarkStart w:id="253" w:name="_DV_M481"/>
      <w:bookmarkStart w:id="254" w:name="_DV_M482"/>
      <w:bookmarkStart w:id="255" w:name="_DV_M483"/>
      <w:bookmarkStart w:id="256" w:name="_DV_M484"/>
      <w:bookmarkStart w:id="257" w:name="_DV_M486"/>
      <w:bookmarkStart w:id="258" w:name="_DV_M487"/>
      <w:bookmarkStart w:id="259" w:name="_DV_M488"/>
      <w:bookmarkStart w:id="260" w:name="_DV_M489"/>
      <w:bookmarkStart w:id="261" w:name="_DV_M490"/>
      <w:bookmarkStart w:id="262" w:name="_DV_M491"/>
      <w:bookmarkStart w:id="263" w:name="_DV_M492"/>
      <w:bookmarkStart w:id="264" w:name="_DV_M493"/>
      <w:bookmarkStart w:id="265" w:name="_DV_M494"/>
      <w:bookmarkStart w:id="266" w:name="_DV_M495"/>
      <w:bookmarkStart w:id="267" w:name="_DV_M496"/>
      <w:bookmarkStart w:id="268" w:name="_DV_M497"/>
      <w:bookmarkStart w:id="269" w:name="_DV_M498"/>
      <w:bookmarkStart w:id="270" w:name="_DV_M499"/>
      <w:bookmarkStart w:id="271" w:name="_DV_M500"/>
      <w:bookmarkStart w:id="272" w:name="_DV_M501"/>
      <w:bookmarkStart w:id="273" w:name="_DV_M502"/>
      <w:bookmarkStart w:id="274" w:name="_DV_M505"/>
      <w:bookmarkStart w:id="275" w:name="_DV_M506"/>
      <w:bookmarkStart w:id="276" w:name="_DV_M508"/>
      <w:bookmarkStart w:id="277" w:name="_DV_M509"/>
      <w:bookmarkStart w:id="278" w:name="_DV_M510"/>
      <w:bookmarkStart w:id="279" w:name="_DV_M511"/>
      <w:bookmarkStart w:id="280" w:name="_DV_M512"/>
      <w:bookmarkStart w:id="281" w:name="_DV_M513"/>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6AA49901" w14:textId="4B038D99" w:rsidR="00116CE0" w:rsidRPr="00283D6D" w:rsidRDefault="00116CE0" w:rsidP="00674EFA">
      <w:pPr>
        <w:pStyle w:val="Level1"/>
        <w:rPr>
          <w:sz w:val="20"/>
          <w:szCs w:val="20"/>
        </w:rPr>
      </w:pPr>
      <w:bookmarkStart w:id="282" w:name="_DV_M135"/>
      <w:bookmarkStart w:id="283" w:name="_DV_M137"/>
      <w:bookmarkStart w:id="284" w:name="_DV_M138"/>
      <w:bookmarkStart w:id="285" w:name="_DV_M139"/>
      <w:bookmarkStart w:id="286" w:name="_DV_M140"/>
      <w:bookmarkStart w:id="287" w:name="_DV_M141"/>
      <w:bookmarkStart w:id="288" w:name="_DV_M142"/>
      <w:bookmarkStart w:id="289" w:name="_Toc110076267"/>
      <w:bookmarkStart w:id="290" w:name="_Toc163380706"/>
      <w:bookmarkStart w:id="291" w:name="_Toc180553622"/>
      <w:bookmarkStart w:id="292" w:name="_Toc302458795"/>
      <w:bookmarkStart w:id="293" w:name="_Toc411606366"/>
      <w:bookmarkStart w:id="294" w:name="_Toc5023999"/>
      <w:bookmarkStart w:id="295" w:name="_Toc79516052"/>
      <w:bookmarkEnd w:id="282"/>
      <w:bookmarkEnd w:id="283"/>
      <w:bookmarkEnd w:id="284"/>
      <w:bookmarkEnd w:id="285"/>
      <w:bookmarkEnd w:id="286"/>
      <w:bookmarkEnd w:id="287"/>
      <w:bookmarkEnd w:id="288"/>
      <w:r w:rsidRPr="00283D6D">
        <w:t>REGIME FIDUCIÁRIO E ADMINISTRAÇÃO DO PATRIMÔNIO SEPARADO</w:t>
      </w:r>
      <w:bookmarkEnd w:id="289"/>
      <w:bookmarkEnd w:id="290"/>
      <w:bookmarkEnd w:id="291"/>
      <w:bookmarkEnd w:id="292"/>
      <w:bookmarkEnd w:id="293"/>
      <w:bookmarkEnd w:id="294"/>
      <w:bookmarkEnd w:id="295"/>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6" w:name="_DV_M444"/>
      <w:bookmarkStart w:id="297" w:name="_DV_M445"/>
      <w:bookmarkEnd w:id="296"/>
      <w:bookmarkEnd w:id="297"/>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8" w:name="_DV_M446"/>
      <w:bookmarkEnd w:id="298"/>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9" w:name="_DV_M447"/>
      <w:bookmarkEnd w:id="299"/>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300" w:name="_DV_M448"/>
      <w:bookmarkEnd w:id="300"/>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301" w:name="_DV_M449"/>
      <w:bookmarkStart w:id="302" w:name="_DV_M450"/>
      <w:bookmarkStart w:id="303" w:name="_Ref79513881"/>
      <w:bookmarkEnd w:id="301"/>
      <w:bookmarkEnd w:id="302"/>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4" w:name="_Ref84218601"/>
      <w:bookmarkEnd w:id="303"/>
    </w:p>
    <w:bookmarkEnd w:id="304"/>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r w:rsidRPr="00283D6D">
        <w:rPr>
          <w:i/>
        </w:rPr>
        <w:t>gross up</w:t>
      </w:r>
      <w:r w:rsidRPr="00283D6D">
        <w:t xml:space="preserve">), tais como: </w:t>
      </w:r>
      <w:r w:rsidRPr="00283D6D">
        <w:rPr>
          <w:b/>
        </w:rPr>
        <w:t>(i)</w:t>
      </w:r>
      <w:r w:rsidRPr="00283D6D">
        <w:t xml:space="preserve"> 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5"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5"/>
    </w:p>
    <w:p w14:paraId="59DC095E" w14:textId="690F824B" w:rsidR="00116CE0" w:rsidRPr="00283D6D" w:rsidRDefault="00116CE0" w:rsidP="00674EFA">
      <w:pPr>
        <w:pStyle w:val="Level1"/>
        <w:rPr>
          <w:szCs w:val="20"/>
        </w:rPr>
      </w:pPr>
      <w:bookmarkStart w:id="306" w:name="_Toc110076268"/>
      <w:bookmarkStart w:id="307" w:name="_Toc163380707"/>
      <w:bookmarkStart w:id="308" w:name="_Toc180553623"/>
      <w:bookmarkStart w:id="309" w:name="_Toc302458796"/>
      <w:bookmarkStart w:id="310" w:name="_Toc411606367"/>
      <w:bookmarkStart w:id="311" w:name="_Ref486533074"/>
      <w:bookmarkStart w:id="312" w:name="_Ref4929218"/>
      <w:bookmarkStart w:id="313" w:name="_Toc5024005"/>
      <w:bookmarkStart w:id="314" w:name="_Toc79516053"/>
      <w:r w:rsidRPr="00283D6D">
        <w:t>AGENTE FIDUCIÁRIO</w:t>
      </w:r>
      <w:bookmarkEnd w:id="306"/>
      <w:bookmarkEnd w:id="307"/>
      <w:bookmarkEnd w:id="308"/>
      <w:bookmarkEnd w:id="309"/>
      <w:bookmarkEnd w:id="310"/>
      <w:bookmarkEnd w:id="311"/>
      <w:bookmarkEnd w:id="312"/>
      <w:bookmarkEnd w:id="313"/>
      <w:bookmarkEnd w:id="314"/>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5"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6" w:name="_Hlk79486320"/>
      <w:r w:rsidRPr="00283D6D">
        <w:t>Aceitar a função para a qual foi nomeado, assumindo integralmente os deveres e atribuições previstas na legislação e regulamentação específica e neste Termo de Securitização</w:t>
      </w:r>
      <w:bookmarkEnd w:id="316"/>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7" w:name="_Ref486541813"/>
      <w:r w:rsidRPr="00283D6D">
        <w:t>Incumbe ao Agente Fiduciário ora nomeado, dentre outras atribuições previstas neste Termo de Securitização e na legislação e regulamentação aplicável:</w:t>
      </w:r>
      <w:bookmarkStart w:id="318" w:name="_Ref83918972"/>
      <w:bookmarkEnd w:id="317"/>
    </w:p>
    <w:bookmarkEnd w:id="318"/>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5"/>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exercer, nas hipóteses previstas neste Termo de Securitização, a administração do Patrimônio Separado, até a transferência à nova securitizadora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9" w:name="_DV_M536"/>
      <w:bookmarkStart w:id="320" w:name="_DV_M538"/>
      <w:bookmarkStart w:id="321" w:name="_DV_M541"/>
      <w:bookmarkStart w:id="322" w:name="_DV_M542"/>
      <w:bookmarkStart w:id="323" w:name="_DV_M544"/>
      <w:bookmarkStart w:id="324" w:name="_DV_M548"/>
      <w:bookmarkStart w:id="325" w:name="_Ref486541177"/>
      <w:bookmarkStart w:id="326" w:name="_Ref4932298"/>
      <w:bookmarkEnd w:id="319"/>
      <w:bookmarkEnd w:id="320"/>
      <w:bookmarkEnd w:id="321"/>
      <w:bookmarkEnd w:id="322"/>
      <w:bookmarkEnd w:id="323"/>
      <w:bookmarkEnd w:id="324"/>
    </w:p>
    <w:p w14:paraId="0ADE732D" w14:textId="5D5639D0" w:rsidR="00116CE0" w:rsidRPr="00EA210D" w:rsidRDefault="00F75472" w:rsidP="000F6792">
      <w:pPr>
        <w:pStyle w:val="Level2"/>
        <w:rPr>
          <w:szCs w:val="20"/>
        </w:rPr>
      </w:pPr>
      <w:bookmarkStart w:id="327" w:name="_Ref79578876"/>
      <w:r w:rsidRPr="00EA210D">
        <w:t>S</w:t>
      </w:r>
      <w:r w:rsidR="00116CE0" w:rsidRPr="00EA210D">
        <w:t xml:space="preserve">erá devida, ao Agente Fiduciário, parcela </w:t>
      </w:r>
      <w:bookmarkEnd w:id="325"/>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28" w:name="_Hlk525826518"/>
      <w:bookmarkStart w:id="329" w:name="_Hlk525826367"/>
      <w:r w:rsidR="00116CE0" w:rsidRPr="00EA210D">
        <w:t>Observado que a primeira parcela será arcada diretamente pela Emissora com os recursos da integralização dos CRI e as demais parcelas serão de responsabilidade única e exclusiva pela Devedora</w:t>
      </w:r>
      <w:bookmarkEnd w:id="328"/>
      <w:bookmarkEnd w:id="329"/>
      <w:r w:rsidR="00116CE0" w:rsidRPr="00EA210D">
        <w:t>. Os valores previstos neste item serão atualizados anualmente, a partir da data do primeiro pagamento, pela variação acumulada do IPCA.</w:t>
      </w:r>
      <w:bookmarkEnd w:id="327"/>
      <w:r w:rsidR="00116CE0" w:rsidRPr="00EA210D">
        <w:t xml:space="preserve"> </w:t>
      </w:r>
      <w:bookmarkStart w:id="330" w:name="_Ref83909495"/>
      <w:bookmarkEnd w:id="326"/>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31" w:name="_Ref8763317"/>
      <w:bookmarkEnd w:id="330"/>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32" w:name="_Ref83909502"/>
      <w:bookmarkEnd w:id="331"/>
    </w:p>
    <w:bookmarkEnd w:id="332"/>
    <w:p w14:paraId="7FCDA6DA" w14:textId="63A59BF1"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6A00E0">
        <w:t>11.4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6A00E0">
        <w:t>11.4.1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(ii)</w:t>
      </w:r>
      <w:r w:rsidRPr="00283D6D">
        <w:t xml:space="preserve"> PIS; </w:t>
      </w:r>
      <w:r w:rsidRPr="00283D6D">
        <w:rPr>
          <w:b/>
        </w:rPr>
        <w:t>(iii)</w:t>
      </w:r>
      <w:r w:rsidRPr="00283D6D">
        <w:t xml:space="preserve"> COFINS; </w:t>
      </w:r>
      <w:r w:rsidRPr="00283D6D">
        <w:rPr>
          <w:b/>
        </w:rPr>
        <w:t>(iv)</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3"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4" w:name="_DV_M168"/>
      <w:bookmarkStart w:id="335" w:name="_DV_M169"/>
      <w:bookmarkEnd w:id="333"/>
      <w:bookmarkEnd w:id="334"/>
      <w:bookmarkEnd w:id="335"/>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6" w:name="_Ref486541827"/>
      <w:bookmarkStart w:id="337" w:name="_Ref4932603"/>
      <w:r w:rsidRPr="00283D6D">
        <w:t>O Agente Fiduciário poderá ser destituído:</w:t>
      </w:r>
      <w:bookmarkStart w:id="338" w:name="_Ref83918884"/>
      <w:bookmarkEnd w:id="336"/>
      <w:bookmarkEnd w:id="337"/>
    </w:p>
    <w:bookmarkEnd w:id="338"/>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t>Por deliberação em Assembleia Geral, na hipótese de descumprimento dos deveres previstos no artigo 13 da Lei 9.514 ou das incumbências mencionadas nesta Cláusula 10; e</w:t>
      </w:r>
    </w:p>
    <w:p w14:paraId="2C19D9B2" w14:textId="682D232B"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6A00E0">
        <w:t>11.3</w:t>
      </w:r>
      <w:r w:rsidR="008B283E" w:rsidRPr="00283D6D">
        <w:fldChar w:fldCharType="end"/>
      </w:r>
      <w:r w:rsidR="008B283E" w:rsidRPr="00283D6D">
        <w:t xml:space="preserve"> </w:t>
      </w:r>
      <w:r w:rsidRPr="00283D6D">
        <w:t>acima.</w:t>
      </w:r>
    </w:p>
    <w:p w14:paraId="6F315FF4" w14:textId="0BA0E27D"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6A00E0">
        <w:t>11.6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 xml:space="preserve">(ii)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9"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pro rata temporis</w:t>
      </w:r>
      <w:r w:rsidRPr="00283D6D">
        <w:t xml:space="preserve"> com base em um ano de 360 (trezentos e sessenta) dias.</w:t>
      </w:r>
      <w:bookmarkEnd w:id="339"/>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40" w:name="_Toc110076269"/>
      <w:bookmarkStart w:id="341" w:name="_Toc163380708"/>
      <w:bookmarkStart w:id="342" w:name="_Toc180553624"/>
      <w:bookmarkStart w:id="343" w:name="_Toc302458797"/>
      <w:bookmarkStart w:id="344" w:name="_Toc411606368"/>
      <w:bookmarkStart w:id="345" w:name="_Ref486540798"/>
      <w:bookmarkStart w:id="346" w:name="_Ref4938052"/>
      <w:bookmarkStart w:id="347" w:name="_Ref4949928"/>
      <w:bookmarkStart w:id="348" w:name="_Toc5024017"/>
      <w:bookmarkStart w:id="349" w:name="_Toc79516054"/>
      <w:r w:rsidRPr="00283D6D">
        <w:t>LIQUIDAÇÃO DO PATRIMÔNIO SEPARADO</w:t>
      </w:r>
      <w:bookmarkStart w:id="350" w:name="_Ref84221697"/>
      <w:bookmarkEnd w:id="340"/>
      <w:bookmarkEnd w:id="341"/>
      <w:bookmarkEnd w:id="342"/>
      <w:bookmarkEnd w:id="343"/>
      <w:bookmarkEnd w:id="344"/>
      <w:bookmarkEnd w:id="345"/>
      <w:bookmarkEnd w:id="346"/>
      <w:bookmarkEnd w:id="347"/>
      <w:bookmarkEnd w:id="348"/>
      <w:bookmarkEnd w:id="349"/>
    </w:p>
    <w:p w14:paraId="2204E144" w14:textId="124520B5" w:rsidR="00116CE0" w:rsidRPr="00283D6D" w:rsidRDefault="00116CE0" w:rsidP="000F6792">
      <w:pPr>
        <w:pStyle w:val="Level2"/>
        <w:rPr>
          <w:szCs w:val="20"/>
        </w:rPr>
      </w:pPr>
      <w:bookmarkStart w:id="351" w:name="_Ref4933150"/>
      <w:bookmarkStart w:id="352" w:name="_Toc110076270"/>
      <w:bookmarkStart w:id="353" w:name="_Toc163380709"/>
      <w:bookmarkStart w:id="354" w:name="_Toc180553625"/>
      <w:bookmarkEnd w:id="350"/>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5" w:name="_Ref83918542"/>
      <w:bookmarkEnd w:id="351"/>
    </w:p>
    <w:bookmarkEnd w:id="355"/>
    <w:p w14:paraId="0A16B1E4" w14:textId="01047F39" w:rsidR="00116CE0" w:rsidRPr="00283D6D" w:rsidRDefault="00116CE0" w:rsidP="003C6331">
      <w:pPr>
        <w:pStyle w:val="Level4"/>
        <w:tabs>
          <w:tab w:val="clear" w:pos="2041"/>
          <w:tab w:val="num" w:pos="1389"/>
        </w:tabs>
        <w:ind w:left="1389"/>
      </w:pPr>
      <w:r w:rsidRPr="00283D6D">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624BD9F" w:rsidR="00116CE0" w:rsidRPr="00283D6D" w:rsidRDefault="00116CE0" w:rsidP="008A64A8">
      <w:pPr>
        <w:pStyle w:val="Level3"/>
        <w:numPr>
          <w:ilvl w:val="2"/>
          <w:numId w:val="63"/>
        </w:numPr>
      </w:pPr>
      <w:bookmarkStart w:id="356"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6A00E0">
        <w:t>13.7</w:t>
      </w:r>
      <w:r w:rsidR="00A926B5" w:rsidRPr="00283D6D">
        <w:fldChar w:fldCharType="end"/>
      </w:r>
      <w:r w:rsidRPr="00283D6D">
        <w:t xml:space="preserve"> abaixo, para deliberar sobre eventual liquidação do Patrimônio Separado.</w:t>
      </w:r>
      <w:bookmarkEnd w:id="356"/>
    </w:p>
    <w:p w14:paraId="10158280" w14:textId="7BFC80D7"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6A00E0">
        <w:t>13</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761D6EDB"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6A00E0">
        <w:t>12.1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7" w:name="_DV_M463"/>
      <w:bookmarkEnd w:id="357"/>
      <w:r w:rsidRPr="00283D6D">
        <w:t xml:space="preserve"> No entanto, a Emissora convocará Assembleia Geral de Titulares de CRI para deliberar sobre a forma de administração ou liquidação do Patrimônio Separado, bem como a nomeação e remuneração do liquidante.</w:t>
      </w:r>
      <w:bookmarkStart w:id="358" w:name="_DV_M464"/>
      <w:bookmarkEnd w:id="358"/>
    </w:p>
    <w:p w14:paraId="46BFEA00" w14:textId="43EDEEC3" w:rsidR="00116CE0" w:rsidRPr="00283D6D" w:rsidRDefault="00116CE0" w:rsidP="000F6792">
      <w:pPr>
        <w:pStyle w:val="Level2"/>
      </w:pPr>
      <w:bookmarkStart w:id="359" w:name="_DV_M465"/>
      <w:bookmarkStart w:id="360" w:name="_DV_M466"/>
      <w:bookmarkStart w:id="361" w:name="_DV_M467"/>
      <w:bookmarkEnd w:id="359"/>
      <w:bookmarkEnd w:id="360"/>
      <w:bookmarkEnd w:id="361"/>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2" w:name="_DV_M469"/>
      <w:bookmarkStart w:id="363" w:name="_DV_M470"/>
      <w:bookmarkStart w:id="364" w:name="_DV_M471"/>
      <w:bookmarkStart w:id="365" w:name="_DV_M472"/>
      <w:bookmarkEnd w:id="362"/>
      <w:bookmarkEnd w:id="363"/>
      <w:bookmarkEnd w:id="364"/>
      <w:bookmarkEnd w:id="365"/>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O Agente Fiduciário deverá fornecer à Emissora, no prazo de 5 (cinco) Dias Úteis a partir da extinção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6" w:name="_Toc302458798"/>
      <w:bookmarkStart w:id="367" w:name="_Toc411606369"/>
      <w:bookmarkStart w:id="368" w:name="_Ref486412805"/>
      <w:bookmarkStart w:id="369" w:name="_Ref4949874"/>
      <w:bookmarkStart w:id="370" w:name="_Ref4952435"/>
      <w:bookmarkStart w:id="371" w:name="_Toc5024022"/>
      <w:bookmarkStart w:id="372" w:name="_Ref15560404"/>
      <w:bookmarkStart w:id="373" w:name="_Ref18770734"/>
      <w:bookmarkStart w:id="374" w:name="_Ref18772617"/>
      <w:bookmarkStart w:id="375" w:name="_Ref19009606"/>
      <w:bookmarkStart w:id="376" w:name="_Toc79516055"/>
      <w:r w:rsidRPr="00283D6D">
        <w:t>ASSEMBLEIA GERAL</w:t>
      </w:r>
      <w:bookmarkStart w:id="377" w:name="_Ref83918801"/>
      <w:bookmarkEnd w:id="352"/>
      <w:bookmarkEnd w:id="353"/>
      <w:bookmarkEnd w:id="354"/>
      <w:bookmarkEnd w:id="366"/>
      <w:bookmarkEnd w:id="367"/>
      <w:bookmarkEnd w:id="368"/>
      <w:bookmarkEnd w:id="369"/>
      <w:bookmarkEnd w:id="370"/>
      <w:bookmarkEnd w:id="371"/>
      <w:bookmarkEnd w:id="372"/>
      <w:bookmarkEnd w:id="373"/>
      <w:bookmarkEnd w:id="374"/>
      <w:bookmarkEnd w:id="375"/>
      <w:bookmarkEnd w:id="376"/>
    </w:p>
    <w:bookmarkEnd w:id="377"/>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 xml:space="preserve">(ii) </w:t>
      </w:r>
      <w:r w:rsidRPr="00283D6D">
        <w:t xml:space="preserve">pela Emissora; </w:t>
      </w:r>
      <w:r w:rsidRPr="00283D6D">
        <w:rPr>
          <w:b/>
        </w:rPr>
        <w:t>(iii)</w:t>
      </w:r>
      <w:r w:rsidRPr="00283D6D">
        <w:t xml:space="preserve"> por Titulares de CRI que representem, no mínimo, 10% (dez por cento) dos CRI em Circulação; ou </w:t>
      </w:r>
      <w:r w:rsidRPr="00283D6D">
        <w:rPr>
          <w:b/>
        </w:rPr>
        <w:t xml:space="preserve">(iv)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8"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(ii)</w:t>
      </w:r>
      <w:r w:rsidRPr="00283D6D">
        <w:rPr>
          <w:rFonts w:eastAsia="TrebuchetMS"/>
          <w:color w:val="000000"/>
        </w:rPr>
        <w:t xml:space="preserve"> se disposto de maneira diversa no presente Termo de Securitização ou na Escritura de Emissão.</w:t>
      </w:r>
      <w:bookmarkEnd w:id="378"/>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9"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9"/>
      <w:r w:rsidRPr="00283D6D">
        <w:rPr>
          <w:rFonts w:eastAsia="TrebuchetMS"/>
        </w:rPr>
        <w:t xml:space="preserve"> </w:t>
      </w:r>
      <w:bookmarkStart w:id="380" w:name="_Ref83918067"/>
    </w:p>
    <w:bookmarkEnd w:id="380"/>
    <w:p w14:paraId="16B6859B" w14:textId="0F443048"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r w:rsidR="00116CE0" w:rsidRPr="00283D6D">
        <w:rPr>
          <w:rFonts w:eastAsia="TrebuchetMS"/>
          <w:i/>
        </w:rPr>
        <w:t>waiver</w:t>
      </w:r>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6A00E0">
        <w:rPr>
          <w:rFonts w:eastAsia="TrebuchetMS"/>
        </w:rPr>
        <w:t>(ii)</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14F59D5A" w:rsidR="00116CE0" w:rsidRPr="00283D6D" w:rsidRDefault="00116CE0" w:rsidP="00483ECE">
      <w:pPr>
        <w:pStyle w:val="Level4"/>
        <w:tabs>
          <w:tab w:val="clear" w:pos="2041"/>
          <w:tab w:val="num" w:pos="1361"/>
        </w:tabs>
        <w:ind w:left="1360"/>
        <w:rPr>
          <w:szCs w:val="20"/>
        </w:rPr>
      </w:pPr>
      <w:bookmarkStart w:id="381" w:name="_Ref15325412"/>
      <w:bookmarkStart w:id="382" w:name="_Ref15408560"/>
      <w:bookmarkStart w:id="383"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81"/>
      <w:bookmarkEnd w:id="382"/>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6A00E0">
        <w:rPr>
          <w:rFonts w:eastAsia="TrebuchetMS"/>
        </w:rPr>
        <w:t>8.4.2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4" w:name="_DV_M666"/>
      <w:bookmarkStart w:id="385" w:name="_Ref83918021"/>
      <w:bookmarkEnd w:id="383"/>
      <w:bookmarkEnd w:id="384"/>
    </w:p>
    <w:bookmarkEnd w:id="385"/>
    <w:p w14:paraId="6E4C9D60" w14:textId="6E8AEFC4"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6A00E0">
        <w:t>8.4.2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6A00E0">
        <w:t>(ii)</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6" w:name="_Ref19047031"/>
      <w:r w:rsidRPr="00283D6D">
        <w:t>Independentemente das formalidades previstas na lei e neste Termo de Securitização, será considerada regular a Assembleia Geral de Titulares de CRI a que comparecerem os titulares de todos os CRI em Circulação.</w:t>
      </w:r>
      <w:bookmarkEnd w:id="386"/>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7" w:name="_DV_M310"/>
      <w:bookmarkEnd w:id="387"/>
    </w:p>
    <w:p w14:paraId="236CC843" w14:textId="77777777" w:rsidR="00116CE0" w:rsidRPr="00283D6D" w:rsidRDefault="00116CE0" w:rsidP="000F6792">
      <w:pPr>
        <w:pStyle w:val="Level2"/>
        <w:tabs>
          <w:tab w:val="clear" w:pos="680"/>
          <w:tab w:val="num" w:pos="-27009"/>
        </w:tabs>
      </w:pPr>
      <w:bookmarkStart w:id="388" w:name="_Ref7290943"/>
      <w:r w:rsidRPr="00283D6D">
        <w:t xml:space="preserve">A Instituição Custodiante, o Escriturador,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 xml:space="preserve">(ii) </w:t>
      </w:r>
      <w:r w:rsidRPr="00283D6D">
        <w:t xml:space="preserve">caso esteja impossibilitado de exercer as suas funções ou haja renúncia ao desempenho de suas funções nos termos previstos em contrato; e </w:t>
      </w:r>
      <w:r w:rsidRPr="00283D6D">
        <w:rPr>
          <w:b/>
        </w:rPr>
        <w:t>(iii)</w:t>
      </w:r>
      <w:r w:rsidRPr="00283D6D">
        <w:t xml:space="preserve"> em comum acordo com a Emissora.</w:t>
      </w:r>
      <w:bookmarkEnd w:id="388"/>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89" w:name="_Ref15398066"/>
      <w:bookmarkStart w:id="390" w:name="_Ref15557324"/>
      <w:bookmarkStart w:id="391" w:name="_Ref18771969"/>
      <w:bookmarkStart w:id="392" w:name="_Toc79516056"/>
      <w:r w:rsidRPr="00283D6D">
        <w:t>DESPESAS</w:t>
      </w:r>
      <w:bookmarkEnd w:id="389"/>
      <w:bookmarkEnd w:id="390"/>
      <w:bookmarkEnd w:id="391"/>
      <w:bookmarkEnd w:id="392"/>
      <w:r w:rsidR="00861F92" w:rsidRPr="00283D6D">
        <w:t xml:space="preserve"> DA EMISSÃO</w:t>
      </w:r>
      <w:bookmarkStart w:id="393" w:name="_Ref6413335"/>
    </w:p>
    <w:p w14:paraId="47405A69" w14:textId="706BC563" w:rsidR="00116CE0" w:rsidRPr="00283D6D" w:rsidRDefault="00116CE0" w:rsidP="00DF76DC">
      <w:pPr>
        <w:pStyle w:val="Level2"/>
        <w:rPr>
          <w:szCs w:val="20"/>
        </w:rPr>
      </w:pPr>
      <w:bookmarkStart w:id="394" w:name="_Ref79612592"/>
      <w:bookmarkEnd w:id="393"/>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6A00E0">
        <w:rPr>
          <w:bCs/>
          <w:lang w:bidi="pa-IN"/>
        </w:rPr>
        <w:t>4.8</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r w:rsidR="008857D6">
        <w:t>na hipótese</w:t>
      </w:r>
      <w:r w:rsidRPr="00283D6D">
        <w:t xml:space="preserve"> de insuficiência do Fundo de Despesas:</w:t>
      </w:r>
      <w:bookmarkStart w:id="395" w:name="_Ref83908772"/>
      <w:bookmarkEnd w:id="394"/>
      <w:r w:rsidR="00FB36F6">
        <w:t xml:space="preserve"> </w:t>
      </w:r>
      <w:r w:rsidR="00FB36F6" w:rsidRPr="00FB36F6">
        <w:rPr>
          <w:b/>
          <w:bCs/>
          <w:highlight w:val="yellow"/>
        </w:rPr>
        <w:t xml:space="preserve">[Nota Lefosse: Por gentileza confirmar </w:t>
      </w:r>
      <w:r w:rsidR="004B61F4">
        <w:rPr>
          <w:b/>
          <w:bCs/>
          <w:highlight w:val="yellow"/>
        </w:rPr>
        <w:t xml:space="preserve">informações </w:t>
      </w:r>
      <w:r w:rsidR="00FB36F6" w:rsidRPr="00FB36F6">
        <w:rPr>
          <w:b/>
          <w:bCs/>
          <w:highlight w:val="yellow"/>
        </w:rPr>
        <w:t>pendentes.]</w:t>
      </w:r>
    </w:p>
    <w:bookmarkEnd w:id="395"/>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6" w:name="_Ref432700513"/>
      <w:r w:rsidRPr="00283D6D">
        <w:t>(a) R$ </w:t>
      </w:r>
      <w:r w:rsidR="00F76EA1" w:rsidRPr="00B24BB2">
        <w:t>15.000,00</w:t>
      </w:r>
      <w:r w:rsidR="00F76EA1">
        <w:t xml:space="preserve"> (quinze mil reais)</w:t>
      </w:r>
      <w:r w:rsidR="00862A07" w:rsidRPr="00283D6D">
        <w:t xml:space="preserve">, </w:t>
      </w:r>
      <w:r w:rsidRPr="00283D6D">
        <w:t>a ser pago à Emissora, ou a quem esta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6"/>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7" w:name="_Ref433893138"/>
      <w:bookmarkStart w:id="398" w:name="_Ref432700515"/>
    </w:p>
    <w:p w14:paraId="166D30F7" w14:textId="46797DAB" w:rsidR="00116CE0" w:rsidRPr="00283D6D" w:rsidRDefault="00116CE0" w:rsidP="000F6792">
      <w:pPr>
        <w:pStyle w:val="Level4"/>
        <w:tabs>
          <w:tab w:val="clear" w:pos="2041"/>
          <w:tab w:val="num" w:pos="1361"/>
        </w:tabs>
        <w:ind w:left="1360"/>
      </w:pPr>
      <w:r w:rsidRPr="00283D6D">
        <w:t>remuneração do Escriturador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75F23B2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697AA7">
        <w:t>19 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7"/>
      <w:bookmarkEnd w:id="398"/>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(ii)</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9" w:name="_Ref433893140"/>
      <w:bookmarkStart w:id="400" w:name="_Ref433101662"/>
    </w:p>
    <w:p w14:paraId="43996B82" w14:textId="18EE2CE2"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9"/>
      <w:bookmarkEnd w:id="400"/>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6A00E0">
        <w:t>14.1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401"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401"/>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2" w:name="_Ref432700468"/>
    </w:p>
    <w:bookmarkEnd w:id="402"/>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3" w:name="_Ref9862481"/>
    </w:p>
    <w:p w14:paraId="5D317915" w14:textId="221E97CB" w:rsidR="00116CE0" w:rsidRPr="00283D6D" w:rsidRDefault="00116CE0" w:rsidP="00DF76DC">
      <w:pPr>
        <w:pStyle w:val="Level2"/>
      </w:pPr>
      <w:bookmarkStart w:id="404"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6A00E0">
        <w:rPr>
          <w:bCs/>
          <w:lang w:bidi="pa-IN"/>
        </w:rPr>
        <w:t>4.8</w:t>
      </w:r>
      <w:r w:rsidR="00554F6D" w:rsidRPr="00283D6D">
        <w:rPr>
          <w:bCs/>
          <w:lang w:bidi="pa-IN"/>
        </w:rPr>
        <w:fldChar w:fldCharType="end"/>
      </w:r>
      <w:r w:rsidRPr="00283D6D">
        <w:rPr>
          <w:bCs/>
          <w:lang w:bidi="pa-IN"/>
        </w:rPr>
        <w:t xml:space="preserve"> e seguintes acima, </w:t>
      </w:r>
      <w:r w:rsidRPr="00283D6D">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5" w:name="_Ref83908787"/>
      <w:bookmarkEnd w:id="404"/>
    </w:p>
    <w:bookmarkEnd w:id="405"/>
    <w:p w14:paraId="4D0EA210" w14:textId="6B713081"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6A00E0">
        <w:t>14.1</w:t>
      </w:r>
      <w:r w:rsidR="00554F6D" w:rsidRPr="00283D6D">
        <w:fldChar w:fldCharType="end"/>
      </w:r>
      <w:r w:rsidRPr="00283D6D">
        <w:t xml:space="preserve"> acima, tais despesas serão previamente aprovadas e suportadas pelos Titulares de CRI, na proporção dos CRI titulados por cada um deles.</w:t>
      </w:r>
      <w:bookmarkEnd w:id="403"/>
    </w:p>
    <w:p w14:paraId="5DDC1BF4" w14:textId="5A26F69A" w:rsidR="00116CE0" w:rsidRPr="00283D6D" w:rsidRDefault="00116CE0" w:rsidP="00DF76DC">
      <w:pPr>
        <w:pStyle w:val="Level2"/>
        <w:rPr>
          <w:szCs w:val="20"/>
        </w:rPr>
      </w:pPr>
      <w:bookmarkStart w:id="406"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6A00E0">
        <w:t>14.1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6A00E0">
        <w:t>14.2</w:t>
      </w:r>
      <w:r w:rsidR="00554F6D" w:rsidRPr="00283D6D">
        <w:fldChar w:fldCharType="end"/>
      </w:r>
      <w:r w:rsidRPr="00283D6D">
        <w:t xml:space="preserve"> acima, são de responsabilidade dos Titulares de CRI, que deverão ser previamente aprovadas e pagas pelos mesmos titulares:</w:t>
      </w:r>
      <w:bookmarkStart w:id="407" w:name="_Ref83908709"/>
      <w:bookmarkEnd w:id="406"/>
    </w:p>
    <w:bookmarkEnd w:id="407"/>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20B6773A" w:rsidR="00116CE0" w:rsidRPr="00283D6D" w:rsidRDefault="00116CE0" w:rsidP="00DF76DC">
      <w:pPr>
        <w:pStyle w:val="Level3"/>
        <w:tabs>
          <w:tab w:val="clear" w:pos="1361"/>
          <w:tab w:val="num" w:pos="-27009"/>
        </w:tabs>
      </w:pPr>
      <w:r w:rsidRPr="00283D6D">
        <w:rPr>
          <w:rFonts w:eastAsia="Arial Unicode MS"/>
        </w:rPr>
        <w:t>Em razão do disposto no inciso (ii) d</w:t>
      </w:r>
      <w:r w:rsidRPr="00283D6D">
        <w:t>a Cláusula</w:t>
      </w:r>
      <w:r w:rsidRPr="00283D6D">
        <w:rPr>
          <w:rFonts w:eastAsia="Arial Unicode MS"/>
        </w:rPr>
        <w:t xml:space="preserve"> </w:t>
      </w:r>
      <w:bookmarkStart w:id="408"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6A00E0">
        <w:rPr>
          <w:rFonts w:eastAsia="Arial Unicode MS"/>
        </w:rPr>
        <w:t>14.4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(ii)</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(iii)</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(iv)</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09" w:name="_Toc411606371"/>
    </w:p>
    <w:p w14:paraId="6EE478BF" w14:textId="3534A437" w:rsidR="00116CE0" w:rsidRPr="00283D6D" w:rsidRDefault="002B406C" w:rsidP="00DF76DC">
      <w:pPr>
        <w:pStyle w:val="Level1"/>
      </w:pPr>
      <w:bookmarkStart w:id="410" w:name="_Toc5023932"/>
      <w:bookmarkStart w:id="411" w:name="_Toc5024035"/>
      <w:bookmarkStart w:id="412" w:name="_Toc5036322"/>
      <w:bookmarkStart w:id="413" w:name="_Toc5036411"/>
      <w:bookmarkStart w:id="414" w:name="_Toc5206825"/>
      <w:bookmarkStart w:id="415" w:name="_Toc5023933"/>
      <w:bookmarkStart w:id="416" w:name="_Toc5024036"/>
      <w:bookmarkStart w:id="417" w:name="_Toc5036323"/>
      <w:bookmarkStart w:id="418" w:name="_Toc5036412"/>
      <w:bookmarkStart w:id="419" w:name="_Toc5206826"/>
      <w:bookmarkStart w:id="420" w:name="_Toc5023934"/>
      <w:bookmarkStart w:id="421" w:name="_Toc5024037"/>
      <w:bookmarkStart w:id="422" w:name="_Toc5036324"/>
      <w:bookmarkStart w:id="423" w:name="_Toc5036413"/>
      <w:bookmarkStart w:id="424" w:name="_Toc5206827"/>
      <w:bookmarkStart w:id="425" w:name="_DV_M321"/>
      <w:bookmarkStart w:id="426" w:name="_DV_M323"/>
      <w:bookmarkStart w:id="427" w:name="_Toc5023936"/>
      <w:bookmarkStart w:id="428" w:name="_Toc5024039"/>
      <w:bookmarkStart w:id="429" w:name="_Toc5036326"/>
      <w:bookmarkStart w:id="430" w:name="_Toc5036415"/>
      <w:bookmarkStart w:id="431" w:name="_Toc5206829"/>
      <w:bookmarkStart w:id="432" w:name="_Toc79516057"/>
      <w:bookmarkStart w:id="433" w:name="_Toc5024040"/>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283D6D">
        <w:t>TRATAMENTO TRIBUTÁRIO APLICÁVEL AOS INVESTIDORES</w:t>
      </w:r>
      <w:bookmarkEnd w:id="408"/>
      <w:bookmarkEnd w:id="409"/>
      <w:bookmarkEnd w:id="432"/>
      <w:bookmarkEnd w:id="433"/>
    </w:p>
    <w:p w14:paraId="28E30498" w14:textId="77777777" w:rsidR="002B406C" w:rsidRPr="00283D6D" w:rsidRDefault="002B406C" w:rsidP="002B406C">
      <w:pPr>
        <w:pStyle w:val="Body"/>
        <w:widowControl w:val="0"/>
        <w:rPr>
          <w:iCs/>
          <w:szCs w:val="20"/>
          <w:lang w:eastAsia="pt-BR"/>
        </w:rPr>
      </w:pPr>
      <w:bookmarkStart w:id="434" w:name="_Toc342068370"/>
      <w:bookmarkStart w:id="435" w:name="_Toc342068725"/>
      <w:bookmarkStart w:id="436"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7" w:name="_DV_C191"/>
      <w:r w:rsidRPr="00283D6D">
        <w:t>respectivo titular de CRI</w:t>
      </w:r>
      <w:bookmarkEnd w:id="437"/>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38" w:name="_DV_M341"/>
      <w:bookmarkEnd w:id="438"/>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39" w:name="_DV_C196"/>
    </w:p>
    <w:p w14:paraId="06C15812" w14:textId="77777777" w:rsidR="002B406C" w:rsidRPr="00283D6D" w:rsidRDefault="002B406C" w:rsidP="000F6792">
      <w:pPr>
        <w:pStyle w:val="Level3"/>
      </w:pPr>
      <w:bookmarkStart w:id="440" w:name="_DV_C198"/>
      <w:bookmarkEnd w:id="439"/>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440"/>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securitizadoras de créditos imobiliários, nos 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(ii)</w:t>
      </w:r>
      <w:r w:rsidRPr="00283D6D">
        <w:t xml:space="preserve"> de 181 (cento e oitenta e um) a 360 (trezentos e sessenta) dias: alíquota de 20% (vinte por cento); </w:t>
      </w:r>
      <w:r w:rsidRPr="00283D6D">
        <w:rPr>
          <w:b/>
        </w:rPr>
        <w:t xml:space="preserve">(iii) </w:t>
      </w:r>
      <w:r w:rsidRPr="00283D6D">
        <w:t xml:space="preserve">de 361 (trezentos e sessenta e um) a 720 (setecentos e vinte) dias: alíquota de 17,5% (dezessete inteiros e cinco décimos por cento) e </w:t>
      </w:r>
      <w:r w:rsidRPr="00283D6D">
        <w:rPr>
          <w:b/>
        </w:rPr>
        <w:t>(iv)</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41" w:name="_DV_M368"/>
      <w:bookmarkStart w:id="442" w:name="_Toc163380711"/>
      <w:bookmarkStart w:id="443" w:name="_Toc180553627"/>
      <w:bookmarkStart w:id="444" w:name="_Toc302458801"/>
      <w:bookmarkStart w:id="445" w:name="_Toc411606372"/>
      <w:bookmarkStart w:id="446" w:name="_Toc5024042"/>
      <w:bookmarkStart w:id="447" w:name="_Toc79516058"/>
      <w:bookmarkEnd w:id="434"/>
      <w:bookmarkEnd w:id="435"/>
      <w:bookmarkEnd w:id="436"/>
      <w:bookmarkEnd w:id="441"/>
      <w:r w:rsidRPr="00283D6D">
        <w:t>PUBLICIDADE</w:t>
      </w:r>
      <w:bookmarkEnd w:id="442"/>
      <w:bookmarkEnd w:id="443"/>
      <w:bookmarkEnd w:id="444"/>
      <w:bookmarkEnd w:id="445"/>
      <w:bookmarkEnd w:id="446"/>
      <w:bookmarkEnd w:id="447"/>
    </w:p>
    <w:p w14:paraId="43A67768" w14:textId="77777777" w:rsidR="002B406C" w:rsidRPr="00283D6D" w:rsidRDefault="002B406C" w:rsidP="000F6792">
      <w:pPr>
        <w:pStyle w:val="Level2"/>
        <w:rPr>
          <w:rFonts w:eastAsia="Arial Unicode MS"/>
        </w:rPr>
      </w:pPr>
      <w:bookmarkStart w:id="448"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49" w:name="_Toc342068393"/>
      <w:bookmarkStart w:id="450" w:name="_Toc342068748"/>
      <w:bookmarkStart w:id="451" w:name="_Toc342068939"/>
      <w:r w:rsidRPr="00283D6D">
        <w:t>.</w:t>
      </w:r>
      <w:bookmarkStart w:id="452" w:name="_Ref486543775"/>
      <w:bookmarkEnd w:id="448"/>
      <w:bookmarkEnd w:id="449"/>
      <w:bookmarkEnd w:id="450"/>
      <w:bookmarkEnd w:id="451"/>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2"/>
    </w:p>
    <w:p w14:paraId="1C3F830A" w14:textId="1E228FDA" w:rsidR="00116CE0" w:rsidRPr="00283D6D" w:rsidRDefault="00116CE0" w:rsidP="000F6792">
      <w:pPr>
        <w:pStyle w:val="Level1"/>
        <w:rPr>
          <w:sz w:val="20"/>
          <w:szCs w:val="20"/>
        </w:rPr>
      </w:pPr>
      <w:bookmarkStart w:id="453" w:name="_Toc5023941"/>
      <w:bookmarkStart w:id="454" w:name="_Toc5024044"/>
      <w:bookmarkStart w:id="455" w:name="_Toc5036329"/>
      <w:bookmarkStart w:id="456" w:name="_Toc5036418"/>
      <w:bookmarkStart w:id="457" w:name="_Toc5206794"/>
      <w:bookmarkStart w:id="458" w:name="_Toc5206832"/>
      <w:bookmarkStart w:id="459" w:name="_Toc5023942"/>
      <w:bookmarkStart w:id="460" w:name="_Toc5024045"/>
      <w:bookmarkStart w:id="461" w:name="_Toc5036330"/>
      <w:bookmarkStart w:id="462" w:name="_Toc5036419"/>
      <w:bookmarkStart w:id="463" w:name="_Toc5206795"/>
      <w:bookmarkStart w:id="464" w:name="_Toc5206833"/>
      <w:bookmarkStart w:id="465" w:name="_Toc5023943"/>
      <w:bookmarkStart w:id="466" w:name="_Toc5024046"/>
      <w:bookmarkStart w:id="467" w:name="_Toc5036331"/>
      <w:bookmarkStart w:id="468" w:name="_Toc5036420"/>
      <w:bookmarkStart w:id="469" w:name="_Toc5206796"/>
      <w:bookmarkStart w:id="470" w:name="_Toc5206834"/>
      <w:bookmarkStart w:id="471" w:name="_Toc110076274"/>
      <w:bookmarkStart w:id="472" w:name="_Toc163380715"/>
      <w:bookmarkStart w:id="473" w:name="_Toc180553631"/>
      <w:bookmarkStart w:id="474" w:name="_Toc302458804"/>
      <w:bookmarkStart w:id="475" w:name="_Toc411606375"/>
      <w:bookmarkStart w:id="476" w:name="_Toc5024053"/>
      <w:bookmarkStart w:id="477" w:name="_Toc79516060"/>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283D6D">
        <w:t>DISPOSIÇÕES GERAIS</w:t>
      </w:r>
      <w:bookmarkEnd w:id="471"/>
      <w:bookmarkEnd w:id="472"/>
      <w:bookmarkEnd w:id="473"/>
      <w:bookmarkEnd w:id="474"/>
      <w:bookmarkEnd w:id="475"/>
      <w:bookmarkEnd w:id="476"/>
      <w:bookmarkEnd w:id="477"/>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8"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8"/>
    </w:p>
    <w:p w14:paraId="75D48D25" w14:textId="77777777" w:rsidR="00ED6197" w:rsidRPr="00283D6D" w:rsidRDefault="00ED6197" w:rsidP="00ED6197">
      <w:pPr>
        <w:pStyle w:val="Level2"/>
      </w:pPr>
      <w:r w:rsidRPr="00283D6D">
        <w:t xml:space="preserve">A Securitizadora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79" w:name="_Toc205799108"/>
      <w:bookmarkStart w:id="480" w:name="_Toc247616944"/>
      <w:bookmarkStart w:id="481" w:name="_Toc247616980"/>
      <w:bookmarkStart w:id="482" w:name="_Toc342068760"/>
      <w:bookmarkStart w:id="483" w:name="_Toc342068951"/>
      <w:bookmarkStart w:id="484"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r w:rsidRPr="00283D6D">
        <w:rPr>
          <w:bCs/>
        </w:rPr>
        <w:t>Securitizadora</w:t>
      </w:r>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283D6D" w:rsidRDefault="00ED6197" w:rsidP="00ED6197">
      <w:pPr>
        <w:pStyle w:val="Level2"/>
      </w:pPr>
      <w:bookmarkStart w:id="485" w:name="_Ref70878570"/>
      <w:r w:rsidRPr="00283D6D">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6" w:name="_DV_C156"/>
      <w:bookmarkEnd w:id="485"/>
    </w:p>
    <w:p w14:paraId="33F9E93E" w14:textId="09A7E152"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6A00E0">
        <w:rPr>
          <w:rStyle w:val="DeltaViewInsertion"/>
          <w:color w:val="auto"/>
          <w:u w:val="none"/>
        </w:rPr>
        <w:t>17.12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6"/>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r w:rsidRPr="00283D6D">
        <w:rPr>
          <w:bCs/>
        </w:rPr>
        <w:t>Securitizadora</w:t>
      </w:r>
      <w:r w:rsidRPr="00283D6D">
        <w:t xml:space="preserve">, independentemente de eventuais prejuízos que venham a ser causados em decorrência disto aos Titulares de CRI ou à </w:t>
      </w:r>
      <w:r w:rsidRPr="00283D6D">
        <w:rPr>
          <w:bCs/>
        </w:rPr>
        <w:t>Securitizadora</w:t>
      </w:r>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7" w:name="_Toc162083611"/>
      <w:bookmarkStart w:id="488" w:name="_Toc163043028"/>
      <w:bookmarkStart w:id="489" w:name="_Toc163311032"/>
      <w:bookmarkStart w:id="490" w:name="_Toc163380716"/>
      <w:bookmarkStart w:id="491" w:name="_Toc180553632"/>
      <w:bookmarkStart w:id="492" w:name="_Toc302458805"/>
      <w:bookmarkStart w:id="493" w:name="_Toc411606376"/>
      <w:bookmarkStart w:id="494" w:name="_Toc5024058"/>
      <w:bookmarkStart w:id="495" w:name="_Ref19039637"/>
      <w:bookmarkStart w:id="496" w:name="_Ref19042381"/>
      <w:bookmarkStart w:id="497" w:name="_Toc79516061"/>
      <w:bookmarkStart w:id="498" w:name="_Toc162079650"/>
      <w:bookmarkStart w:id="499" w:name="_Toc162083623"/>
      <w:bookmarkStart w:id="500" w:name="_Toc163043040"/>
      <w:bookmarkEnd w:id="479"/>
      <w:bookmarkEnd w:id="480"/>
      <w:bookmarkEnd w:id="481"/>
      <w:bookmarkEnd w:id="482"/>
      <w:bookmarkEnd w:id="483"/>
      <w:bookmarkEnd w:id="484"/>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501"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r w:rsidRPr="00283D6D">
        <w:rPr>
          <w:bCs/>
        </w:rPr>
        <w:t>Securitizadora</w:t>
      </w:r>
      <w:r w:rsidRPr="00283D6D">
        <w:rPr>
          <w:lang w:eastAsia="pt-BR"/>
        </w:rPr>
        <w:t>:</w:t>
      </w:r>
    </w:p>
    <w:p w14:paraId="5F6002AC" w14:textId="5F95F2E3"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Rua Joaquim Floriano, 466, sl.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2" w:name="_Toc342068407"/>
      <w:bookmarkStart w:id="503" w:name="_Toc342068762"/>
      <w:bookmarkStart w:id="504"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2"/>
      <w:bookmarkEnd w:id="503"/>
      <w:bookmarkEnd w:id="504"/>
      <w:r w:rsidRPr="00283D6D">
        <w:t>indicados.</w:t>
      </w:r>
      <w:bookmarkEnd w:id="487"/>
      <w:bookmarkEnd w:id="488"/>
      <w:bookmarkEnd w:id="489"/>
      <w:bookmarkEnd w:id="490"/>
      <w:bookmarkEnd w:id="491"/>
      <w:bookmarkEnd w:id="492"/>
      <w:bookmarkEnd w:id="493"/>
      <w:bookmarkEnd w:id="494"/>
      <w:bookmarkEnd w:id="495"/>
      <w:bookmarkEnd w:id="496"/>
      <w:bookmarkEnd w:id="497"/>
      <w:bookmarkEnd w:id="501"/>
    </w:p>
    <w:p w14:paraId="4F8BB9B7" w14:textId="1A854837" w:rsidR="00077BC9" w:rsidRPr="00283D6D" w:rsidRDefault="00077BC9" w:rsidP="00DF76DC">
      <w:pPr>
        <w:pStyle w:val="Level1"/>
      </w:pPr>
      <w:bookmarkStart w:id="505" w:name="_Toc302458806"/>
      <w:bookmarkStart w:id="506" w:name="_Toc411606377"/>
      <w:bookmarkStart w:id="507" w:name="_Toc5024060"/>
      <w:bookmarkStart w:id="508" w:name="_Toc79516062"/>
      <w:r w:rsidRPr="00283D6D">
        <w:t>LEI DE REGÊNCIA E FORO</w:t>
      </w:r>
    </w:p>
    <w:p w14:paraId="2D62C95E" w14:textId="77777777" w:rsidR="00077BC9" w:rsidRPr="00283D6D" w:rsidRDefault="00077BC9" w:rsidP="00077BC9">
      <w:pPr>
        <w:pStyle w:val="Level2"/>
        <w:rPr>
          <w:szCs w:val="20"/>
          <w:lang w:eastAsia="pt-BR"/>
        </w:rPr>
      </w:pPr>
      <w:bookmarkStart w:id="509" w:name="_DV_M243"/>
      <w:bookmarkStart w:id="510" w:name="_DV_M244"/>
      <w:bookmarkStart w:id="511" w:name="_DV_M245"/>
      <w:bookmarkStart w:id="512" w:name="_DV_M246"/>
      <w:bookmarkStart w:id="513" w:name="_DV_M247"/>
      <w:bookmarkStart w:id="514" w:name="_DV_M249"/>
      <w:bookmarkStart w:id="515" w:name="_DV_M252"/>
      <w:bookmarkStart w:id="516" w:name="_DV_M253"/>
      <w:bookmarkStart w:id="517" w:name="_DV_M254"/>
      <w:bookmarkStart w:id="518" w:name="_DV_M255"/>
      <w:bookmarkStart w:id="519" w:name="_DV_M256"/>
      <w:bookmarkStart w:id="520" w:name="_DV_M257"/>
      <w:bookmarkStart w:id="521" w:name="_DV_M258"/>
      <w:bookmarkStart w:id="522" w:name="_DV_M259"/>
      <w:bookmarkStart w:id="523" w:name="_DV_M260"/>
      <w:bookmarkStart w:id="524" w:name="_DV_M261"/>
      <w:bookmarkStart w:id="525" w:name="_DV_M262"/>
      <w:bookmarkStart w:id="526" w:name="_DV_M263"/>
      <w:bookmarkStart w:id="527" w:name="_DV_M265"/>
      <w:bookmarkStart w:id="528" w:name="_DV_M266"/>
      <w:bookmarkStart w:id="529" w:name="_DV_M267"/>
      <w:bookmarkStart w:id="530" w:name="_DV_M268"/>
      <w:bookmarkStart w:id="531" w:name="_DV_M272"/>
      <w:bookmarkStart w:id="532" w:name="_DV_M273"/>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33" w:name="_DV_M378"/>
      <w:bookmarkEnd w:id="533"/>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4" w:name="_DV_M373"/>
      <w:bookmarkStart w:id="535" w:name="_DV_M374"/>
      <w:bookmarkStart w:id="536" w:name="_DV_M376"/>
      <w:bookmarkStart w:id="537" w:name="_DV_M382"/>
      <w:bookmarkStart w:id="538" w:name="_DV_M383"/>
      <w:bookmarkEnd w:id="534"/>
      <w:bookmarkEnd w:id="535"/>
      <w:bookmarkEnd w:id="536"/>
      <w:bookmarkEnd w:id="537"/>
      <w:bookmarkEnd w:id="538"/>
    </w:p>
    <w:p w14:paraId="34CE2082" w14:textId="18A56BE7" w:rsidR="00077BC9" w:rsidRPr="00697AA7" w:rsidRDefault="00077BC9" w:rsidP="00697AA7">
      <w:pPr>
        <w:pStyle w:val="Body"/>
        <w:widowControl w:val="0"/>
        <w:jc w:val="center"/>
      </w:pPr>
      <w:r w:rsidRPr="00283D6D">
        <w:rPr>
          <w:szCs w:val="20"/>
          <w:lang w:eastAsia="pt-BR"/>
        </w:rPr>
        <w:t xml:space="preserve">São Paulo, </w:t>
      </w:r>
      <w:r w:rsidR="00697AA7">
        <w:t xml:space="preserve">19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39" w:name="_DV_M197"/>
      <w:bookmarkStart w:id="540" w:name="_DV_M218"/>
      <w:bookmarkEnd w:id="539"/>
      <w:bookmarkEnd w:id="540"/>
      <w:r w:rsidRPr="00283D6D">
        <w:rPr>
          <w:szCs w:val="20"/>
          <w:lang w:eastAsia="pt-BR"/>
        </w:rPr>
        <w:t>)</w:t>
      </w:r>
      <w:bookmarkStart w:id="541" w:name="_DV_M280"/>
      <w:bookmarkEnd w:id="498"/>
      <w:bookmarkEnd w:id="499"/>
      <w:bookmarkEnd w:id="500"/>
      <w:bookmarkEnd w:id="541"/>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2" w:name="_DV_M288"/>
      <w:bookmarkEnd w:id="542"/>
      <w:r w:rsidRPr="00283D6D">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3" w:name="_Toc5024048"/>
      <w:bookmarkStart w:id="544" w:name="_Toc5206798"/>
      <w:r w:rsidRPr="00283D6D">
        <w:rPr>
          <w:b/>
          <w:bCs/>
          <w:i/>
          <w:iCs/>
          <w:szCs w:val="20"/>
        </w:rPr>
        <w:t>Riscos Relativos ao Ambiente Macroeconômico</w:t>
      </w:r>
      <w:bookmarkEnd w:id="543"/>
      <w:bookmarkEnd w:id="544"/>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 xml:space="preserve">(ii) </w:t>
      </w:r>
      <w:r w:rsidRPr="00283D6D">
        <w:rPr>
          <w:szCs w:val="20"/>
        </w:rPr>
        <w:t xml:space="preserve">mudanças em índices de inflação que causem problemas aos CRI indexados por tais índices; </w:t>
      </w:r>
      <w:r w:rsidRPr="00283D6D">
        <w:rPr>
          <w:b/>
          <w:szCs w:val="20"/>
        </w:rPr>
        <w:t>(iii)</w:t>
      </w:r>
      <w:r w:rsidRPr="00283D6D">
        <w:rPr>
          <w:szCs w:val="20"/>
        </w:rPr>
        <w:t xml:space="preserve"> restrições de capital que reduzam a liquidez e a disponibilidade de recursos no mercado; e </w:t>
      </w:r>
      <w:r w:rsidRPr="00283D6D">
        <w:rPr>
          <w:b/>
          <w:szCs w:val="20"/>
        </w:rPr>
        <w:t>(iv)</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r w:rsidRPr="00283D6D">
        <w:rPr>
          <w:i/>
          <w:szCs w:val="20"/>
        </w:rPr>
        <w:t>crowding-out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283D6D">
        <w:rPr>
          <w:i/>
          <w:szCs w:val="20"/>
        </w:rPr>
        <w:t>risk-free</w:t>
      </w:r>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5" w:name="_Toc5024049"/>
      <w:bookmarkStart w:id="546" w:name="_Toc5206799"/>
      <w:r w:rsidRPr="00283D6D">
        <w:rPr>
          <w:b/>
          <w:bCs/>
          <w:szCs w:val="20"/>
        </w:rPr>
        <w:t>Riscos Relativos ao Ambiente Macroeconômico Internacional</w:t>
      </w:r>
      <w:bookmarkEnd w:id="545"/>
      <w:bookmarkEnd w:id="546"/>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Alterações na legislação tributária do Brasil poderão afetar adversamente os resultados operacionais da Securitizadora ou da Devedora.</w:t>
      </w:r>
    </w:p>
    <w:p w14:paraId="1DCD6291" w14:textId="77777777" w:rsidR="00D05F17" w:rsidRPr="00283D6D" w:rsidRDefault="00D05F17" w:rsidP="00D05F17">
      <w:pPr>
        <w:pStyle w:val="Body"/>
        <w:spacing w:line="320" w:lineRule="exact"/>
        <w:rPr>
          <w:szCs w:val="20"/>
        </w:rPr>
      </w:pPr>
      <w:r w:rsidRPr="00283D6D">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Securitizadora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7"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8" w:name="_Hlk83974780"/>
      <w:bookmarkEnd w:id="547"/>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8"/>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 xml:space="preserve">(ii)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6AFF320C" w:rsidR="004100E2" w:rsidRPr="004100E2" w:rsidRDefault="009B03C2" w:rsidP="004100E2">
      <w:pPr>
        <w:pStyle w:val="Body"/>
        <w:spacing w:line="320" w:lineRule="exact"/>
        <w:rPr>
          <w:bCs/>
          <w:iCs/>
          <w:szCs w:val="20"/>
        </w:rPr>
      </w:pPr>
      <w:r>
        <w:rPr>
          <w:bCs/>
          <w:iCs/>
          <w:szCs w:val="20"/>
        </w:rPr>
        <w:t>A Oferta é garantida pela Fiança da Fiadora e pela Cessão Fiduciária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49" w:name="_DV_M1122"/>
      <w:bookmarkStart w:id="550" w:name="_DV_M1123"/>
      <w:bookmarkStart w:id="551" w:name="_DV_M1124"/>
      <w:bookmarkEnd w:id="549"/>
      <w:bookmarkEnd w:id="550"/>
      <w:bookmarkEnd w:id="551"/>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2"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2"/>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B7E37" w:rsidRPr="00EB7E37" w14:paraId="2A8E66E3" w14:textId="77777777" w:rsidTr="00EB7E3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C022D3D" w14:textId="29D17C73" w:rsidR="00EB7E37" w:rsidRPr="00EB7E37" w:rsidRDefault="00EB7E37" w:rsidP="00EB7E37">
            <w:pPr>
              <w:jc w:val="center"/>
              <w:rPr>
                <w:rFonts w:ascii="Calibri" w:hAnsi="Calibri" w:cs="Calibri"/>
                <w:b/>
                <w:bCs/>
                <w:color w:val="FFFFFF"/>
                <w:sz w:val="22"/>
                <w:szCs w:val="22"/>
                <w:lang w:eastAsia="pt-BR"/>
              </w:rPr>
            </w:pPr>
            <w:r w:rsidRPr="00EB7E37">
              <w:rPr>
                <w:rFonts w:ascii="Calibri" w:hAnsi="Calibri" w:cs="Calibri"/>
                <w:b/>
                <w:bCs/>
                <w:color w:val="FFFFFF"/>
                <w:sz w:val="22"/>
                <w:szCs w:val="22"/>
                <w:lang w:eastAsia="pt-BR"/>
              </w:rPr>
              <w:t>Cronograma de Pagamentos</w:t>
            </w:r>
          </w:p>
        </w:tc>
      </w:tr>
      <w:tr w:rsidR="00EB7E37" w:rsidRPr="00EB7E37" w14:paraId="62FEEAE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0DD155"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11246C91"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3D65C37A"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04090022"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6856BF89"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Incorpora Juros?</w:t>
            </w:r>
          </w:p>
        </w:tc>
      </w:tr>
      <w:tr w:rsidR="00EB7E37" w:rsidRPr="00EB7E37" w14:paraId="7D5D02B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8644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01F57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40A90A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2FFB7B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5DC22D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E80E0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3D9A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7A56EB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739A21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7B129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141C7C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4815C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6F15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788C827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175F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65F66C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39B23F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F19578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77C0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0B31B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0CF94D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1121E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534DEA1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B54DD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3FCF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3D0B2C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70AC36C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19BF949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65B35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1536B9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1B946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BCCE3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2E50F7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73301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161A12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32E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53C4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409F3B4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37B309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6A8668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41666A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7705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0BEC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5E812F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1CF80F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737C1C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7B51ED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39424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6C92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114089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73E48A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219635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1A989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4EC8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AFFCE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5985E76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010C6C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549C3F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0938DB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4CD333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65C0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4C98D7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1EA2B4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62F5E6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0E8E51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DC468C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1C4B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435408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09D432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C9067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DD7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834D32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F429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7BDAAF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0F8AC9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5A4E75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0EF6AC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772CBA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94A4F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1A890A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1657F2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46F2B1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78C2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B7893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FCA6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4C83EA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7BC262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6B49A03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029538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6FD6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16E36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2E1E1B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541172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3C50A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7CDB9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2DD3F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77B2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6414D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0F23EE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709170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1695FB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8D20C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D9021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3C31EC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6258E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080485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072860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EDC74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3012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40528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3A41CD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097572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79AB12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A73F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271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63C5D7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37D835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7C830AB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4A4007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383BB9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EF6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0F14C8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B4D15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74B99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3A56E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DD6F9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C186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1E4618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021E8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6819ED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45CB93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BC0633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07D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7E4790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1A7DF9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6DEBB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05CEDB5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7C254F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AAA5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039236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1B3B29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47B5FB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2B8927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4E4FD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54306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76DF2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FF4D7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7EF0A2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70A86C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7331E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598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6831B9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569F775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3EB275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5F4497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53CAE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4D5E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262C65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0463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71F714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2ECA62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A09B8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F6E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519FAB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7586A41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4952A15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020522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407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E9C1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7FA5B1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12AA4F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C2F1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13C0A9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0122FD"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1D3F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D0F60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51FE6C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28851F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142C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102B28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A7F9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0C0C7F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8A64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62E9D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155175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965CBF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6E4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44F78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82C87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0F4546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6FBFB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23BECD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14E4A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37F6C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7A8445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3F75BB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22A655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09154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FA02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254633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11341C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1745E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6EB213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5F92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573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061D09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23103F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415082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48BBEC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AAC9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3F5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466AD7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BD16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7B000A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4BAFDC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D911B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F4C9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47ED5F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78688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CB036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F1B83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B2877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DE67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7943DB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3B49E4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1CCEB7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415D80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0EF1A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8488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6974C5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3FDAF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4D6A60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0510F8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FC53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58884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4671D1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77F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05BD9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4B886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D10FD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1E4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41</w:t>
            </w:r>
          </w:p>
        </w:tc>
        <w:tc>
          <w:tcPr>
            <w:tcW w:w="2253" w:type="dxa"/>
            <w:tcBorders>
              <w:top w:val="nil"/>
              <w:left w:val="nil"/>
              <w:bottom w:val="single" w:sz="4" w:space="0" w:color="auto"/>
              <w:right w:val="single" w:sz="4" w:space="0" w:color="auto"/>
            </w:tcBorders>
            <w:shd w:val="clear" w:color="auto" w:fill="auto"/>
            <w:noWrap/>
            <w:vAlign w:val="bottom"/>
            <w:hideMark/>
          </w:tcPr>
          <w:p w14:paraId="2FC1FB4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3FD26B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067A8A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262977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DC941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258B3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0FFA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0C6C8D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3B8DCE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4A3C06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20FC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297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49782B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223800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5979E2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33ECD1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6F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8440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1F9816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28B6E3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0B49D9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2B36CD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995C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9D69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524AB8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178FF9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097550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7497409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EC437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E82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11BF18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6B2330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401684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3AD595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7813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871F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32DDFD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095156B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10792C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3BF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0D5C6E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831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B7B0F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7B04FB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092A2F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327DD8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55F7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3C92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62DB07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07B3AE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133562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020EE4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237AD8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FC75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0C281F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7A3B4E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502D070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6A73A9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D3D24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D0953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49C35A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666A75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D2DCC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01107E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C14152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3776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2FD320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519F3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64BF8E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23D5CC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AEFB5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7C8F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0A9EBC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06BCD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1543DE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7C27A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F00124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0600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064A1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6288DB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374B39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BE082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339E5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0CB46E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216BDC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41F5A5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07CEE1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6B76F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4F70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4DB9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71C705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7B1921D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0E34A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1497A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E5B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9C5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637364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5CF603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64F795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091F17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07E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06A7B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012E6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302E30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771118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65E5F6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AFBDCB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A1A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1BF25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3A11B1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53E447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779C1C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B4561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4E2A4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0B88D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330DF2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3924FC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5AF385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3B461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A820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FFABC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12ECA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B25353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1D7756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DA7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FD17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4A7201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2A564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6E070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1F274F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84866F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2F6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11743D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33773F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00BAAC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14839D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48895A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A39D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1BDAA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2F6F0F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2C57E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7D9B29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E749E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E1A8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9FE440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0A85A8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44956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1C807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830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A15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7AF43E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071768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80436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449B6B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EB3483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708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1F8158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402D60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27C996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7B9142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1965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E6E9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4B85C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667AAF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0BB9F4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77E7865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FD141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4AC0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3BC874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1416F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0A7B7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4D3EDD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8D6BF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BB1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3902EA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FF1DC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3C9B17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24EF04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19939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389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077636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5D1695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46670C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7A6A0D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63831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82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302A09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7B2E3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04C6DA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5BAB50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EC5CD0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C32F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0F0F10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4FECED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4F5CA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0393C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D0BD9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87B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4E9859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459EC7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775A8A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784CF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E8BDD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A2A3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4C6022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1F100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44AF64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17AA9A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9CDA1C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C865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07F580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705815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7E414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28596D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938A9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C529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16E5B3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053079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FC040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7D69A7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AC0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D8FD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3893CA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8CDF9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30F72B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1554C73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FAE976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65DC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40BDD4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4D9832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62C9D3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73C09F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9531D1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F395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46B186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238681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7A2EF2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6201F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BDD464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48FFB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72B26E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424AA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4461DD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797A17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6E04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DE197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2D84A8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553C4E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058F21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5F12B9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4505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B8099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654E4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11D6E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7B93CF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7090CE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523C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EF00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43EEE0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3E2D6F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700F5C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855DE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80A05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E665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85</w:t>
            </w:r>
          </w:p>
        </w:tc>
        <w:tc>
          <w:tcPr>
            <w:tcW w:w="2253" w:type="dxa"/>
            <w:tcBorders>
              <w:top w:val="nil"/>
              <w:left w:val="nil"/>
              <w:bottom w:val="single" w:sz="4" w:space="0" w:color="auto"/>
              <w:right w:val="single" w:sz="4" w:space="0" w:color="auto"/>
            </w:tcBorders>
            <w:shd w:val="clear" w:color="auto" w:fill="auto"/>
            <w:noWrap/>
            <w:vAlign w:val="bottom"/>
            <w:hideMark/>
          </w:tcPr>
          <w:p w14:paraId="33D8F8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25B19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28B469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2C3342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15BD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293C0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86</w:t>
            </w:r>
          </w:p>
        </w:tc>
        <w:tc>
          <w:tcPr>
            <w:tcW w:w="2253" w:type="dxa"/>
            <w:tcBorders>
              <w:top w:val="nil"/>
              <w:left w:val="nil"/>
              <w:bottom w:val="single" w:sz="4" w:space="0" w:color="auto"/>
              <w:right w:val="single" w:sz="4" w:space="0" w:color="auto"/>
            </w:tcBorders>
            <w:shd w:val="clear" w:color="auto" w:fill="auto"/>
            <w:noWrap/>
            <w:vAlign w:val="bottom"/>
            <w:hideMark/>
          </w:tcPr>
          <w:p w14:paraId="295F50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48AB86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775158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06CA2E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E94E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0BEC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0B8129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752BF8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32F4BD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7227A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31141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538E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688244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689C91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991FF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50FCE02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597E6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DB6B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0DA4B9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037C1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4BE33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62E32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AAE1E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2A0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6DED47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42D924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1F6BF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0CD42C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AE326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A8A2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06624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9A58A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ED056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79A5B8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74A70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CFCB1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4CB01E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1B9C93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60C204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E421D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135C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98F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5A3338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7A069E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6AFF7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4A205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482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6819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7FA590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0DA051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A6160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BDF4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54362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6B5C3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49BDE3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14CABC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409BC3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32990B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8408C2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AF8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725D8F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0A6075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18EEE8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536156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9FF26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4E50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3A7C8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55EB90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490AD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3EF2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2CAF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C57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594404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2175C0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3D5CC3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2ABB0E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6168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ADF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97850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37B626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61F100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75BD75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816C63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F1DB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607D91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4C53A7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405C55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1557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8E83F5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BF9ED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3E3CD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3E72CD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554226C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5D574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B85429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D3F5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2E70CA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38199C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99BD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BC6FA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F2A76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577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50DE53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7C431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348E6B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6BB35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A3F079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60D07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3CF477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09A36E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5DC1A6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690AB1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DDB70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132B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5D6B8E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024D40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68C20D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78B37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18411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C2FC3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19532C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26ECF4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B69C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531581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F4CA9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A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07A0E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439030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0D987E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2E4B908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7265D3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BB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390FE9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328EE7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2F4744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5C17C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C4CA20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1C1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4AFDB9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02C8A4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6668D6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5EF9B2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096E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F105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435A4A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79F4D7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10287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190B6A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777BE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CEF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2A24F1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663EB0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0E1418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33E9B2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C595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C5F5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407345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21425B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09CA56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3254B9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400F2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AD10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44F0A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376459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1FCD77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865C9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C6759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69AA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57CAC5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90B8F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6B813A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57A913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9D1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F1ED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23352D9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4A231B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3FED68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11DF18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EEDC3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9911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385414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0CAE69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1A0749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2489A0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11858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828C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55E95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89215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6742F1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0E48131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E0637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3CE8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18B83F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6F577A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09FB4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06E3D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2201CE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8321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64B7065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5C7BC0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1299A5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2B777D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D58F8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01577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5F85DE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2DC145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6A940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4D35A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6C494143"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697AA7">
        <w:rPr>
          <w:rFonts w:ascii="Arial" w:hAnsi="Arial" w:cs="Arial"/>
          <w:szCs w:val="20"/>
        </w:rPr>
        <w:t>19 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r w:rsidR="007511AA" w:rsidRPr="00283D6D">
        <w:rPr>
          <w:rFonts w:ascii="Arial" w:hAnsi="Arial" w:cs="Arial"/>
          <w:b/>
          <w:szCs w:val="20"/>
        </w:rPr>
        <w:t>Securitizadora</w:t>
      </w:r>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respectivamente) da Securitizadora,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Securitizadora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697AA7">
        <w:rPr>
          <w:rFonts w:ascii="Arial" w:hAnsi="Arial" w:cs="Arial"/>
          <w:szCs w:val="20"/>
        </w:rPr>
        <w:t>19 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tendo sido instituído, conforme disposto no Termo de Securitização, o regime fiduciário pela Securitizadora,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75134CF8"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53" w:name="_Toc79516065"/>
      <w:r w:rsidRPr="00283D6D">
        <w:rPr>
          <w:b/>
          <w:szCs w:val="20"/>
        </w:rPr>
        <w:t>ANEXO I</w:t>
      </w:r>
      <w:r w:rsidR="001B509F" w:rsidRPr="00283D6D">
        <w:rPr>
          <w:b/>
          <w:szCs w:val="20"/>
        </w:rPr>
        <w:t>V</w:t>
      </w:r>
      <w:r w:rsidRPr="00283D6D">
        <w:rPr>
          <w:b/>
          <w:szCs w:val="20"/>
        </w:rPr>
        <w:t xml:space="preserve"> – DESCRIÇÃO DA CCI</w:t>
      </w:r>
      <w:bookmarkStart w:id="554" w:name="_DV_M1903"/>
      <w:bookmarkStart w:id="555" w:name="_DV_M1904"/>
      <w:bookmarkStart w:id="556" w:name="_DV_M1905"/>
      <w:bookmarkStart w:id="557" w:name="_DV_M1906"/>
      <w:bookmarkStart w:id="558" w:name="_DV_M1907"/>
      <w:bookmarkStart w:id="559" w:name="_DV_M1908"/>
      <w:bookmarkStart w:id="560" w:name="_DV_M1909"/>
      <w:bookmarkStart w:id="561" w:name="_DV_M1911"/>
      <w:bookmarkEnd w:id="553"/>
      <w:bookmarkEnd w:id="554"/>
      <w:bookmarkEnd w:id="555"/>
      <w:bookmarkEnd w:id="556"/>
      <w:bookmarkEnd w:id="557"/>
      <w:bookmarkEnd w:id="558"/>
      <w:bookmarkEnd w:id="559"/>
      <w:bookmarkEnd w:id="560"/>
      <w:bookmarkEnd w:id="561"/>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2"/>
        <w:gridCol w:w="891"/>
        <w:gridCol w:w="27"/>
        <w:gridCol w:w="123"/>
        <w:gridCol w:w="970"/>
        <w:gridCol w:w="1363"/>
        <w:gridCol w:w="307"/>
        <w:gridCol w:w="484"/>
        <w:gridCol w:w="748"/>
        <w:gridCol w:w="406"/>
        <w:gridCol w:w="222"/>
        <w:gridCol w:w="681"/>
        <w:gridCol w:w="1263"/>
      </w:tblGrid>
      <w:tr w:rsidR="00EB13E6" w:rsidRPr="00283D6D" w14:paraId="1D5716C7" w14:textId="77777777" w:rsidTr="00BD1D16">
        <w:trPr>
          <w:jc w:val="center"/>
        </w:trPr>
        <w:tc>
          <w:tcPr>
            <w:tcW w:w="2364"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6" w:type="pct"/>
            <w:gridSpan w:val="8"/>
          </w:tcPr>
          <w:p w14:paraId="7E30486A" w14:textId="6644EE2C"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697AA7">
              <w:rPr>
                <w:rFonts w:ascii="Arial" w:eastAsia="Cambria" w:hAnsi="Arial" w:cs="Arial"/>
                <w:szCs w:val="20"/>
              </w:rPr>
              <w:t>19 de novembro de 2021.</w:t>
            </w:r>
          </w:p>
        </w:tc>
      </w:tr>
      <w:tr w:rsidR="00EB13E6" w:rsidRPr="00283D6D" w14:paraId="543DF91B" w14:textId="77777777" w:rsidTr="00BD1D16">
        <w:trPr>
          <w:jc w:val="center"/>
        </w:trPr>
        <w:tc>
          <w:tcPr>
            <w:tcW w:w="643"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1"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45"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26"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9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45"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BD1D16">
        <w:trPr>
          <w:jc w:val="center"/>
        </w:trPr>
        <w:tc>
          <w:tcPr>
            <w:tcW w:w="119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32"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3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0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3"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55"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5"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09"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BD1D16">
        <w:trPr>
          <w:jc w:val="center"/>
        </w:trPr>
        <w:tc>
          <w:tcPr>
            <w:tcW w:w="119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5"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26"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0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0"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37"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BD1D16">
        <w:trPr>
          <w:jc w:val="center"/>
        </w:trPr>
        <w:tc>
          <w:tcPr>
            <w:tcW w:w="119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45"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26"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0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3"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0"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02"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37"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2B621E9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r w:rsidRPr="00283D6D">
              <w:rPr>
                <w:rFonts w:ascii="Arial" w:eastAsia="Cambria" w:hAnsi="Arial" w:cs="Arial"/>
                <w:szCs w:val="20"/>
              </w:rPr>
              <w:t xml:space="preserve"> </w:t>
            </w:r>
          </w:p>
        </w:tc>
      </w:tr>
      <w:tr w:rsidR="00EB13E6" w:rsidRPr="00283D6D" w14:paraId="112B4557" w14:textId="77777777" w:rsidTr="00C86FD8">
        <w:trPr>
          <w:trHeight w:val="1129"/>
          <w:jc w:val="center"/>
        </w:trPr>
        <w:tc>
          <w:tcPr>
            <w:tcW w:w="5000" w:type="pct"/>
            <w:gridSpan w:val="15"/>
            <w:vAlign w:val="center"/>
          </w:tcPr>
          <w:p w14:paraId="44447437" w14:textId="3E8AD30D"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6B373F">
              <w:rPr>
                <w:rFonts w:ascii="Arial" w:eastAsia="Cambria" w:hAnsi="Arial" w:cs="Arial"/>
                <w:szCs w:val="20"/>
              </w:rPr>
              <w:t>1</w:t>
            </w:r>
            <w:r w:rsidR="00697AA7">
              <w:rPr>
                <w:rFonts w:ascii="Arial" w:eastAsia="Cambria" w:hAnsi="Arial" w:cs="Arial"/>
                <w:szCs w:val="20"/>
              </w:rPr>
              <w:t xml:space="preserve">9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62"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BD1D16">
        <w:trPr>
          <w:trHeight w:val="886"/>
          <w:jc w:val="center"/>
        </w:trPr>
        <w:tc>
          <w:tcPr>
            <w:tcW w:w="1397"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24"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79"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BD1D16">
        <w:trPr>
          <w:trHeight w:val="886"/>
          <w:jc w:val="center"/>
        </w:trPr>
        <w:tc>
          <w:tcPr>
            <w:tcW w:w="1397"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t>Empreendimento Plátano</w:t>
            </w:r>
          </w:p>
        </w:tc>
        <w:tc>
          <w:tcPr>
            <w:tcW w:w="1624"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979"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BD1D16">
        <w:trPr>
          <w:trHeight w:val="886"/>
          <w:jc w:val="center"/>
        </w:trPr>
        <w:tc>
          <w:tcPr>
            <w:tcW w:w="1397"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624"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979"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BD1D16">
        <w:trPr>
          <w:trHeight w:val="886"/>
          <w:jc w:val="center"/>
        </w:trPr>
        <w:tc>
          <w:tcPr>
            <w:tcW w:w="1397"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624"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979"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562"/>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BD1D16">
        <w:trPr>
          <w:trHeight w:val="102"/>
          <w:jc w:val="center"/>
        </w:trPr>
        <w:tc>
          <w:tcPr>
            <w:tcW w:w="189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10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BD1D16">
        <w:trPr>
          <w:trHeight w:val="102"/>
          <w:jc w:val="center"/>
        </w:trPr>
        <w:tc>
          <w:tcPr>
            <w:tcW w:w="189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102" w:type="pct"/>
            <w:gridSpan w:val="9"/>
          </w:tcPr>
          <w:p w14:paraId="6D89D224" w14:textId="24AB8E5A" w:rsidR="00EB13E6" w:rsidRPr="00283D6D" w:rsidRDefault="00697AA7" w:rsidP="00EB13E6">
            <w:pPr>
              <w:spacing w:line="320" w:lineRule="exact"/>
              <w:jc w:val="both"/>
              <w:rPr>
                <w:rFonts w:ascii="Arial" w:eastAsia="Cambria" w:hAnsi="Arial" w:cs="Arial"/>
                <w:szCs w:val="20"/>
              </w:rPr>
            </w:pPr>
            <w:r>
              <w:rPr>
                <w:rFonts w:ascii="Arial" w:eastAsia="Cambria" w:hAnsi="Arial" w:cs="Arial"/>
                <w:szCs w:val="20"/>
              </w:rPr>
              <w:t>19 de novembro de 2021</w:t>
            </w:r>
            <w:r w:rsidR="00EB13E6" w:rsidRPr="00283D6D">
              <w:rPr>
                <w:rFonts w:ascii="Arial" w:eastAsia="Cambria" w:hAnsi="Arial" w:cs="Arial"/>
                <w:szCs w:val="20"/>
              </w:rPr>
              <w:t xml:space="preserve">, na </w:t>
            </w:r>
            <w:r>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BD1D16">
        <w:trPr>
          <w:trHeight w:val="102"/>
          <w:jc w:val="center"/>
        </w:trPr>
        <w:tc>
          <w:tcPr>
            <w:tcW w:w="1898"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102" w:type="pct"/>
            <w:gridSpan w:val="9"/>
          </w:tcPr>
          <w:p w14:paraId="6F10CF80" w14:textId="4590815D" w:rsidR="00EB13E6" w:rsidRPr="001132E0" w:rsidRDefault="001132E0" w:rsidP="004D0E93">
            <w:pPr>
              <w:spacing w:line="320" w:lineRule="exact"/>
              <w:jc w:val="both"/>
              <w:rPr>
                <w:rFonts w:ascii="Arial" w:eastAsia="Cambria" w:hAnsi="Arial" w:cs="Arial"/>
                <w:szCs w:val="20"/>
              </w:rPr>
            </w:pPr>
            <w:r w:rsidRPr="001132E0">
              <w:rPr>
                <w:rFonts w:ascii="Arial" w:eastAsia="Cambria" w:hAnsi="Arial" w:cs="Arial"/>
                <w:szCs w:val="20"/>
              </w:rPr>
              <w:t>3.633 (três mil seiscentos e trinta e três dias)</w:t>
            </w:r>
          </w:p>
        </w:tc>
      </w:tr>
      <w:tr w:rsidR="00EB13E6" w:rsidRPr="00283D6D" w14:paraId="358AAE49" w14:textId="77777777" w:rsidTr="00BD1D16">
        <w:trPr>
          <w:trHeight w:val="102"/>
          <w:jc w:val="center"/>
        </w:trPr>
        <w:tc>
          <w:tcPr>
            <w:tcW w:w="189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10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BD1D16">
        <w:trPr>
          <w:trHeight w:val="102"/>
          <w:jc w:val="center"/>
        </w:trPr>
        <w:tc>
          <w:tcPr>
            <w:tcW w:w="189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10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Os Créditos Imobiliários serão atualizados mensalmente pela variação do IPCA, calculado de forma exponencial e cumulativa pro rata temporis por Dias Úteis, desde a primeira Data de Integralização até a data do seu efetivo pagamento.</w:t>
            </w:r>
          </w:p>
        </w:tc>
      </w:tr>
      <w:tr w:rsidR="00EB13E6" w:rsidRPr="00283D6D" w14:paraId="28859E1A" w14:textId="77777777" w:rsidTr="00BD1D16">
        <w:trPr>
          <w:trHeight w:val="140"/>
          <w:jc w:val="center"/>
        </w:trPr>
        <w:tc>
          <w:tcPr>
            <w:tcW w:w="189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102"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pro rata temporis</w:t>
            </w:r>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 xml:space="preserve">(ii)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BD1D16">
        <w:trPr>
          <w:trHeight w:val="140"/>
          <w:jc w:val="center"/>
        </w:trPr>
        <w:tc>
          <w:tcPr>
            <w:tcW w:w="189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10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BD1D16">
        <w:trPr>
          <w:trHeight w:val="140"/>
          <w:jc w:val="center"/>
        </w:trPr>
        <w:tc>
          <w:tcPr>
            <w:tcW w:w="189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10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pro rata temporis</w:t>
            </w:r>
            <w:r w:rsidRPr="00283D6D">
              <w:rPr>
                <w:rFonts w:ascii="Arial" w:eastAsia="Cambria" w:hAnsi="Arial" w:cs="Arial"/>
                <w:szCs w:val="20"/>
              </w:rPr>
              <w:t xml:space="preserve"> desde a data de inadimplemento até a data do efetivo pagamento; e (ii) multa moratória de 2% (dois inteiros por cento).</w:t>
            </w:r>
          </w:p>
        </w:tc>
      </w:tr>
      <w:tr w:rsidR="00EB13E6" w:rsidRPr="00283D6D" w14:paraId="347761F9" w14:textId="77777777" w:rsidTr="00BD1D16">
        <w:trPr>
          <w:trHeight w:val="140"/>
          <w:jc w:val="center"/>
        </w:trPr>
        <w:tc>
          <w:tcPr>
            <w:tcW w:w="189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102"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Pr>
                <w:rFonts w:ascii="Arial" w:eastAsia="Cambria" w:hAnsi="Arial" w:cs="Arial"/>
                <w:szCs w:val="20"/>
              </w:rPr>
              <w:t>14 de novembro de 2031.</w:t>
            </w:r>
          </w:p>
        </w:tc>
      </w:tr>
      <w:tr w:rsidR="00EB13E6" w:rsidRPr="00283D6D" w14:paraId="34E5F922" w14:textId="77777777" w:rsidTr="00BD1D16">
        <w:trPr>
          <w:trHeight w:val="467"/>
          <w:jc w:val="center"/>
        </w:trPr>
        <w:tc>
          <w:tcPr>
            <w:tcW w:w="189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10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r w:rsidRPr="00283D6D">
        <w:rPr>
          <w:rFonts w:ascii="Arial" w:hAnsi="Arial" w:cs="Arial"/>
          <w:b/>
          <w:szCs w:val="20"/>
        </w:rPr>
        <w:t>Securitizadora</w:t>
      </w:r>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3F4A2919"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Securitizadora, celebrado em </w:t>
      </w:r>
      <w:r w:rsidR="00697AA7">
        <w:rPr>
          <w:rFonts w:ascii="Arial" w:hAnsi="Arial" w:cs="Arial"/>
          <w:szCs w:val="20"/>
        </w:rPr>
        <w:t>19 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1184374"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3" w:name="_DV_M687"/>
      <w:bookmarkStart w:id="564" w:name="_DV_M688"/>
      <w:bookmarkStart w:id="565" w:name="_DV_M689"/>
      <w:bookmarkEnd w:id="563"/>
      <w:bookmarkEnd w:id="564"/>
      <w:bookmarkEnd w:id="565"/>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r w:rsidRPr="00283D6D">
        <w:rPr>
          <w:rFonts w:ascii="Arial" w:hAnsi="Arial" w:cs="Arial"/>
          <w:b/>
          <w:bCs/>
          <w:szCs w:val="20"/>
        </w:rPr>
        <w:t>Securitizadora</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r w:rsidRPr="00283D6D">
        <w:rPr>
          <w:rFonts w:ascii="Arial" w:hAnsi="Arial" w:cs="Arial"/>
          <w:bCs/>
          <w:szCs w:val="20"/>
        </w:rPr>
        <w:t>Securitizadora</w:t>
      </w:r>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27D1D22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r w:rsidR="00D41348" w:rsidRPr="00283D6D">
        <w:rPr>
          <w:rFonts w:ascii="Arial" w:hAnsi="Arial" w:cs="Arial"/>
          <w:b/>
          <w:bCs/>
          <w:szCs w:val="20"/>
        </w:rPr>
        <w:t>Securitizadora</w:t>
      </w:r>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r w:rsidR="00D41348" w:rsidRPr="00283D6D">
        <w:rPr>
          <w:rFonts w:ascii="Arial" w:hAnsi="Arial" w:cs="Arial"/>
          <w:bCs/>
          <w:szCs w:val="20"/>
        </w:rPr>
        <w:t>Securitizadora</w:t>
      </w:r>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sociedade de natureza limitada, atuando por sua filial na cidade de São Paulo, Estado de São Paulo, na Rua Joaquim Floriano, 466, sl.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r w:rsidR="00D41348" w:rsidRPr="00283D6D">
        <w:rPr>
          <w:rFonts w:ascii="Arial" w:hAnsi="Arial" w:cs="Arial"/>
          <w:bCs/>
          <w:szCs w:val="20"/>
        </w:rPr>
        <w:t>Securitizadora</w:t>
      </w:r>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3F99938"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697AA7" w:rsidRPr="00697AA7">
        <w:rPr>
          <w:sz w:val="20"/>
          <w:szCs w:val="20"/>
          <w:lang w:val="pt-BR"/>
        </w:rPr>
        <w:t xml:space="preserve">19 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6" w:name="_Toc79516069"/>
      <w:r w:rsidRPr="00283D6D">
        <w:rPr>
          <w:b/>
          <w:smallCaps/>
          <w:szCs w:val="20"/>
        </w:rPr>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1B459AAE"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566"/>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7" w:name="_Toc20148386"/>
      <w:bookmarkStart w:id="568" w:name="_Toc79516071"/>
      <w:r w:rsidRPr="00283D6D">
        <w:rPr>
          <w:b/>
        </w:rPr>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jan/22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Heading1"/>
        <w:spacing w:before="0" w:after="0" w:line="320" w:lineRule="exact"/>
        <w:jc w:val="center"/>
        <w:rPr>
          <w:rFonts w:ascii="Arial" w:hAnsi="Arial" w:cs="Arial"/>
          <w:sz w:val="20"/>
          <w:szCs w:val="20"/>
        </w:rPr>
      </w:pPr>
    </w:p>
    <w:p w14:paraId="3B449C58" w14:textId="33F86152" w:rsidR="001B509F" w:rsidRPr="00283D6D" w:rsidRDefault="001B509F" w:rsidP="001B509F">
      <w:pPr>
        <w:pStyle w:val="Heading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Heading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Empreitada ou subempreitada, de obras de construcao civil, hidraulica ou eletrica</w:t>
            </w:r>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Armazenamento, deposito, carga, descarga, arrumacao e guarda de bens de qualquer especie</w:t>
            </w:r>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Equipamentos Eletricos</w:t>
            </w:r>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Invoice</w:t>
            </w:r>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ZNSHINE PV-TECH CO.,LTD</w:t>
            </w:r>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Municipal Tanabi, s/nº, Bairro Mangui,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Estrada Boiadeira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Adto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Contrução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Heading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055758E4" w:rsidR="00BD1D16" w:rsidRDefault="001B509F" w:rsidP="00BD1D16">
      <w:pPr>
        <w:pStyle w:val="Heading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r w:rsidR="00542CE7">
        <w:rPr>
          <w:rFonts w:ascii="Arial" w:hAnsi="Arial" w:cs="Arial"/>
          <w:sz w:val="20"/>
          <w:szCs w:val="20"/>
          <w:lang w:val="pt-BR"/>
        </w:rPr>
        <w:t xml:space="preserve"> </w:t>
      </w:r>
      <w:r w:rsidR="00863E0A">
        <w:rPr>
          <w:rFonts w:ascii="Arial" w:hAnsi="Arial" w:cs="Arial"/>
          <w:sz w:val="20"/>
          <w:szCs w:val="20"/>
          <w:lang w:val="pt-BR"/>
        </w:rPr>
        <w:t xml:space="preserve"> </w:t>
      </w:r>
      <w:r w:rsidR="00863E0A" w:rsidRPr="00CF28DE">
        <w:rPr>
          <w:rFonts w:ascii="Arial" w:hAnsi="Arial" w:cs="Arial"/>
          <w:sz w:val="20"/>
          <w:szCs w:val="20"/>
          <w:highlight w:val="yellow"/>
          <w:lang w:val="pt-BR"/>
        </w:rPr>
        <w:t>[Nota VNP: Informações pendentes de preenchimento pela RZK.]</w:t>
      </w:r>
    </w:p>
    <w:p w14:paraId="78258989" w14:textId="1868AFEB" w:rsidR="001B509F" w:rsidRDefault="001B509F" w:rsidP="00483ECE">
      <w:pPr>
        <w:pStyle w:val="Heading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6912620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5EB72F79" w14:textId="17FC25EE" w:rsidR="00542CE7" w:rsidRPr="0036061C" w:rsidRDefault="00863E0A" w:rsidP="00542CE7">
            <w:pPr>
              <w:jc w:val="center"/>
              <w:rPr>
                <w:rFonts w:ascii="Arial" w:eastAsia="Calibri" w:hAnsi="Arial" w:cs="Arial"/>
                <w:sz w:val="16"/>
                <w:szCs w:val="16"/>
              </w:rPr>
            </w:pPr>
            <w:r>
              <w:rPr>
                <w:rFonts w:ascii="Arial" w:eastAsia="Calibri" w:hAnsi="Arial" w:cs="Arial"/>
                <w:sz w:val="16"/>
                <w:szCs w:val="16"/>
              </w:rPr>
              <w:t>Não</w:t>
            </w:r>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0C581546"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0EF94F2D" w14:textId="0A24855C" w:rsidR="00542CE7" w:rsidRPr="0036061C" w:rsidRDefault="00863E0A" w:rsidP="00542CE7">
            <w:pPr>
              <w:jc w:val="center"/>
              <w:rPr>
                <w:rFonts w:ascii="Arial" w:eastAsia="Calibri" w:hAnsi="Arial" w:cs="Arial"/>
                <w:sz w:val="16"/>
                <w:szCs w:val="16"/>
              </w:rPr>
            </w:pPr>
            <w:r>
              <w:rPr>
                <w:rFonts w:ascii="Arial" w:eastAsia="Calibri" w:hAnsi="Arial" w:cs="Arial"/>
                <w:sz w:val="16"/>
                <w:szCs w:val="16"/>
              </w:rPr>
              <w:t>Não</w:t>
            </w:r>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1101C7BB" w:rsidR="00542CE7" w:rsidRPr="0036061C" w:rsidRDefault="00542CE7" w:rsidP="00542CE7">
            <w:pPr>
              <w:jc w:val="center"/>
              <w:rPr>
                <w:rFonts w:ascii="Arial" w:eastAsia="Calibri" w:hAnsi="Arial" w:cs="Arial"/>
                <w:sz w:val="16"/>
                <w:szCs w:val="16"/>
              </w:rPr>
            </w:pPr>
            <w:r w:rsidRPr="00542CE7">
              <w:rPr>
                <w:rFonts w:ascii="Arial" w:eastAsia="Calibri" w:hAnsi="Arial" w:cs="Arial"/>
                <w:sz w:val="16"/>
                <w:szCs w:val="16"/>
                <w:highlight w:val="yellow"/>
              </w:rPr>
              <w:t>[</w:t>
            </w:r>
            <w:r w:rsidRPr="00542CE7">
              <w:rPr>
                <w:rFonts w:ascii="Arial" w:eastAsia="Calibri" w:hAnsi="Arial" w:cs="Arial"/>
                <w:sz w:val="16"/>
                <w:szCs w:val="16"/>
                <w:highlight w:val="yellow"/>
              </w:rPr>
              <w:sym w:font="Symbol" w:char="F0B7"/>
            </w:r>
            <w:r w:rsidRPr="00542CE7">
              <w:rPr>
                <w:rFonts w:ascii="Arial" w:eastAsia="Calibri" w:hAnsi="Arial" w:cs="Arial"/>
                <w:sz w:val="16"/>
                <w:szCs w:val="16"/>
                <w:highlight w:val="yellow"/>
              </w:rPr>
              <w:t>]</w:t>
            </w:r>
          </w:p>
        </w:tc>
        <w:tc>
          <w:tcPr>
            <w:tcW w:w="2551" w:type="dxa"/>
            <w:vAlign w:val="center"/>
          </w:tcPr>
          <w:p w14:paraId="3AE4F3AE" w14:textId="259506AE" w:rsidR="00542CE7" w:rsidRPr="0036061C" w:rsidRDefault="00863E0A" w:rsidP="00542CE7">
            <w:pPr>
              <w:jc w:val="center"/>
              <w:rPr>
                <w:rFonts w:ascii="Arial" w:eastAsia="Calibri" w:hAnsi="Arial" w:cs="Arial"/>
                <w:sz w:val="16"/>
                <w:szCs w:val="16"/>
              </w:rPr>
            </w:pPr>
            <w:r>
              <w:rPr>
                <w:rFonts w:ascii="Arial" w:eastAsia="Calibri" w:hAnsi="Arial" w:cs="Arial"/>
                <w:sz w:val="16"/>
                <w:szCs w:val="16"/>
              </w:rPr>
              <w:t>Não</w:t>
            </w:r>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rPr>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Heading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7"/>
    <w:bookmarkEnd w:id="568"/>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ª Emissão da Securitizadora</w:t>
      </w:r>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leGrid"/>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Procedimento Bookbuilding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IMÓVEL,FIANÇA</w:t>
            </w:r>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IMÓVEL,FUNDO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IMÓVEL,AVAL,FUNDO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QUOTAS,FIANÇA,CESSÃO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  a.a.</w:t>
            </w:r>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FIDUCIÁRIO,INSTITUIÇÃO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equipamentos,Fundo de Despesas,Fiança,Cessão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Pré Completion Financeiro 8,50% a.a. - 7,75% a.a. Pós Completion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Imóvel,Alienação Fiduciária de quotas,Fundo de Reserva,Fiança,Cessão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Percentual total à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r w:rsidRPr="00505D9D">
              <w:rPr>
                <w:b/>
              </w:rPr>
              <w:t>jan/22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283D6D">
        <w:rPr>
          <w:rFonts w:ascii="Arial" w:hAnsi="Arial" w:cs="Arial"/>
          <w:b/>
          <w:szCs w:val="20"/>
        </w:rPr>
        <w:t>Securitizadora</w:t>
      </w:r>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DAB1614"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Securitizadora, celebrado em </w:t>
      </w:r>
      <w:r w:rsidR="00F43640">
        <w:rPr>
          <w:rFonts w:ascii="Arial" w:hAnsi="Arial" w:cs="Arial"/>
          <w:szCs w:val="20"/>
        </w:rPr>
        <w:t>19 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2304A5A8"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F43640">
        <w:rPr>
          <w:rFonts w:ascii="Arial" w:hAnsi="Arial" w:cs="Arial"/>
          <w:szCs w:val="20"/>
        </w:rPr>
        <w:t>19 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25F1E" w14:textId="77777777" w:rsidR="009F7A55" w:rsidRDefault="009F7A55">
      <w:r>
        <w:separator/>
      </w:r>
    </w:p>
    <w:p w14:paraId="04F80B79" w14:textId="77777777" w:rsidR="009F7A55" w:rsidRDefault="009F7A55"/>
    <w:p w14:paraId="3ADCD808" w14:textId="77777777" w:rsidR="009F7A55" w:rsidRDefault="009F7A55"/>
  </w:endnote>
  <w:endnote w:type="continuationSeparator" w:id="0">
    <w:p w14:paraId="6D1225C7" w14:textId="77777777" w:rsidR="009F7A55" w:rsidRDefault="009F7A55">
      <w:r>
        <w:continuationSeparator/>
      </w:r>
    </w:p>
    <w:p w14:paraId="6C402380" w14:textId="77777777" w:rsidR="009F7A55" w:rsidRDefault="009F7A55"/>
    <w:p w14:paraId="739EC807" w14:textId="77777777" w:rsidR="009F7A55" w:rsidRDefault="009F7A55"/>
  </w:endnote>
  <w:endnote w:type="continuationNotice" w:id="1">
    <w:p w14:paraId="3D8FDE72" w14:textId="77777777" w:rsidR="009F7A55" w:rsidRDefault="009F7A55"/>
    <w:p w14:paraId="53559195" w14:textId="77777777" w:rsidR="009F7A55" w:rsidRDefault="009F7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481758" w:rsidRPr="0001041E" w:rsidRDefault="00481758"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481758" w:rsidRPr="003D3E4E" w:rsidRDefault="00481758"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32248" w14:textId="4118AF6C" w:rsidR="00481758" w:rsidRDefault="00481758">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481758" w:rsidRPr="00CC0D1F" w:rsidRDefault="00481758"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481758" w:rsidRPr="00CC0D1F" w:rsidRDefault="00481758"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481758" w:rsidRPr="0001041E" w:rsidRDefault="00481758">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481758" w:rsidRPr="00AC5D6C" w:rsidRDefault="00481758"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481758" w:rsidRPr="00505D9D" w:rsidRDefault="00481758">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481758" w:rsidRDefault="0048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58A2" w14:textId="77777777" w:rsidR="009F7A55" w:rsidRDefault="009F7A55">
      <w:r>
        <w:separator/>
      </w:r>
    </w:p>
    <w:p w14:paraId="56162115" w14:textId="77777777" w:rsidR="009F7A55" w:rsidRDefault="009F7A55"/>
    <w:p w14:paraId="2A00017D" w14:textId="77777777" w:rsidR="009F7A55" w:rsidRDefault="009F7A55"/>
  </w:footnote>
  <w:footnote w:type="continuationSeparator" w:id="0">
    <w:p w14:paraId="5F2C15C4" w14:textId="77777777" w:rsidR="009F7A55" w:rsidRDefault="009F7A55">
      <w:r>
        <w:continuationSeparator/>
      </w:r>
    </w:p>
    <w:p w14:paraId="394BE788" w14:textId="77777777" w:rsidR="009F7A55" w:rsidRDefault="009F7A55"/>
    <w:p w14:paraId="2FFE1264" w14:textId="77777777" w:rsidR="009F7A55" w:rsidRDefault="009F7A55"/>
  </w:footnote>
  <w:footnote w:type="continuationNotice" w:id="1">
    <w:p w14:paraId="43BA7A50" w14:textId="77777777" w:rsidR="009F7A55" w:rsidRDefault="009F7A55"/>
    <w:p w14:paraId="63F32D18" w14:textId="77777777" w:rsidR="009F7A55" w:rsidRDefault="009F7A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F3D3" w14:textId="793790D6" w:rsidR="00481758" w:rsidRPr="00004127" w:rsidRDefault="00481758" w:rsidP="001D1814">
    <w:pPr>
      <w:pStyle w:val="Header"/>
      <w:jc w:val="right"/>
      <w:rPr>
        <w:rFonts w:ascii="Arial" w:hAnsi="Arial" w:cs="Arial"/>
        <w:szCs w:val="20"/>
        <w:lang w:val="pt-BR"/>
      </w:rPr>
    </w:pPr>
    <w:r w:rsidRPr="00004127">
      <w:rPr>
        <w:rFonts w:ascii="Arial" w:hAnsi="Arial" w:cs="Arial"/>
        <w:szCs w:val="20"/>
        <w:lang w:val="pt-BR"/>
      </w:rPr>
      <w:t>Minuta Lefosse</w:t>
    </w:r>
  </w:p>
  <w:p w14:paraId="662EBA3F" w14:textId="47357578" w:rsidR="00481758" w:rsidRPr="00004127" w:rsidRDefault="00481758" w:rsidP="001D1814">
    <w:pPr>
      <w:pStyle w:val="Header"/>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481758" w:rsidRDefault="00481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38B24" w14:textId="548044EA" w:rsidR="00481758" w:rsidRPr="00B65BF9" w:rsidRDefault="00481758" w:rsidP="00F54CBA">
    <w:pPr>
      <w:pStyle w:val="Header"/>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632B425D" w:rsidR="00481758" w:rsidRPr="00B65BF9" w:rsidRDefault="00EF50F7" w:rsidP="00F54CBA">
    <w:pPr>
      <w:pStyle w:val="Header"/>
      <w:jc w:val="right"/>
      <w:rPr>
        <w:rFonts w:ascii="Arial" w:hAnsi="Arial" w:cs="Arial"/>
        <w:b/>
        <w:bCs/>
        <w:i/>
        <w:iCs/>
        <w:szCs w:val="20"/>
        <w:lang w:val="pt-BR"/>
      </w:rPr>
    </w:pPr>
    <w:r>
      <w:rPr>
        <w:rFonts w:ascii="Arial" w:hAnsi="Arial" w:cs="Arial"/>
        <w:b/>
        <w:bCs/>
        <w:szCs w:val="20"/>
        <w:lang w:val="pt-BR"/>
      </w:rPr>
      <w:t>18</w:t>
    </w:r>
    <w:r w:rsidR="00481758" w:rsidRPr="00B65BF9">
      <w:rPr>
        <w:rFonts w:ascii="Arial" w:hAnsi="Arial" w:cs="Arial"/>
        <w:b/>
        <w:bCs/>
        <w:szCs w:val="20"/>
        <w:lang w:val="pt-BR"/>
      </w:rPr>
      <w:t>.1</w:t>
    </w:r>
    <w:r w:rsidR="00481758">
      <w:rPr>
        <w:rFonts w:ascii="Arial" w:hAnsi="Arial" w:cs="Arial"/>
        <w:b/>
        <w:bCs/>
        <w:szCs w:val="20"/>
        <w:lang w:val="pt-BR"/>
      </w:rPr>
      <w:t>1</w:t>
    </w:r>
    <w:r w:rsidR="00481758" w:rsidRPr="00B65BF9">
      <w:rPr>
        <w:rFonts w:ascii="Arial" w:hAnsi="Arial" w:cs="Arial"/>
        <w:b/>
        <w:bCs/>
        <w:szCs w:val="20"/>
        <w:lang w:val="pt-BR"/>
      </w:rPr>
      <w:t>.2021</w:t>
    </w:r>
  </w:p>
  <w:p w14:paraId="3706E0A8" w14:textId="77777777" w:rsidR="00481758" w:rsidRDefault="00481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E0F3" w14:textId="77777777" w:rsidR="00481758" w:rsidRDefault="00481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08FD5" w14:textId="1B52D37B" w:rsidR="00481758" w:rsidRDefault="00481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savePreviewPicture/>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5966"/>
    <w:rsid w:val="00205E33"/>
    <w:rsid w:val="00206600"/>
    <w:rsid w:val="00206873"/>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202C"/>
    <w:rsid w:val="009B2952"/>
    <w:rsid w:val="009B2E71"/>
    <w:rsid w:val="009B4E68"/>
    <w:rsid w:val="009B5884"/>
    <w:rsid w:val="009B6838"/>
    <w:rsid w:val="009C07C1"/>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A55"/>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link w:val="BodyTextIndent3Char"/>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pPr>
      <w:jc w:val="both"/>
    </w:pPr>
  </w:style>
  <w:style w:type="paragraph" w:styleId="BodyText2">
    <w:name w:val="Body Text 2"/>
    <w:basedOn w:val="Normal"/>
    <w:link w:val="BodyText2Char"/>
    <w:pPr>
      <w:tabs>
        <w:tab w:val="left" w:pos="426"/>
        <w:tab w:val="left" w:pos="709"/>
      </w:tabs>
      <w:jc w:val="both"/>
    </w:pPr>
    <w:rPr>
      <w:b/>
      <w:u w:val="single"/>
    </w:rPr>
  </w:style>
  <w:style w:type="character" w:customStyle="1" w:styleId="BodyText2Char">
    <w:name w:val="Body Text 2 Char"/>
    <w:link w:val="BodyText2"/>
    <w:rsid w:val="00177999"/>
    <w:rPr>
      <w:rFonts w:ascii="Tahoma" w:hAnsi="Tahoma"/>
      <w:b/>
      <w:szCs w:val="24"/>
      <w:u w:val="single"/>
      <w:lang w:val="pt-BR"/>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semiHidden/>
    <w:pPr>
      <w:shd w:val="clear" w:color="auto" w:fill="000080"/>
    </w:pPr>
    <w:rPr>
      <w:rFonts w:cs="Tahoma"/>
      <w:szCs w:val="20"/>
    </w:rPr>
  </w:style>
  <w:style w:type="paragraph" w:styleId="Caption">
    <w:name w:val="caption"/>
    <w:basedOn w:val="Normal"/>
    <w:next w:val="Normal"/>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rsid w:val="00505D0B"/>
    <w:rPr>
      <w:szCs w:val="20"/>
    </w:rPr>
  </w:style>
  <w:style w:type="character" w:customStyle="1" w:styleId="CommentTextChar">
    <w:name w:val="Comment Text Char"/>
    <w:link w:val="CommentText"/>
    <w:rsid w:val="00A021FA"/>
    <w:rPr>
      <w:rFonts w:ascii="Tahoma" w:hAnsi="Tahoma"/>
      <w:lang w:eastAsia="en-US"/>
    </w:rPr>
  </w:style>
  <w:style w:type="paragraph" w:styleId="CommentSubject">
    <w:name w:val="annotation subject"/>
    <w:basedOn w:val="CommentText"/>
    <w:next w:val="CommentText"/>
    <w:link w:val="CommentSubjectChar"/>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TableofAuthoriti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Footer"/>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rsid w:val="00505D0B"/>
  </w:style>
  <w:style w:type="paragraph" w:styleId="TOC6">
    <w:name w:val="toc 6"/>
    <w:basedOn w:val="Normal"/>
    <w:next w:val="Body"/>
    <w:uiPriority w:val="39"/>
    <w:rsid w:val="00505D0B"/>
  </w:style>
  <w:style w:type="paragraph" w:styleId="TOC7">
    <w:name w:val="toc 7"/>
    <w:basedOn w:val="Normal"/>
    <w:next w:val="Body"/>
    <w:rsid w:val="00505D0B"/>
  </w:style>
  <w:style w:type="paragraph" w:styleId="TOC8">
    <w:name w:val="toc 8"/>
    <w:basedOn w:val="Normal"/>
    <w:next w:val="Body"/>
    <w:rsid w:val="00505D0B"/>
  </w:style>
  <w:style w:type="paragraph" w:styleId="TOC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EndnoteText">
    <w:name w:val="endnote text"/>
    <w:basedOn w:val="Normal"/>
    <w:link w:val="EndnoteTextChar"/>
    <w:rsid w:val="00505D0B"/>
    <w:rPr>
      <w:szCs w:val="20"/>
    </w:rPr>
  </w:style>
  <w:style w:type="character" w:customStyle="1" w:styleId="EndnoteTextChar">
    <w:name w:val="Endnote Text Char"/>
    <w:link w:val="EndnoteText"/>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rsid w:val="00866E0D"/>
    <w:rPr>
      <w:rFonts w:ascii="Tahoma" w:hAnsi="Tahoma"/>
      <w:sz w:val="16"/>
      <w:szCs w:val="16"/>
      <w:lang w:eastAsia="en-US"/>
    </w:rPr>
  </w:style>
  <w:style w:type="character" w:customStyle="1" w:styleId="BodyTextIndent2Char">
    <w:name w:val="Body Text Indent 2 Char"/>
    <w:basedOn w:val="DefaultParagraphFont"/>
    <w:link w:val="BodyTextIndent2"/>
    <w:rsid w:val="00866E0D"/>
    <w:rPr>
      <w:rFonts w:ascii="Tahoma" w:hAnsi="Tahoma"/>
      <w:szCs w:val="24"/>
      <w:lang w:eastAsia="en-US"/>
    </w:rPr>
  </w:style>
  <w:style w:type="character" w:customStyle="1" w:styleId="CommentSubjectChar">
    <w:name w:val="Comment Subject Char"/>
    <w:basedOn w:val="CommentTextChar"/>
    <w:link w:val="CommentSubject"/>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DefaultParagraphFont"/>
    <w:link w:val="Level1"/>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numbering" w:customStyle="1" w:styleId="NoList1">
    <w:name w:val="No List1"/>
    <w:next w:val="NoList"/>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NoList"/>
    <w:uiPriority w:val="99"/>
    <w:semiHidden/>
    <w:unhideWhenUsed/>
    <w:rsid w:val="00DB29A6"/>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NoList"/>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146</Pages>
  <Words>56176</Words>
  <Characters>303355</Characters>
  <Application>Microsoft Office Word</Application>
  <DocSecurity>0</DocSecurity>
  <Lines>2527</Lines>
  <Paragraphs>717</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a constituir um Fun</vt:lpstr>
      <vt:lpstr>        Eventual saldo disponível no Fundo de Reserva na Data de Vencimento das Debêntur</vt:lpstr>
      <vt:lpstr>        Os recursos do Fundo de Reserva serão aplicados exclusivamente nos Investimentos</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Obtenção da anuência, pelo Cliente (conforme definido no Contrato de Cessão Fidu</vt:lpstr>
      <vt:lpstr>        Garantias Reais. Adicionalmente à Fiança, as Debêntures serão garantidas pela Ce</vt:lpstr>
      <vt:lpstr>        Cessão Fiduciária de Recebíveis: A WTS se comprometeu a ceder fiduciariamente à </vt:lpstr>
      <vt:lpstr>    Data de Emissão. Para todos os efeitos, a Data de Emissão será 05 de novembro de</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vt:vector>
  </TitlesOfParts>
  <Company>Microsoft</Company>
  <LinksUpToDate>false</LinksUpToDate>
  <CharactersWithSpaces>358814</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Thais Rossi</cp:lastModifiedBy>
  <cp:revision>18</cp:revision>
  <cp:lastPrinted>2019-09-25T00:18:00Z</cp:lastPrinted>
  <dcterms:created xsi:type="dcterms:W3CDTF">2021-11-18T12:33:00Z</dcterms:created>
  <dcterms:modified xsi:type="dcterms:W3CDTF">2021-11-18T19:41:00Z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