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4DAF905"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6C686BA"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72B3C52C"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w:t>
      </w:r>
      <w:proofErr w:type="gramStart"/>
      <w:r w:rsidR="00A809AB" w:rsidRPr="00D97FBA">
        <w:rPr>
          <w:rFonts w:asciiTheme="minorHAnsi" w:hAnsiTheme="minorHAnsi" w:cstheme="minorHAnsi"/>
          <w:sz w:val="24"/>
          <w:szCs w:val="24"/>
        </w:rPr>
        <w:t xml:space="preserve">da </w:t>
      </w:r>
      <w:r w:rsidR="008A530A" w:rsidRPr="008A530A">
        <w:rPr>
          <w:rFonts w:asciiTheme="minorHAnsi" w:hAnsiTheme="minorHAnsi" w:cstheme="minorHAnsi"/>
          <w:sz w:val="24"/>
          <w:szCs w:val="24"/>
        </w:rPr>
        <w:t xml:space="preserve"> Locadora</w:t>
      </w:r>
      <w:proofErr w:type="gramEnd"/>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50EA16D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8A530A">
        <w:rPr>
          <w:rFonts w:asciiTheme="minorHAnsi" w:hAnsiTheme="minorHAnsi" w:cstheme="minorHAnsi"/>
          <w:b/>
          <w:bCs/>
          <w:sz w:val="24"/>
          <w:szCs w:val="24"/>
        </w:rPr>
        <w:t>3</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B148E23"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lastRenderedPageBreak/>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8A530A">
        <w:rPr>
          <w:rFonts w:asciiTheme="minorHAnsi" w:hAnsiTheme="minorHAnsi" w:cstheme="minorHAnsi"/>
          <w:sz w:val="24"/>
          <w:szCs w:val="24"/>
        </w:rPr>
        <w:t>19 de outubro de 2037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52F4C38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data da assinatura do presente C</w:t>
      </w:r>
      <w:r w:rsidRPr="009B7117">
        <w:rPr>
          <w:rFonts w:asciiTheme="minorHAnsi" w:hAnsiTheme="minorHAnsi" w:cstheme="minorHAnsi"/>
          <w:sz w:val="24"/>
          <w:szCs w:val="24"/>
        </w:rPr>
        <w:t>ontrato</w:t>
      </w:r>
      <w:r w:rsidR="00EB04D2"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046960">
        <w:rPr>
          <w:rFonts w:asciiTheme="minorHAnsi" w:hAnsiTheme="minorHAnsi" w:cstheme="minorHAnsi"/>
          <w:sz w:val="24"/>
          <w:szCs w:val="24"/>
        </w:rPr>
        <w:t xml:space="preserve"> 2</w:t>
      </w:r>
      <w:r w:rsidR="00744EC5" w:rsidRPr="009B7117">
        <w:rPr>
          <w:rFonts w:asciiTheme="minorHAnsi" w:hAnsiTheme="minorHAnsi" w:cstheme="minorHAnsi"/>
          <w:sz w:val="24"/>
          <w:szCs w:val="24"/>
        </w:rPr>
        <w:t xml:space="preserve"> (definido abaixo)</w:t>
      </w:r>
      <w:r w:rsidRPr="009B7117">
        <w:rPr>
          <w:rFonts w:asciiTheme="minorHAnsi" w:hAnsiTheme="minorHAnsi" w:cstheme="minorHAnsi"/>
          <w:sz w:val="24"/>
          <w:szCs w:val="24"/>
        </w:rPr>
        <w:t xml:space="preserve">, baseado na livre negociação entre as </w:t>
      </w:r>
      <w:r w:rsidR="00A444CD" w:rsidRPr="009B7117">
        <w:rPr>
          <w:rFonts w:asciiTheme="minorHAnsi" w:hAnsiTheme="minorHAnsi" w:cstheme="minorHAnsi"/>
          <w:sz w:val="24"/>
          <w:szCs w:val="24"/>
        </w:rPr>
        <w:t>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xml:space="preserve">, tendo como parâmetro </w:t>
      </w:r>
      <w:r w:rsidR="00EB04D2" w:rsidRPr="009B7117">
        <w:rPr>
          <w:rFonts w:asciiTheme="minorHAnsi" w:hAnsiTheme="minorHAnsi" w:cstheme="minorHAnsi"/>
          <w:sz w:val="24"/>
          <w:szCs w:val="24"/>
        </w:rPr>
        <w:t>a variação positiva d</w:t>
      </w:r>
      <w:r w:rsidRPr="009B7117">
        <w:rPr>
          <w:rFonts w:asciiTheme="minorHAnsi" w:hAnsiTheme="minorHAnsi" w:cstheme="minorHAnsi"/>
          <w:sz w:val="24"/>
          <w:szCs w:val="24"/>
        </w:rPr>
        <w:t xml:space="preserve">o IGP-M/FGV, </w:t>
      </w:r>
      <w:r w:rsidR="0010051B" w:rsidRPr="009B7117">
        <w:rPr>
          <w:rFonts w:asciiTheme="minorHAnsi" w:hAnsiTheme="minorHAnsi" w:cstheme="minorHAnsi"/>
          <w:sz w:val="24"/>
          <w:szCs w:val="24"/>
        </w:rPr>
        <w:t xml:space="preserve">tendo a data </w:t>
      </w:r>
      <w:r w:rsidRPr="009B7117">
        <w:rPr>
          <w:rFonts w:asciiTheme="minorHAnsi" w:hAnsiTheme="minorHAnsi" w:cstheme="minorHAnsi"/>
          <w:sz w:val="24"/>
          <w:szCs w:val="24"/>
        </w:rPr>
        <w:t xml:space="preserve">base </w:t>
      </w:r>
      <w:r w:rsidR="0010051B" w:rsidRPr="009B7117">
        <w:rPr>
          <w:rFonts w:asciiTheme="minorHAnsi" w:hAnsiTheme="minorHAnsi" w:cstheme="minorHAnsi"/>
          <w:sz w:val="24"/>
          <w:szCs w:val="24"/>
        </w:rPr>
        <w:t>como o mês de início da Data de Início da Locação</w:t>
      </w:r>
      <w:r w:rsidRPr="009B7117">
        <w:rPr>
          <w:rFonts w:asciiTheme="minorHAnsi" w:hAnsiTheme="minorHAnsi" w:cstheme="minorHAnsi"/>
          <w:sz w:val="24"/>
          <w:szCs w:val="24"/>
        </w:rPr>
        <w:t xml:space="preserve">, elegendo </w:t>
      </w:r>
      <w:r w:rsidR="00A444CD" w:rsidRPr="009B7117">
        <w:rPr>
          <w:rFonts w:asciiTheme="minorHAnsi" w:hAnsiTheme="minorHAnsi" w:cstheme="minorHAnsi"/>
          <w:sz w:val="24"/>
          <w:szCs w:val="24"/>
        </w:rPr>
        <w:t>as P</w:t>
      </w:r>
      <w:r w:rsidR="0091222C" w:rsidRPr="009B7117">
        <w:rPr>
          <w:rFonts w:asciiTheme="minorHAnsi" w:hAnsiTheme="minorHAnsi" w:cstheme="minorHAnsi"/>
          <w:sz w:val="24"/>
          <w:szCs w:val="24"/>
        </w:rPr>
        <w:t>artes</w:t>
      </w:r>
      <w:r w:rsidRPr="009B7117">
        <w:rPr>
          <w:rFonts w:asciiTheme="minorHAnsi" w:hAnsiTheme="minorHAnsi" w:cstheme="minorHAnsi"/>
          <w:sz w:val="24"/>
          <w:szCs w:val="24"/>
        </w:rPr>
        <w:t>, desde já, para a hipótese de sua extinção ou inaplicabilidade, o IPC/FIPE e, na ausência deste, outro índice capaz de refletir a recomposição do poder aquisitivo da mo</w:t>
      </w:r>
      <w:r w:rsidR="00E65B84" w:rsidRPr="009B7117">
        <w:rPr>
          <w:rFonts w:asciiTheme="minorHAnsi" w:hAnsiTheme="minorHAnsi" w:cstheme="minorHAnsi"/>
          <w:sz w:val="24"/>
          <w:szCs w:val="24"/>
        </w:rPr>
        <w:t>eda, o</w:t>
      </w:r>
      <w:r w:rsidR="008E53F3" w:rsidRPr="009B7117">
        <w:rPr>
          <w:rFonts w:asciiTheme="minorHAnsi" w:hAnsiTheme="minorHAnsi" w:cstheme="minorHAnsi"/>
          <w:sz w:val="24"/>
          <w:szCs w:val="24"/>
        </w:rPr>
        <w:t xml:space="preserve">bservado o disposto na </w:t>
      </w:r>
      <w:r w:rsidR="00B65504" w:rsidRPr="009B7117">
        <w:rPr>
          <w:rFonts w:asciiTheme="minorHAnsi" w:hAnsiTheme="minorHAnsi" w:cstheme="minorHAnsi"/>
          <w:sz w:val="24"/>
          <w:szCs w:val="24"/>
        </w:rPr>
        <w:t>Cláusula</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6DFF4663"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43736D0D"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361DE06E"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23D110D8"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nos termos dos artigos 125 e 126 da Lei n.º 10.406, </w:t>
      </w:r>
      <w:r w:rsidRPr="009B7117">
        <w:rPr>
          <w:rFonts w:asciiTheme="minorHAnsi" w:hAnsiTheme="minorHAnsi" w:cstheme="minorHAnsi"/>
          <w:sz w:val="24"/>
          <w:szCs w:val="24"/>
        </w:rPr>
        <w:lastRenderedPageBreak/>
        <w:t>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74602177"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r w:rsidR="001178F2">
        <w:rPr>
          <w:rFonts w:asciiTheme="minorHAnsi" w:hAnsiTheme="minorHAnsi" w:cstheme="minorHAnsi"/>
          <w:sz w:val="24"/>
          <w:szCs w:val="24"/>
          <w:u w:val="single"/>
        </w:rPr>
        <w:t xml:space="preserve">Imóvel </w:t>
      </w:r>
      <w:r w:rsidR="00A948A1">
        <w:rPr>
          <w:rFonts w:asciiTheme="minorHAnsi" w:hAnsiTheme="minorHAnsi" w:cstheme="minorHAnsi"/>
          <w:sz w:val="24"/>
          <w:szCs w:val="24"/>
          <w:u w:val="single"/>
        </w:rPr>
        <w:t>2</w:t>
      </w:r>
      <w:r w:rsidR="00587567" w:rsidRPr="00046960">
        <w:rPr>
          <w:rFonts w:asciiTheme="minorHAnsi" w:hAnsiTheme="minorHAnsi" w:cstheme="minorHAnsi"/>
          <w:sz w:val="24"/>
          <w:szCs w:val="24"/>
        </w:rPr>
        <w:t>”)</w:t>
      </w:r>
      <w:r w:rsidR="00ED151A">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por qualquer motivo, a qualquer tempo, exceto se o Contrato de Locação </w:t>
      </w:r>
      <w:r w:rsidR="001178F2">
        <w:rPr>
          <w:rFonts w:asciiTheme="minorHAnsi" w:hAnsiTheme="minorHAnsi" w:cstheme="minorHAnsi"/>
          <w:sz w:val="24"/>
          <w:szCs w:val="24"/>
        </w:rPr>
        <w:t xml:space="preserve">Imóvel </w:t>
      </w:r>
      <w:r w:rsidR="00A948A1">
        <w:rPr>
          <w:rFonts w:asciiTheme="minorHAnsi" w:hAnsiTheme="minorHAnsi" w:cstheme="minorHAnsi"/>
          <w:sz w:val="24"/>
          <w:szCs w:val="24"/>
        </w:rPr>
        <w:t>2</w:t>
      </w:r>
      <w:r w:rsidR="00AF0E87" w:rsidRPr="00046960">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for objeto de </w:t>
      </w:r>
      <w:r w:rsidR="00030CDA" w:rsidRPr="009B7117">
        <w:rPr>
          <w:rFonts w:asciiTheme="minorHAnsi" w:hAnsiTheme="minorHAnsi" w:cstheme="minorHAnsi"/>
          <w:sz w:val="24"/>
          <w:szCs w:val="24"/>
        </w:rPr>
        <w:t xml:space="preserve">ação renovatória; ou </w:t>
      </w: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66F1D04E" w14:textId="5614C4B7" w:rsidR="00B4033F"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existência de decisão judicial a favor da </w:t>
      </w:r>
      <w:r w:rsidR="00521D23" w:rsidRPr="009B7117">
        <w:rPr>
          <w:rFonts w:asciiTheme="minorHAnsi" w:hAnsiTheme="minorHAnsi" w:cstheme="minorHAnsi"/>
          <w:b/>
          <w:sz w:val="24"/>
          <w:szCs w:val="24"/>
        </w:rPr>
        <w:t>LOCADORA</w:t>
      </w:r>
      <w:r w:rsidR="00030CDA" w:rsidRPr="009B7117">
        <w:rPr>
          <w:rFonts w:asciiTheme="minorHAnsi" w:hAnsiTheme="minorHAnsi" w:cstheme="minorHAnsi"/>
          <w:sz w:val="24"/>
          <w:szCs w:val="24"/>
        </w:rPr>
        <w:t xml:space="preserve"> determinando a desocupação d</w:t>
      </w:r>
      <w:r w:rsidR="00DF4671">
        <w:rPr>
          <w:rFonts w:asciiTheme="minorHAnsi" w:hAnsiTheme="minorHAnsi" w:cstheme="minorHAnsi"/>
          <w:sz w:val="24"/>
          <w:szCs w:val="24"/>
        </w:rPr>
        <w:t>a</w:t>
      </w:r>
      <w:r w:rsidR="00B90937">
        <w:rPr>
          <w:rFonts w:asciiTheme="minorHAnsi" w:hAnsiTheme="minorHAnsi" w:cstheme="minorHAnsi"/>
          <w:sz w:val="24"/>
          <w:szCs w:val="24"/>
        </w:rPr>
        <w:t xml:space="preserve"> </w:t>
      </w:r>
      <w:r w:rsidR="00744EC5" w:rsidRPr="009B7117">
        <w:rPr>
          <w:rFonts w:asciiTheme="minorHAnsi" w:hAnsiTheme="minorHAnsi" w:cstheme="minorHAnsi"/>
          <w:sz w:val="24"/>
          <w:szCs w:val="24"/>
        </w:rPr>
        <w:t>Área Locada</w:t>
      </w:r>
      <w:r w:rsidR="00030CDA" w:rsidRPr="009B7117">
        <w:rPr>
          <w:rFonts w:asciiTheme="minorHAnsi" w:hAnsiTheme="minorHAnsi" w:cstheme="minorHAnsi"/>
          <w:sz w:val="24"/>
          <w:szCs w:val="24"/>
        </w:rPr>
        <w:t xml:space="preserve"> no âmb</w:t>
      </w:r>
      <w:r w:rsidR="00744EC5" w:rsidRPr="009B7117">
        <w:rPr>
          <w:rFonts w:asciiTheme="minorHAnsi" w:hAnsiTheme="minorHAnsi" w:cstheme="minorHAnsi"/>
          <w:sz w:val="24"/>
          <w:szCs w:val="24"/>
        </w:rPr>
        <w:t>ito de uma ação renovatória</w:t>
      </w:r>
      <w:r w:rsidR="004549B7" w:rsidRPr="009B7117">
        <w:rPr>
          <w:rFonts w:asciiTheme="minorHAnsi" w:hAnsiTheme="minorHAnsi" w:cstheme="minorHAnsi"/>
          <w:sz w:val="24"/>
          <w:szCs w:val="24"/>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232858"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 xml:space="preserve">da </w:t>
      </w:r>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171594" w:rsidRPr="009B7117">
        <w:rPr>
          <w:rFonts w:asciiTheme="minorHAnsi" w:hAnsiTheme="minorHAnsi" w:cstheme="minorHAnsi"/>
          <w:bCs/>
          <w:sz w:val="24"/>
          <w:szCs w:val="24"/>
        </w:rPr>
        <w:t xml:space="preserve"> os créditos decorrentes </w:t>
      </w:r>
      <w:r w:rsidR="00D714FA">
        <w:rPr>
          <w:rFonts w:asciiTheme="minorHAnsi" w:hAnsiTheme="minorHAnsi" w:cstheme="minorHAnsi"/>
          <w:bCs/>
          <w:sz w:val="24"/>
          <w:szCs w:val="24"/>
        </w:rPr>
        <w:t>de determinados contratos de locação, entre os quais,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0E7768">
        <w:rPr>
          <w:rFonts w:asciiTheme="minorHAnsi" w:hAnsiTheme="minorHAnsi" w:cstheme="minorHAnsi"/>
          <w:bCs/>
          <w:sz w:val="24"/>
          <w:szCs w:val="24"/>
        </w:rPr>
        <w:t xml:space="preserve"> e</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w:t>
      </w:r>
      <w:r w:rsidR="00AF0E87" w:rsidRPr="007C296A">
        <w:rPr>
          <w:rFonts w:asciiTheme="minorHAnsi" w:hAnsiTheme="minorHAnsi" w:cstheme="minorHAnsi"/>
          <w:sz w:val="24"/>
          <w:szCs w:val="24"/>
        </w:rPr>
        <w:lastRenderedPageBreak/>
        <w:t xml:space="preserve">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3D73A856"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29113A01" w14:textId="4187DA34"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lastRenderedPageBreak/>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r w:rsidR="006F1089" w:rsidRPr="00446784">
        <w:rPr>
          <w:rFonts w:asciiTheme="minorHAnsi" w:hAnsiTheme="minorHAnsi" w:cstheme="minorHAnsi"/>
          <w:sz w:val="24"/>
          <w:szCs w:val="24"/>
        </w:rPr>
        <w:t xml:space="preserve"> </w:t>
      </w:r>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2DD61E05"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593DBB2D"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31094C13"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6DC069F9"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w:t>
      </w:r>
      <w:r w:rsidRPr="009B7117">
        <w:rPr>
          <w:rFonts w:asciiTheme="minorHAnsi" w:hAnsiTheme="minorHAnsi" w:cstheme="minorHAnsi"/>
          <w:sz w:val="24"/>
          <w:szCs w:val="24"/>
        </w:rPr>
        <w:lastRenderedPageBreak/>
        <w:t>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775A4D6"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300C661C"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501917C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38B86DF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686099" w:rsidRPr="009B7117">
        <w:rPr>
          <w:rFonts w:asciiTheme="minorHAnsi" w:hAnsiTheme="minorHAnsi" w:cstheme="minorHAnsi"/>
          <w:sz w:val="24"/>
          <w:szCs w:val="24"/>
        </w:rPr>
        <w:t xml:space="preserve">. </w:t>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lastRenderedPageBreak/>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6C1D199E"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ao fim d</w:t>
      </w:r>
      <w:r w:rsidR="00DB3D3D" w:rsidRPr="009B7117">
        <w:rPr>
          <w:rFonts w:asciiTheme="minorHAnsi" w:hAnsiTheme="minorHAnsi" w:cstheme="minorHAnsi"/>
          <w:sz w:val="24"/>
          <w:szCs w:val="24"/>
        </w:rPr>
        <w:t>e cada período anual a contar da Data de Início da L</w:t>
      </w:r>
      <w:r w:rsidRPr="009B7117">
        <w:rPr>
          <w:rFonts w:asciiTheme="minorHAnsi" w:hAnsiTheme="minorHAnsi" w:cstheme="minorHAnsi"/>
          <w:sz w:val="24"/>
          <w:szCs w:val="24"/>
        </w:rPr>
        <w:t>o</w:t>
      </w:r>
      <w:r w:rsidR="00485BB0" w:rsidRPr="009B7117">
        <w:rPr>
          <w:rFonts w:asciiTheme="minorHAnsi" w:hAnsiTheme="minorHAnsi" w:cstheme="minorHAnsi"/>
          <w:sz w:val="24"/>
          <w:szCs w:val="24"/>
        </w:rPr>
        <w:t>cação,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w:t>
      </w:r>
      <w:r w:rsidRPr="009B7117">
        <w:rPr>
          <w:rFonts w:asciiTheme="minorHAnsi" w:hAnsiTheme="minorHAnsi" w:cstheme="minorHAnsi"/>
          <w:sz w:val="24"/>
          <w:szCs w:val="24"/>
        </w:rPr>
        <w:lastRenderedPageBreak/>
        <w:t xml:space="preserve">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6A0012E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07DB23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w:t>
      </w:r>
      <w:r w:rsidR="002F118E" w:rsidRPr="009B7117">
        <w:rPr>
          <w:rFonts w:asciiTheme="minorHAnsi" w:hAnsiTheme="minorHAnsi" w:cstheme="minorHAnsi"/>
          <w:sz w:val="24"/>
          <w:szCs w:val="24"/>
        </w:rPr>
        <w:lastRenderedPageBreak/>
        <w:t xml:space="preserve">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w:t>
      </w:r>
      <w:r w:rsidRPr="009B7117">
        <w:rPr>
          <w:rFonts w:asciiTheme="minorHAnsi" w:hAnsiTheme="minorHAnsi" w:cstheme="minorHAnsi"/>
          <w:sz w:val="24"/>
          <w:szCs w:val="24"/>
        </w:rPr>
        <w:lastRenderedPageBreak/>
        <w:t xml:space="preserve">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AE12F70"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lastRenderedPageBreak/>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073C8C56"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da Área Locada</w:t>
      </w:r>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ficará resolvido, cabendo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proceder ao recebimento da indenização, ficando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6D625A4D"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w:t>
      </w:r>
      <w:r w:rsidRPr="009B7117">
        <w:rPr>
          <w:rFonts w:asciiTheme="minorHAnsi" w:hAnsiTheme="minorHAnsi" w:cstheme="minorHAnsi"/>
          <w:sz w:val="24"/>
          <w:szCs w:val="24"/>
        </w:rPr>
        <w:lastRenderedPageBreak/>
        <w:t xml:space="preserve">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xml:space="preserve">, implicará na obrigação de </w:t>
      </w:r>
      <w:r w:rsidRPr="009B7117">
        <w:rPr>
          <w:rFonts w:asciiTheme="minorHAnsi" w:hAnsiTheme="minorHAnsi" w:cstheme="minorHAnsi"/>
          <w:sz w:val="24"/>
          <w:szCs w:val="24"/>
        </w:rPr>
        <w:lastRenderedPageBreak/>
        <w:t>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w:t>
      </w:r>
      <w:r w:rsidRPr="009B7117">
        <w:rPr>
          <w:rFonts w:asciiTheme="minorHAnsi" w:hAnsiTheme="minorHAnsi" w:cstheme="minorHAnsi"/>
          <w:sz w:val="24"/>
          <w:szCs w:val="24"/>
        </w:rPr>
        <w:lastRenderedPageBreak/>
        <w:t>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w:t>
      </w:r>
      <w:r w:rsidRPr="009B7117">
        <w:rPr>
          <w:rFonts w:asciiTheme="minorHAnsi" w:hAnsiTheme="minorHAnsi" w:cstheme="minorHAnsi"/>
          <w:sz w:val="24"/>
          <w:szCs w:val="24"/>
        </w:rPr>
        <w:lastRenderedPageBreak/>
        <w:t xml:space="preserve">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641C3254"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4E86B23A"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F987F96"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w:t>
      </w:r>
      <w:r w:rsidRPr="009B7117">
        <w:rPr>
          <w:rFonts w:asciiTheme="minorHAnsi" w:hAnsiTheme="minorHAnsi" w:cstheme="minorHAnsi"/>
          <w:sz w:val="24"/>
          <w:szCs w:val="24"/>
        </w:rPr>
        <w:lastRenderedPageBreak/>
        <w:t xml:space="preserve">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50F8585D"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2D2A29C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20D187B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w:t>
      </w:r>
      <w:r w:rsidRPr="00450F3F">
        <w:rPr>
          <w:rFonts w:asciiTheme="minorHAnsi" w:hAnsiTheme="minorHAnsi" w:cstheme="minorHAnsi"/>
          <w:sz w:val="24"/>
          <w:szCs w:val="24"/>
        </w:rPr>
        <w:lastRenderedPageBreak/>
        <w:t xml:space="preserve">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03770015"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footerReference w:type="even" r:id="rId11"/>
          <w:footerReference w:type="default" r:id="rId12"/>
          <w:footerReference w:type="first" r:id="rId13"/>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431AAEC3"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Default="00BA7E13" w:rsidP="007C296A">
      <w:pPr>
        <w:spacing w:line="340" w:lineRule="exact"/>
        <w:rPr>
          <w:rFonts w:asciiTheme="minorHAnsi" w:hAnsiTheme="minorHAnsi" w:cstheme="minorHAnsi"/>
          <w:b/>
          <w:sz w:val="24"/>
          <w:szCs w:val="24"/>
        </w:rPr>
      </w:pPr>
      <w:bookmarkStart w:id="0" w:name="_Hlk49456619"/>
    </w:p>
    <w:p w14:paraId="517528D2" w14:textId="6727422B" w:rsidR="000E7768" w:rsidRDefault="000E7768" w:rsidP="00F71419">
      <w:pPr>
        <w:jc w:val="both"/>
        <w:rPr>
          <w:rFonts w:asciiTheme="minorHAnsi" w:hAnsiTheme="minorHAnsi" w:cstheme="minorHAnsi"/>
          <w:sz w:val="22"/>
          <w:szCs w:val="22"/>
        </w:rPr>
      </w:pP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358º 57’ 36” e distância de 108,14m, atinge-se o ponto 12, confrontando com 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268º 57’ 36” e distância de 182,09m, atinge-se o ponto 13,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O Imóvel 2 encontra-se cadastrado, de acordo com a Av. 16, de 26 de dezembro de 2012, pelo de Contribuinte n.º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77777777" w:rsidR="00CC11F6" w:rsidRDefault="00CC11F6" w:rsidP="00F71419">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2106"/>
        <w:gridCol w:w="1269"/>
        <w:gridCol w:w="2907"/>
        <w:gridCol w:w="1742"/>
        <w:gridCol w:w="2106"/>
        <w:gridCol w:w="1202"/>
        <w:gridCol w:w="1698"/>
        <w:gridCol w:w="964"/>
      </w:tblGrid>
      <w:tr w:rsidR="00CC11F6" w:rsidRPr="00CC11F6" w14:paraId="3ABA36BF" w14:textId="77777777" w:rsidTr="00CC11F6">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25C53731"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Índice Reajuste</w:t>
            </w:r>
          </w:p>
        </w:tc>
      </w:tr>
      <w:tr w:rsidR="00CC11F6" w:rsidRPr="00CC11F6" w14:paraId="237BD706" w14:textId="77777777" w:rsidTr="00CC11F6">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Instrumento Particular de Contrato de Locação Comercial firmado em 30/10/2015</w:t>
            </w:r>
          </w:p>
        </w:tc>
        <w:tc>
          <w:tcPr>
            <w:tcW w:w="351" w:type="pct"/>
            <w:tcBorders>
              <w:top w:val="nil"/>
              <w:left w:val="nil"/>
              <w:bottom w:val="single" w:sz="4" w:space="0" w:color="auto"/>
              <w:right w:val="single" w:sz="4" w:space="0" w:color="auto"/>
            </w:tcBorders>
            <w:shd w:val="clear" w:color="auto" w:fill="auto"/>
            <w:vAlign w:val="center"/>
            <w:hideMark/>
          </w:tcPr>
          <w:p w14:paraId="017DEA3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68F6B57"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LUCCA ADMINISTRAÇÃO DE IMÓVEIS PRÓPRIOS S.A.</w:t>
            </w:r>
          </w:p>
        </w:tc>
        <w:tc>
          <w:tcPr>
            <w:tcW w:w="44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07.440.660/0001-32</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19/10/2017</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19/10/2037</w:t>
            </w:r>
          </w:p>
        </w:tc>
        <w:tc>
          <w:tcPr>
            <w:tcW w:w="678"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R$ 96.733,81 até julho de 2025 e R$ 234.924,97 de julho de 2025 ao final da vigência do Contrato</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IGP-M/FGV</w:t>
            </w:r>
          </w:p>
        </w:tc>
      </w:tr>
      <w:tr w:rsidR="00CC11F6" w:rsidRPr="00CC11F6" w14:paraId="4DF7143F"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60F4BCBF"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27F9D4BD"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366318F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SENDAS DISTRIBUIDORA S/A</w:t>
            </w:r>
          </w:p>
        </w:tc>
        <w:tc>
          <w:tcPr>
            <w:tcW w:w="44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06.057.223/0001-71</w:t>
            </w:r>
          </w:p>
        </w:tc>
        <w:tc>
          <w:tcPr>
            <w:tcW w:w="824" w:type="pct"/>
            <w:vMerge/>
            <w:tcBorders>
              <w:top w:val="nil"/>
              <w:left w:val="single" w:sz="4" w:space="0" w:color="auto"/>
              <w:bottom w:val="single" w:sz="4" w:space="0" w:color="auto"/>
              <w:right w:val="single" w:sz="4" w:space="0" w:color="auto"/>
            </w:tcBorders>
            <w:vAlign w:val="center"/>
            <w:hideMark/>
          </w:tcPr>
          <w:p w14:paraId="31A63FB5"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51E6CE6E"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1E8A3D56"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385FCAE2" w14:textId="77777777" w:rsidR="00CC11F6" w:rsidRPr="00CC11F6" w:rsidRDefault="00CC11F6" w:rsidP="00CC11F6">
            <w:pPr>
              <w:rPr>
                <w:rFonts w:ascii="Calibri" w:eastAsia="Times New Roman" w:hAnsi="Calibri" w:cs="Calibri"/>
                <w:color w:val="000000"/>
                <w:sz w:val="22"/>
                <w:szCs w:val="22"/>
                <w:lang w:eastAsia="pt-BR"/>
              </w:rPr>
            </w:pPr>
          </w:p>
        </w:tc>
      </w:tr>
      <w:tr w:rsidR="00CC11F6" w:rsidRPr="00CC11F6" w14:paraId="0D076339"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1AD08E0E"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DE66868"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Fiadora</w:t>
            </w:r>
          </w:p>
        </w:tc>
        <w:tc>
          <w:tcPr>
            <w:tcW w:w="1110" w:type="pct"/>
            <w:tcBorders>
              <w:top w:val="nil"/>
              <w:left w:val="nil"/>
              <w:bottom w:val="single" w:sz="4" w:space="0" w:color="auto"/>
              <w:right w:val="single" w:sz="4" w:space="0" w:color="auto"/>
            </w:tcBorders>
            <w:shd w:val="clear" w:color="auto" w:fill="auto"/>
            <w:vAlign w:val="center"/>
            <w:hideMark/>
          </w:tcPr>
          <w:p w14:paraId="1B4035E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COMPANHIA BRASILEIRA DE DISTRIBUIÇÃO</w:t>
            </w:r>
          </w:p>
        </w:tc>
        <w:tc>
          <w:tcPr>
            <w:tcW w:w="44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47.508.411/0001-56</w:t>
            </w:r>
          </w:p>
        </w:tc>
        <w:tc>
          <w:tcPr>
            <w:tcW w:w="824" w:type="pct"/>
            <w:vMerge/>
            <w:tcBorders>
              <w:top w:val="nil"/>
              <w:left w:val="single" w:sz="4" w:space="0" w:color="auto"/>
              <w:bottom w:val="single" w:sz="4" w:space="0" w:color="auto"/>
              <w:right w:val="single" w:sz="4" w:space="0" w:color="auto"/>
            </w:tcBorders>
            <w:vAlign w:val="center"/>
            <w:hideMark/>
          </w:tcPr>
          <w:p w14:paraId="569E183A"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0A14550C"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490F5705"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6C8A345A" w14:textId="77777777" w:rsidR="00CC11F6" w:rsidRPr="00CC11F6" w:rsidRDefault="00CC11F6" w:rsidP="00CC11F6">
            <w:pPr>
              <w:rPr>
                <w:rFonts w:ascii="Calibri" w:eastAsia="Times New Roman" w:hAnsi="Calibri" w:cs="Calibri"/>
                <w:color w:val="000000"/>
                <w:sz w:val="22"/>
                <w:szCs w:val="22"/>
                <w:lang w:eastAsia="pt-BR"/>
              </w:rPr>
            </w:pPr>
          </w:p>
        </w:tc>
      </w:tr>
    </w:tbl>
    <w:p w14:paraId="7D0FC7A0" w14:textId="43625A4F" w:rsidR="00CC11F6" w:rsidRDefault="00CC11F6" w:rsidP="00F71419">
      <w:pPr>
        <w:jc w:val="both"/>
        <w:rPr>
          <w:rFonts w:asciiTheme="minorHAnsi" w:hAnsiTheme="minorHAnsi" w:cstheme="minorHAnsi"/>
          <w:sz w:val="22"/>
          <w:szCs w:val="22"/>
        </w:rPr>
      </w:pPr>
    </w:p>
    <w:p w14:paraId="2F2F690F" w14:textId="77777777" w:rsidR="00CC11F6" w:rsidRPr="00F71419" w:rsidRDefault="00CC11F6" w:rsidP="00F71419">
      <w:pPr>
        <w:jc w:val="both"/>
        <w:rPr>
          <w:rFonts w:asciiTheme="minorHAnsi" w:hAnsiTheme="minorHAnsi" w:cstheme="minorHAnsi"/>
          <w:sz w:val="22"/>
          <w:szCs w:val="22"/>
        </w:rPr>
      </w:pPr>
    </w:p>
    <w:bookmarkEnd w:id="0"/>
    <w:sectPr w:rsidR="00CC11F6" w:rsidRPr="00F71419"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4DB70" w14:textId="77777777" w:rsidR="007C296A" w:rsidRDefault="007C296A">
      <w:r>
        <w:separator/>
      </w:r>
    </w:p>
  </w:endnote>
  <w:endnote w:type="continuationSeparator" w:id="0">
    <w:p w14:paraId="02EE6F22" w14:textId="77777777" w:rsidR="007C296A" w:rsidRDefault="007C296A">
      <w:r>
        <w:continuationSeparator/>
      </w:r>
    </w:p>
  </w:endnote>
  <w:endnote w:type="continuationNotice" w:id="1">
    <w:p w14:paraId="3D715FB9" w14:textId="77777777" w:rsidR="007C296A" w:rsidRDefault="007C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C3838" w14:textId="77777777" w:rsidR="007C296A" w:rsidRDefault="007C296A">
      <w:r>
        <w:separator/>
      </w:r>
    </w:p>
  </w:footnote>
  <w:footnote w:type="continuationSeparator" w:id="0">
    <w:p w14:paraId="662179AC" w14:textId="77777777" w:rsidR="007C296A" w:rsidRDefault="007C296A">
      <w:r>
        <w:continuationSeparator/>
      </w:r>
    </w:p>
  </w:footnote>
  <w:footnote w:type="continuationNotice" w:id="1">
    <w:p w14:paraId="63FF65FC" w14:textId="77777777" w:rsidR="007C296A" w:rsidRDefault="007C2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E7768"/>
    <w:rsid w:val="000F1D84"/>
    <w:rsid w:val="000F382F"/>
    <w:rsid w:val="000F3BDA"/>
    <w:rsid w:val="0010051B"/>
    <w:rsid w:val="00105FAB"/>
    <w:rsid w:val="001116E0"/>
    <w:rsid w:val="001178F2"/>
    <w:rsid w:val="00117B7D"/>
    <w:rsid w:val="00123C02"/>
    <w:rsid w:val="0012413F"/>
    <w:rsid w:val="0014390E"/>
    <w:rsid w:val="00144660"/>
    <w:rsid w:val="00155D02"/>
    <w:rsid w:val="00166087"/>
    <w:rsid w:val="00170772"/>
    <w:rsid w:val="00170CC5"/>
    <w:rsid w:val="00171594"/>
    <w:rsid w:val="00186F32"/>
    <w:rsid w:val="00197AA9"/>
    <w:rsid w:val="001C1B5D"/>
    <w:rsid w:val="001E031B"/>
    <w:rsid w:val="001F3B4C"/>
    <w:rsid w:val="001F5D7A"/>
    <w:rsid w:val="002109C7"/>
    <w:rsid w:val="00211ADC"/>
    <w:rsid w:val="00222DFC"/>
    <w:rsid w:val="002242DD"/>
    <w:rsid w:val="002324F8"/>
    <w:rsid w:val="00252A8F"/>
    <w:rsid w:val="002608C9"/>
    <w:rsid w:val="002A0B44"/>
    <w:rsid w:val="002A2397"/>
    <w:rsid w:val="002B605A"/>
    <w:rsid w:val="002C5824"/>
    <w:rsid w:val="002C6AFC"/>
    <w:rsid w:val="002D21B8"/>
    <w:rsid w:val="002E0DB0"/>
    <w:rsid w:val="002F118E"/>
    <w:rsid w:val="00322522"/>
    <w:rsid w:val="00353C11"/>
    <w:rsid w:val="003571B5"/>
    <w:rsid w:val="003638D0"/>
    <w:rsid w:val="003639FB"/>
    <w:rsid w:val="00375DB7"/>
    <w:rsid w:val="00375F77"/>
    <w:rsid w:val="003A17AE"/>
    <w:rsid w:val="003B0C44"/>
    <w:rsid w:val="003B6178"/>
    <w:rsid w:val="003C0F09"/>
    <w:rsid w:val="003D47C3"/>
    <w:rsid w:val="00420772"/>
    <w:rsid w:val="0043522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E0EF4"/>
    <w:rsid w:val="004F69C9"/>
    <w:rsid w:val="004F73BA"/>
    <w:rsid w:val="005016E2"/>
    <w:rsid w:val="00503A8E"/>
    <w:rsid w:val="005068A1"/>
    <w:rsid w:val="00507A61"/>
    <w:rsid w:val="0051274D"/>
    <w:rsid w:val="00521D23"/>
    <w:rsid w:val="0056187C"/>
    <w:rsid w:val="00564F62"/>
    <w:rsid w:val="00571FBE"/>
    <w:rsid w:val="00581665"/>
    <w:rsid w:val="00585FBB"/>
    <w:rsid w:val="00587567"/>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10380"/>
    <w:rsid w:val="007152C5"/>
    <w:rsid w:val="00716069"/>
    <w:rsid w:val="00717D5F"/>
    <w:rsid w:val="0072017F"/>
    <w:rsid w:val="007220F7"/>
    <w:rsid w:val="00726628"/>
    <w:rsid w:val="00731C69"/>
    <w:rsid w:val="007354A6"/>
    <w:rsid w:val="007357AF"/>
    <w:rsid w:val="00744EC5"/>
    <w:rsid w:val="00746368"/>
    <w:rsid w:val="0076075D"/>
    <w:rsid w:val="007607E3"/>
    <w:rsid w:val="00765597"/>
    <w:rsid w:val="00767DE2"/>
    <w:rsid w:val="007928CD"/>
    <w:rsid w:val="0079334E"/>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15B3"/>
    <w:rsid w:val="00856D1F"/>
    <w:rsid w:val="00863A71"/>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6340B"/>
    <w:rsid w:val="00A67C47"/>
    <w:rsid w:val="00A809AB"/>
    <w:rsid w:val="00A85EB5"/>
    <w:rsid w:val="00A912F5"/>
    <w:rsid w:val="00A9257C"/>
    <w:rsid w:val="00A948A1"/>
    <w:rsid w:val="00AB6D08"/>
    <w:rsid w:val="00AB7DAC"/>
    <w:rsid w:val="00AC6C2C"/>
    <w:rsid w:val="00AD2DB9"/>
    <w:rsid w:val="00AD3CC7"/>
    <w:rsid w:val="00AE22BF"/>
    <w:rsid w:val="00AE394E"/>
    <w:rsid w:val="00AE3AE5"/>
    <w:rsid w:val="00AF0E87"/>
    <w:rsid w:val="00AF4E01"/>
    <w:rsid w:val="00B006B0"/>
    <w:rsid w:val="00B056DE"/>
    <w:rsid w:val="00B07DD3"/>
    <w:rsid w:val="00B121C5"/>
    <w:rsid w:val="00B13809"/>
    <w:rsid w:val="00B2085B"/>
    <w:rsid w:val="00B26D7C"/>
    <w:rsid w:val="00B33DC8"/>
    <w:rsid w:val="00B33E9F"/>
    <w:rsid w:val="00B36775"/>
    <w:rsid w:val="00B4033F"/>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501C"/>
    <w:rsid w:val="00C153AE"/>
    <w:rsid w:val="00C2156A"/>
    <w:rsid w:val="00C562C7"/>
    <w:rsid w:val="00C63362"/>
    <w:rsid w:val="00C655DF"/>
    <w:rsid w:val="00C708D8"/>
    <w:rsid w:val="00C70E46"/>
    <w:rsid w:val="00C80ABD"/>
    <w:rsid w:val="00C83A50"/>
    <w:rsid w:val="00C84C47"/>
    <w:rsid w:val="00C906C3"/>
    <w:rsid w:val="00CA7A8B"/>
    <w:rsid w:val="00CB45C1"/>
    <w:rsid w:val="00CC11F6"/>
    <w:rsid w:val="00CC7D9D"/>
    <w:rsid w:val="00CD0288"/>
    <w:rsid w:val="00CE3066"/>
    <w:rsid w:val="00CE3472"/>
    <w:rsid w:val="00CE48CF"/>
    <w:rsid w:val="00CF371F"/>
    <w:rsid w:val="00CF5504"/>
    <w:rsid w:val="00CF74B6"/>
    <w:rsid w:val="00D148BF"/>
    <w:rsid w:val="00D172B3"/>
    <w:rsid w:val="00D23B89"/>
    <w:rsid w:val="00D26590"/>
    <w:rsid w:val="00D33ABD"/>
    <w:rsid w:val="00D5713D"/>
    <w:rsid w:val="00D62505"/>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3F26"/>
    <w:rsid w:val="00DF4671"/>
    <w:rsid w:val="00DF72FA"/>
    <w:rsid w:val="00E21D60"/>
    <w:rsid w:val="00E30BC1"/>
    <w:rsid w:val="00E4337C"/>
    <w:rsid w:val="00E65B84"/>
    <w:rsid w:val="00E715F6"/>
    <w:rsid w:val="00E71CCE"/>
    <w:rsid w:val="00E8113B"/>
    <w:rsid w:val="00E82825"/>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419"/>
    <w:rsid w:val="00F71964"/>
    <w:rsid w:val="00F734F4"/>
    <w:rsid w:val="00F77B2E"/>
    <w:rsid w:val="00F81CD3"/>
    <w:rsid w:val="00F97410"/>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F2E62-AF93-4756-8D07-06074A4D2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2E8C28-538E-40FB-8BD4-E992EFDEF9E4}">
  <ds:schemaRefs>
    <ds:schemaRef ds:uri="http://schemas.openxmlformats.org/officeDocument/2006/bibliography"/>
  </ds:schemaRefs>
</ds:datastoreItem>
</file>

<file path=customXml/itemProps4.xml><?xml version="1.0" encoding="utf-8"?>
<ds:datastoreItem xmlns:ds="http://schemas.openxmlformats.org/officeDocument/2006/customXml" ds:itemID="{A6D99B31-B79F-4E89-AFB4-FC44FE0E6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Carimbo</Template>
  <TotalTime>55</TotalTime>
  <Pages>20</Pages>
  <Words>7123</Words>
  <Characters>38470</Characters>
  <Application>Microsoft Office Word</Application>
  <DocSecurity>0</DocSecurity>
  <Lines>320</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10</cp:revision>
  <cp:lastPrinted>2019-01-30T17:08:00Z</cp:lastPrinted>
  <dcterms:created xsi:type="dcterms:W3CDTF">2020-09-15T16:47:00Z</dcterms:created>
  <dcterms:modified xsi:type="dcterms:W3CDTF">2020-09-16T21:00:00Z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