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145B58E"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0373D934"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92B483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3042253" w14:textId="0B97D7F4" w:rsidR="007E480B" w:rsidRPr="009B7117" w:rsidRDefault="008E395F">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Simões Filho, no Estado da Bahia, objeto da Matrícula </w:t>
      </w:r>
      <w:r w:rsidR="007E480B">
        <w:rPr>
          <w:rFonts w:asciiTheme="minorHAnsi" w:hAnsiTheme="minorHAnsi" w:cstheme="minorHAnsi"/>
          <w:sz w:val="24"/>
          <w:szCs w:val="24"/>
        </w:rPr>
        <w:t>n.º</w:t>
      </w:r>
      <w:r w:rsidR="007E480B" w:rsidRPr="009B7117">
        <w:rPr>
          <w:rFonts w:asciiTheme="minorHAnsi" w:hAnsiTheme="minorHAnsi" w:cstheme="minorHAnsi"/>
          <w:sz w:val="24"/>
          <w:szCs w:val="24"/>
        </w:rPr>
        <w:t xml:space="preserve"> 05 do Cartório de Registro de Imóveis da Comarca de Simões Filho – BA, que será </w:t>
      </w:r>
      <w:r w:rsidR="007E480B">
        <w:rPr>
          <w:rFonts w:asciiTheme="minorHAnsi" w:hAnsiTheme="minorHAnsi" w:cstheme="minorHAnsi"/>
          <w:sz w:val="24"/>
          <w:szCs w:val="24"/>
        </w:rPr>
        <w:t>locado à</w:t>
      </w:r>
      <w:r w:rsidR="007E480B" w:rsidRPr="009B7117">
        <w:rPr>
          <w:rFonts w:asciiTheme="minorHAnsi" w:hAnsiTheme="minorHAnsi" w:cstheme="minorHAnsi"/>
          <w:sz w:val="24"/>
          <w:szCs w:val="24"/>
        </w:rPr>
        <w:t xml:space="preserve"> </w:t>
      </w:r>
      <w:proofErr w:type="spellStart"/>
      <w:r w:rsidR="007E480B" w:rsidRPr="009B7117">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7E480B" w:rsidRPr="009B7117">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sidR="007E480B" w:rsidRPr="009B7117">
        <w:rPr>
          <w:rFonts w:asciiTheme="minorHAnsi" w:hAnsiTheme="minorHAnsi" w:cstheme="minorHAnsi"/>
          <w:sz w:val="24"/>
          <w:szCs w:val="24"/>
        </w:rPr>
        <w:t>”).</w:t>
      </w:r>
    </w:p>
    <w:p w14:paraId="60A5A317" w14:textId="77777777"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F21B747" w14:textId="42B0CE6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2.</w:t>
      </w:r>
      <w:r w:rsidR="00AC219C">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AC219C">
        <w:rPr>
          <w:rFonts w:asciiTheme="minorHAnsi" w:hAnsiTheme="minorHAnsi" w:cstheme="minorHAnsi"/>
          <w:sz w:val="24"/>
          <w:szCs w:val="24"/>
        </w:rPr>
        <w:t xml:space="preserve">l </w:t>
      </w:r>
      <w:r w:rsidR="00877B69">
        <w:rPr>
          <w:rFonts w:asciiTheme="minorHAnsi" w:hAnsiTheme="minorHAnsi" w:cstheme="minorHAnsi"/>
          <w:sz w:val="24"/>
          <w:szCs w:val="24"/>
        </w:rPr>
        <w:t>4</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sidR="00243692">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047F32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lastRenderedPageBreak/>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243692">
        <w:rPr>
          <w:rFonts w:asciiTheme="minorHAnsi" w:hAnsiTheme="minorHAnsi" w:cstheme="minorHAnsi"/>
          <w:sz w:val="24"/>
          <w:szCs w:val="24"/>
        </w:rPr>
        <w:t>[</w:t>
      </w:r>
      <w:r w:rsidR="00243692" w:rsidRPr="00243692">
        <w:rPr>
          <w:sz w:val="24"/>
          <w:szCs w:val="24"/>
          <w:highlight w:val="yellow"/>
        </w:rPr>
        <w:t>●</w:t>
      </w:r>
      <w:r w:rsidR="00243692">
        <w:rPr>
          <w:rFonts w:asciiTheme="minorHAnsi" w:hAnsiTheme="minorHAnsi" w:cstheme="minorHAnsi"/>
          <w:sz w:val="24"/>
          <w:szCs w:val="24"/>
        </w:rPr>
        <w:t>]</w:t>
      </w:r>
      <w:r w:rsidR="008A530A">
        <w:rPr>
          <w:rFonts w:asciiTheme="minorHAnsi" w:hAnsiTheme="minorHAnsi" w:cstheme="minorHAnsi"/>
          <w:sz w:val="24"/>
          <w:szCs w:val="24"/>
        </w:rPr>
        <w:t xml:space="preserve"> de</w:t>
      </w:r>
      <w:r w:rsidR="00243692">
        <w:rPr>
          <w:rFonts w:asciiTheme="minorHAnsi" w:hAnsiTheme="minorHAnsi" w:cstheme="minorHAnsi"/>
          <w:sz w:val="24"/>
          <w:szCs w:val="24"/>
        </w:rPr>
        <w:t xml:space="preserve"> [</w:t>
      </w:r>
      <w:r w:rsidR="00243692" w:rsidRPr="00243692">
        <w:rPr>
          <w:sz w:val="24"/>
          <w:szCs w:val="24"/>
          <w:highlight w:val="yellow"/>
        </w:rPr>
        <w:t>●</w:t>
      </w:r>
      <w:r w:rsidR="00243692">
        <w:rPr>
          <w:rFonts w:asciiTheme="minorHAnsi" w:hAnsiTheme="minorHAnsi" w:cstheme="minorHAnsi"/>
          <w:sz w:val="24"/>
          <w:szCs w:val="24"/>
        </w:rPr>
        <w:t>]</w:t>
      </w:r>
      <w:r w:rsidR="008A530A">
        <w:rPr>
          <w:rFonts w:asciiTheme="minorHAnsi" w:hAnsiTheme="minorHAnsi" w:cstheme="minorHAnsi"/>
          <w:sz w:val="24"/>
          <w:szCs w:val="24"/>
        </w:rPr>
        <w:t xml:space="preserve"> de </w:t>
      </w:r>
      <w:r w:rsidR="00243692">
        <w:rPr>
          <w:rFonts w:asciiTheme="minorHAnsi" w:hAnsiTheme="minorHAnsi" w:cstheme="minorHAnsi"/>
          <w:sz w:val="24"/>
          <w:szCs w:val="24"/>
        </w:rPr>
        <w:t>[</w:t>
      </w:r>
      <w:r w:rsidR="00243692" w:rsidRPr="00243692">
        <w:rPr>
          <w:sz w:val="24"/>
          <w:szCs w:val="24"/>
          <w:highlight w:val="yellow"/>
        </w:rPr>
        <w:t>●</w:t>
      </w:r>
      <w:r w:rsidR="00243692">
        <w:rPr>
          <w:rFonts w:asciiTheme="minorHAnsi" w:hAnsiTheme="minorHAnsi" w:cstheme="minorHAnsi"/>
          <w:sz w:val="24"/>
          <w:szCs w:val="24"/>
        </w:rPr>
        <w:t>]</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434831CE"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data da assinatura do presente C</w:t>
      </w:r>
      <w:r w:rsidRPr="009B7117">
        <w:rPr>
          <w:rFonts w:asciiTheme="minorHAnsi" w:hAnsiTheme="minorHAnsi" w:cstheme="minorHAnsi"/>
          <w:sz w:val="24"/>
          <w:szCs w:val="24"/>
        </w:rPr>
        <w:t>ontrato</w:t>
      </w:r>
      <w:r w:rsidR="00EB04D2"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046960">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(definido abaixo)</w:t>
      </w:r>
      <w:r w:rsidRPr="009B7117">
        <w:rPr>
          <w:rFonts w:asciiTheme="minorHAnsi" w:hAnsiTheme="minorHAnsi" w:cstheme="minorHAnsi"/>
          <w:sz w:val="24"/>
          <w:szCs w:val="24"/>
        </w:rPr>
        <w:t xml:space="preserve">, baseado na livre negociação entre as </w:t>
      </w:r>
      <w:r w:rsidR="00A444CD" w:rsidRPr="009B7117">
        <w:rPr>
          <w:rFonts w:asciiTheme="minorHAnsi" w:hAnsiTheme="minorHAnsi" w:cstheme="minorHAnsi"/>
          <w:sz w:val="24"/>
          <w:szCs w:val="24"/>
        </w:rPr>
        <w:t>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xml:space="preserve">, tendo como parâmetro </w:t>
      </w:r>
      <w:r w:rsidR="00EB04D2" w:rsidRPr="009B7117">
        <w:rPr>
          <w:rFonts w:asciiTheme="minorHAnsi" w:hAnsiTheme="minorHAnsi" w:cstheme="minorHAnsi"/>
          <w:sz w:val="24"/>
          <w:szCs w:val="24"/>
        </w:rPr>
        <w:t>a variação positiva d</w:t>
      </w:r>
      <w:r w:rsidRPr="009B7117">
        <w:rPr>
          <w:rFonts w:asciiTheme="minorHAnsi" w:hAnsiTheme="minorHAnsi" w:cstheme="minorHAnsi"/>
          <w:sz w:val="24"/>
          <w:szCs w:val="24"/>
        </w:rPr>
        <w:t xml:space="preserve">o IGP-M/FGV, </w:t>
      </w:r>
      <w:r w:rsidR="0010051B" w:rsidRPr="009B7117">
        <w:rPr>
          <w:rFonts w:asciiTheme="minorHAnsi" w:hAnsiTheme="minorHAnsi" w:cstheme="minorHAnsi"/>
          <w:sz w:val="24"/>
          <w:szCs w:val="24"/>
        </w:rPr>
        <w:t xml:space="preserve">tendo a data </w:t>
      </w:r>
      <w:r w:rsidRPr="009B7117">
        <w:rPr>
          <w:rFonts w:asciiTheme="minorHAnsi" w:hAnsiTheme="minorHAnsi" w:cstheme="minorHAnsi"/>
          <w:sz w:val="24"/>
          <w:szCs w:val="24"/>
        </w:rPr>
        <w:t xml:space="preserve">base </w:t>
      </w:r>
      <w:r w:rsidR="0010051B" w:rsidRPr="009B7117">
        <w:rPr>
          <w:rFonts w:asciiTheme="minorHAnsi" w:hAnsiTheme="minorHAnsi" w:cstheme="minorHAnsi"/>
          <w:sz w:val="24"/>
          <w:szCs w:val="24"/>
        </w:rPr>
        <w:t>como o mês de início da Data de Início da Locação</w:t>
      </w:r>
      <w:r w:rsidRPr="009B7117">
        <w:rPr>
          <w:rFonts w:asciiTheme="minorHAnsi" w:hAnsiTheme="minorHAnsi" w:cstheme="minorHAnsi"/>
          <w:sz w:val="24"/>
          <w:szCs w:val="24"/>
        </w:rPr>
        <w:t xml:space="preserve">, elegendo </w:t>
      </w:r>
      <w:r w:rsidR="00A444CD" w:rsidRPr="009B7117">
        <w:rPr>
          <w:rFonts w:asciiTheme="minorHAnsi" w:hAnsiTheme="minorHAnsi" w:cstheme="minorHAnsi"/>
          <w:sz w:val="24"/>
          <w:szCs w:val="24"/>
        </w:rPr>
        <w:t>as 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desde já, para a hipótese de sua extinção ou inaplicabilidade, o IPC/FIPE e, na ausência deste, outro índice capaz de refletir a recomposição do poder aquisitivo da mo</w:t>
      </w:r>
      <w:r w:rsidR="00E65B84" w:rsidRPr="009B7117">
        <w:rPr>
          <w:rFonts w:asciiTheme="minorHAnsi" w:hAnsiTheme="minorHAnsi" w:cstheme="minorHAnsi"/>
          <w:sz w:val="24"/>
          <w:szCs w:val="24"/>
        </w:rPr>
        <w:t>eda, o</w:t>
      </w:r>
      <w:r w:rsidR="008E53F3" w:rsidRPr="009B7117">
        <w:rPr>
          <w:rFonts w:asciiTheme="minorHAnsi" w:hAnsiTheme="minorHAnsi" w:cstheme="minorHAnsi"/>
          <w:sz w:val="24"/>
          <w:szCs w:val="24"/>
        </w:rPr>
        <w:t xml:space="preserve">bservado o disposto na </w:t>
      </w:r>
      <w:r w:rsidR="00B65504" w:rsidRPr="009B7117">
        <w:rPr>
          <w:rFonts w:asciiTheme="minorHAnsi" w:hAnsiTheme="minorHAnsi" w:cstheme="minorHAnsi"/>
          <w:sz w:val="24"/>
          <w:szCs w:val="24"/>
        </w:rPr>
        <w:t>Cláusula</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6DFF4663"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22010F04"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D758B" w:rsidRPr="00BD1488">
        <w:rPr>
          <w:rFonts w:asciiTheme="minorHAnsi" w:hAnsiTheme="minorHAnsi" w:cstheme="minorHAnsi"/>
          <w:sz w:val="24"/>
          <w:szCs w:val="24"/>
        </w:rPr>
        <w:t>;</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1DA9CE78"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877B69">
        <w:rPr>
          <w:rFonts w:asciiTheme="minorHAnsi" w:hAnsiTheme="minorHAnsi" w:cstheme="minorHAnsi"/>
          <w:sz w:val="24"/>
          <w:szCs w:val="24"/>
          <w:u w:val="single"/>
        </w:rPr>
        <w:t>4</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CBD3387"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6EC5F796"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nos termos dos artigos 125 e 126 da Lei n.º 10.406, </w:t>
      </w:r>
      <w:r w:rsidRPr="009B7117">
        <w:rPr>
          <w:rFonts w:asciiTheme="minorHAnsi" w:hAnsiTheme="minorHAnsi" w:cstheme="minorHAnsi"/>
          <w:sz w:val="24"/>
          <w:szCs w:val="24"/>
        </w:rPr>
        <w:lastRenderedPageBreak/>
        <w:t>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2877BE8E" w14:textId="57FCC3D3" w:rsidR="007E480B" w:rsidRDefault="007E480B" w:rsidP="0079334E">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877B69">
        <w:rPr>
          <w:rFonts w:ascii="Calibri" w:hAnsi="Calibri" w:cs="Calibri"/>
          <w:sz w:val="24"/>
          <w:szCs w:val="24"/>
        </w:rPr>
        <w:t>4</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0"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0"/>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 xml:space="preserve">Contrato de Locação </w:t>
      </w:r>
      <w:r w:rsidR="00243692">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exceto se o Contrato de Locação </w:t>
      </w:r>
      <w:r w:rsidR="00243692">
        <w:rPr>
          <w:rFonts w:asciiTheme="minorHAnsi" w:hAnsiTheme="minorHAnsi" w:cstheme="minorHAnsi"/>
          <w:sz w:val="24"/>
          <w:szCs w:val="24"/>
        </w:rPr>
        <w:t xml:space="preserve">Imóvel </w:t>
      </w:r>
      <w:r w:rsidR="00877B69">
        <w:rPr>
          <w:rFonts w:asciiTheme="minorHAnsi" w:hAnsiTheme="minorHAnsi" w:cstheme="minorHAnsi"/>
          <w:sz w:val="24"/>
          <w:szCs w:val="24"/>
        </w:rPr>
        <w:t>4</w:t>
      </w:r>
      <w:r w:rsidR="00243692">
        <w:rPr>
          <w:rFonts w:asciiTheme="minorHAnsi" w:hAnsiTheme="minorHAnsi" w:cstheme="minorHAnsi"/>
          <w:sz w:val="24"/>
          <w:szCs w:val="24"/>
        </w:rPr>
        <w:t xml:space="preserve"> </w:t>
      </w:r>
      <w:r w:rsidRPr="009B7117">
        <w:rPr>
          <w:rFonts w:asciiTheme="minorHAnsi" w:hAnsiTheme="minorHAnsi" w:cstheme="minorHAnsi"/>
          <w:sz w:val="24"/>
          <w:szCs w:val="24"/>
        </w:rPr>
        <w:t>for objeto de ação renovatória</w:t>
      </w:r>
      <w:r w:rsidR="00B90937">
        <w:rPr>
          <w:rFonts w:asciiTheme="minorHAnsi" w:hAnsiTheme="minorHAnsi" w:cstheme="minorHAnsi"/>
          <w:sz w:val="24"/>
          <w:szCs w:val="24"/>
        </w:rPr>
        <w:t>; ou</w:t>
      </w:r>
    </w:p>
    <w:p w14:paraId="14D623FB" w14:textId="77777777" w:rsidR="007E480B" w:rsidRPr="009B7117" w:rsidRDefault="007E480B" w:rsidP="0079334E">
      <w:pPr>
        <w:spacing w:line="340" w:lineRule="exact"/>
        <w:ind w:left="720"/>
        <w:jc w:val="both"/>
        <w:rPr>
          <w:rFonts w:asciiTheme="minorHAnsi" w:hAnsiTheme="minorHAnsi" w:cstheme="minorHAnsi"/>
          <w:sz w:val="24"/>
          <w:szCs w:val="24"/>
        </w:rPr>
      </w:pPr>
    </w:p>
    <w:p w14:paraId="66F1D04E" w14:textId="436C3BF8" w:rsidR="00B4033F"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existência de decisão judicial a favor da </w:t>
      </w:r>
      <w:r w:rsidR="00521D23" w:rsidRPr="009B7117">
        <w:rPr>
          <w:rFonts w:asciiTheme="minorHAnsi" w:hAnsiTheme="minorHAnsi" w:cstheme="minorHAnsi"/>
          <w:b/>
          <w:sz w:val="24"/>
          <w:szCs w:val="24"/>
        </w:rPr>
        <w:t>LOCADORA</w:t>
      </w:r>
      <w:r w:rsidR="00030CDA" w:rsidRPr="009B7117">
        <w:rPr>
          <w:rFonts w:asciiTheme="minorHAnsi" w:hAnsiTheme="minorHAnsi" w:cstheme="minorHAnsi"/>
          <w:sz w:val="24"/>
          <w:szCs w:val="24"/>
        </w:rPr>
        <w:t xml:space="preserve"> determinando a desocupação d</w:t>
      </w:r>
      <w:r w:rsidR="00DF4671">
        <w:rPr>
          <w:rFonts w:asciiTheme="minorHAnsi" w:hAnsiTheme="minorHAnsi" w:cstheme="minorHAnsi"/>
          <w:sz w:val="24"/>
          <w:szCs w:val="24"/>
        </w:rPr>
        <w:t>a</w:t>
      </w:r>
      <w:r w:rsidR="00B90937">
        <w:rPr>
          <w:rFonts w:asciiTheme="minorHAnsi" w:hAnsiTheme="minorHAnsi" w:cstheme="minorHAnsi"/>
          <w:sz w:val="24"/>
          <w:szCs w:val="24"/>
        </w:rPr>
        <w:t xml:space="preserve"> </w:t>
      </w:r>
      <w:r w:rsidR="00744EC5" w:rsidRPr="009B7117">
        <w:rPr>
          <w:rFonts w:asciiTheme="minorHAnsi" w:hAnsiTheme="minorHAnsi" w:cstheme="minorHAnsi"/>
          <w:sz w:val="24"/>
          <w:szCs w:val="24"/>
        </w:rPr>
        <w:t>Área Locada</w:t>
      </w:r>
      <w:r w:rsidR="00030CDA" w:rsidRPr="009B7117">
        <w:rPr>
          <w:rFonts w:asciiTheme="minorHAnsi" w:hAnsiTheme="minorHAnsi" w:cstheme="minorHAnsi"/>
          <w:sz w:val="24"/>
          <w:szCs w:val="24"/>
        </w:rPr>
        <w:t xml:space="preserve"> no âmb</w:t>
      </w:r>
      <w:r w:rsidR="00744EC5" w:rsidRPr="009B7117">
        <w:rPr>
          <w:rFonts w:asciiTheme="minorHAnsi" w:hAnsiTheme="minorHAnsi" w:cstheme="minorHAnsi"/>
          <w:sz w:val="24"/>
          <w:szCs w:val="24"/>
        </w:rPr>
        <w:t>ito de uma ação renovatória</w:t>
      </w:r>
      <w:r w:rsidR="004549B7" w:rsidRPr="009B7117">
        <w:rPr>
          <w:rFonts w:asciiTheme="minorHAnsi" w:hAnsiTheme="minorHAnsi" w:cstheme="minorHAnsi"/>
          <w:sz w:val="24"/>
          <w:szCs w:val="24"/>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563886A6"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3D128B" w:rsidRPr="009B7117">
        <w:rPr>
          <w:rFonts w:asciiTheme="minorHAnsi" w:hAnsiTheme="minorHAnsi" w:cstheme="minorHAnsi"/>
          <w:bCs/>
          <w:sz w:val="24"/>
          <w:szCs w:val="24"/>
        </w:rPr>
        <w:t xml:space="preserve">As Partes declaram-se cientes de que é intenção </w:t>
      </w:r>
      <w:r w:rsidR="003D128B">
        <w:rPr>
          <w:rFonts w:asciiTheme="minorHAnsi" w:hAnsiTheme="minorHAnsi" w:cstheme="minorHAnsi"/>
          <w:bCs/>
          <w:sz w:val="24"/>
          <w:szCs w:val="24"/>
        </w:rPr>
        <w:t xml:space="preserve">da </w:t>
      </w:r>
      <w:proofErr w:type="spellStart"/>
      <w:r w:rsidR="003D128B">
        <w:rPr>
          <w:rFonts w:asciiTheme="minorHAnsi" w:hAnsiTheme="minorHAnsi" w:cstheme="minorHAnsi"/>
          <w:bCs/>
          <w:sz w:val="24"/>
          <w:szCs w:val="24"/>
        </w:rPr>
        <w:t>Lucca</w:t>
      </w:r>
      <w:proofErr w:type="spellEnd"/>
      <w:r w:rsidR="003D128B">
        <w:rPr>
          <w:rFonts w:asciiTheme="minorHAnsi" w:hAnsiTheme="minorHAnsi" w:cstheme="minorHAnsi"/>
          <w:bCs/>
          <w:sz w:val="24"/>
          <w:szCs w:val="24"/>
        </w:rPr>
        <w:t xml:space="preserve"> </w:t>
      </w:r>
      <w:r w:rsidR="003D128B" w:rsidRPr="009B7117">
        <w:rPr>
          <w:rFonts w:asciiTheme="minorHAnsi" w:hAnsiTheme="minorHAnsi" w:cstheme="minorHAnsi"/>
          <w:bCs/>
          <w:sz w:val="24"/>
          <w:szCs w:val="24"/>
        </w:rPr>
        <w:t>cede</w:t>
      </w:r>
      <w:r w:rsidR="003D128B">
        <w:rPr>
          <w:rFonts w:asciiTheme="minorHAnsi" w:hAnsiTheme="minorHAnsi" w:cstheme="minorHAnsi"/>
          <w:bCs/>
          <w:sz w:val="24"/>
          <w:szCs w:val="24"/>
        </w:rPr>
        <w:t>r</w:t>
      </w:r>
      <w:r w:rsidR="003D128B" w:rsidRPr="009B7117">
        <w:rPr>
          <w:rFonts w:asciiTheme="minorHAnsi" w:hAnsiTheme="minorHAnsi" w:cstheme="minorHAnsi"/>
          <w:bCs/>
          <w:sz w:val="24"/>
          <w:szCs w:val="24"/>
        </w:rPr>
        <w:t xml:space="preserve"> os créditos decorrentes </w:t>
      </w:r>
      <w:r w:rsidR="003D128B">
        <w:rPr>
          <w:rFonts w:asciiTheme="minorHAnsi" w:hAnsiTheme="minorHAnsi" w:cstheme="minorHAnsi"/>
          <w:bCs/>
          <w:sz w:val="24"/>
          <w:szCs w:val="24"/>
        </w:rPr>
        <w:t>de determinados contratos de locação, entre os quais,</w:t>
      </w:r>
      <w:r w:rsidR="00171594" w:rsidRPr="009B7117">
        <w:rPr>
          <w:rFonts w:asciiTheme="minorHAnsi" w:hAnsiTheme="minorHAnsi" w:cstheme="minorHAnsi"/>
          <w:bCs/>
          <w:sz w:val="24"/>
          <w:szCs w:val="24"/>
        </w:rPr>
        <w:t xml:space="preserve"> do Contrato de Locação </w:t>
      </w:r>
      <w:r w:rsidR="00243692">
        <w:rPr>
          <w:rFonts w:asciiTheme="minorHAnsi" w:hAnsiTheme="minorHAnsi" w:cstheme="minorHAnsi"/>
          <w:bCs/>
          <w:sz w:val="24"/>
          <w:szCs w:val="24"/>
        </w:rPr>
        <w:t xml:space="preserve">Imóvel </w:t>
      </w:r>
      <w:r w:rsidR="00877B69">
        <w:rPr>
          <w:rFonts w:asciiTheme="minorHAnsi" w:hAnsiTheme="minorHAnsi" w:cstheme="minorHAnsi"/>
          <w:bCs/>
          <w:sz w:val="24"/>
          <w:szCs w:val="24"/>
        </w:rPr>
        <w:t xml:space="preserve">4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xml:space="preserve">, brasileiro, solteiro, administrador de </w:t>
      </w:r>
      <w:r w:rsidR="00AF0E87" w:rsidRPr="007C296A">
        <w:rPr>
          <w:rFonts w:asciiTheme="minorHAnsi" w:hAnsiTheme="minorHAnsi" w:cstheme="minorHAnsi"/>
          <w:sz w:val="24"/>
          <w:szCs w:val="24"/>
        </w:rPr>
        <w:lastRenderedPageBreak/>
        <w:t>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243692">
        <w:rPr>
          <w:rFonts w:asciiTheme="minorHAnsi" w:hAnsiTheme="minorHAnsi" w:cstheme="minorHAnsi"/>
          <w:sz w:val="24"/>
          <w:szCs w:val="24"/>
        </w:rPr>
        <w:t xml:space="preserve"> Imóvel </w:t>
      </w:r>
      <w:r w:rsidR="00877B69">
        <w:rPr>
          <w:rFonts w:asciiTheme="minorHAnsi" w:hAnsiTheme="minorHAnsi" w:cstheme="minorHAnsi"/>
          <w:sz w:val="24"/>
          <w:szCs w:val="24"/>
        </w:rPr>
        <w:t>4</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063EE2CC"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93B2A4A"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6F1089" w:rsidRPr="00446784">
        <w:rPr>
          <w:rFonts w:asciiTheme="minorHAnsi" w:hAnsiTheme="minorHAnsi" w:cstheme="minorHAnsi"/>
          <w:sz w:val="24"/>
          <w:szCs w:val="24"/>
        </w:rPr>
        <w:t>.</w:t>
      </w:r>
    </w:p>
    <w:p w14:paraId="0DD2155A" w14:textId="77777777" w:rsidR="00877B69" w:rsidRDefault="00877B69" w:rsidP="003D128B">
      <w:pPr>
        <w:pStyle w:val="PargrafodaLista"/>
        <w:spacing w:line="340" w:lineRule="exact"/>
        <w:ind w:left="567"/>
        <w:contextualSpacing w:val="0"/>
        <w:jc w:val="both"/>
        <w:rPr>
          <w:rFonts w:asciiTheme="minorHAnsi" w:hAnsiTheme="minorHAnsi" w:cstheme="minorHAnsi"/>
          <w:sz w:val="24"/>
          <w:szCs w:val="24"/>
        </w:rPr>
      </w:pPr>
    </w:p>
    <w:p w14:paraId="29113A01" w14:textId="0BCEBD0A"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2DD61E05"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57A656EC"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Transcorrido o prazo de 30 (trinta) dias da notificação de alienação d</w:t>
      </w:r>
      <w:r w:rsidR="005F638F">
        <w:rPr>
          <w:rFonts w:asciiTheme="minorHAnsi" w:hAnsiTheme="minorHAnsi" w:cstheme="minorHAnsi"/>
          <w:sz w:val="24"/>
          <w:szCs w:val="24"/>
        </w:rPr>
        <w:t>a</w:t>
      </w:r>
      <w:r w:rsidRPr="009B7117">
        <w:rPr>
          <w:rFonts w:asciiTheme="minorHAnsi" w:hAnsiTheme="minorHAnsi" w:cstheme="minorHAnsi"/>
          <w:sz w:val="24"/>
          <w:szCs w:val="24"/>
        </w:rPr>
        <w:t xml:space="preserve"> </w:t>
      </w:r>
      <w:r w:rsidR="005F638F">
        <w:rPr>
          <w:rFonts w:asciiTheme="minorHAnsi" w:hAnsiTheme="minorHAnsi" w:cstheme="minorHAnsi"/>
          <w:sz w:val="24"/>
          <w:szCs w:val="24"/>
        </w:rPr>
        <w:t>Área Locada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5345EC8F"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r w:rsidR="00731C69">
        <w:rPr>
          <w:rFonts w:asciiTheme="minorHAnsi" w:hAnsiTheme="minorHAnsi" w:cstheme="minorHAnsi"/>
          <w:sz w:val="24"/>
          <w:szCs w:val="24"/>
        </w:rPr>
        <w:t>d</w:t>
      </w:r>
      <w:r w:rsidR="005F638F">
        <w:rPr>
          <w:rFonts w:asciiTheme="minorHAnsi" w:hAnsiTheme="minorHAnsi" w:cstheme="minorHAnsi"/>
          <w:sz w:val="24"/>
          <w:szCs w:val="24"/>
        </w:rPr>
        <w:t>a Área Locad</w:t>
      </w:r>
      <w:r w:rsidR="00ED151A">
        <w:rPr>
          <w:rFonts w:asciiTheme="minorHAnsi" w:hAnsiTheme="minorHAnsi" w:cstheme="minorHAnsi"/>
          <w:sz w:val="24"/>
          <w:szCs w:val="24"/>
        </w:rPr>
        <w:t>a</w:t>
      </w:r>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46EFFBC3"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or na hipótese de alienação d</w:t>
      </w:r>
      <w:r w:rsidR="005F638F">
        <w:rPr>
          <w:rFonts w:asciiTheme="minorHAnsi" w:hAnsiTheme="minorHAnsi" w:cstheme="minorHAnsi"/>
          <w:sz w:val="24"/>
          <w:szCs w:val="24"/>
        </w:rPr>
        <w:t xml:space="preserve">a Área Locada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BE5A461"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300C661C"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3AAEB795"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47D090B3"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w:t>
      </w:r>
      <w:r w:rsidR="00485BB0" w:rsidRPr="009B7117">
        <w:rPr>
          <w:rFonts w:asciiTheme="minorHAnsi" w:hAnsiTheme="minorHAnsi" w:cstheme="minorHAnsi"/>
          <w:sz w:val="24"/>
          <w:szCs w:val="24"/>
        </w:rPr>
        <w:lastRenderedPageBreak/>
        <w:t xml:space="preserve">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27A3F42B"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040D5FF5"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w:t>
      </w:r>
      <w:r w:rsidRPr="009B7117">
        <w:rPr>
          <w:rFonts w:asciiTheme="minorHAnsi" w:hAnsiTheme="minorHAnsi" w:cstheme="minorHAnsi"/>
          <w:sz w:val="24"/>
          <w:szCs w:val="24"/>
        </w:rPr>
        <w:lastRenderedPageBreak/>
        <w:t xml:space="preserve">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22C0570"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w:t>
      </w:r>
      <w:r w:rsidR="002F118E" w:rsidRPr="009B7117">
        <w:rPr>
          <w:rFonts w:asciiTheme="minorHAnsi" w:hAnsiTheme="minorHAnsi" w:cstheme="minorHAnsi"/>
          <w:sz w:val="24"/>
          <w:szCs w:val="24"/>
        </w:rPr>
        <w:lastRenderedPageBreak/>
        <w:t xml:space="preserve">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w:t>
      </w:r>
      <w:r w:rsidRPr="009B7117">
        <w:rPr>
          <w:rFonts w:asciiTheme="minorHAnsi" w:hAnsiTheme="minorHAnsi" w:cstheme="minorHAnsi"/>
          <w:sz w:val="24"/>
          <w:szCs w:val="24"/>
        </w:rPr>
        <w:lastRenderedPageBreak/>
        <w:t xml:space="preserve">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0CC1363B"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7F9A47E5"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encargos, impostos, taxas, etc.</w:t>
      </w:r>
    </w:p>
    <w:p w14:paraId="7885CFFC" w14:textId="77777777" w:rsidR="00877B69" w:rsidRPr="009B7117" w:rsidRDefault="00877B69" w:rsidP="003D128B">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9B88068" w14:textId="19EA6378"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w:t>
      </w:r>
      <w:r w:rsidR="00051F25" w:rsidRPr="009B7117">
        <w:rPr>
          <w:rFonts w:asciiTheme="minorHAnsi" w:hAnsiTheme="minorHAnsi" w:cstheme="minorHAnsi"/>
          <w:sz w:val="24"/>
          <w:szCs w:val="24"/>
        </w:rPr>
        <w:lastRenderedPageBreak/>
        <w:t xml:space="preserve">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488FD5D5" w14:textId="0C97EAF4"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510B2EC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350DB546" w14:textId="09A10C0A"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4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9F00E60"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396471CF"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deverá ser observado o disposto na Cláusula 1.2. e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p>
    <w:p w14:paraId="5D6EF27B"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04594230"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p>
    <w:p w14:paraId="6F4CD55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71A0993B" w14:textId="7777777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392362BF"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1D900C09" w14:textId="42FF00B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(excetuado o caso de atraso </w:t>
      </w:r>
      <w:r w:rsidRPr="009B7117">
        <w:rPr>
          <w:rFonts w:asciiTheme="minorHAnsi" w:eastAsia="Times New Roman" w:hAnsiTheme="minorHAnsi" w:cstheme="minorHAnsi"/>
          <w:spacing w:val="-3"/>
          <w:sz w:val="24"/>
          <w:szCs w:val="24"/>
        </w:rPr>
        <w:lastRenderedPageBreak/>
        <w:t xml:space="preserve">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A2A7628"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0A03C1EA"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4D32D844"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329F93A0" w14:textId="4EBA7BF4"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2EEF42AF" w14:textId="77777777" w:rsidR="00767AC4" w:rsidRPr="009B7117" w:rsidRDefault="00767AC4" w:rsidP="00767AC4">
      <w:pPr>
        <w:tabs>
          <w:tab w:val="num" w:pos="709"/>
        </w:tabs>
        <w:spacing w:line="340" w:lineRule="exact"/>
        <w:ind w:left="851"/>
        <w:jc w:val="both"/>
        <w:rPr>
          <w:rFonts w:asciiTheme="minorHAnsi" w:hAnsiTheme="minorHAnsi" w:cstheme="minorHAnsi"/>
          <w:bCs/>
          <w:sz w:val="24"/>
          <w:szCs w:val="24"/>
        </w:rPr>
      </w:pPr>
    </w:p>
    <w:p w14:paraId="2BDDFA15" w14:textId="77777777" w:rsidR="00767AC4" w:rsidRPr="009B7117" w:rsidRDefault="00767AC4" w:rsidP="00767AC4">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7DCFCE8B" w14:textId="77777777" w:rsidR="00767AC4" w:rsidRPr="009B7117" w:rsidRDefault="00767AC4" w:rsidP="00767AC4">
      <w:pPr>
        <w:tabs>
          <w:tab w:val="num" w:pos="709"/>
        </w:tabs>
        <w:spacing w:line="340" w:lineRule="exact"/>
        <w:ind w:left="709"/>
        <w:jc w:val="both"/>
        <w:rPr>
          <w:rFonts w:asciiTheme="minorHAnsi" w:hAnsiTheme="minorHAnsi" w:cstheme="minorHAnsi"/>
          <w:bCs/>
          <w:sz w:val="24"/>
          <w:szCs w:val="24"/>
        </w:rPr>
      </w:pPr>
    </w:p>
    <w:p w14:paraId="28339F50" w14:textId="160ADE36"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5F737A6E" w14:textId="77777777" w:rsidR="00767AC4" w:rsidRPr="009B7117" w:rsidRDefault="00767AC4" w:rsidP="00767AC4">
      <w:pPr>
        <w:tabs>
          <w:tab w:val="num" w:pos="709"/>
        </w:tabs>
        <w:spacing w:line="340" w:lineRule="exact"/>
        <w:jc w:val="both"/>
        <w:rPr>
          <w:rFonts w:asciiTheme="minorHAnsi" w:hAnsiTheme="minorHAnsi" w:cstheme="minorHAnsi"/>
          <w:b/>
          <w:sz w:val="24"/>
          <w:szCs w:val="24"/>
        </w:rPr>
      </w:pPr>
    </w:p>
    <w:p w14:paraId="6C2CBAE8" w14:textId="7777777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5E8B08F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376D27"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B2AE0F7"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w:t>
      </w:r>
      <w:r w:rsidR="004C55D6" w:rsidRPr="009B7117">
        <w:rPr>
          <w:rFonts w:asciiTheme="minorHAnsi" w:hAnsiTheme="minorHAnsi" w:cstheme="minorHAnsi"/>
          <w:sz w:val="24"/>
          <w:szCs w:val="24"/>
        </w:rPr>
        <w:lastRenderedPageBreak/>
        <w:t xml:space="preserve">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1C631AE2"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2CB080EC"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 xml:space="preserve">dos valores </w:t>
      </w:r>
      <w:r w:rsidR="00D26590" w:rsidRPr="009B7117">
        <w:rPr>
          <w:rFonts w:asciiTheme="minorHAnsi" w:hAnsiTheme="minorHAnsi" w:cstheme="minorHAnsi"/>
          <w:sz w:val="24"/>
          <w:szCs w:val="24"/>
        </w:rPr>
        <w:lastRenderedPageBreak/>
        <w:t>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0502C0D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46264350"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36B52898" w14:textId="77777777" w:rsidR="007546DB" w:rsidRPr="009B7117" w:rsidRDefault="007546DB" w:rsidP="007546DB">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EE33006"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4CB64A18"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845547D"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66C6E3C0"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771C1A4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C284A3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1F840E" w14:textId="6F72DE5A" w:rsidR="007546DB" w:rsidRDefault="007546DB" w:rsidP="00C46812">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24C923F3" w14:textId="77777777" w:rsidR="007546DB" w:rsidRDefault="007546DB" w:rsidP="007546DB">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01A26365" w14:textId="6F5215E9"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3B6A06DA" w14:textId="3F579634"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5FF8DD1A"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lastRenderedPageBreak/>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5E5BE225"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709566E2"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20FC0AD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4353B327"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2F118E" w:rsidRPr="009B7117">
        <w:rPr>
          <w:rFonts w:asciiTheme="minorHAnsi" w:hAnsiTheme="minorHAnsi" w:cstheme="minorHAnsi"/>
          <w:sz w:val="24"/>
          <w:szCs w:val="24"/>
        </w:rPr>
        <w:t>.</w:t>
      </w:r>
    </w:p>
    <w:p w14:paraId="1A087E02" w14:textId="6C6300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1FB40013"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09E833DE"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5D9AFA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w:t>
      </w:r>
      <w:proofErr w:type="spellStart"/>
      <w:r w:rsidRPr="00450F3F">
        <w:rPr>
          <w:rFonts w:asciiTheme="minorHAnsi" w:hAnsiTheme="minorHAnsi" w:cstheme="minorHAnsi"/>
          <w:sz w:val="24"/>
          <w:szCs w:val="24"/>
        </w:rPr>
        <w:t>Lucca</w:t>
      </w:r>
      <w:proofErr w:type="spellEnd"/>
      <w:r w:rsidRPr="00450F3F">
        <w:rPr>
          <w:rFonts w:asciiTheme="minorHAnsi" w:hAnsiTheme="minorHAnsi" w:cstheme="minorHAnsi"/>
          <w:sz w:val="24"/>
          <w:szCs w:val="24"/>
        </w:rPr>
        <w:t xml:space="preserve">,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 xml:space="preserve">, o integral e imediato pagamento de qualquer multa ou outro valor devido na forma aqui prevista à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5DD4AE86"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w:t>
      </w:r>
      <w:r w:rsidRPr="009B7117">
        <w:rPr>
          <w:rFonts w:asciiTheme="minorHAnsi" w:hAnsiTheme="minorHAnsi" w:cstheme="minorHAnsi"/>
          <w:sz w:val="24"/>
          <w:szCs w:val="24"/>
        </w:rPr>
        <w:lastRenderedPageBreak/>
        <w:t>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7E9C9C10"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1"/>
          <w:footerReference w:type="even" r:id="rId12"/>
          <w:footerReference w:type="default" r:id="rId13"/>
          <w:footerReference w:type="first" r:id="rId14"/>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5526224B"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7546DB">
        <w:rPr>
          <w:rFonts w:asciiTheme="minorHAnsi" w:hAnsiTheme="minorHAnsi" w:cstheme="minorHAnsi"/>
          <w:b/>
          <w:sz w:val="24"/>
          <w:szCs w:val="24"/>
        </w:rPr>
        <w:t xml:space="preserve">IMÓVEL </w:t>
      </w:r>
      <w:r w:rsidR="00877B69">
        <w:rPr>
          <w:rFonts w:asciiTheme="minorHAnsi" w:hAnsiTheme="minorHAnsi" w:cstheme="minorHAnsi"/>
          <w:b/>
          <w:sz w:val="24"/>
          <w:szCs w:val="24"/>
        </w:rPr>
        <w:t>4</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20EA6C54" w14:textId="20318A6C" w:rsidR="00863A71" w:rsidRDefault="00863A71" w:rsidP="00F97410">
      <w:pPr>
        <w:spacing w:line="340" w:lineRule="exact"/>
        <w:rPr>
          <w:rFonts w:asciiTheme="minorHAnsi" w:hAnsiTheme="minorHAnsi" w:cstheme="minorHAnsi"/>
          <w:sz w:val="24"/>
          <w:szCs w:val="24"/>
        </w:rPr>
      </w:pPr>
    </w:p>
    <w:p w14:paraId="4E792330" w14:textId="56D66E0D" w:rsidR="00BA7E13" w:rsidRPr="006C5A8C" w:rsidRDefault="003D128B" w:rsidP="006C5A8C">
      <w:pPr>
        <w:jc w:val="both"/>
        <w:rPr>
          <w:rFonts w:asciiTheme="minorHAnsi" w:hAnsiTheme="minorHAnsi" w:cstheme="minorHAnsi"/>
          <w:sz w:val="20"/>
        </w:rPr>
      </w:pPr>
      <w:r w:rsidRPr="006C5A8C">
        <w:rPr>
          <w:rFonts w:asciiTheme="minorHAnsi" w:hAnsiTheme="minorHAnsi" w:cstheme="minorHAnsi"/>
          <w:sz w:val="20"/>
          <w:u w:val="single"/>
        </w:rPr>
        <w:t>Imóvel 4</w:t>
      </w:r>
      <w:r w:rsidRPr="006C5A8C">
        <w:rPr>
          <w:rFonts w:asciiTheme="minorHAnsi" w:hAnsiTheme="minorHAnsi" w:cstheme="minorHAnsi"/>
          <w:sz w:val="20"/>
        </w:rPr>
        <w:t>: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6C5A8C">
        <w:rPr>
          <w:rFonts w:asciiTheme="minorHAnsi" w:hAnsiTheme="minorHAnsi" w:cstheme="minorHAnsi"/>
          <w:sz w:val="20"/>
          <w:u w:val="single"/>
        </w:rPr>
        <w:t>Imóvel 4</w:t>
      </w:r>
      <w:r w:rsidRPr="006C5A8C">
        <w:rPr>
          <w:rFonts w:asciiTheme="minorHAnsi" w:hAnsiTheme="minorHAnsi" w:cstheme="minorHAnsi"/>
          <w:sz w:val="20"/>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132BB885" w14:textId="71FE02EF" w:rsidR="00E4337C" w:rsidRDefault="00E4337C" w:rsidP="00E4337C">
      <w:pPr>
        <w:spacing w:line="340" w:lineRule="exact"/>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2174"/>
        <w:gridCol w:w="1167"/>
        <w:gridCol w:w="2976"/>
        <w:gridCol w:w="1596"/>
        <w:gridCol w:w="2175"/>
        <w:gridCol w:w="1106"/>
        <w:gridCol w:w="1767"/>
        <w:gridCol w:w="1033"/>
      </w:tblGrid>
      <w:tr w:rsidR="009F1E25" w:rsidRPr="009F1E25" w14:paraId="4BC2AC09" w14:textId="77777777" w:rsidTr="009F1E25">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65A32"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2A3F23C8"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34C6D8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36136F0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2297FB60"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B934773"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1C28DBC0"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Aluguel Mensal</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66830779"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Índice Reajuste</w:t>
            </w:r>
          </w:p>
        </w:tc>
      </w:tr>
      <w:tr w:rsidR="009F1E25" w:rsidRPr="009F1E25" w14:paraId="1CEB8EC5" w14:textId="77777777" w:rsidTr="009F1E25">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064EB183"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Contrato de Locação Comercial celebrado em 11/12/2001</w:t>
            </w:r>
          </w:p>
        </w:tc>
        <w:tc>
          <w:tcPr>
            <w:tcW w:w="351" w:type="pct"/>
            <w:tcBorders>
              <w:top w:val="nil"/>
              <w:left w:val="nil"/>
              <w:bottom w:val="single" w:sz="4" w:space="0" w:color="auto"/>
              <w:right w:val="single" w:sz="4" w:space="0" w:color="auto"/>
            </w:tcBorders>
            <w:shd w:val="clear" w:color="auto" w:fill="auto"/>
            <w:vAlign w:val="center"/>
            <w:hideMark/>
          </w:tcPr>
          <w:p w14:paraId="13FC92B5"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B94F25C"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MOTRIZ ADMINISTRAÇÃO DE BENS PRÓPRIOS EIRELI</w:t>
            </w:r>
          </w:p>
        </w:tc>
        <w:tc>
          <w:tcPr>
            <w:tcW w:w="445" w:type="pct"/>
            <w:tcBorders>
              <w:top w:val="nil"/>
              <w:left w:val="nil"/>
              <w:bottom w:val="single" w:sz="4" w:space="0" w:color="auto"/>
              <w:right w:val="single" w:sz="4" w:space="0" w:color="auto"/>
            </w:tcBorders>
            <w:shd w:val="clear" w:color="auto" w:fill="auto"/>
            <w:vAlign w:val="center"/>
            <w:hideMark/>
          </w:tcPr>
          <w:p w14:paraId="7C228DA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13.502.356/0001-75</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14:paraId="54A0745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11/12/2001</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2A9CFF0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11/12/2025</w:t>
            </w:r>
          </w:p>
        </w:tc>
        <w:tc>
          <w:tcPr>
            <w:tcW w:w="6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EFC6CB"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R$ 84.404,13</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00AA3623"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Sem reajuste pré-definido</w:t>
            </w:r>
          </w:p>
        </w:tc>
      </w:tr>
      <w:tr w:rsidR="009F1E25" w:rsidRPr="009F1E25" w14:paraId="2764F8DF"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13D0DBEF"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E921FE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56DF9CDA"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GOTEMBURGO VEÍCULOS LTDA</w:t>
            </w:r>
          </w:p>
        </w:tc>
        <w:tc>
          <w:tcPr>
            <w:tcW w:w="445" w:type="pct"/>
            <w:tcBorders>
              <w:top w:val="nil"/>
              <w:left w:val="nil"/>
              <w:bottom w:val="single" w:sz="4" w:space="0" w:color="auto"/>
              <w:right w:val="single" w:sz="4" w:space="0" w:color="auto"/>
            </w:tcBorders>
            <w:shd w:val="clear" w:color="auto" w:fill="auto"/>
            <w:vAlign w:val="center"/>
            <w:hideMark/>
          </w:tcPr>
          <w:p w14:paraId="5B913FF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02.233.622/0001-95</w:t>
            </w:r>
          </w:p>
        </w:tc>
        <w:tc>
          <w:tcPr>
            <w:tcW w:w="824" w:type="pct"/>
            <w:vMerge/>
            <w:tcBorders>
              <w:top w:val="nil"/>
              <w:left w:val="single" w:sz="4" w:space="0" w:color="auto"/>
              <w:bottom w:val="single" w:sz="4" w:space="0" w:color="000000"/>
              <w:right w:val="single" w:sz="4" w:space="0" w:color="auto"/>
            </w:tcBorders>
            <w:vAlign w:val="center"/>
            <w:hideMark/>
          </w:tcPr>
          <w:p w14:paraId="6E4EFE34"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677B022E"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750F9120"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713F6079" w14:textId="77777777" w:rsidR="009F1E25" w:rsidRPr="009F1E25" w:rsidRDefault="009F1E25" w:rsidP="009F1E25">
            <w:pPr>
              <w:rPr>
                <w:rFonts w:ascii="Calibri" w:eastAsia="Times New Roman" w:hAnsi="Calibri" w:cs="Calibri"/>
                <w:color w:val="000000"/>
                <w:sz w:val="20"/>
                <w:lang w:eastAsia="pt-BR"/>
              </w:rPr>
            </w:pPr>
          </w:p>
        </w:tc>
      </w:tr>
      <w:tr w:rsidR="009F1E25" w:rsidRPr="009F1E25" w14:paraId="786DE5BE"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67AC40AD"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563A197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Fiador</w:t>
            </w:r>
          </w:p>
        </w:tc>
        <w:tc>
          <w:tcPr>
            <w:tcW w:w="1110" w:type="pct"/>
            <w:tcBorders>
              <w:top w:val="nil"/>
              <w:left w:val="nil"/>
              <w:bottom w:val="single" w:sz="4" w:space="0" w:color="auto"/>
              <w:right w:val="single" w:sz="4" w:space="0" w:color="auto"/>
            </w:tcBorders>
            <w:shd w:val="clear" w:color="auto" w:fill="auto"/>
            <w:vAlign w:val="center"/>
            <w:hideMark/>
          </w:tcPr>
          <w:p w14:paraId="0DF0DF27"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RICARDO BERNADINO PAMPLONA</w:t>
            </w:r>
          </w:p>
        </w:tc>
        <w:tc>
          <w:tcPr>
            <w:tcW w:w="445" w:type="pct"/>
            <w:tcBorders>
              <w:top w:val="nil"/>
              <w:left w:val="nil"/>
              <w:bottom w:val="single" w:sz="4" w:space="0" w:color="auto"/>
              <w:right w:val="single" w:sz="4" w:space="0" w:color="auto"/>
            </w:tcBorders>
            <w:shd w:val="clear" w:color="auto" w:fill="auto"/>
            <w:vAlign w:val="center"/>
            <w:hideMark/>
          </w:tcPr>
          <w:p w14:paraId="6CAD8F9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520.293.609-53</w:t>
            </w:r>
          </w:p>
        </w:tc>
        <w:tc>
          <w:tcPr>
            <w:tcW w:w="824" w:type="pct"/>
            <w:vMerge/>
            <w:tcBorders>
              <w:top w:val="nil"/>
              <w:left w:val="single" w:sz="4" w:space="0" w:color="auto"/>
              <w:bottom w:val="single" w:sz="4" w:space="0" w:color="000000"/>
              <w:right w:val="single" w:sz="4" w:space="0" w:color="auto"/>
            </w:tcBorders>
            <w:vAlign w:val="center"/>
            <w:hideMark/>
          </w:tcPr>
          <w:p w14:paraId="596B7FEE"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0C17BE15"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05E3DF55"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11FB8018" w14:textId="77777777" w:rsidR="009F1E25" w:rsidRPr="009F1E25" w:rsidRDefault="009F1E25" w:rsidP="009F1E25">
            <w:pPr>
              <w:rPr>
                <w:rFonts w:ascii="Calibri" w:eastAsia="Times New Roman" w:hAnsi="Calibri" w:cs="Calibri"/>
                <w:color w:val="000000"/>
                <w:sz w:val="20"/>
                <w:lang w:eastAsia="pt-BR"/>
              </w:rPr>
            </w:pPr>
          </w:p>
        </w:tc>
      </w:tr>
    </w:tbl>
    <w:p w14:paraId="38C38CAD" w14:textId="40F89A72" w:rsidR="009F1E25" w:rsidRDefault="009F1E25" w:rsidP="00E4337C">
      <w:pPr>
        <w:spacing w:line="340" w:lineRule="exact"/>
        <w:rPr>
          <w:rFonts w:asciiTheme="minorHAnsi" w:hAnsiTheme="minorHAnsi" w:cstheme="minorHAnsi"/>
          <w:sz w:val="24"/>
          <w:szCs w:val="24"/>
        </w:rPr>
      </w:pPr>
    </w:p>
    <w:p w14:paraId="28724E00" w14:textId="71A09676" w:rsidR="00863A71" w:rsidRPr="00BD1488" w:rsidRDefault="00863A71" w:rsidP="00117B7D">
      <w:pPr>
        <w:rPr>
          <w:rFonts w:asciiTheme="minorHAnsi" w:hAnsiTheme="minorHAnsi" w:cstheme="minorHAnsi"/>
          <w:sz w:val="24"/>
          <w:szCs w:val="24"/>
        </w:rPr>
      </w:pPr>
    </w:p>
    <w:sectPr w:rsidR="00863A71" w:rsidRPr="00BD1488"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DB70" w14:textId="77777777" w:rsidR="007C296A" w:rsidRDefault="007C296A">
      <w:r>
        <w:separator/>
      </w:r>
    </w:p>
  </w:endnote>
  <w:endnote w:type="continuationSeparator" w:id="0">
    <w:p w14:paraId="02EE6F22" w14:textId="77777777" w:rsidR="007C296A" w:rsidRDefault="007C296A">
      <w:r>
        <w:continuationSeparator/>
      </w:r>
    </w:p>
  </w:endnote>
  <w:endnote w:type="continuationNotice" w:id="1">
    <w:p w14:paraId="3D715FB9" w14:textId="77777777" w:rsidR="007C296A" w:rsidRDefault="007C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3838" w14:textId="77777777" w:rsidR="007C296A" w:rsidRDefault="007C296A">
      <w:r>
        <w:separator/>
      </w:r>
    </w:p>
  </w:footnote>
  <w:footnote w:type="continuationSeparator" w:id="0">
    <w:p w14:paraId="662179AC" w14:textId="77777777" w:rsidR="007C296A" w:rsidRDefault="007C296A">
      <w:r>
        <w:continuationSeparator/>
      </w:r>
    </w:p>
  </w:footnote>
  <w:footnote w:type="continuationNotice" w:id="1">
    <w:p w14:paraId="63FF65FC" w14:textId="77777777" w:rsidR="007C296A" w:rsidRDefault="007C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CB66" w14:textId="77777777" w:rsidR="00B26D7C" w:rsidRDefault="00B26D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DFC"/>
    <w:rsid w:val="002242DD"/>
    <w:rsid w:val="002324F8"/>
    <w:rsid w:val="00243692"/>
    <w:rsid w:val="00252A8F"/>
    <w:rsid w:val="002608C9"/>
    <w:rsid w:val="002A0B44"/>
    <w:rsid w:val="002A2397"/>
    <w:rsid w:val="002B605A"/>
    <w:rsid w:val="002C5824"/>
    <w:rsid w:val="002C6AFC"/>
    <w:rsid w:val="002E0DB0"/>
    <w:rsid w:val="002F118E"/>
    <w:rsid w:val="00322522"/>
    <w:rsid w:val="00353C11"/>
    <w:rsid w:val="003571B5"/>
    <w:rsid w:val="003638D0"/>
    <w:rsid w:val="003639FB"/>
    <w:rsid w:val="00375DB7"/>
    <w:rsid w:val="00375F77"/>
    <w:rsid w:val="003A17AE"/>
    <w:rsid w:val="003B0C44"/>
    <w:rsid w:val="003B6178"/>
    <w:rsid w:val="003C0F09"/>
    <w:rsid w:val="003D128B"/>
    <w:rsid w:val="003D47C3"/>
    <w:rsid w:val="0042077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69C9"/>
    <w:rsid w:val="004F73BA"/>
    <w:rsid w:val="005016E2"/>
    <w:rsid w:val="00503A8E"/>
    <w:rsid w:val="005068A1"/>
    <w:rsid w:val="00507A61"/>
    <w:rsid w:val="0051274D"/>
    <w:rsid w:val="00521D23"/>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47EA9"/>
    <w:rsid w:val="00655B07"/>
    <w:rsid w:val="00660104"/>
    <w:rsid w:val="00666503"/>
    <w:rsid w:val="006665D8"/>
    <w:rsid w:val="00667A0E"/>
    <w:rsid w:val="006812C6"/>
    <w:rsid w:val="00682521"/>
    <w:rsid w:val="00682CBA"/>
    <w:rsid w:val="00686099"/>
    <w:rsid w:val="006956B3"/>
    <w:rsid w:val="006A156A"/>
    <w:rsid w:val="006C05D6"/>
    <w:rsid w:val="006C0DB1"/>
    <w:rsid w:val="006C5A8C"/>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AC4"/>
    <w:rsid w:val="00767DE2"/>
    <w:rsid w:val="007928CD"/>
    <w:rsid w:val="0079334E"/>
    <w:rsid w:val="007A0072"/>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63A71"/>
    <w:rsid w:val="00875D32"/>
    <w:rsid w:val="00877B69"/>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9F1E25"/>
    <w:rsid w:val="00A03829"/>
    <w:rsid w:val="00A07C25"/>
    <w:rsid w:val="00A1546C"/>
    <w:rsid w:val="00A15EE3"/>
    <w:rsid w:val="00A3123F"/>
    <w:rsid w:val="00A361BB"/>
    <w:rsid w:val="00A36ED3"/>
    <w:rsid w:val="00A43069"/>
    <w:rsid w:val="00A444CD"/>
    <w:rsid w:val="00A6340B"/>
    <w:rsid w:val="00A67C47"/>
    <w:rsid w:val="00A7493C"/>
    <w:rsid w:val="00A809AB"/>
    <w:rsid w:val="00A85EB5"/>
    <w:rsid w:val="00A912F5"/>
    <w:rsid w:val="00A9257C"/>
    <w:rsid w:val="00AB6D08"/>
    <w:rsid w:val="00AB7DAC"/>
    <w:rsid w:val="00AC219C"/>
    <w:rsid w:val="00AC6C2C"/>
    <w:rsid w:val="00AD2DB9"/>
    <w:rsid w:val="00AD3CC7"/>
    <w:rsid w:val="00AE22BF"/>
    <w:rsid w:val="00AE394E"/>
    <w:rsid w:val="00AE3AE5"/>
    <w:rsid w:val="00AF0E87"/>
    <w:rsid w:val="00AF4E01"/>
    <w:rsid w:val="00B006B0"/>
    <w:rsid w:val="00B07DD3"/>
    <w:rsid w:val="00B121C5"/>
    <w:rsid w:val="00B13809"/>
    <w:rsid w:val="00B2085B"/>
    <w:rsid w:val="00B26D7C"/>
    <w:rsid w:val="00B33DC8"/>
    <w:rsid w:val="00B33E9F"/>
    <w:rsid w:val="00B36775"/>
    <w:rsid w:val="00B4033F"/>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153AE"/>
    <w:rsid w:val="00C2156A"/>
    <w:rsid w:val="00C46812"/>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298E"/>
    <w:rsid w:val="00D148BF"/>
    <w:rsid w:val="00D172B3"/>
    <w:rsid w:val="00D23B89"/>
    <w:rsid w:val="00D26590"/>
    <w:rsid w:val="00D33ABD"/>
    <w:rsid w:val="00D37A51"/>
    <w:rsid w:val="00D5713D"/>
    <w:rsid w:val="00D62505"/>
    <w:rsid w:val="00D666F9"/>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21D60"/>
    <w:rsid w:val="00E30BC1"/>
    <w:rsid w:val="00E4337C"/>
    <w:rsid w:val="00E65B84"/>
    <w:rsid w:val="00E715F6"/>
    <w:rsid w:val="00E8113B"/>
    <w:rsid w:val="00E82825"/>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964"/>
    <w:rsid w:val="00F734F4"/>
    <w:rsid w:val="00F77B2E"/>
    <w:rsid w:val="00F81CD3"/>
    <w:rsid w:val="00F97410"/>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3190940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2.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3.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Carimbo</Template>
  <TotalTime>69</TotalTime>
  <Pages>20</Pages>
  <Words>6927</Words>
  <Characters>37891</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10</cp:revision>
  <cp:lastPrinted>2019-01-30T17:08:00Z</cp:lastPrinted>
  <dcterms:created xsi:type="dcterms:W3CDTF">2020-09-15T20:04:00Z</dcterms:created>
  <dcterms:modified xsi:type="dcterms:W3CDTF">2020-09-16T21:01:00Z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