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E51528"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E5152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E5152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E5152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E51528"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Conj,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n.°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na Rua Pedro Pasa,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 xml:space="preserve">protesto legítimo de título(s) extrajudicial(is)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w:t>
            </w:r>
            <w:r w:rsidRPr="007B5983">
              <w:rPr>
                <w:rFonts w:ascii="Leelawadee UI" w:hAnsi="Leelawadee UI" w:cs="Leelawadee UI"/>
                <w:color w:val="000000"/>
                <w:sz w:val="20"/>
                <w:szCs w:val="20"/>
              </w:rPr>
              <w:lastRenderedPageBreak/>
              <w:t xml:space="preserve">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dos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w:t>
            </w:r>
            <w:r w:rsidRPr="00DF51AE">
              <w:rPr>
                <w:rFonts w:ascii="Leelawadee" w:hAnsi="Leelawadee" w:cs="Leelawadee"/>
                <w:w w:val="0"/>
                <w:sz w:val="20"/>
                <w:szCs w:val="20"/>
              </w:rPr>
              <w:lastRenderedPageBreak/>
              <w:t xml:space="preserve">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B1E9FBD" w14:textId="6D8DC74A" w:rsidR="009C6D03" w:rsidRPr="00226E97" w:rsidRDefault="009C6D03" w:rsidP="00280201">
            <w:pPr>
              <w:autoSpaceDE w:val="0"/>
              <w:autoSpaceDN w:val="0"/>
              <w:adjustRightInd w:val="0"/>
              <w:spacing w:line="360" w:lineRule="auto"/>
              <w:jc w:val="both"/>
              <w:rPr>
                <w:rStyle w:val="DeltaViewDeletion"/>
                <w:rFonts w:ascii="Leelawadee" w:hAnsi="Leelawadee" w:cs="Leelawadee"/>
                <w:strike w:val="0"/>
                <w:color w:val="auto"/>
                <w:sz w:val="20"/>
                <w:szCs w:val="20"/>
              </w:rPr>
            </w:pP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caso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681E08B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945CD6" w:rsidRPr="001A376E">
              <w:rPr>
                <w:rFonts w:ascii="Leelawadee" w:hAnsi="Leelawadee" w:cs="Leelawadee"/>
                <w:sz w:val="20"/>
                <w:szCs w:val="20"/>
              </w:rPr>
              <w:t>865.814,65 (oitocentos e sessenta e cinco mil e oitocentos e quatorze reais e sessenta e cinco centavos)</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lastRenderedPageBreak/>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w:t>
            </w:r>
            <w:r w:rsidR="00440EA9" w:rsidRPr="001B4698">
              <w:rPr>
                <w:rFonts w:ascii="Leelawadee" w:hAnsi="Leelawadee" w:cs="Leelawadee"/>
                <w:sz w:val="20"/>
                <w:szCs w:val="20"/>
              </w:rPr>
              <w:lastRenderedPageBreak/>
              <w:t xml:space="preserve">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r w:rsidRPr="001B4698">
              <w:rPr>
                <w:rFonts w:ascii="Leelawadee" w:hAnsi="Leelawadee" w:cs="Leelawadee"/>
                <w:color w:val="000000"/>
                <w:sz w:val="20"/>
                <w:szCs w:val="20"/>
                <w:u w:val="single"/>
                <w:lang w:val="en-US" w:eastAsia="en-US"/>
              </w:rPr>
              <w:t>Patrimônio Separado</w:t>
            </w:r>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w:t>
            </w:r>
            <w:r w:rsidR="000D26B4" w:rsidRPr="001B4698">
              <w:rPr>
                <w:rFonts w:ascii="Leelawadee" w:hAnsi="Leelawadee" w:cs="Leelawadee"/>
                <w:color w:val="000000"/>
                <w:sz w:val="20"/>
                <w:szCs w:val="20"/>
              </w:rPr>
              <w:lastRenderedPageBreak/>
              <w:t>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5E465CD"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 A Devedora se declarará ciente da obrigação de endossar, no prazo de 30 (trinta) dias do recebimento da notificação, a apólice de Seguro de Perda de Receita, sob pena de efetuar reembolso da apólice contratada pela Securitizadora</w:t>
            </w:r>
            <w:r w:rsidR="00C51BB0" w:rsidRPr="00B81FF8">
              <w:rPr>
                <w:rFonts w:ascii="Leelawadee" w:hAnsi="Leelawadee" w:cs="Leelawadee"/>
                <w:sz w:val="20"/>
                <w:szCs w:val="20"/>
              </w:rPr>
              <w:t xml:space="preserve"> </w:t>
            </w:r>
            <w:r w:rsidR="00C51BB0">
              <w:rPr>
                <w:rFonts w:ascii="Leelawadee" w:hAnsi="Leelawadee" w:cs="Leelawadee"/>
                <w:sz w:val="20"/>
                <w:szCs w:val="20"/>
              </w:rPr>
              <w:t>nos termos da cláusula 18.6.1 dos Contratos de Locação Atípica.</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712D61F8"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 A Devedora se declarará ciente da obrigação de endossar, no prazo de 30 (trinta) dias do recebimento da notificação, a apólice de Seguro Patrimonial, sob pena de efetuar reembolso da apólice contratada pela Securitizadora</w:t>
            </w:r>
            <w:r w:rsidR="00C51BB0" w:rsidRPr="00B81FF8">
              <w:rPr>
                <w:rFonts w:ascii="Leelawadee" w:hAnsi="Leelawadee" w:cs="Leelawadee"/>
                <w:sz w:val="20"/>
                <w:szCs w:val="20"/>
              </w:rPr>
              <w:t xml:space="preserve"> </w:t>
            </w:r>
            <w:r w:rsidR="00C51BB0">
              <w:rPr>
                <w:rFonts w:ascii="Leelawadee" w:hAnsi="Leelawadee" w:cs="Leelawadee"/>
                <w:sz w:val="20"/>
                <w:szCs w:val="20"/>
              </w:rPr>
              <w:t>nos termos da cláusula 18.6.1 dos Contratos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w:t>
      </w:r>
      <w:r w:rsidR="00D8079A" w:rsidRPr="00795A3F">
        <w:rPr>
          <w:rFonts w:ascii="Leelawadee" w:hAnsi="Leelawadee" w:cs="Leelawadee"/>
          <w:color w:val="000000"/>
          <w:sz w:val="20"/>
          <w:szCs w:val="20"/>
        </w:rPr>
        <w:lastRenderedPageBreak/>
        <w:t xml:space="preserve">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4097329"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8C6AA1" w:rsidRPr="001A376E">
        <w:rPr>
          <w:rFonts w:ascii="Leelawadee" w:hAnsi="Leelawadee" w:cs="Leelawadee"/>
          <w:sz w:val="20"/>
          <w:szCs w:val="20"/>
        </w:rPr>
        <w:t>R$865.814,65 (oitocentos e sessenta e cinco mil e oitocentos e quatorze reais e sessenta e cinco centavos)</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Serão deduzidos do Patrimônio Separado, conforme aplicável os recursos para o pagamento das despesas recorrentes vinculadas à emissão dos CRI, conforme relação de despesas constantes na tabela do Anexo I ao Contrato de Cessão Fiduciária (“</w:t>
      </w:r>
      <w:r w:rsidR="008C6AA1" w:rsidRPr="001A376E">
        <w:rPr>
          <w:rFonts w:ascii="Leelawadee" w:hAnsi="Leelawadee" w:cs="Leelawadee"/>
          <w:sz w:val="20"/>
          <w:szCs w:val="20"/>
          <w:u w:val="single"/>
        </w:rPr>
        <w:t>Despesas Recorrentes</w:t>
      </w:r>
      <w:r w:rsidR="008C6AA1" w:rsidRPr="001A376E">
        <w:rPr>
          <w:rFonts w:ascii="Leelawadee" w:hAnsi="Leelawadee" w:cs="Leelawadee"/>
          <w:sz w:val="20"/>
          <w:szCs w:val="20"/>
        </w:rPr>
        <w:t>”) e de eventuais despesas recorrentes extraordinárias futuras, desde que devidamente comprovadas.</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da solicitação formal a ser enviada pelo Agente Fiduciário neste 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377A57AC" w:rsidR="00AB26A4" w:rsidRPr="001B4698" w:rsidRDefault="00E51528" w:rsidP="00356A17">
      <w:pPr>
        <w:pStyle w:val="BodyText21"/>
        <w:widowControl w:val="0"/>
        <w:suppressAutoHyphens/>
        <w:spacing w:line="360" w:lineRule="auto"/>
        <w:rPr>
          <w:rFonts w:ascii="Leelawadee" w:hAnsi="Leelawadee" w:cs="Leelawadee"/>
          <w:color w:val="000000"/>
          <w:sz w:val="20"/>
          <w:szCs w:val="20"/>
        </w:rPr>
      </w:pPr>
      <w:r>
        <w:rPr>
          <w:rFonts w:ascii="Leelawadee" w:hAnsi="Leelawadee" w:cs="Leelawadee"/>
          <w:sz w:val="20"/>
          <w:szCs w:val="20"/>
        </w:rPr>
        <w:t>[</w:t>
      </w:r>
      <w:bookmarkStart w:id="30" w:name="_GoBack"/>
      <w:r w:rsidRPr="00E51528">
        <w:rPr>
          <w:rFonts w:ascii="Leelawadee" w:hAnsi="Leelawadee" w:cs="Leelawadee"/>
          <w:b/>
          <w:sz w:val="20"/>
          <w:szCs w:val="20"/>
          <w:highlight w:val="yellow"/>
        </w:rPr>
        <w:t>Nota Monteiro Rusu</w:t>
      </w:r>
      <w:bookmarkEnd w:id="30"/>
      <w:r w:rsidRPr="00E51528">
        <w:rPr>
          <w:rFonts w:ascii="Leelawadee" w:hAnsi="Leelawadee" w:cs="Leelawadee"/>
          <w:sz w:val="20"/>
          <w:szCs w:val="20"/>
          <w:highlight w:val="yellow"/>
        </w:rPr>
        <w:t>: valores considerando liquidação no dia 02</w:t>
      </w:r>
      <w:r>
        <w:rPr>
          <w:rFonts w:ascii="Leelawadee" w:hAnsi="Leelawadee" w:cs="Leelawadee"/>
          <w:sz w:val="20"/>
          <w:szCs w:val="20"/>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lastRenderedPageBreak/>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87A3F8F"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r w:rsidR="00DF6E17">
              <w:rPr>
                <w:rFonts w:ascii="Leelawadee" w:hAnsi="Leelawadee" w:cs="Leelawadee"/>
                <w:color w:val="000000"/>
                <w:sz w:val="20"/>
                <w:szCs w:val="20"/>
              </w:rPr>
              <w:t xml:space="preserve">; </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517CB0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8C18A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r w:rsidR="00E51528">
              <w:rPr>
                <w:rFonts w:ascii="Leelawadee" w:hAnsi="Leelawadee" w:cs="Leelawadee"/>
                <w:sz w:val="20"/>
                <w:szCs w:val="20"/>
              </w:rPr>
              <w:t>[</w:t>
            </w:r>
            <w:proofErr w:type="gramStart"/>
            <w:r w:rsidR="00E51528" w:rsidRPr="00E51528">
              <w:rPr>
                <w:rFonts w:ascii="Leelawadee" w:hAnsi="Leelawadee" w:cs="Leelawadee"/>
                <w:sz w:val="20"/>
                <w:szCs w:val="20"/>
                <w:highlight w:val="yellow"/>
              </w:rPr>
              <w:t>+</w:t>
            </w:r>
            <w:proofErr w:type="gramEnd"/>
            <w:r w:rsidR="00E51528" w:rsidRPr="00E51528">
              <w:rPr>
                <w:rFonts w:ascii="Leelawadee" w:hAnsi="Leelawadee" w:cs="Leelawadee"/>
                <w:sz w:val="20"/>
                <w:szCs w:val="20"/>
                <w:highlight w:val="yellow"/>
              </w:rPr>
              <w:t xml:space="preserve"> ineficiência</w:t>
            </w:r>
            <w:r w:rsidR="00E51528">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w:t>
      </w:r>
      <w:r w:rsidRPr="001B4698">
        <w:rPr>
          <w:rFonts w:ascii="Leelawadee" w:hAnsi="Leelawadee" w:cs="Leelawadee"/>
          <w:color w:val="000000"/>
          <w:sz w:val="20"/>
          <w:szCs w:val="20"/>
        </w:rPr>
        <w:lastRenderedPageBreak/>
        <w:t xml:space="preserve">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Sda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SDb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r w:rsidRPr="009A231A">
        <w:rPr>
          <w:rFonts w:ascii="Leelawadee UI" w:hAnsi="Leelawadee UI" w:cs="Leelawadee UI"/>
          <w:sz w:val="20"/>
          <w:szCs w:val="20"/>
        </w:rPr>
        <w:t xml:space="preserve">Nik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lastRenderedPageBreak/>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Sda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62802EB3"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r w:rsidR="00E51528">
        <w:rPr>
          <w:rFonts w:ascii="Leelawadee" w:hAnsi="Leelawadee" w:cs="Leelawadee"/>
          <w:sz w:val="20"/>
          <w:szCs w:val="20"/>
        </w:rPr>
        <w:t>[</w:t>
      </w:r>
      <w:proofErr w:type="gramStart"/>
      <w:r w:rsidR="00E51528" w:rsidRPr="00865E56">
        <w:rPr>
          <w:rFonts w:ascii="Leelawadee" w:hAnsi="Leelawadee" w:cs="Leelawadee"/>
          <w:sz w:val="20"/>
          <w:szCs w:val="20"/>
          <w:highlight w:val="yellow"/>
        </w:rPr>
        <w:t>+</w:t>
      </w:r>
      <w:proofErr w:type="gramEnd"/>
      <w:r w:rsidR="00E51528" w:rsidRPr="00865E56">
        <w:rPr>
          <w:rFonts w:ascii="Leelawadee" w:hAnsi="Leelawadee" w:cs="Leelawadee"/>
          <w:sz w:val="20"/>
          <w:szCs w:val="20"/>
          <w:highlight w:val="yellow"/>
        </w:rPr>
        <w:t xml:space="preserve"> ineficiência</w:t>
      </w:r>
      <w:r w:rsidR="00E51528">
        <w:rPr>
          <w:rFonts w:ascii="Leelawadee" w:hAnsi="Leelawadee" w:cs="Leelawadee"/>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dcp</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5DE7F7AA"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Na hipótese de amortização extraordinária 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E51528"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E5152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E5152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inferior mais próximo ao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E51528"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r>
        <w:rPr>
          <w:rFonts w:ascii="Leelawadee UI" w:hAnsi="Leelawadee UI" w:cs="Leelawadee UI"/>
          <w:sz w:val="20"/>
          <w:szCs w:val="20"/>
        </w:rPr>
        <w:t>calculado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E51528"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E51528"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E51528"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E51528"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PMTi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PMTi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lastRenderedPageBreak/>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2F5300E4"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 xml:space="preserve">registrada na Associação Brasileira das Entidades dos </w:t>
      </w:r>
      <w:r w:rsidR="006E3B13" w:rsidRPr="001B4698">
        <w:rPr>
          <w:rFonts w:ascii="Leelawadee" w:hAnsi="Leelawadee" w:cs="Leelawadee"/>
          <w:bCs/>
          <w:color w:val="000000"/>
          <w:sz w:val="20"/>
          <w:szCs w:val="20"/>
        </w:rPr>
        <w:lastRenderedPageBreak/>
        <w:t>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w:t>
      </w:r>
      <w:r w:rsidRPr="00226E97">
        <w:rPr>
          <w:rFonts w:ascii="Leelawadee" w:hAnsi="Leelawadee" w:cs="Leelawadee"/>
          <w:color w:val="000000"/>
          <w:sz w:val="20"/>
          <w:szCs w:val="20"/>
        </w:rPr>
        <w:lastRenderedPageBreak/>
        <w:t>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61BA87C4"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(ii) do pagamento da Multa Indenizatória prevista no item 7.2. do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90763B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acione a Amortização Extraordinária 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w:t>
      </w:r>
      <w:r w:rsidR="0015013C" w:rsidRPr="001B4698">
        <w:rPr>
          <w:rFonts w:ascii="Leelawadee" w:hAnsi="Leelawadee" w:cs="Leelawadee"/>
          <w:color w:val="000000"/>
          <w:sz w:val="20"/>
          <w:szCs w:val="20"/>
        </w:rPr>
        <w:lastRenderedPageBreak/>
        <w:t>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w:t>
      </w:r>
      <w:r w:rsidR="00B46CC7" w:rsidRPr="001B4698">
        <w:rPr>
          <w:rFonts w:ascii="Leelawadee" w:hAnsi="Leelawadee" w:cs="Leelawadee"/>
          <w:color w:val="000000"/>
          <w:sz w:val="20"/>
          <w:szCs w:val="20"/>
        </w:rPr>
        <w:lastRenderedPageBreak/>
        <w:t>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lastRenderedPageBreak/>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w:t>
      </w:r>
      <w:r w:rsidRPr="001B4698">
        <w:rPr>
          <w:rFonts w:ascii="Leelawadee" w:hAnsi="Leelawadee" w:cs="Leelawadee"/>
          <w:color w:val="000000"/>
          <w:sz w:val="20"/>
          <w:szCs w:val="20"/>
        </w:rPr>
        <w:lastRenderedPageBreak/>
        <w:t xml:space="preserve">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 xml:space="preserve">dos CRI, incluindo, mas não se limitando a remuneração adicional, pelo trabalho de </w:t>
      </w:r>
      <w:r w:rsidR="00637341" w:rsidRPr="001B4698">
        <w:rPr>
          <w:rFonts w:ascii="Leelawadee" w:hAnsi="Leelawadee" w:cs="Leelawadee"/>
          <w:sz w:val="20"/>
          <w:szCs w:val="20"/>
        </w:rPr>
        <w:lastRenderedPageBreak/>
        <w:t>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 xml:space="preserve">“desta forma permanecem respondendo pelos débitos ali referidos a totalidade dos bens e das rendas do sujeito passivo, seu espólio ou sua </w:t>
      </w:r>
      <w:r w:rsidR="006120D4" w:rsidRPr="001B4698">
        <w:rPr>
          <w:rFonts w:ascii="Leelawadee" w:hAnsi="Leelawadee" w:cs="Leelawadee"/>
          <w:i/>
          <w:iCs/>
          <w:color w:val="000000"/>
          <w:sz w:val="20"/>
          <w:szCs w:val="20"/>
        </w:rPr>
        <w:lastRenderedPageBreak/>
        <w:t>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lastRenderedPageBreak/>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 xml:space="preserve">A sua atuação como Securitizadora de emissões de CRI depende da manutenção de seu registro de companhia aberta junto à CVM e </w:t>
      </w:r>
      <w:r w:rsidRPr="001B4698">
        <w:rPr>
          <w:rFonts w:ascii="Leelawadee" w:hAnsi="Leelawadee" w:cs="Leelawadee"/>
          <w:sz w:val="20"/>
          <w:szCs w:val="20"/>
        </w:rPr>
        <w:lastRenderedPageBreak/>
        <w:t>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xml:space="preserve">: Os CRI não foram objeto de classificação de risco por agência de rating¸ razão pela qual não se tem uma análise independente do risco de crédito assumido pelos investidores com a aquisição </w:t>
      </w:r>
      <w:r w:rsidRPr="001B4698">
        <w:rPr>
          <w:rFonts w:ascii="Leelawadee" w:hAnsi="Leelawadee" w:cs="Leelawadee"/>
          <w:color w:val="000000"/>
          <w:sz w:val="20"/>
          <w:szCs w:val="20"/>
        </w:rPr>
        <w:lastRenderedPageBreak/>
        <w:t>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30640889"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constitu</w:t>
      </w:r>
      <w:r w:rsidR="007824C0">
        <w:rPr>
          <w:rFonts w:ascii="Leelawadee" w:hAnsi="Leelawadee" w:cs="Leelawadee"/>
          <w:bCs/>
          <w:sz w:val="20"/>
          <w:szCs w:val="20"/>
        </w:rPr>
        <w:t>i</w:t>
      </w:r>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(viii)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(ix)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w:t>
      </w:r>
      <w:r w:rsidRPr="001B4698">
        <w:rPr>
          <w:rFonts w:ascii="Leelawadee" w:hAnsi="Leelawadee" w:cs="Leelawadee"/>
          <w:color w:val="000000"/>
          <w:sz w:val="20"/>
          <w:szCs w:val="20"/>
        </w:rPr>
        <w:lastRenderedPageBreak/>
        <w:t xml:space="preserve">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0815C98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Despesas Recorrentes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w:t>
      </w:r>
      <w:r w:rsidRPr="001B4698">
        <w:rPr>
          <w:rFonts w:ascii="Leelawadee" w:hAnsi="Leelawadee" w:cs="Leelawadee"/>
          <w:color w:val="000000"/>
          <w:sz w:val="20"/>
          <w:szCs w:val="20"/>
        </w:rPr>
        <w:lastRenderedPageBreak/>
        <w:t xml:space="preserve">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DE34341"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w:t>
      </w:r>
      <w:r w:rsidR="0085114B">
        <w:rPr>
          <w:rFonts w:ascii="Leelawadee" w:hAnsi="Leelawadee" w:cs="Leelawadee"/>
          <w:color w:val="000000"/>
          <w:sz w:val="20"/>
          <w:szCs w:val="20"/>
        </w:rPr>
        <w:t xml:space="preserve">e </w:t>
      </w:r>
      <w:r w:rsidR="00A31D60">
        <w:rPr>
          <w:rFonts w:ascii="Leelawadee" w:hAnsi="Leelawadee" w:cs="Leelawadee"/>
          <w:color w:val="000000"/>
          <w:sz w:val="20"/>
          <w:szCs w:val="20"/>
        </w:rPr>
        <w:t xml:space="preserve">(ii)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t xml:space="preserve">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w:t>
      </w:r>
      <w:r w:rsidRPr="00F2534D">
        <w:rPr>
          <w:rFonts w:ascii="Leelawadee" w:hAnsi="Leelawadee" w:cs="Leelawadee"/>
          <w:color w:val="000000"/>
          <w:sz w:val="20"/>
          <w:szCs w:val="20"/>
        </w:rPr>
        <w:lastRenderedPageBreak/>
        <w:t>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w:t>
      </w:r>
      <w:r w:rsidRPr="001B4698">
        <w:rPr>
          <w:rFonts w:ascii="Leelawadee" w:hAnsi="Leelawadee" w:cs="Leelawadee"/>
          <w:color w:val="000000"/>
          <w:sz w:val="20"/>
          <w:szCs w:val="20"/>
        </w:rPr>
        <w:lastRenderedPageBreak/>
        <w:t>(ii)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3259BB">
        <w:rPr>
          <w:rFonts w:ascii="Leelawadee" w:hAnsi="Leelawadee" w:cs="Leelawadee"/>
          <w:color w:val="000000"/>
          <w:sz w:val="20"/>
          <w:szCs w:val="20"/>
        </w:rPr>
        <w:t>conforme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1B4698">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7C983A30"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 xml:space="preserve">despesas com viagens e estadias, transportes e alimentação de seus agentes, contratação de especialistas, tais como auditoria </w:t>
      </w:r>
      <w:r w:rsidR="008C06D3" w:rsidRPr="001B4698">
        <w:rPr>
          <w:rFonts w:ascii="Leelawadee" w:hAnsi="Leelawadee" w:cs="Leelawadee"/>
          <w:color w:val="000000"/>
          <w:sz w:val="20"/>
          <w:szCs w:val="20"/>
        </w:rPr>
        <w:lastRenderedPageBreak/>
        <w:t>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B4698">
        <w:rPr>
          <w:rFonts w:ascii="Leelawadee" w:hAnsi="Leelawadee" w:cs="Leelawadee"/>
          <w:color w:val="000000"/>
          <w:sz w:val="20"/>
          <w:szCs w:val="20"/>
        </w:rPr>
        <w:lastRenderedPageBreak/>
        <w:t xml:space="preserve">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acompanhadas de cópia dos comprovantes pertinentes, ou mediante reembolso, </w:t>
      </w:r>
      <w:r w:rsidRPr="001B4698">
        <w:rPr>
          <w:rFonts w:ascii="Leelawadee" w:hAnsi="Leelawadee" w:cs="Leelawadee"/>
          <w:color w:val="000000"/>
          <w:sz w:val="20"/>
          <w:szCs w:val="20"/>
        </w:rPr>
        <w:lastRenderedPageBreak/>
        <w:t>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xml:space="preserve">, conforme alterada e dos artigos aplicáveis da Lei das Sociedades por Ações, estando este isento, sob qualquer forma ou pretexto, de qualquer responsabilidade adicional </w:t>
      </w:r>
      <w:r w:rsidR="00CD18C3" w:rsidRPr="001B4698">
        <w:rPr>
          <w:rFonts w:ascii="Leelawadee" w:hAnsi="Leelawadee" w:cs="Leelawadee"/>
          <w:color w:val="000000"/>
          <w:sz w:val="20"/>
          <w:szCs w:val="20"/>
        </w:rPr>
        <w:lastRenderedPageBreak/>
        <w:t>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r w:rsidRPr="001B4698">
        <w:rPr>
          <w:rFonts w:ascii="Leelawadee" w:hAnsi="Leelawadee" w:cs="Leelawadee"/>
          <w:color w:val="000000"/>
          <w:sz w:val="20"/>
          <w:szCs w:val="20"/>
        </w:rPr>
        <w:t>pela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 xml:space="preserve">afete a estrutura dos Créditos Imobiliários, sendo que os respectivos aditamentos serão </w:t>
      </w:r>
      <w:r w:rsidR="00F75C10" w:rsidRPr="001B4698">
        <w:rPr>
          <w:rFonts w:ascii="Leelawadee" w:hAnsi="Leelawadee" w:cs="Leelawadee"/>
          <w:sz w:val="20"/>
          <w:szCs w:val="20"/>
        </w:rPr>
        <w:lastRenderedPageBreak/>
        <w:t>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w:t>
      </w:r>
      <w:r w:rsidRPr="001B4698">
        <w:rPr>
          <w:rFonts w:ascii="Leelawadee" w:eastAsia="Arial Unicode MS" w:hAnsi="Leelawadee" w:cs="Leelawadee"/>
          <w:color w:val="000000"/>
          <w:sz w:val="20"/>
          <w:szCs w:val="20"/>
        </w:rPr>
        <w:lastRenderedPageBreak/>
        <w:t>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1B4698">
        <w:rPr>
          <w:rFonts w:ascii="Leelawadee" w:eastAsia="Arial Unicode MS" w:hAnsi="Leelawadee" w:cs="Leelawadee"/>
          <w:color w:val="000000"/>
          <w:sz w:val="20"/>
          <w:szCs w:val="20"/>
        </w:rPr>
        <w:lastRenderedPageBreak/>
        <w:t>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9"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At.: Matheus Gomes Faria / Pedro Paulo Farme d'Amoed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4CAB9AF9"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lastRenderedPageBreak/>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386B7C3D" w:rsidR="008F7F3D" w:rsidRPr="001A48F5" w:rsidRDefault="008F7F3D" w:rsidP="00D7183D">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9" w:name="_Ref9429017"/>
            <w:r w:rsidRPr="00FF5A94">
              <w:rPr>
                <w:rFonts w:ascii="Leelawadee" w:hAnsi="Leelawadee" w:cs="Leelawadee"/>
                <w:sz w:val="20"/>
                <w:szCs w:val="20"/>
                <w:lang w:eastAsia="en-US"/>
              </w:rPr>
              <w:t>FORMA DE REAJUSTE</w:t>
            </w:r>
            <w:bookmarkEnd w:id="1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5F8940DD"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644778EB"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25C08E8D"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monetariamente na forma ajustada no Contrato de Locação Imóvel IV, pro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3C1A1940"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E1BE2F"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2B445EFE"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1B216B1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CEDC786"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620F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Conj,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439EBE42"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5D8004F1"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2C5F467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Rua Joaquim Floriano, nº 466, bloco B, Conj,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C8D0FA"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4C3379" w:rsidRDefault="004C3379">
      <w:r>
        <w:separator/>
      </w:r>
    </w:p>
  </w:endnote>
  <w:endnote w:type="continuationSeparator" w:id="0">
    <w:p w14:paraId="174CDAB2" w14:textId="77777777" w:rsidR="004C3379" w:rsidRDefault="004C3379">
      <w:r>
        <w:continuationSeparator/>
      </w:r>
    </w:p>
  </w:endnote>
  <w:endnote w:type="continuationNotice" w:id="1">
    <w:p w14:paraId="025BB90D" w14:textId="77777777" w:rsidR="004C3379" w:rsidRDefault="004C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0000000"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4C3379" w:rsidRPr="00A2536B" w:rsidRDefault="004C3379">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E51528">
              <w:rPr>
                <w:rFonts w:ascii="Leelawadee" w:hAnsi="Leelawadee" w:cs="Leelawadee"/>
                <w:noProof/>
                <w:sz w:val="20"/>
                <w:szCs w:val="20"/>
              </w:rPr>
              <w:t>95</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E51528">
              <w:rPr>
                <w:rFonts w:ascii="Leelawadee" w:hAnsi="Leelawadee" w:cs="Leelawadee"/>
                <w:noProof/>
                <w:sz w:val="20"/>
                <w:szCs w:val="20"/>
              </w:rPr>
              <w:t>95</w:t>
            </w:r>
            <w:r w:rsidRPr="00A2536B">
              <w:rPr>
                <w:rFonts w:ascii="Leelawadee" w:hAnsi="Leelawadee" w:cs="Leelawadee"/>
                <w:sz w:val="20"/>
                <w:szCs w:val="20"/>
              </w:rPr>
              <w:fldChar w:fldCharType="end"/>
            </w:r>
          </w:p>
        </w:sdtContent>
      </w:sdt>
    </w:sdtContent>
  </w:sdt>
  <w:p w14:paraId="3A5F54A5" w14:textId="1CD11C94" w:rsidR="004C3379" w:rsidRPr="000663E5" w:rsidRDefault="004C3379"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4C3379" w:rsidRDefault="004C3379">
      <w:r>
        <w:separator/>
      </w:r>
    </w:p>
  </w:footnote>
  <w:footnote w:type="continuationSeparator" w:id="0">
    <w:p w14:paraId="562026D9" w14:textId="77777777" w:rsidR="004C3379" w:rsidRDefault="004C3379">
      <w:r>
        <w:continuationSeparator/>
      </w:r>
    </w:p>
  </w:footnote>
  <w:footnote w:type="continuationNotice" w:id="1">
    <w:p w14:paraId="6FA768B3" w14:textId="77777777" w:rsidR="004C3379" w:rsidRDefault="004C33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4C3379" w:rsidRDefault="004C3379"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CC"/>
    <w:rsid w:val="00033953"/>
    <w:rsid w:val="000341B6"/>
    <w:rsid w:val="00034A11"/>
    <w:rsid w:val="0003508A"/>
    <w:rsid w:val="00035E70"/>
    <w:rsid w:val="000373ED"/>
    <w:rsid w:val="0004018C"/>
    <w:rsid w:val="00041005"/>
    <w:rsid w:val="00042183"/>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2E4B"/>
    <w:rsid w:val="00A93E53"/>
    <w:rsid w:val="00A95543"/>
    <w:rsid w:val="00A965D6"/>
    <w:rsid w:val="00A97CFE"/>
    <w:rsid w:val="00AA0EBD"/>
    <w:rsid w:val="00AA2C86"/>
    <w:rsid w:val="00AA39D6"/>
    <w:rsid w:val="00AA41EC"/>
    <w:rsid w:val="00AA422D"/>
    <w:rsid w:val="00AA45AA"/>
    <w:rsid w:val="00AA58A8"/>
    <w:rsid w:val="00AA6365"/>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1BA7"/>
    <w:rsid w:val="00B6244A"/>
    <w:rsid w:val="00B6278B"/>
    <w:rsid w:val="00B62DEA"/>
    <w:rsid w:val="00B643A6"/>
    <w:rsid w:val="00B644A6"/>
    <w:rsid w:val="00B651BE"/>
    <w:rsid w:val="00B66866"/>
    <w:rsid w:val="00B66BCB"/>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296F"/>
    <w:rsid w:val="00BF2DC8"/>
    <w:rsid w:val="00BF3D9A"/>
    <w:rsid w:val="00BF40FE"/>
    <w:rsid w:val="00BF4302"/>
    <w:rsid w:val="00BF4829"/>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084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purl.org/dc/terms/"/>
    <ds:schemaRef ds:uri="e7b061de-c2f0-4c53-a923-a9f4f559c327"/>
    <ds:schemaRef ds:uri="http://schemas.microsoft.com/office/2006/metadata/properties"/>
    <ds:schemaRef ds:uri="http://schemas.microsoft.com/office/2006/documentManagement/types"/>
    <ds:schemaRef ds:uri="e7e20d6b-6bfd-4584-acd0-f8e90ec78944"/>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6F94B-87C3-4AB7-9CD9-46C0DFC4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95</Pages>
  <Words>27949</Words>
  <Characters>159684</Characters>
  <Application>Microsoft Office Word</Application>
  <DocSecurity>0</DocSecurity>
  <Lines>1330</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187259</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39</cp:revision>
  <cp:lastPrinted>2020-08-18T06:39:00Z</cp:lastPrinted>
  <dcterms:created xsi:type="dcterms:W3CDTF">2020-08-21T19:39:00Z</dcterms:created>
  <dcterms:modified xsi:type="dcterms:W3CDTF">2020-08-21T20:56:00Z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