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AD4C81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D4C81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D4C81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05837FDB" w:rsidR="00CE4B07" w:rsidRPr="00AD4C81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D4C81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="00574AF2" w:rsidRPr="00AD4C81">
        <w:rPr>
          <w:rFonts w:ascii="Verdana" w:hAnsi="Verdana"/>
          <w:bCs/>
          <w:sz w:val="20"/>
          <w:szCs w:val="20"/>
        </w:rPr>
        <w:fldChar w:fldCharType="begin"/>
      </w:r>
      <w:r w:rsidR="00574AF2" w:rsidRPr="00AD4C81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="00574AF2" w:rsidRPr="00AD4C81">
        <w:rPr>
          <w:rFonts w:ascii="Verdana" w:hAnsi="Verdana"/>
          <w:bCs/>
          <w:sz w:val="20"/>
          <w:szCs w:val="20"/>
        </w:rPr>
        <w:fldChar w:fldCharType="separate"/>
      </w:r>
      <w:r w:rsidR="00574AF2" w:rsidRPr="00AD4C81">
        <w:rPr>
          <w:rFonts w:ascii="Verdana" w:hAnsi="Verdana"/>
          <w:bCs/>
          <w:sz w:val="20"/>
          <w:szCs w:val="20"/>
        </w:rPr>
        <w:t>35300340949</w:t>
      </w:r>
      <w:r w:rsidR="00574AF2" w:rsidRPr="00AD4C81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25C514C1" w14:textId="77777777" w:rsidR="00CE4B07" w:rsidRPr="00AD4C81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AD4C81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AD4C81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AD4C81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AD4C81">
        <w:rPr>
          <w:rFonts w:ascii="Verdana" w:hAnsi="Verdana" w:cs="Times New Roman"/>
          <w:b/>
          <w:sz w:val="20"/>
          <w:szCs w:val="20"/>
        </w:rPr>
        <w:t xml:space="preserve">ISEC </w:t>
      </w:r>
      <w:r w:rsidRPr="00AD4C81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AC15A8D" w14:textId="4E3C7A27" w:rsidR="00AC4B8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1. DATA, HORA E LOCAL:</w:t>
      </w:r>
      <w:r w:rsidRPr="00AD4C81">
        <w:rPr>
          <w:rFonts w:ascii="Verdana" w:hAnsi="Verdana" w:cs="Times New Roman"/>
          <w:sz w:val="20"/>
          <w:szCs w:val="20"/>
        </w:rPr>
        <w:t xml:space="preserve"> Realizada em </w:t>
      </w:r>
      <w:r w:rsidR="000020EE" w:rsidRPr="00AD4C81">
        <w:rPr>
          <w:rFonts w:ascii="Verdana" w:hAnsi="Verdana" w:cs="Times New Roman"/>
          <w:sz w:val="20"/>
          <w:szCs w:val="20"/>
        </w:rPr>
        <w:t>15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de janeiro de 2021</w:t>
      </w:r>
      <w:r w:rsidRPr="00AD4C81">
        <w:rPr>
          <w:rFonts w:ascii="Verdana" w:hAnsi="Verdana" w:cs="Times New Roman"/>
          <w:sz w:val="20"/>
          <w:szCs w:val="20"/>
        </w:rPr>
        <w:t xml:space="preserve">, às </w:t>
      </w:r>
      <w:r w:rsidR="00F41242" w:rsidRPr="00AD4C81">
        <w:rPr>
          <w:rFonts w:ascii="Verdana" w:hAnsi="Verdana" w:cs="Times New Roman"/>
          <w:sz w:val="20"/>
          <w:szCs w:val="20"/>
        </w:rPr>
        <w:t>10</w:t>
      </w:r>
      <w:r w:rsidRPr="00AD4C81">
        <w:rPr>
          <w:rFonts w:ascii="Verdana" w:hAnsi="Verdana" w:cs="Times New Roman"/>
          <w:sz w:val="20"/>
          <w:szCs w:val="20"/>
        </w:rPr>
        <w:t xml:space="preserve"> horas, </w:t>
      </w:r>
      <w:r w:rsidR="00AC4B87" w:rsidRPr="00AD4C81">
        <w:rPr>
          <w:rFonts w:ascii="Verdana" w:hAnsi="Verdana" w:cs="Times New Roman"/>
          <w:sz w:val="20"/>
          <w:szCs w:val="20"/>
        </w:rPr>
        <w:t>de forma integralmente digital, nos termos da Instrução CVM nº 625 de 14 de maio de 2020 (“</w:t>
      </w:r>
      <w:r w:rsidR="00AC4B87" w:rsidRPr="00AD4C81">
        <w:rPr>
          <w:rFonts w:ascii="Verdana" w:hAnsi="Verdana" w:cs="Times New Roman"/>
          <w:sz w:val="20"/>
          <w:szCs w:val="20"/>
          <w:u w:val="single"/>
        </w:rPr>
        <w:t>ICVM 625</w:t>
      </w:r>
      <w:r w:rsidR="00AC4B87" w:rsidRPr="00AD4C81">
        <w:rPr>
          <w:rFonts w:ascii="Verdana" w:hAnsi="Verdana" w:cs="Times New Roman"/>
          <w:sz w:val="20"/>
          <w:szCs w:val="20"/>
        </w:rPr>
        <w:t>”), coordenada pela</w:t>
      </w:r>
      <w:r w:rsidRPr="00AD4C8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B1520" w:rsidRPr="00AD4C81">
        <w:rPr>
          <w:rFonts w:ascii="Verdana" w:hAnsi="Verdana" w:cs="Times New Roman"/>
          <w:sz w:val="20"/>
          <w:szCs w:val="20"/>
        </w:rPr>
        <w:t>Isec</w:t>
      </w:r>
      <w:proofErr w:type="spellEnd"/>
      <w:r w:rsidR="00AB1520" w:rsidRPr="00AD4C8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AD4C81">
        <w:rPr>
          <w:rFonts w:ascii="Verdana" w:hAnsi="Verdana" w:cs="Times New Roman"/>
          <w:sz w:val="20"/>
          <w:szCs w:val="20"/>
        </w:rPr>
        <w:t>Securitizadora</w:t>
      </w:r>
      <w:proofErr w:type="spellEnd"/>
      <w:r w:rsidRPr="00AD4C81">
        <w:rPr>
          <w:rFonts w:ascii="Verdana" w:hAnsi="Verdana" w:cs="Times New Roman"/>
          <w:sz w:val="20"/>
          <w:szCs w:val="20"/>
        </w:rPr>
        <w:t xml:space="preserve"> S.A. (“</w:t>
      </w:r>
      <w:r w:rsidRPr="00AD4C81">
        <w:rPr>
          <w:rFonts w:ascii="Verdana" w:hAnsi="Verdana" w:cs="Times New Roman"/>
          <w:sz w:val="20"/>
          <w:szCs w:val="20"/>
          <w:u w:val="single"/>
        </w:rPr>
        <w:t>Emissora</w:t>
      </w:r>
      <w:r w:rsidRPr="00AD4C81">
        <w:rPr>
          <w:rFonts w:ascii="Verdana" w:hAnsi="Verdana" w:cs="Times New Roman"/>
          <w:sz w:val="20"/>
          <w:szCs w:val="20"/>
        </w:rPr>
        <w:t xml:space="preserve">”), na </w:t>
      </w:r>
      <w:r w:rsidR="00AB1520" w:rsidRPr="00AD4C81">
        <w:rPr>
          <w:rFonts w:ascii="Verdana" w:hAnsi="Verdana" w:cs="Times New Roman"/>
          <w:sz w:val="20"/>
          <w:szCs w:val="20"/>
        </w:rPr>
        <w:t>cidade de São Paulo, e</w:t>
      </w:r>
      <w:r w:rsidRPr="00AD4C81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AD4C81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AD4C81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AD4C81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AD4C81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AD4C81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AD4C81">
        <w:rPr>
          <w:rFonts w:ascii="Verdana" w:hAnsi="Verdana"/>
          <w:spacing w:val="2"/>
          <w:w w:val="105"/>
          <w:sz w:val="20"/>
          <w:szCs w:val="20"/>
        </w:rPr>
        <w:t>04533-004</w:t>
      </w:r>
      <w:r w:rsidR="00AC4B87" w:rsidRPr="00AD4C81">
        <w:rPr>
          <w:rFonts w:ascii="Verdana" w:hAnsi="Verdana"/>
          <w:spacing w:val="2"/>
          <w:w w:val="105"/>
          <w:sz w:val="20"/>
          <w:szCs w:val="20"/>
        </w:rPr>
        <w:t>,</w:t>
      </w:r>
      <w:r w:rsidR="00AC4B87" w:rsidRPr="00AD4C81">
        <w:rPr>
          <w:rFonts w:ascii="Verdana" w:hAnsi="Verdana" w:cs="Times New Roman"/>
          <w:sz w:val="20"/>
          <w:szCs w:val="20"/>
        </w:rPr>
        <w:t xml:space="preserve"> com a dispensa de videoconferência em razão da presença dos Titulares dos CRI (conforme abaixo definido) representando 100% (cem por cento) dos CRI (conforme abaixo definido) em circulação, com os votos proferidos via e-mail que foram arquivados na sede da Securitizadora</w:t>
      </w:r>
      <w:r w:rsidRPr="00AD4C81">
        <w:rPr>
          <w:rFonts w:ascii="Verdana" w:hAnsi="Verdana" w:cs="Times New Roman"/>
          <w:sz w:val="20"/>
          <w:szCs w:val="20"/>
        </w:rPr>
        <w:t>.</w:t>
      </w:r>
    </w:p>
    <w:p w14:paraId="24A045EE" w14:textId="77777777" w:rsidR="00AC4B8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FC21310" w14:textId="49219300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1443A">
        <w:rPr>
          <w:rFonts w:ascii="Verdana" w:hAnsi="Verdana" w:cs="Times New Roman"/>
          <w:b/>
          <w:bCs/>
          <w:sz w:val="20"/>
          <w:szCs w:val="20"/>
        </w:rPr>
        <w:t>2</w:t>
      </w:r>
      <w:r w:rsidRPr="00AD4C81">
        <w:rPr>
          <w:rFonts w:ascii="Verdana" w:hAnsi="Verdana" w:cs="Times New Roman"/>
          <w:sz w:val="20"/>
          <w:szCs w:val="20"/>
        </w:rPr>
        <w:t>.</w:t>
      </w:r>
      <w:r w:rsidRPr="00AD4C81">
        <w:rPr>
          <w:rFonts w:ascii="Verdana" w:hAnsi="Verdana" w:cs="Times New Roman"/>
          <w:b/>
          <w:sz w:val="20"/>
          <w:szCs w:val="20"/>
        </w:rPr>
        <w:t>CONVOCAÇÃO:</w:t>
      </w:r>
      <w:r w:rsidRPr="00AD4C81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14.14 do Termo de Securitização de Créditos Imobiliários dos Certificados de Recebíveis Imobiliários da 5ª e 6ª Séries da 1ª Emissão da ISEC SECURITIZADORA S.A. (“</w:t>
      </w:r>
      <w:r w:rsidRPr="00AD4C81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D4C81">
        <w:rPr>
          <w:rFonts w:ascii="Verdana" w:hAnsi="Verdana" w:cs="Times New Roman"/>
          <w:sz w:val="20"/>
          <w:szCs w:val="20"/>
        </w:rPr>
        <w:t>” e “</w:t>
      </w:r>
      <w:r w:rsidRPr="00AD4C81">
        <w:rPr>
          <w:rFonts w:ascii="Verdana" w:hAnsi="Verdana" w:cs="Times New Roman"/>
          <w:sz w:val="20"/>
          <w:szCs w:val="20"/>
          <w:u w:val="single"/>
        </w:rPr>
        <w:t>CRI</w:t>
      </w:r>
      <w:r w:rsidRPr="00AD4C81">
        <w:rPr>
          <w:rFonts w:ascii="Verdana" w:hAnsi="Verdana" w:cs="Times New Roman"/>
          <w:sz w:val="20"/>
          <w:szCs w:val="20"/>
        </w:rPr>
        <w:t>”, respectivamente), em razão da presença de titulares dos CRI representando 100% (cem por cento) dos CRI em circulação.</w:t>
      </w:r>
    </w:p>
    <w:p w14:paraId="53625170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594DE56E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3</w:t>
      </w:r>
      <w:r w:rsidR="00CE4B07" w:rsidRPr="00AD4C81">
        <w:rPr>
          <w:rFonts w:ascii="Verdana" w:hAnsi="Verdana" w:cs="Times New Roman"/>
          <w:b/>
          <w:sz w:val="20"/>
          <w:szCs w:val="20"/>
        </w:rPr>
        <w:t>. PRESENÇA: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AD4C81">
        <w:rPr>
          <w:rFonts w:ascii="Verdana" w:hAnsi="Verdana" w:cs="Times New Roman"/>
          <w:sz w:val="20"/>
          <w:szCs w:val="20"/>
        </w:rPr>
        <w:t>es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AD4C81">
        <w:rPr>
          <w:rFonts w:ascii="Verdana" w:hAnsi="Verdana" w:cs="Times New Roman"/>
          <w:sz w:val="20"/>
          <w:szCs w:val="20"/>
        </w:rPr>
        <w:t>s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CRI </w:t>
      </w:r>
      <w:r w:rsidRPr="00AD4C81">
        <w:rPr>
          <w:rFonts w:ascii="Verdana" w:hAnsi="Verdana" w:cs="Times New Roman"/>
          <w:sz w:val="20"/>
          <w:szCs w:val="20"/>
        </w:rPr>
        <w:t>em circulação (“</w:t>
      </w:r>
      <w:r w:rsidRPr="00AD4C81">
        <w:rPr>
          <w:rFonts w:ascii="Verdana" w:hAnsi="Verdana" w:cs="Times New Roman"/>
          <w:sz w:val="20"/>
          <w:szCs w:val="20"/>
          <w:u w:val="single"/>
        </w:rPr>
        <w:t>Titulares dos CRI</w:t>
      </w:r>
      <w:r w:rsidRPr="00AD4C81">
        <w:rPr>
          <w:rFonts w:ascii="Verdana" w:hAnsi="Verdana" w:cs="Times New Roman"/>
          <w:sz w:val="20"/>
          <w:szCs w:val="20"/>
        </w:rPr>
        <w:t>”), conforme se apura na lista de presença de investidores anexa à presente ata (Anexo I)</w:t>
      </w:r>
      <w:r w:rsidR="00CE4B07" w:rsidRPr="00AD4C81">
        <w:rPr>
          <w:rFonts w:ascii="Verdana" w:hAnsi="Verdana" w:cs="Times New Roman"/>
          <w:sz w:val="20"/>
          <w:szCs w:val="20"/>
        </w:rPr>
        <w:t>; (</w:t>
      </w:r>
      <w:proofErr w:type="spellStart"/>
      <w:r w:rsidR="00CE4B07" w:rsidRPr="00AD4C81">
        <w:rPr>
          <w:rFonts w:ascii="Verdana" w:hAnsi="Verdana" w:cs="Times New Roman"/>
          <w:sz w:val="20"/>
          <w:szCs w:val="20"/>
        </w:rPr>
        <w:t>ii</w:t>
      </w:r>
      <w:proofErr w:type="spellEnd"/>
      <w:r w:rsidR="00CE4B07" w:rsidRPr="00AD4C81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AD4C81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="002415DD" w:rsidRPr="00AD4C81">
        <w:rPr>
          <w:rFonts w:ascii="Verdana" w:hAnsi="Verdana" w:cs="Times New Roman"/>
          <w:sz w:val="20"/>
          <w:szCs w:val="20"/>
        </w:rPr>
        <w:t>.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</w:t>
      </w:r>
      <w:r w:rsidR="002415DD" w:rsidRPr="00AD4C81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ME 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AD4C81">
        <w:rPr>
          <w:rFonts w:ascii="Verdana" w:hAnsi="Verdana" w:cs="Times New Roman"/>
          <w:sz w:val="20"/>
          <w:szCs w:val="20"/>
        </w:rPr>
        <w:t>15.227.994/0004-01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 </w:t>
      </w:r>
      <w:r w:rsidR="00CE4B07" w:rsidRPr="00AD4C81">
        <w:rPr>
          <w:rFonts w:ascii="Verdana" w:hAnsi="Verdana" w:cs="Times New Roman"/>
          <w:sz w:val="20"/>
          <w:szCs w:val="20"/>
        </w:rPr>
        <w:t>(“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Contrato 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Social; (iii) representantes da </w:t>
      </w:r>
      <w:r w:rsidR="002415DD" w:rsidRPr="00AD4C81">
        <w:rPr>
          <w:rFonts w:ascii="Verdana" w:hAnsi="Verdana" w:cs="Times New Roman"/>
          <w:sz w:val="20"/>
          <w:szCs w:val="20"/>
        </w:rPr>
        <w:t>Emissora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representada </w:t>
      </w:r>
      <w:r w:rsidR="00CE4B07" w:rsidRPr="00AD4C81">
        <w:rPr>
          <w:rFonts w:ascii="Verdana" w:hAnsi="Verdana" w:cs="Times New Roman"/>
          <w:sz w:val="20"/>
          <w:szCs w:val="20"/>
        </w:rPr>
        <w:t>na forma de seu Estatuto Social</w:t>
      </w:r>
      <w:r w:rsidRPr="00AD4C81">
        <w:rPr>
          <w:rFonts w:ascii="Verdana" w:hAnsi="Verdana" w:cs="Times New Roman"/>
          <w:sz w:val="20"/>
          <w:szCs w:val="20"/>
        </w:rPr>
        <w:t xml:space="preserve">; </w:t>
      </w:r>
      <w:r w:rsidR="004014D5" w:rsidRPr="00AD4C81">
        <w:rPr>
          <w:rFonts w:ascii="Verdana" w:hAnsi="Verdana" w:cs="Times New Roman"/>
          <w:sz w:val="20"/>
          <w:szCs w:val="20"/>
        </w:rPr>
        <w:t>(</w:t>
      </w:r>
      <w:proofErr w:type="spellStart"/>
      <w:r w:rsidR="004014D5" w:rsidRPr="00AD4C81">
        <w:rPr>
          <w:rFonts w:ascii="Verdana" w:hAnsi="Verdana" w:cs="Times New Roman"/>
          <w:sz w:val="20"/>
          <w:szCs w:val="20"/>
        </w:rPr>
        <w:t>iv</w:t>
      </w:r>
      <w:proofErr w:type="spellEnd"/>
      <w:r w:rsidR="004014D5" w:rsidRPr="00AD4C81">
        <w:rPr>
          <w:rFonts w:ascii="Verdana" w:hAnsi="Verdana" w:cs="Times New Roman"/>
          <w:sz w:val="20"/>
          <w:szCs w:val="20"/>
        </w:rPr>
        <w:t>)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</w:t>
      </w:r>
      <w:r w:rsidR="004014D5" w:rsidRPr="00AD4C81">
        <w:rPr>
          <w:rFonts w:ascii="Verdana" w:hAnsi="Verdana" w:cs="Times New Roman"/>
          <w:sz w:val="20"/>
          <w:szCs w:val="20"/>
        </w:rPr>
        <w:t xml:space="preserve">representantes da </w:t>
      </w:r>
      <w:r w:rsidR="004014D5" w:rsidRPr="00AD4C81">
        <w:rPr>
          <w:rFonts w:ascii="Verdana" w:hAnsi="Verdana"/>
          <w:sz w:val="20"/>
          <w:szCs w:val="20"/>
        </w:rPr>
        <w:t>LI Investimentos Imobiliários S.A.</w:t>
      </w:r>
      <w:r w:rsidR="004014D5" w:rsidRPr="00AD4C81">
        <w:rPr>
          <w:rFonts w:ascii="Verdana" w:hAnsi="Verdana" w:cs="Times New Roman"/>
          <w:sz w:val="20"/>
          <w:szCs w:val="20"/>
        </w:rPr>
        <w:t>, representada na forma de seu Estatuto Social.</w:t>
      </w:r>
    </w:p>
    <w:p w14:paraId="56D00CA5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6B54880B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4</w:t>
      </w:r>
      <w:r w:rsidR="00CE4B07" w:rsidRPr="00AD4C81">
        <w:rPr>
          <w:rFonts w:ascii="Verdana" w:hAnsi="Verdana" w:cs="Times New Roman"/>
          <w:b/>
          <w:sz w:val="20"/>
          <w:szCs w:val="20"/>
        </w:rPr>
        <w:t>. MESA: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Presidente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: </w:t>
      </w:r>
      <w:r w:rsidR="004014D5" w:rsidRPr="00AD4C81">
        <w:rPr>
          <w:rFonts w:ascii="Verdana" w:hAnsi="Verdana"/>
          <w:sz w:val="20"/>
          <w:szCs w:val="20"/>
        </w:rPr>
        <w:t>Frederico Pessoa Porto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e 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Secretário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: </w:t>
      </w:r>
      <w:r w:rsidRPr="00AD4C81">
        <w:rPr>
          <w:rFonts w:ascii="Verdana" w:hAnsi="Verdana" w:cs="Times New Roman"/>
          <w:sz w:val="20"/>
          <w:szCs w:val="20"/>
        </w:rPr>
        <w:t>Ana Carla Moliterno Gonçalves de Oliveira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. </w:t>
      </w:r>
    </w:p>
    <w:p w14:paraId="53F8F6BF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11EDBBA" w14:textId="1C54E7B8" w:rsidR="002415DD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5. ORDEM DO DIA:</w:t>
      </w:r>
      <w:r w:rsidRPr="00AD4C81">
        <w:rPr>
          <w:rFonts w:ascii="Verdana" w:hAnsi="Verdana" w:cs="Times New Roman"/>
          <w:sz w:val="20"/>
          <w:szCs w:val="20"/>
        </w:rPr>
        <w:t xml:space="preserve"> Deliberar sobre a seguinte ordem do dia: (i) </w:t>
      </w:r>
      <w:r w:rsidR="00B30DD9" w:rsidRPr="00AD4C81">
        <w:rPr>
          <w:rFonts w:ascii="Verdana" w:hAnsi="Verdana" w:cs="Times New Roman"/>
          <w:sz w:val="20"/>
          <w:szCs w:val="20"/>
        </w:rPr>
        <w:t>alterar a Cláusula 3.1, item “f”</w:t>
      </w:r>
      <w:r w:rsidR="005A41DD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 w:rsidRPr="00AD4C81">
        <w:rPr>
          <w:rFonts w:ascii="Verdana" w:hAnsi="Verdana" w:cs="Times New Roman"/>
          <w:sz w:val="20"/>
          <w:szCs w:val="20"/>
        </w:rPr>
        <w:t>, bem como Cláusula 5.</w:t>
      </w:r>
      <w:r w:rsidR="00F11D29" w:rsidRPr="00AD4C81">
        <w:rPr>
          <w:rFonts w:ascii="Verdana" w:hAnsi="Verdana" w:cs="Times New Roman"/>
          <w:sz w:val="20"/>
          <w:szCs w:val="20"/>
        </w:rPr>
        <w:t xml:space="preserve">3 </w:t>
      </w:r>
      <w:r w:rsidR="005A41DD" w:rsidRPr="00AD4C81">
        <w:rPr>
          <w:rFonts w:ascii="Verdana" w:hAnsi="Verdana" w:cs="Times New Roman"/>
          <w:sz w:val="20"/>
          <w:szCs w:val="20"/>
        </w:rPr>
        <w:t>do Termo de Securitização</w:t>
      </w:r>
      <w:r w:rsidR="00B30DD9" w:rsidRPr="00AD4C81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 </w:t>
      </w:r>
      <w:r w:rsidR="00285995" w:rsidRPr="00AD4C81">
        <w:rPr>
          <w:rFonts w:ascii="Verdana" w:hAnsi="Verdana" w:cs="Times New Roman"/>
          <w:sz w:val="20"/>
          <w:szCs w:val="20"/>
        </w:rPr>
        <w:t>a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AD4C81">
        <w:rPr>
          <w:rFonts w:ascii="Verdana" w:hAnsi="Verdana" w:cs="Times New Roman"/>
          <w:sz w:val="20"/>
          <w:szCs w:val="20"/>
        </w:rPr>
        <w:t>;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 w:rsidRPr="00AD4C81">
        <w:rPr>
          <w:rFonts w:ascii="Verdana" w:hAnsi="Verdana" w:cs="Times New Roman"/>
          <w:sz w:val="20"/>
          <w:szCs w:val="20"/>
        </w:rPr>
        <w:t>ii</w:t>
      </w:r>
      <w:proofErr w:type="spellEnd"/>
      <w:r w:rsidR="0003426B" w:rsidRPr="00AD4C81">
        <w:rPr>
          <w:rFonts w:ascii="Verdana" w:hAnsi="Verdana" w:cs="Times New Roman"/>
          <w:sz w:val="20"/>
          <w:szCs w:val="20"/>
        </w:rPr>
        <w:t xml:space="preserve">) 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alterar </w:t>
      </w:r>
      <w:r w:rsidR="00830AA8" w:rsidRPr="00AD4C81">
        <w:rPr>
          <w:rFonts w:ascii="Verdana" w:hAnsi="Verdana" w:cs="Times New Roman"/>
          <w:sz w:val="20"/>
          <w:szCs w:val="20"/>
        </w:rPr>
        <w:lastRenderedPageBreak/>
        <w:t>a Cláusula 3.1, item “h” do Termo de Securitização, Cláusula 5.1 do Termo de Securitização, bem como Anexo VII ao Termo de Securitização para alteração do cronograma de pagamento</w:t>
      </w:r>
      <w:r w:rsidR="00457C18">
        <w:rPr>
          <w:rFonts w:ascii="Verdana" w:hAnsi="Verdana" w:cs="Times New Roman"/>
          <w:sz w:val="20"/>
          <w:szCs w:val="20"/>
        </w:rPr>
        <w:t>s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830AA8" w:rsidRPr="00457C18">
        <w:rPr>
          <w:rFonts w:ascii="Verdana" w:hAnsi="Verdana" w:cs="Times New Roman"/>
          <w:sz w:val="20"/>
          <w:szCs w:val="20"/>
        </w:rPr>
        <w:t xml:space="preserve">instituição de período de carência </w:t>
      </w:r>
      <w:r w:rsidR="00457C18" w:rsidRPr="00457C18">
        <w:rPr>
          <w:rFonts w:ascii="Verdana" w:hAnsi="Verdana" w:cs="Arial"/>
          <w:sz w:val="20"/>
          <w:szCs w:val="20"/>
        </w:rPr>
        <w:t>de 6 (seis) meses</w:t>
      </w:r>
      <w:r w:rsidR="00457C18" w:rsidRPr="00457C18">
        <w:rPr>
          <w:rFonts w:ascii="Verdana" w:hAnsi="Verdana" w:cs="Times New Roman"/>
          <w:sz w:val="20"/>
          <w:szCs w:val="20"/>
        </w:rPr>
        <w:t xml:space="preserve"> para pagamento da Remuneração,</w:t>
      </w:r>
      <w:r w:rsidR="00457C18" w:rsidRPr="00457C18">
        <w:rPr>
          <w:rFonts w:ascii="Verdana" w:hAnsi="Verdana" w:cs="Arial"/>
          <w:sz w:val="20"/>
          <w:szCs w:val="20"/>
        </w:rPr>
        <w:t xml:space="preserve"> considerando, inclusive, a incorporação da Remuneração originalmente devida em janeiro de 2021, bem como, o novo cronograma de pagamentos da Remuneração e a alteração dos juros remuneratórios e da data de vencimento</w:t>
      </w:r>
      <w:r w:rsidR="00830AA8" w:rsidRPr="00457C18">
        <w:rPr>
          <w:rFonts w:ascii="Verdana" w:hAnsi="Verdana" w:cs="Times New Roman"/>
          <w:sz w:val="20"/>
          <w:szCs w:val="20"/>
        </w:rPr>
        <w:t>; (</w:t>
      </w:r>
      <w:proofErr w:type="spellStart"/>
      <w:r w:rsidR="00830AA8" w:rsidRPr="00457C18">
        <w:rPr>
          <w:rFonts w:ascii="Verdana" w:hAnsi="Verdana" w:cs="Times New Roman"/>
          <w:sz w:val="20"/>
          <w:szCs w:val="20"/>
        </w:rPr>
        <w:t>iii</w:t>
      </w:r>
      <w:proofErr w:type="spellEnd"/>
      <w:r w:rsidR="00830AA8" w:rsidRPr="00457C18">
        <w:rPr>
          <w:rFonts w:ascii="Verdana" w:hAnsi="Verdana" w:cs="Times New Roman"/>
          <w:sz w:val="20"/>
          <w:szCs w:val="20"/>
        </w:rPr>
        <w:t>) alterar a Cláusula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 3.1, itens “m” e “n” do Termo de Securitização respectivamente, para alteração da Data de Vencimento Final e do Prazo de vencimento, bem como a Cláusula 7.4 do Anexo I ao Termo de Securitização; e (</w:t>
      </w:r>
      <w:proofErr w:type="spellStart"/>
      <w:r w:rsidR="00830AA8" w:rsidRPr="00AD4C81">
        <w:rPr>
          <w:rFonts w:ascii="Verdana" w:hAnsi="Verdana" w:cs="Times New Roman"/>
          <w:sz w:val="20"/>
          <w:szCs w:val="20"/>
        </w:rPr>
        <w:t>iv</w:t>
      </w:r>
      <w:proofErr w:type="spellEnd"/>
      <w:r w:rsidR="00830AA8" w:rsidRPr="00AD4C81">
        <w:rPr>
          <w:rFonts w:ascii="Verdana" w:hAnsi="Verdana" w:cs="Times New Roman"/>
          <w:sz w:val="20"/>
          <w:szCs w:val="20"/>
        </w:rPr>
        <w:t>) autorizar a celebração dos aditamentos necessários ao Termo de Securitização e aos demais documentos da Oferta, com o objetivo de refletir as alterações ora aprovadas</w:t>
      </w:r>
      <w:r w:rsidR="00236204" w:rsidRPr="00AD4C81">
        <w:rPr>
          <w:rFonts w:ascii="Verdana" w:hAnsi="Verdana" w:cs="Times New Roman"/>
          <w:sz w:val="20"/>
          <w:szCs w:val="20"/>
        </w:rPr>
        <w:t>.</w:t>
      </w:r>
    </w:p>
    <w:p w14:paraId="67E015FB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6. DELIBERAÇÕES:</w:t>
      </w:r>
      <w:r w:rsidRPr="00AD4C81">
        <w:rPr>
          <w:rFonts w:ascii="Verdana" w:hAnsi="Verdana" w:cs="Times New Roman"/>
          <w:sz w:val="20"/>
          <w:szCs w:val="20"/>
        </w:rPr>
        <w:t xml:space="preserve"> 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AD4C81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AD4C81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AD4C81">
        <w:rPr>
          <w:rFonts w:ascii="Verdana" w:hAnsi="Verdana" w:cs="Times New Roman"/>
          <w:sz w:val="20"/>
          <w:szCs w:val="20"/>
        </w:rPr>
        <w:t xml:space="preserve">CRI </w:t>
      </w:r>
      <w:r w:rsidR="00B732D0" w:rsidRPr="00AD4C81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AD4C81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 o quanto segue</w:t>
      </w:r>
      <w:r w:rsidRPr="00AD4C81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AD4C81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4ACEC330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a alteração </w:t>
      </w:r>
      <w:r w:rsidRPr="00AD4C81">
        <w:rPr>
          <w:rFonts w:ascii="Verdana" w:hAnsi="Verdana" w:cs="Times New Roman"/>
          <w:sz w:val="20"/>
          <w:szCs w:val="20"/>
        </w:rPr>
        <w:t>da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Remuneração do</w:t>
      </w:r>
      <w:r w:rsidR="00836081" w:rsidRPr="00AD4C81">
        <w:rPr>
          <w:rFonts w:ascii="Verdana" w:hAnsi="Verdana" w:cs="Times New Roman"/>
          <w:sz w:val="20"/>
          <w:szCs w:val="20"/>
        </w:rPr>
        <w:t>s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</w:t>
      </w:r>
      <w:r w:rsidR="00836081" w:rsidRPr="00AD4C81">
        <w:rPr>
          <w:rFonts w:ascii="Verdana" w:hAnsi="Verdana" w:cs="Times New Roman"/>
          <w:sz w:val="20"/>
          <w:szCs w:val="20"/>
        </w:rPr>
        <w:t>CRI,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</w:t>
      </w:r>
      <w:r w:rsidRPr="00AD4C81">
        <w:rPr>
          <w:rFonts w:ascii="Verdana" w:hAnsi="Verdana" w:cs="Times New Roman"/>
          <w:sz w:val="20"/>
          <w:szCs w:val="20"/>
        </w:rPr>
        <w:t xml:space="preserve">com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um aumento de 1%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(um por cento)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na sobretaxa da remuneração a partir de </w:t>
      </w:r>
      <w:r w:rsidR="00320DC5" w:rsidRPr="00AD4C81">
        <w:rPr>
          <w:rFonts w:ascii="Verdana" w:hAnsi="Verdana" w:cs="Times New Roman"/>
          <w:sz w:val="20"/>
          <w:szCs w:val="20"/>
        </w:rPr>
        <w:t>2</w:t>
      </w:r>
      <w:r w:rsidR="00457C18">
        <w:rPr>
          <w:rFonts w:ascii="Verdana" w:hAnsi="Verdana" w:cs="Times New Roman"/>
          <w:sz w:val="20"/>
          <w:szCs w:val="20"/>
        </w:rPr>
        <w:t>2</w:t>
      </w:r>
      <w:r w:rsidR="00320DC5" w:rsidRPr="00AD4C81">
        <w:rPr>
          <w:rFonts w:ascii="Verdana" w:hAnsi="Verdana" w:cs="Times New Roman"/>
          <w:sz w:val="20"/>
          <w:szCs w:val="20"/>
        </w:rPr>
        <w:t xml:space="preserve"> de fevereiro</w:t>
      </w:r>
      <w:r w:rsidR="00C36446">
        <w:rPr>
          <w:rFonts w:ascii="Verdana" w:hAnsi="Verdana" w:cs="Times New Roman"/>
          <w:sz w:val="20"/>
          <w:szCs w:val="20"/>
        </w:rPr>
        <w:t xml:space="preserve"> de 2021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. Nesse sentido, passou a </w:t>
      </w:r>
      <w:r w:rsidR="00836081" w:rsidRPr="00AD4C81">
        <w:rPr>
          <w:rFonts w:ascii="Verdana" w:hAnsi="Verdana" w:cs="Times New Roman"/>
          <w:sz w:val="20"/>
          <w:szCs w:val="20"/>
        </w:rPr>
        <w:t>viger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 w:rsidRPr="00AD4C81">
        <w:rPr>
          <w:rFonts w:ascii="Verdana" w:hAnsi="Verdana" w:cs="Times New Roman"/>
          <w:sz w:val="20"/>
          <w:szCs w:val="20"/>
        </w:rPr>
        <w:t xml:space="preserve"> dos CRI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: (i) </w:t>
      </w:r>
      <w:bookmarkStart w:id="1" w:name="_Hlk61514942"/>
      <w:r w:rsidR="00FC755E" w:rsidRPr="00AD4C81">
        <w:rPr>
          <w:rFonts w:ascii="Verdana" w:hAnsi="Verdana"/>
          <w:sz w:val="20"/>
          <w:szCs w:val="20"/>
        </w:rPr>
        <w:t>a partir da Data da Integralização,</w:t>
      </w:r>
      <w:r w:rsidR="0072379C">
        <w:rPr>
          <w:rFonts w:ascii="Verdana" w:hAnsi="Verdana"/>
          <w:sz w:val="20"/>
          <w:szCs w:val="20"/>
        </w:rPr>
        <w:t xml:space="preserve"> </w:t>
      </w:r>
      <w:r w:rsidR="00830AA8" w:rsidRPr="00AD4C81">
        <w:rPr>
          <w:rFonts w:ascii="Verdana" w:hAnsi="Verdana"/>
          <w:sz w:val="20"/>
          <w:szCs w:val="20"/>
        </w:rPr>
        <w:t xml:space="preserve">até 22 de fevereiro de 2021, </w:t>
      </w:r>
      <w:r w:rsidR="00FC755E" w:rsidRPr="00AD4C81">
        <w:rPr>
          <w:rFonts w:ascii="Verdana" w:hAnsi="Verdana"/>
          <w:sz w:val="20"/>
          <w:szCs w:val="20"/>
        </w:rPr>
        <w:t>incidirão</w:t>
      </w:r>
      <w:bookmarkEnd w:id="1"/>
      <w:r w:rsidR="00FC755E" w:rsidRPr="00AD4C81">
        <w:rPr>
          <w:rFonts w:ascii="Verdana" w:hAnsi="Verdana"/>
          <w:sz w:val="20"/>
          <w:szCs w:val="20"/>
        </w:rPr>
        <w:t xml:space="preserve">,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sobre o Valor </w:t>
      </w:r>
      <w:r w:rsidR="00FC755E" w:rsidRPr="00AD4C81">
        <w:rPr>
          <w:rFonts w:ascii="Verdana" w:hAnsi="Verdana"/>
          <w:spacing w:val="4"/>
          <w:w w:val="105"/>
          <w:sz w:val="20"/>
          <w:szCs w:val="20"/>
        </w:rPr>
        <w:t xml:space="preserve">Nominal </w:t>
      </w:r>
      <w:r w:rsidR="00FC755E" w:rsidRPr="00AD4C81">
        <w:rPr>
          <w:rFonts w:ascii="Verdana" w:hAnsi="Verdana"/>
          <w:w w:val="105"/>
          <w:sz w:val="20"/>
          <w:szCs w:val="20"/>
        </w:rPr>
        <w:t>Unitár</w:t>
      </w:r>
      <w:r w:rsidR="00FC755E" w:rsidRPr="00AD4C81">
        <w:rPr>
          <w:rFonts w:ascii="Verdana" w:hAnsi="Verdana"/>
          <w:spacing w:val="-5"/>
          <w:w w:val="105"/>
          <w:sz w:val="20"/>
          <w:szCs w:val="20"/>
        </w:rPr>
        <w:t xml:space="preserve">io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dos </w:t>
      </w:r>
      <w:r w:rsidR="00FC755E" w:rsidRPr="00AD4C81">
        <w:rPr>
          <w:rFonts w:ascii="Verdana" w:hAnsi="Verdana"/>
          <w:spacing w:val="4"/>
          <w:w w:val="105"/>
          <w:sz w:val="20"/>
          <w:szCs w:val="20"/>
        </w:rPr>
        <w:t xml:space="preserve">CRI </w:t>
      </w:r>
      <w:r w:rsidR="00FC755E" w:rsidRPr="00AD4C81">
        <w:rPr>
          <w:rFonts w:ascii="Verdana" w:hAnsi="Verdana"/>
          <w:w w:val="105"/>
          <w:sz w:val="20"/>
          <w:szCs w:val="20"/>
        </w:rPr>
        <w:t>ou o saldo do Valor Nominal Unitário dos CRI, conforme o caso,</w:t>
      </w:r>
      <w:r w:rsidR="00FC755E" w:rsidRPr="00AD4C81">
        <w:rPr>
          <w:rFonts w:ascii="Verdana" w:hAnsi="Verdana"/>
          <w:sz w:val="20"/>
          <w:szCs w:val="20"/>
        </w:rPr>
        <w:t xml:space="preserve"> os juros remuneratórios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correspondentes a 100% (cem por cento) da Taxa </w:t>
      </w:r>
      <w:r w:rsidR="00FC755E" w:rsidRPr="00AD4C81">
        <w:rPr>
          <w:rFonts w:ascii="Verdana" w:hAnsi="Verdana"/>
          <w:spacing w:val="-3"/>
          <w:w w:val="105"/>
          <w:sz w:val="20"/>
          <w:szCs w:val="20"/>
        </w:rPr>
        <w:t xml:space="preserve">DI,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acrescida de uma sobretaxa equivalente a 5,00% (cinco inteiros por </w:t>
      </w:r>
      <w:r w:rsidR="00FC755E" w:rsidRPr="00AD4C81">
        <w:rPr>
          <w:rFonts w:ascii="Verdana" w:hAnsi="Verdana"/>
          <w:spacing w:val="2"/>
          <w:w w:val="105"/>
          <w:sz w:val="20"/>
          <w:szCs w:val="20"/>
        </w:rPr>
        <w:t xml:space="preserve">cento) </w:t>
      </w:r>
      <w:r w:rsidR="00FC755E" w:rsidRPr="00AD4C81">
        <w:rPr>
          <w:rFonts w:ascii="Verdana" w:hAnsi="Verdana"/>
          <w:w w:val="105"/>
          <w:sz w:val="20"/>
          <w:szCs w:val="20"/>
        </w:rPr>
        <w:t>ao ano, base 252 (duzentos e cinquenta e dois) Dias Úteis,</w:t>
      </w:r>
      <w:r w:rsidR="00E1443A">
        <w:rPr>
          <w:rFonts w:ascii="Verdana" w:hAnsi="Verdana"/>
          <w:w w:val="105"/>
          <w:sz w:val="20"/>
          <w:szCs w:val="20"/>
        </w:rPr>
        <w:t xml:space="preserve"> </w:t>
      </w:r>
      <w:r w:rsidR="00E1443A">
        <w:rPr>
          <w:rFonts w:ascii="Verdana" w:hAnsi="Verdana"/>
          <w:sz w:val="20"/>
          <w:szCs w:val="20"/>
        </w:rPr>
        <w:t xml:space="preserve">de tal forma que, para a apuração da remuneração devida em 22 de fevereiro de 2021 será utilizada na apuração do </w:t>
      </w:r>
      <w:proofErr w:type="spellStart"/>
      <w:r w:rsidR="00E1443A">
        <w:rPr>
          <w:rFonts w:ascii="Verdana" w:hAnsi="Verdana"/>
          <w:sz w:val="20"/>
          <w:szCs w:val="20"/>
        </w:rPr>
        <w:t>FatorDI</w:t>
      </w:r>
      <w:proofErr w:type="spellEnd"/>
      <w:r w:rsidR="00E1443A">
        <w:rPr>
          <w:rFonts w:ascii="Verdana" w:hAnsi="Verdana"/>
          <w:sz w:val="20"/>
          <w:szCs w:val="20"/>
        </w:rPr>
        <w:t xml:space="preserve">, a Taxa DI de 21 de fevereiro de 2021, assim como o spread de 5,00% a.a., </w:t>
      </w:r>
      <w:proofErr w:type="spellStart"/>
      <w:r w:rsidR="00E1443A">
        <w:rPr>
          <w:rFonts w:ascii="Verdana" w:hAnsi="Verdana"/>
          <w:sz w:val="20"/>
          <w:szCs w:val="20"/>
        </w:rPr>
        <w:t>pro-rata</w:t>
      </w:r>
      <w:proofErr w:type="spellEnd"/>
      <w:r w:rsidR="00E1443A">
        <w:rPr>
          <w:rFonts w:ascii="Verdana" w:hAnsi="Verdana"/>
          <w:sz w:val="20"/>
          <w:szCs w:val="20"/>
        </w:rPr>
        <w:t xml:space="preserve"> 21 (vinte e um) Dias Úteis;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 e (</w:t>
      </w:r>
      <w:proofErr w:type="spellStart"/>
      <w:r w:rsidR="00FC755E" w:rsidRPr="00AD4C81">
        <w:rPr>
          <w:rFonts w:ascii="Verdana" w:hAnsi="Verdana"/>
          <w:w w:val="105"/>
          <w:sz w:val="20"/>
          <w:szCs w:val="20"/>
        </w:rPr>
        <w:t>ii</w:t>
      </w:r>
      <w:proofErr w:type="spellEnd"/>
      <w:r w:rsidR="00FC755E" w:rsidRPr="00AD4C81">
        <w:rPr>
          <w:rFonts w:ascii="Verdana" w:hAnsi="Verdana"/>
          <w:w w:val="105"/>
          <w:sz w:val="20"/>
          <w:szCs w:val="20"/>
        </w:rPr>
        <w:t>)</w:t>
      </w:r>
      <w:bookmarkStart w:id="2" w:name="_Hlk60940287"/>
      <w:r w:rsidR="00FC755E" w:rsidRPr="00AD4C81">
        <w:rPr>
          <w:rFonts w:ascii="Verdana" w:hAnsi="Verdana"/>
          <w:sz w:val="20"/>
          <w:szCs w:val="20"/>
        </w:rPr>
        <w:t xml:space="preserve"> </w:t>
      </w:r>
      <w:bookmarkStart w:id="3" w:name="_Hlk61514962"/>
      <w:r w:rsidR="00FC755E" w:rsidRPr="00AD4C81">
        <w:rPr>
          <w:rFonts w:ascii="Verdana" w:hAnsi="Verdana"/>
          <w:sz w:val="20"/>
          <w:szCs w:val="20"/>
        </w:rPr>
        <w:t xml:space="preserve">a partir de </w:t>
      </w:r>
      <w:bookmarkEnd w:id="2"/>
      <w:r w:rsidR="00830AA8" w:rsidRPr="00AD4C81">
        <w:rPr>
          <w:rFonts w:ascii="Verdana" w:hAnsi="Verdana"/>
          <w:sz w:val="20"/>
          <w:szCs w:val="20"/>
        </w:rPr>
        <w:t>2</w:t>
      </w:r>
      <w:r w:rsidR="00E1443A">
        <w:rPr>
          <w:rFonts w:ascii="Verdana" w:hAnsi="Verdana"/>
          <w:sz w:val="20"/>
          <w:szCs w:val="20"/>
        </w:rPr>
        <w:t>2</w:t>
      </w:r>
      <w:r w:rsidR="00830AA8" w:rsidRPr="00AD4C81">
        <w:rPr>
          <w:rFonts w:ascii="Verdana" w:hAnsi="Verdana"/>
          <w:sz w:val="20"/>
          <w:szCs w:val="20"/>
        </w:rPr>
        <w:t xml:space="preserve"> de fevereiro de 2021, até a </w:t>
      </w:r>
      <w:r w:rsidR="0072379C">
        <w:rPr>
          <w:rFonts w:ascii="Verdana" w:hAnsi="Verdana"/>
          <w:sz w:val="20"/>
          <w:szCs w:val="20"/>
        </w:rPr>
        <w:t>Data de Vencimento,</w:t>
      </w:r>
      <w:r w:rsidR="00830AA8" w:rsidRPr="00AD4C81">
        <w:rPr>
          <w:rFonts w:ascii="Verdana" w:hAnsi="Verdana"/>
          <w:sz w:val="20"/>
          <w:szCs w:val="20"/>
        </w:rPr>
        <w:t xml:space="preserve"> incidirão juros remuneratórios correspondentes </w:t>
      </w:r>
      <w:r w:rsidR="00776BC7" w:rsidRPr="00AD4C81">
        <w:rPr>
          <w:rFonts w:ascii="Verdana" w:hAnsi="Verdana"/>
          <w:sz w:val="20"/>
          <w:szCs w:val="20"/>
        </w:rPr>
        <w:t xml:space="preserve">a </w:t>
      </w:r>
      <w:bookmarkEnd w:id="3"/>
      <w:r w:rsidR="00FC755E" w:rsidRPr="00AD4C81">
        <w:rPr>
          <w:rFonts w:ascii="Verdana" w:hAnsi="Verdana"/>
          <w:sz w:val="20"/>
          <w:szCs w:val="20"/>
        </w:rPr>
        <w:t>100% (cem por cento) da Taxa DI, acrescida de uma sobretaxa equivalente a 6,00% (seis inteiros por cento) ao ano, base 252 (duzentos e cinquenta e dois) Dias Úteis</w:t>
      </w:r>
      <w:r w:rsidR="00E1443A">
        <w:rPr>
          <w:rFonts w:ascii="Verdana" w:hAnsi="Verdana"/>
          <w:sz w:val="20"/>
        </w:rPr>
        <w:t xml:space="preserve">, </w:t>
      </w:r>
      <w:r w:rsidR="00E1443A">
        <w:rPr>
          <w:rFonts w:ascii="Verdana" w:hAnsi="Verdana"/>
          <w:sz w:val="20"/>
          <w:szCs w:val="20"/>
        </w:rPr>
        <w:t>de tal forma que, a Remuneração devida em 2</w:t>
      </w:r>
      <w:r w:rsidR="00E85FE2">
        <w:rPr>
          <w:rFonts w:ascii="Verdana" w:hAnsi="Verdana"/>
          <w:sz w:val="20"/>
          <w:szCs w:val="20"/>
        </w:rPr>
        <w:t>3</w:t>
      </w:r>
      <w:r w:rsidR="00E1443A">
        <w:rPr>
          <w:rFonts w:ascii="Verdana" w:hAnsi="Verdana"/>
          <w:sz w:val="20"/>
          <w:szCs w:val="20"/>
        </w:rPr>
        <w:t xml:space="preserve"> de fevereiro de 2021 será composta pela aplicação da Taxa DI do dia 22 de fevereiro de 2021 e, pelo spread de 6,00% a.a., </w:t>
      </w:r>
      <w:proofErr w:type="spellStart"/>
      <w:r w:rsidR="00E1443A">
        <w:rPr>
          <w:rFonts w:ascii="Verdana" w:hAnsi="Verdana"/>
          <w:sz w:val="20"/>
          <w:szCs w:val="20"/>
        </w:rPr>
        <w:t>pro-rata</w:t>
      </w:r>
      <w:proofErr w:type="spellEnd"/>
      <w:r w:rsidR="00E1443A">
        <w:rPr>
          <w:rFonts w:ascii="Verdana" w:hAnsi="Verdana"/>
          <w:sz w:val="20"/>
          <w:szCs w:val="20"/>
        </w:rPr>
        <w:t xml:space="preserve"> 1 (um) Dia Útil</w:t>
      </w:r>
      <w:r w:rsidR="00FC755E" w:rsidRPr="00AD4C81">
        <w:rPr>
          <w:rFonts w:ascii="Verdana" w:hAnsi="Verdana"/>
          <w:sz w:val="20"/>
          <w:szCs w:val="20"/>
        </w:rPr>
        <w:t xml:space="preserve">. </w:t>
      </w:r>
      <w:r w:rsidRPr="00AD4C81">
        <w:rPr>
          <w:rFonts w:ascii="Verdana" w:hAnsi="Verdana"/>
          <w:sz w:val="20"/>
          <w:szCs w:val="20"/>
        </w:rPr>
        <w:t>A</w:t>
      </w:r>
      <w:r w:rsidR="00FC755E" w:rsidRPr="00AD4C81">
        <w:rPr>
          <w:rFonts w:ascii="Verdana" w:hAnsi="Verdana"/>
          <w:sz w:val="20"/>
          <w:szCs w:val="20"/>
        </w:rPr>
        <w:t>ssim,</w:t>
      </w:r>
      <w:r w:rsidRPr="00AD4C81">
        <w:rPr>
          <w:rFonts w:ascii="Verdana" w:hAnsi="Verdana"/>
          <w:sz w:val="20"/>
          <w:szCs w:val="20"/>
        </w:rPr>
        <w:t xml:space="preserve"> fica aprovada</w:t>
      </w:r>
      <w:r w:rsidR="00FC755E" w:rsidRPr="00AD4C81">
        <w:rPr>
          <w:rFonts w:ascii="Verdana" w:hAnsi="Verdana"/>
          <w:sz w:val="20"/>
          <w:szCs w:val="20"/>
        </w:rPr>
        <w:t xml:space="preserve"> a </w:t>
      </w:r>
      <w:r w:rsidR="00F16D80" w:rsidRPr="00AD4C81">
        <w:rPr>
          <w:rFonts w:ascii="Verdana" w:hAnsi="Verdana" w:cs="Times New Roman"/>
          <w:sz w:val="20"/>
          <w:szCs w:val="20"/>
        </w:rPr>
        <w:t>altera</w:t>
      </w:r>
      <w:r w:rsidR="00FC755E" w:rsidRPr="00AD4C81">
        <w:rPr>
          <w:rFonts w:ascii="Verdana" w:hAnsi="Verdana" w:cs="Times New Roman"/>
          <w:sz w:val="20"/>
          <w:szCs w:val="20"/>
        </w:rPr>
        <w:t>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  <w:r w:rsidR="00FC755E" w:rsidRPr="00AD4C81">
        <w:rPr>
          <w:rFonts w:ascii="Verdana" w:hAnsi="Verdana" w:cs="Times New Roman"/>
          <w:sz w:val="20"/>
          <w:szCs w:val="20"/>
        </w:rPr>
        <w:t>d</w:t>
      </w:r>
      <w:r w:rsidR="00F16D80" w:rsidRPr="00AD4C81">
        <w:rPr>
          <w:rFonts w:ascii="Verdana" w:hAnsi="Verdana" w:cs="Times New Roman"/>
          <w:sz w:val="20"/>
          <w:szCs w:val="20"/>
        </w:rPr>
        <w:t>a Cláusula 3.1, item “f”</w:t>
      </w:r>
      <w:r w:rsidR="00836081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da </w:t>
      </w:r>
      <w:r w:rsidR="00F16D80" w:rsidRPr="00AD4C81">
        <w:rPr>
          <w:rFonts w:ascii="Verdana" w:hAnsi="Verdana" w:cs="Times New Roman"/>
          <w:sz w:val="20"/>
          <w:szCs w:val="20"/>
        </w:rPr>
        <w:t>Cláusula 5.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3 </w:t>
      </w:r>
      <w:r w:rsidR="00FC755E" w:rsidRPr="00AD4C81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; </w:t>
      </w:r>
    </w:p>
    <w:p w14:paraId="5AD1CCF9" w14:textId="77777777" w:rsidR="00F16D80" w:rsidRPr="00AD4C81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3B5F0891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o </w:t>
      </w:r>
      <w:r w:rsidR="00385D0D" w:rsidRPr="00AD4C81">
        <w:rPr>
          <w:rFonts w:ascii="Verdana" w:hAnsi="Verdana" w:cs="Times New Roman"/>
          <w:sz w:val="20"/>
          <w:szCs w:val="20"/>
        </w:rPr>
        <w:t>novo cronograma de pagamento</w:t>
      </w:r>
      <w:r w:rsidR="00AE56A6" w:rsidRPr="00AD4C81">
        <w:rPr>
          <w:rFonts w:ascii="Verdana" w:hAnsi="Verdana" w:cs="Times New Roman"/>
          <w:sz w:val="20"/>
          <w:szCs w:val="20"/>
        </w:rPr>
        <w:t xml:space="preserve"> da Remuneração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, </w:t>
      </w:r>
      <w:r w:rsidRPr="00AD4C81">
        <w:rPr>
          <w:rFonts w:ascii="Verdana" w:hAnsi="Verdana" w:cs="Times New Roman"/>
          <w:sz w:val="20"/>
          <w:szCs w:val="20"/>
        </w:rPr>
        <w:t xml:space="preserve">com 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a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concessão 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de 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um período de carência </w:t>
      </w:r>
      <w:r w:rsidR="00604355" w:rsidRPr="00457C18">
        <w:rPr>
          <w:rFonts w:ascii="Verdana" w:hAnsi="Verdana" w:cs="Times New Roman"/>
          <w:sz w:val="20"/>
          <w:szCs w:val="20"/>
        </w:rPr>
        <w:t xml:space="preserve">para pagamento da Remuneração de 6 (seis) meses, </w:t>
      </w:r>
      <w:r w:rsidR="00457C18" w:rsidRPr="00457C18">
        <w:rPr>
          <w:rFonts w:ascii="Verdana" w:hAnsi="Verdana" w:cs="Times New Roman"/>
          <w:sz w:val="20"/>
          <w:szCs w:val="20"/>
        </w:rPr>
        <w:lastRenderedPageBreak/>
        <w:t xml:space="preserve">sendo os valores de Remuneração devidos mensalmente desde </w:t>
      </w:r>
      <w:proofErr w:type="gramStart"/>
      <w:r w:rsidR="00457C18" w:rsidRPr="00457C18">
        <w:rPr>
          <w:rFonts w:ascii="Verdana" w:hAnsi="Verdana" w:cs="Times New Roman"/>
          <w:sz w:val="20"/>
          <w:szCs w:val="20"/>
        </w:rPr>
        <w:t>Janeiro</w:t>
      </w:r>
      <w:proofErr w:type="gramEnd"/>
      <w:r w:rsidR="00457C18" w:rsidRPr="00457C18">
        <w:rPr>
          <w:rFonts w:ascii="Verdana" w:hAnsi="Verdana" w:cs="Times New Roman"/>
          <w:sz w:val="20"/>
          <w:szCs w:val="20"/>
        </w:rPr>
        <w:t>/2021, inclusive, até Junho/2021, inclusive, incorporados ao Valor Nominal Unitário nas respectivas datas de pagamento em cada mês</w:t>
      </w:r>
      <w:r w:rsidR="00AE56A6" w:rsidRPr="00457C18">
        <w:rPr>
          <w:rFonts w:ascii="Verdana" w:hAnsi="Verdana" w:cs="Times New Roman"/>
          <w:sz w:val="20"/>
          <w:szCs w:val="20"/>
        </w:rPr>
        <w:t>. S</w:t>
      </w:r>
      <w:r w:rsidR="00604355" w:rsidRPr="00457C18">
        <w:rPr>
          <w:rFonts w:ascii="Verdana" w:hAnsi="Verdana" w:cs="Times New Roman"/>
          <w:sz w:val="20"/>
          <w:szCs w:val="20"/>
        </w:rPr>
        <w:t>endo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assim, </w:t>
      </w:r>
      <w:r w:rsidRPr="00AD4C81">
        <w:rPr>
          <w:rFonts w:ascii="Verdana" w:hAnsi="Verdana" w:cs="Times New Roman"/>
          <w:sz w:val="20"/>
          <w:szCs w:val="20"/>
        </w:rPr>
        <w:t xml:space="preserve">fica aprovada 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a </w:t>
      </w:r>
      <w:r w:rsidR="00F16D80" w:rsidRPr="00AD4C81">
        <w:rPr>
          <w:rFonts w:ascii="Verdana" w:hAnsi="Verdana" w:cs="Times New Roman"/>
          <w:sz w:val="20"/>
          <w:szCs w:val="20"/>
        </w:rPr>
        <w:t>altera</w:t>
      </w:r>
      <w:r w:rsidR="00604355" w:rsidRPr="00AD4C81">
        <w:rPr>
          <w:rFonts w:ascii="Verdana" w:hAnsi="Verdana" w:cs="Times New Roman"/>
          <w:sz w:val="20"/>
          <w:szCs w:val="20"/>
        </w:rPr>
        <w:t>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  <w:r w:rsidR="00604355" w:rsidRPr="00AD4C81">
        <w:rPr>
          <w:rFonts w:ascii="Verdana" w:hAnsi="Verdana" w:cs="Times New Roman"/>
          <w:sz w:val="20"/>
          <w:szCs w:val="20"/>
        </w:rPr>
        <w:t>d</w:t>
      </w:r>
      <w:r w:rsidR="00F16D80" w:rsidRPr="00AD4C81">
        <w:rPr>
          <w:rFonts w:ascii="Verdana" w:hAnsi="Verdana" w:cs="Times New Roman"/>
          <w:sz w:val="20"/>
          <w:szCs w:val="20"/>
        </w:rPr>
        <w:t>a Cláusula Terceira, artigo 3.1, item “h”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>, Cláusula Quinta, artigo 5.1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457C18">
        <w:rPr>
          <w:rFonts w:ascii="Verdana" w:hAnsi="Verdana" w:cs="Times New Roman"/>
          <w:sz w:val="20"/>
          <w:szCs w:val="20"/>
        </w:rPr>
        <w:t xml:space="preserve">do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Anexo VII ao Termo de Securitização para </w:t>
      </w:r>
      <w:r w:rsidR="00604355" w:rsidRPr="00AD4C81">
        <w:rPr>
          <w:rFonts w:ascii="Verdana" w:hAnsi="Verdana" w:cs="Times New Roman"/>
          <w:sz w:val="20"/>
          <w:szCs w:val="20"/>
        </w:rPr>
        <w:t>refletir o novo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cronograma de pagamento</w:t>
      </w:r>
      <w:r w:rsidRPr="00AD4C81">
        <w:rPr>
          <w:rFonts w:ascii="Verdana" w:hAnsi="Verdana" w:cs="Times New Roman"/>
          <w:sz w:val="20"/>
          <w:szCs w:val="20"/>
        </w:rPr>
        <w:t>, conforme previsto abaixo: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44E13E0" w:rsidR="00F16D80" w:rsidRPr="00AD4C81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444" w:type="dxa"/>
        <w:tblInd w:w="-79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"/>
        <w:gridCol w:w="1678"/>
        <w:gridCol w:w="1701"/>
        <w:gridCol w:w="1545"/>
        <w:gridCol w:w="1545"/>
        <w:gridCol w:w="1588"/>
        <w:gridCol w:w="992"/>
      </w:tblGrid>
      <w:tr w:rsidR="00457C18" w:rsidRPr="00AD4C81" w14:paraId="008BE23C" w14:textId="77777777" w:rsidTr="00457C18">
        <w:trPr>
          <w:trHeight w:val="340"/>
        </w:trPr>
        <w:tc>
          <w:tcPr>
            <w:tcW w:w="395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0AED" w14:textId="77777777" w:rsidR="00457C18" w:rsidRPr="00AD4C81" w:rsidRDefault="00457C18" w:rsidP="00457C1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1678" w:type="dxa"/>
            <w:shd w:val="clear" w:color="auto" w:fill="6E6E6E"/>
          </w:tcPr>
          <w:p w14:paraId="50CEEE41" w14:textId="77777777" w:rsidR="00457C18" w:rsidRPr="00AD4C81" w:rsidRDefault="00457C18" w:rsidP="00457C1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Aniversário Debêntures (DU)</w:t>
            </w:r>
          </w:p>
        </w:tc>
        <w:tc>
          <w:tcPr>
            <w:tcW w:w="17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70A62" w14:textId="77777777" w:rsidR="00457C18" w:rsidRPr="00AD4C81" w:rsidRDefault="00457C18" w:rsidP="00457C1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Pagamento Debêntures (DU)</w:t>
            </w:r>
          </w:p>
        </w:tc>
        <w:tc>
          <w:tcPr>
            <w:tcW w:w="1545" w:type="dxa"/>
            <w:shd w:val="clear" w:color="auto" w:fill="6E6E6E"/>
          </w:tcPr>
          <w:p w14:paraId="1676121E" w14:textId="77777777" w:rsidR="00457C18" w:rsidRPr="00AD4C81" w:rsidRDefault="00457C18" w:rsidP="00457C1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Aniversário CRI (DU)</w:t>
            </w:r>
          </w:p>
        </w:tc>
        <w:tc>
          <w:tcPr>
            <w:tcW w:w="1545" w:type="dxa"/>
            <w:shd w:val="clear" w:color="auto" w:fill="6E6E6E"/>
          </w:tcPr>
          <w:p w14:paraId="4AA1CB6F" w14:textId="77777777" w:rsidR="00457C18" w:rsidRPr="00AD4C81" w:rsidRDefault="00457C18" w:rsidP="00457C1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Pagamento CRI (DU)</w:t>
            </w:r>
          </w:p>
        </w:tc>
        <w:tc>
          <w:tcPr>
            <w:tcW w:w="1588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AE4A0" w14:textId="77777777" w:rsidR="00457C18" w:rsidRPr="009A5422" w:rsidRDefault="00457C18" w:rsidP="00457C18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A5422">
              <w:rPr>
                <w:b/>
                <w:bCs/>
                <w:color w:val="FFFFFF"/>
                <w:sz w:val="20"/>
                <w:szCs w:val="20"/>
              </w:rPr>
              <w:t>Cronograma dos Eventos de Pagamento</w:t>
            </w:r>
          </w:p>
          <w:p w14:paraId="3C06468E" w14:textId="5054D3B7" w:rsidR="00457C18" w:rsidRPr="00AD4C81" w:rsidRDefault="00457C18" w:rsidP="00457C1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D7845" w14:textId="3D2470F1" w:rsidR="00457C18" w:rsidRPr="00AD4C81" w:rsidRDefault="00457C18" w:rsidP="00457C1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9A5422">
              <w:rPr>
                <w:b/>
                <w:bCs/>
                <w:color w:val="FFFFFF"/>
                <w:sz w:val="20"/>
                <w:szCs w:val="20"/>
              </w:rPr>
              <w:t xml:space="preserve"> Percentual de Amortização</w:t>
            </w:r>
          </w:p>
        </w:tc>
      </w:tr>
      <w:tr w:rsidR="00457C18" w:rsidRPr="00AD4C81" w14:paraId="3F68CFD2" w14:textId="77777777" w:rsidTr="00457C18">
        <w:trPr>
          <w:trHeight w:val="241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2D23E" w14:textId="77777777" w:rsidR="00457C18" w:rsidRPr="00AD4C81" w:rsidRDefault="00457C18" w:rsidP="00457C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8" w:type="dxa"/>
            <w:shd w:val="clear" w:color="auto" w:fill="FFFFFF"/>
          </w:tcPr>
          <w:p w14:paraId="7CF86212" w14:textId="77777777" w:rsidR="00457C18" w:rsidRPr="00AD4C81" w:rsidRDefault="00457C18" w:rsidP="00457C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7582B" w14:textId="77777777" w:rsidR="00457C18" w:rsidRPr="00AD4C81" w:rsidRDefault="00457C18" w:rsidP="00457C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</w:tcPr>
          <w:p w14:paraId="635E4302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323D9851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9272F" w14:textId="77777777" w:rsidR="00457C18" w:rsidRPr="00AD4C81" w:rsidRDefault="00457C18" w:rsidP="00457C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0DBAF" w14:textId="77777777" w:rsidR="00457C18" w:rsidRPr="00AD4C81" w:rsidRDefault="00457C18" w:rsidP="00457C1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57C18" w:rsidRPr="00AD4C81" w14:paraId="271F5965" w14:textId="77777777" w:rsidTr="00457C18">
        <w:trPr>
          <w:trHeight w:val="340"/>
        </w:trPr>
        <w:tc>
          <w:tcPr>
            <w:tcW w:w="39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98D85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bottom"/>
          </w:tcPr>
          <w:p w14:paraId="2AB7062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17/03/2020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4C48A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17/03/2020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7CA4B3F3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19/03/2020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5987EF7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19/03/2020</w:t>
            </w:r>
          </w:p>
        </w:tc>
        <w:tc>
          <w:tcPr>
            <w:tcW w:w="158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BB627" w14:textId="365A75D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7C9A4" w14:textId="6B29C35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4CC17426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52FBC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59F53A67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17/04/2020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E6C0B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17/04/2020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D13A7AF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22/04/2020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6149535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22/04/2020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CC14F" w14:textId="3BD11472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0D03D" w14:textId="270F22C2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7AA9E310" w14:textId="77777777" w:rsidTr="00457C18">
        <w:trPr>
          <w:trHeight w:val="340"/>
        </w:trPr>
        <w:tc>
          <w:tcPr>
            <w:tcW w:w="39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1B44A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bottom"/>
          </w:tcPr>
          <w:p w14:paraId="54BE5698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18/05/2020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CEBA6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18/05/2020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7BB8FE64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20/05/2020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0304404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20/05/2020</w:t>
            </w:r>
          </w:p>
        </w:tc>
        <w:tc>
          <w:tcPr>
            <w:tcW w:w="158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F108" w14:textId="6601527C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5A8CF" w14:textId="62F09B0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6628AE95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8E328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52AF6998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17/06/2020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2D3EC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17/06/2020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0638C733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19/06/2020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B3EA76C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19/06/2020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9C768" w14:textId="1B567021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3AD36" w14:textId="68B88F33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3F33FA38" w14:textId="77777777" w:rsidTr="00457C18">
        <w:trPr>
          <w:trHeight w:val="340"/>
        </w:trPr>
        <w:tc>
          <w:tcPr>
            <w:tcW w:w="39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E6C4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bottom"/>
          </w:tcPr>
          <w:p w14:paraId="414D046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17/07/2020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F0C75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17/07/2020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07DB5F3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21/07/2020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01BA1621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21/07/2020</w:t>
            </w:r>
          </w:p>
        </w:tc>
        <w:tc>
          <w:tcPr>
            <w:tcW w:w="158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FA436" w14:textId="2A70B5A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B9C9D" w14:textId="2AD4634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002859A5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2FF40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1BD709FA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17/08/2020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6797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17/08/2020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48F76B1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19/08/2020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EC94CA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19/08/2020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63AA" w14:textId="5F80ED7B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F29ED" w14:textId="1819469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77ED8823" w14:textId="77777777" w:rsidTr="00457C18">
        <w:trPr>
          <w:trHeight w:val="340"/>
        </w:trPr>
        <w:tc>
          <w:tcPr>
            <w:tcW w:w="39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3BBA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bottom"/>
          </w:tcPr>
          <w:p w14:paraId="5543A02F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17/09/2020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5061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17/09/2020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24A8549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21/09/2020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68C2C8D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21/09/2020</w:t>
            </w:r>
          </w:p>
        </w:tc>
        <w:tc>
          <w:tcPr>
            <w:tcW w:w="158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0276B" w14:textId="020FDE0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4EDA5" w14:textId="6A1F6D9A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74F15748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A591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24B8B060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320B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C1B4ED7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21/10/2020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3EAC950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21/10/2020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EF2CE" w14:textId="28405F8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5B5EE" w14:textId="5BAB6664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14412E69" w14:textId="77777777" w:rsidTr="00457C18">
        <w:trPr>
          <w:trHeight w:val="340"/>
        </w:trPr>
        <w:tc>
          <w:tcPr>
            <w:tcW w:w="39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4DAE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bottom"/>
          </w:tcPr>
          <w:p w14:paraId="5EE6F50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17/11/2020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33887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17/11/2020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CAC8036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19/11/2020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60BF8A68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19/11/2020</w:t>
            </w:r>
          </w:p>
        </w:tc>
        <w:tc>
          <w:tcPr>
            <w:tcW w:w="158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9C1D" w14:textId="36C3558A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AC055" w14:textId="10410D5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789D5900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E2818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0574F22B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17/12/2020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B201A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17/12/2020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88B8665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21/12/2020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BAFC1C3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21/12/2020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90D10" w14:textId="6884DB43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6F3A2" w14:textId="67F2C710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6318E2AC" w14:textId="77777777" w:rsidTr="00457C18">
        <w:trPr>
          <w:trHeight w:val="340"/>
        </w:trPr>
        <w:tc>
          <w:tcPr>
            <w:tcW w:w="39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C5C52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bottom"/>
          </w:tcPr>
          <w:p w14:paraId="231E916E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18/01/2021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DE20E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1D961CAA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20/01/2021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22D6569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58900" w14:textId="0B9500AA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56ED0" w14:textId="3C12234C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4CEE8EEB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CDAC4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04217BD4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18/02/2021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839B4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51EA5F05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22/02/2021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274C183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A9256" w14:textId="354E45A0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CAD3C" w14:textId="0BD3FA3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3E3FFEA8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DA915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167C710F" w14:textId="28CACC0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16/03/2021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A0B9D" w14:textId="01E18880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</w:tcPr>
          <w:p w14:paraId="7F6C6497" w14:textId="0701C52B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19/03/2021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C5BFDE5" w14:textId="7C0A35B9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42EF" w14:textId="61FBF210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B7B2" w14:textId="34C657D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1C9F723D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4873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3CFD4050" w14:textId="69F5C4E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15/04/2021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9236A" w14:textId="27A3CDF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</w:tcPr>
          <w:p w14:paraId="3FF077FE" w14:textId="1490D52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19/04/2021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073826FD" w14:textId="6A789F1C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C77FA" w14:textId="6B5A5EA9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370E8" w14:textId="4BCCF38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72853CC3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E4EAD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704D0562" w14:textId="134DE1DB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14/05/2021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465D4" w14:textId="30F5E81A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</w:tcPr>
          <w:p w14:paraId="50535F24" w14:textId="2DDE5A3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19/05/2021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2975BBDA" w14:textId="39E3C67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45085" w14:textId="25006EB3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1CC3E" w14:textId="47734C75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393EC3FB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907A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4A27E44B" w14:textId="46389B2B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17/06/2021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DDB7F" w14:textId="4F105C94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</w:tcPr>
          <w:p w14:paraId="4C8A9790" w14:textId="04A5A5A1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21/06/2021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BE55609" w14:textId="102D706F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29899" w14:textId="63F92BA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4ECD7" w14:textId="1B993D09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2B2D1683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13FC9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3D28E66D" w14:textId="61CFBF45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15/07/2021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CA65B" w14:textId="79E9933A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15/07/2021</w:t>
            </w:r>
          </w:p>
        </w:tc>
        <w:tc>
          <w:tcPr>
            <w:tcW w:w="1545" w:type="dxa"/>
            <w:shd w:val="clear" w:color="auto" w:fill="FFFFFF"/>
          </w:tcPr>
          <w:p w14:paraId="1726EB32" w14:textId="10C21E1F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19/07/2021</w:t>
            </w:r>
          </w:p>
        </w:tc>
        <w:tc>
          <w:tcPr>
            <w:tcW w:w="1545" w:type="dxa"/>
            <w:shd w:val="clear" w:color="auto" w:fill="FFFFFF"/>
          </w:tcPr>
          <w:p w14:paraId="4B19937D" w14:textId="020A3D1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19/07/2021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BF056" w14:textId="5825F25F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FE97D" w14:textId="44844202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59CA391C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5589B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5CE53B47" w14:textId="5DD66D2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16/08/2021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FEE21" w14:textId="06273EA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16/08/2021</w:t>
            </w:r>
          </w:p>
        </w:tc>
        <w:tc>
          <w:tcPr>
            <w:tcW w:w="1545" w:type="dxa"/>
            <w:shd w:val="clear" w:color="auto" w:fill="FFFFFF"/>
          </w:tcPr>
          <w:p w14:paraId="20FF51F0" w14:textId="2A9C4FD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19/08/2021</w:t>
            </w:r>
          </w:p>
        </w:tc>
        <w:tc>
          <w:tcPr>
            <w:tcW w:w="1545" w:type="dxa"/>
            <w:shd w:val="clear" w:color="auto" w:fill="FFFFFF"/>
          </w:tcPr>
          <w:p w14:paraId="7DF737E1" w14:textId="49AF882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19/08/2021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7AED3" w14:textId="11F102E9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A8056" w14:textId="105E053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45D65359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DC728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4BCE1728" w14:textId="6E0812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16/09/2021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B3A44" w14:textId="46B9638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16/09/2021</w:t>
            </w:r>
          </w:p>
        </w:tc>
        <w:tc>
          <w:tcPr>
            <w:tcW w:w="1545" w:type="dxa"/>
            <w:shd w:val="clear" w:color="auto" w:fill="FFFFFF"/>
          </w:tcPr>
          <w:p w14:paraId="12D7094A" w14:textId="512D100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20/09/2021</w:t>
            </w:r>
          </w:p>
        </w:tc>
        <w:tc>
          <w:tcPr>
            <w:tcW w:w="1545" w:type="dxa"/>
            <w:shd w:val="clear" w:color="auto" w:fill="FFFFFF"/>
          </w:tcPr>
          <w:p w14:paraId="5E8C1367" w14:textId="48CCEDC1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20/09/2021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1471C" w14:textId="2E1CAB6A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DE33" w14:textId="2AC0FEB1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50BB20A0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84AE2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526D99DD" w14:textId="78C9DFB3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14/10/2021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4A45A" w14:textId="7397C704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14/10/2021</w:t>
            </w:r>
          </w:p>
        </w:tc>
        <w:tc>
          <w:tcPr>
            <w:tcW w:w="1545" w:type="dxa"/>
            <w:shd w:val="clear" w:color="auto" w:fill="FFFFFF"/>
          </w:tcPr>
          <w:p w14:paraId="1A11EE35" w14:textId="20BAE15C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19/10/2021</w:t>
            </w:r>
          </w:p>
        </w:tc>
        <w:tc>
          <w:tcPr>
            <w:tcW w:w="1545" w:type="dxa"/>
            <w:shd w:val="clear" w:color="auto" w:fill="FFFFFF"/>
          </w:tcPr>
          <w:p w14:paraId="3CEC351B" w14:textId="3C64587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19/10/2021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E1C15" w14:textId="5D6E9E9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83236" w14:textId="48DCF1C0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5A98B10E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F8041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5A480731" w14:textId="70A2C975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16/11/2021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8CAE1" w14:textId="301793DA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16/11/2021</w:t>
            </w:r>
          </w:p>
        </w:tc>
        <w:tc>
          <w:tcPr>
            <w:tcW w:w="1545" w:type="dxa"/>
            <w:shd w:val="clear" w:color="auto" w:fill="FFFFFF"/>
          </w:tcPr>
          <w:p w14:paraId="3B9BD8AE" w14:textId="138FDFE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19/11/2021</w:t>
            </w:r>
          </w:p>
        </w:tc>
        <w:tc>
          <w:tcPr>
            <w:tcW w:w="1545" w:type="dxa"/>
            <w:shd w:val="clear" w:color="auto" w:fill="FFFFFF"/>
          </w:tcPr>
          <w:p w14:paraId="64D454DD" w14:textId="118D3BE5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19/11/2021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89154" w14:textId="4936EF0B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C24B2" w14:textId="7446D1BC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13BA6298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D519C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15C09A40" w14:textId="723F82A6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16/12/2021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A5528" w14:textId="09841EE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16/12/2021</w:t>
            </w:r>
          </w:p>
        </w:tc>
        <w:tc>
          <w:tcPr>
            <w:tcW w:w="1545" w:type="dxa"/>
            <w:shd w:val="clear" w:color="auto" w:fill="FFFFFF"/>
          </w:tcPr>
          <w:p w14:paraId="70D19314" w14:textId="2CA3576B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20/12/2021</w:t>
            </w:r>
          </w:p>
        </w:tc>
        <w:tc>
          <w:tcPr>
            <w:tcW w:w="1545" w:type="dxa"/>
            <w:shd w:val="clear" w:color="auto" w:fill="FFFFFF"/>
          </w:tcPr>
          <w:p w14:paraId="33046545" w14:textId="115D7E3D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20/12/2021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DDD69" w14:textId="18841540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3DAB7" w14:textId="306D24F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242268E7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518F6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717B9AF6" w14:textId="4AC09FE2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14/01/2022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4CA7A" w14:textId="5AC28401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14/01/2022</w:t>
            </w:r>
          </w:p>
        </w:tc>
        <w:tc>
          <w:tcPr>
            <w:tcW w:w="1545" w:type="dxa"/>
            <w:shd w:val="clear" w:color="auto" w:fill="FFFFFF"/>
          </w:tcPr>
          <w:p w14:paraId="23086E95" w14:textId="734F1192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19/01/2022</w:t>
            </w:r>
          </w:p>
        </w:tc>
        <w:tc>
          <w:tcPr>
            <w:tcW w:w="1545" w:type="dxa"/>
            <w:shd w:val="clear" w:color="auto" w:fill="FFFFFF"/>
          </w:tcPr>
          <w:p w14:paraId="15870FD1" w14:textId="3B620DD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19/01/2022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6758D" w14:textId="7E8367DF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89E01" w14:textId="0E02853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AD4C81" w14:paraId="6F101BCB" w14:textId="77777777" w:rsidTr="00457C18">
        <w:trPr>
          <w:trHeight w:val="340"/>
        </w:trPr>
        <w:tc>
          <w:tcPr>
            <w:tcW w:w="39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F25E8" w14:textId="77777777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8" w:type="dxa"/>
            <w:shd w:val="clear" w:color="auto" w:fill="FFFFFF"/>
            <w:vAlign w:val="bottom"/>
          </w:tcPr>
          <w:p w14:paraId="60FE13C4" w14:textId="3BBAD2FE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17/02/2022</w:t>
            </w: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921EB" w14:textId="093D2FD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17/02/2022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26A6F470" w14:textId="0B613595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21/02/2022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6DFC2BC6" w14:textId="2B514CE1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D4C81">
              <w:rPr>
                <w:rFonts w:ascii="Verdana" w:hAnsi="Verdana" w:cs="Calibri"/>
                <w:color w:val="000000"/>
                <w:sz w:val="20"/>
                <w:szCs w:val="20"/>
              </w:rPr>
              <w:t>21/02/2022</w:t>
            </w:r>
          </w:p>
        </w:tc>
        <w:tc>
          <w:tcPr>
            <w:tcW w:w="158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848E1" w14:textId="237D81C2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Remuneração + Amortização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0ECFA" w14:textId="72ED0A98" w:rsidR="00457C18" w:rsidRPr="00AD4C81" w:rsidRDefault="00457C18" w:rsidP="00457C1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A5422">
              <w:rPr>
                <w:rFonts w:cs="Calibri"/>
                <w:color w:val="000000"/>
                <w:sz w:val="20"/>
                <w:szCs w:val="20"/>
              </w:rPr>
              <w:t>100,0000%</w:t>
            </w:r>
          </w:p>
        </w:tc>
      </w:tr>
    </w:tbl>
    <w:p w14:paraId="6BF81933" w14:textId="77777777" w:rsidR="00285995" w:rsidRPr="00AD4C81" w:rsidRDefault="00285995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73B9A30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AD4C81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de vencimento em consequência da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concessão de carência e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alteração do cronograma de pagamento do item anterior, </w:t>
      </w:r>
      <w:r w:rsidR="00C64327" w:rsidRPr="00AD4C81">
        <w:rPr>
          <w:rFonts w:ascii="Verdana" w:hAnsi="Verdana" w:cs="Times New Roman"/>
          <w:sz w:val="20"/>
          <w:szCs w:val="20"/>
        </w:rPr>
        <w:t xml:space="preserve">qual seja, </w:t>
      </w:r>
      <w:r w:rsidR="001D0D9B" w:rsidRPr="00AD4C81">
        <w:rPr>
          <w:rFonts w:ascii="Verdana" w:hAnsi="Verdana" w:cs="Times New Roman"/>
          <w:sz w:val="20"/>
          <w:szCs w:val="20"/>
        </w:rPr>
        <w:t>a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Cláusula </w:t>
      </w:r>
      <w:r w:rsidR="00830AA8" w:rsidRPr="00AD4C81">
        <w:rPr>
          <w:rFonts w:ascii="Verdana" w:hAnsi="Verdana" w:cs="Times New Roman"/>
          <w:sz w:val="20"/>
          <w:szCs w:val="20"/>
        </w:rPr>
        <w:t>3.1, itens “m” e “n” do Termo de Securitização respectivamente, bem como a Cláusula 7.4 do Anexo I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ao Termo de Securitização</w:t>
      </w:r>
      <w:r w:rsidR="000D1269" w:rsidRPr="00AD4C81">
        <w:rPr>
          <w:rFonts w:ascii="Verdana" w:hAnsi="Verdana" w:cs="Times New Roman"/>
          <w:sz w:val="20"/>
          <w:szCs w:val="20"/>
        </w:rPr>
        <w:t xml:space="preserve">, passando a Data de Vencimento Final para </w:t>
      </w:r>
      <w:r w:rsidR="00320DC5" w:rsidRPr="00AD4C81">
        <w:rPr>
          <w:rFonts w:ascii="Verdana" w:hAnsi="Verdana" w:cs="Times New Roman"/>
          <w:sz w:val="20"/>
          <w:szCs w:val="20"/>
        </w:rPr>
        <w:t>21 de fevereiro de 2022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Pr="00AD4C81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613DF3A4" w:rsidR="00EB2845" w:rsidRPr="00AD4C81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a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celebração </w:t>
      </w:r>
      <w:r w:rsidRPr="00AD4C81">
        <w:rPr>
          <w:rFonts w:ascii="Verdana" w:hAnsi="Verdana" w:cs="Times New Roman"/>
          <w:sz w:val="20"/>
          <w:szCs w:val="20"/>
        </w:rPr>
        <w:t>dos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ao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D4C81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 </w:t>
      </w:r>
      <w:proofErr w:type="spellStart"/>
      <w:r w:rsidR="00AB5313" w:rsidRPr="00AD4C81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 S.A.</w:t>
      </w:r>
      <w:r w:rsidR="00AB5313" w:rsidRPr="00AD4C81">
        <w:rPr>
          <w:rFonts w:ascii="Verdana" w:hAnsi="Verdana"/>
          <w:sz w:val="20"/>
          <w:szCs w:val="20"/>
        </w:rPr>
        <w:t>”, celebrado em 11 de fevereiro de 2020 (“</w:t>
      </w:r>
      <w:r w:rsidR="00AB5313" w:rsidRPr="00AD4C81">
        <w:rPr>
          <w:rFonts w:ascii="Verdana" w:hAnsi="Verdana"/>
          <w:sz w:val="20"/>
          <w:szCs w:val="20"/>
          <w:u w:val="single"/>
        </w:rPr>
        <w:t>Termo de Securitização</w:t>
      </w:r>
      <w:r w:rsidR="00AB5313" w:rsidRPr="00AD4C81">
        <w:rPr>
          <w:rFonts w:ascii="Verdana" w:hAnsi="Verdana"/>
          <w:sz w:val="20"/>
          <w:szCs w:val="20"/>
        </w:rPr>
        <w:t>”)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Pr="00AD4C81">
        <w:rPr>
          <w:rFonts w:ascii="Verdana" w:hAnsi="Verdana" w:cs="Times New Roman"/>
          <w:sz w:val="20"/>
          <w:szCs w:val="20"/>
        </w:rPr>
        <w:t xml:space="preserve">bem </w:t>
      </w:r>
      <w:r w:rsidR="006A5E65" w:rsidRPr="00AD4C81">
        <w:rPr>
          <w:rFonts w:ascii="Verdana" w:hAnsi="Verdana" w:cs="Times New Roman"/>
          <w:sz w:val="20"/>
          <w:szCs w:val="20"/>
        </w:rPr>
        <w:t>como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sz w:val="20"/>
          <w:szCs w:val="20"/>
        </w:rPr>
        <w:t>Instrumento Particular de Escritura de Emissão da Primeira Emissão de Debêntures Simples, Não Conversíveis em Ações, em Série Única, da Espécie Quirografária, para Colocação Privada da</w:t>
      </w:r>
      <w:r w:rsidR="00F8440C" w:rsidRPr="00AD4C81">
        <w:rPr>
          <w:rFonts w:ascii="Verdana" w:hAnsi="Verdana"/>
          <w:i/>
          <w:iCs/>
          <w:sz w:val="20"/>
          <w:szCs w:val="20"/>
        </w:rPr>
        <w:t xml:space="preserve"> </w:t>
      </w:r>
      <w:r w:rsidR="00AB5313" w:rsidRPr="00AD4C81">
        <w:rPr>
          <w:rFonts w:ascii="Verdana" w:hAnsi="Verdana"/>
          <w:i/>
          <w:iCs/>
          <w:sz w:val="20"/>
          <w:szCs w:val="20"/>
        </w:rPr>
        <w:t>LI Investimentos Imobiliários S.A.</w:t>
      </w:r>
      <w:r w:rsidR="00AB5313" w:rsidRPr="00AD4C81">
        <w:rPr>
          <w:rFonts w:ascii="Verdana" w:hAnsi="Verdana"/>
          <w:sz w:val="20"/>
          <w:szCs w:val="20"/>
        </w:rPr>
        <w:t>” celebrada em 11 de fevereiro de 2020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D4C81">
        <w:rPr>
          <w:rFonts w:ascii="Verdana" w:hAnsi="Verdana"/>
          <w:sz w:val="20"/>
          <w:szCs w:val="20"/>
        </w:rPr>
        <w:t>”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D4C81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 e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D4C81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com o objetivo </w:t>
      </w:r>
      <w:r w:rsidRPr="00AD4C81"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D4C81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 w:rsidRPr="00AD4C81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AD4C81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CC6C28F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lastRenderedPageBreak/>
        <w:t>7. ENCERRAMENTO:</w:t>
      </w:r>
      <w:r w:rsidRPr="00AD4C81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728E1BB0" w:rsidR="00CE4B07" w:rsidRPr="00AD4C81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São Paulo, </w:t>
      </w:r>
      <w:r w:rsidR="000020EE" w:rsidRPr="00AD4C81">
        <w:rPr>
          <w:rFonts w:ascii="Verdana" w:hAnsi="Verdana" w:cs="Times New Roman"/>
          <w:sz w:val="20"/>
          <w:szCs w:val="20"/>
        </w:rPr>
        <w:t>15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 de 202</w:t>
      </w:r>
      <w:r w:rsidR="0003426B" w:rsidRPr="00AD4C81">
        <w:rPr>
          <w:rFonts w:ascii="Verdana" w:hAnsi="Verdana" w:cs="Times New Roman"/>
          <w:sz w:val="20"/>
          <w:szCs w:val="20"/>
        </w:rPr>
        <w:t>1</w:t>
      </w:r>
      <w:r w:rsidRPr="00AD4C81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AD4C81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D4C81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771259CB" w:rsidR="00B65F5A" w:rsidRDefault="004014D5" w:rsidP="006B12BC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z w:val="20"/>
                <w:szCs w:val="20"/>
              </w:rPr>
              <w:t>Frederico Pessoa Porto</w:t>
            </w:r>
          </w:p>
          <w:p w14:paraId="160BAA3F" w14:textId="719D1D7A" w:rsidR="00886D56" w:rsidRPr="00886D56" w:rsidRDefault="00886D56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D56">
              <w:rPr>
                <w:rFonts w:ascii="Verdana" w:hAnsi="Verdana" w:cs="Times New Roman"/>
                <w:sz w:val="20"/>
                <w:szCs w:val="20"/>
              </w:rPr>
              <w:t>CPF:</w:t>
            </w:r>
            <w:r>
              <w:rPr>
                <w:rFonts w:ascii="Verdana" w:hAnsi="Verdana" w:cs="Times New Roman"/>
                <w:sz w:val="20"/>
                <w:szCs w:val="20"/>
              </w:rPr>
              <w:t>185.696.808-13</w:t>
            </w:r>
          </w:p>
          <w:p w14:paraId="5341EB7C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053992A2" w:rsidR="00B65F5A" w:rsidRDefault="000020EE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b/>
                <w:bCs/>
                <w:sz w:val="20"/>
                <w:szCs w:val="20"/>
              </w:rPr>
              <w:t>Ana Carla Moliterno G</w:t>
            </w:r>
            <w:r w:rsidR="00886D5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</w:t>
            </w:r>
            <w:r w:rsidRPr="00AD4C81">
              <w:rPr>
                <w:rFonts w:ascii="Verdana" w:hAnsi="Verdana" w:cs="Times New Roman"/>
                <w:b/>
                <w:bCs/>
                <w:sz w:val="20"/>
                <w:szCs w:val="20"/>
              </w:rPr>
              <w:t>de Oliveira</w:t>
            </w:r>
          </w:p>
          <w:p w14:paraId="0CBB0DC6" w14:textId="76241951" w:rsidR="00886D56" w:rsidRPr="00886D56" w:rsidRDefault="00886D56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D56">
              <w:rPr>
                <w:rFonts w:ascii="Verdana" w:hAnsi="Verdana" w:cs="Times New Roman"/>
                <w:sz w:val="20"/>
                <w:szCs w:val="20"/>
              </w:rPr>
              <w:t>CPF: 297.319.798-83</w:t>
            </w:r>
          </w:p>
          <w:p w14:paraId="3B9AF871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AD4C81" w:rsidSect="00CE4B07">
          <w:headerReference w:type="default" r:id="rId7"/>
          <w:footerReference w:type="default" r:id="rId8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Pr="00AD4C81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Pr="00AD4C81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AD4C81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>[</w:t>
      </w:r>
      <w:r w:rsidR="00B65F5A" w:rsidRPr="00AD4C81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AD4C81">
        <w:rPr>
          <w:rFonts w:ascii="Verdana" w:hAnsi="Verdana" w:cs="Times New Roman"/>
          <w:sz w:val="20"/>
          <w:szCs w:val="20"/>
        </w:rPr>
        <w:t>]</w:t>
      </w:r>
    </w:p>
    <w:p w14:paraId="46A758CB" w14:textId="77777777" w:rsidR="00021706" w:rsidRDefault="00021706" w:rsidP="0002170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w w:val="105"/>
          <w:sz w:val="20"/>
          <w:szCs w:val="20"/>
        </w:rPr>
      </w:pPr>
      <w:r w:rsidRPr="00BE640C">
        <w:rPr>
          <w:rFonts w:ascii="Verdana" w:hAnsi="Verdana"/>
          <w:b/>
          <w:w w:val="105"/>
          <w:sz w:val="20"/>
          <w:szCs w:val="20"/>
        </w:rPr>
        <w:t xml:space="preserve">Página de assinaturas da Assembleia Geral Extraordinária de Titulares dos Certificados de Recebíveis Imobiliários da 95ª Séries da 4ª Emissão da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Isec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Securitizadora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S.A., realizada em 15 de janeiro 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4014D5" w:rsidRPr="00AD4C81" w14:paraId="6DD6537D" w14:textId="77777777" w:rsidTr="004014D5">
        <w:trPr>
          <w:trHeight w:val="621"/>
        </w:trPr>
        <w:tc>
          <w:tcPr>
            <w:tcW w:w="8504" w:type="dxa"/>
            <w:gridSpan w:val="2"/>
          </w:tcPr>
          <w:p w14:paraId="6897355F" w14:textId="77777777" w:rsidR="004014D5" w:rsidRDefault="004014D5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47C969F1" w14:textId="77777777" w:rsidR="00021706" w:rsidRDefault="00021706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1ACAB6DF" w14:textId="0BE76990" w:rsidR="00021706" w:rsidRPr="00AD4C81" w:rsidRDefault="00021706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83524A" w:rsidRPr="00AD4C81" w14:paraId="65DAABEB" w14:textId="77777777" w:rsidTr="007D4BB0">
        <w:tc>
          <w:tcPr>
            <w:tcW w:w="8504" w:type="dxa"/>
            <w:gridSpan w:val="2"/>
          </w:tcPr>
          <w:p w14:paraId="062C202A" w14:textId="35BEC0E8" w:rsidR="0083524A" w:rsidRPr="00AD4C81" w:rsidRDefault="0083524A" w:rsidP="007249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b/>
                <w:w w:val="105"/>
                <w:sz w:val="20"/>
                <w:szCs w:val="20"/>
              </w:rPr>
              <w:t>ISEC SECURITIZADORA S.A.</w:t>
            </w:r>
          </w:p>
        </w:tc>
      </w:tr>
      <w:tr w:rsidR="004014D5" w:rsidRPr="00AD4C81" w14:paraId="5E6CA3FB" w14:textId="77777777" w:rsidTr="00724945">
        <w:trPr>
          <w:trHeight w:val="1724"/>
        </w:trPr>
        <w:tc>
          <w:tcPr>
            <w:tcW w:w="4251" w:type="dxa"/>
          </w:tcPr>
          <w:p w14:paraId="21C19B21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1B68F896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256695A4" w14:textId="77777777" w:rsidR="004D3ED9" w:rsidRPr="00AD4C81" w:rsidRDefault="004D3ED9" w:rsidP="00325797">
            <w:pPr>
              <w:spacing w:after="0"/>
              <w:ind w:left="180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 xml:space="preserve">Daniel Monteiro Coelho de Magalhães </w:t>
            </w:r>
          </w:p>
          <w:p w14:paraId="251563CB" w14:textId="6B8769C6" w:rsidR="004014D5" w:rsidRPr="00AD4C81" w:rsidRDefault="004D3ED9" w:rsidP="00325797">
            <w:pPr>
              <w:autoSpaceDE w:val="0"/>
              <w:autoSpaceDN w:val="0"/>
              <w:adjustRightInd w:val="0"/>
              <w:spacing w:after="0" w:line="256" w:lineRule="auto"/>
              <w:ind w:left="180"/>
              <w:rPr>
                <w:rFonts w:ascii="Verdana" w:hAnsi="Verdana" w:cs="Bookman-Demi"/>
                <w:smallCaps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353.261.498-77</w:t>
            </w:r>
          </w:p>
          <w:p w14:paraId="268E61A2" w14:textId="77777777" w:rsidR="004014D5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  <w:p w14:paraId="38EB6D97" w14:textId="77777777" w:rsidR="00021706" w:rsidRDefault="0002170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  <w:p w14:paraId="40A2194B" w14:textId="3F4443D7" w:rsidR="00021706" w:rsidRPr="00AD4C81" w:rsidRDefault="0002170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66FBE05C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67DB1AF0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5C6AAC3B" w14:textId="77777777" w:rsidR="004D3ED9" w:rsidRPr="00AD4C81" w:rsidRDefault="004D3ED9" w:rsidP="00325797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 xml:space="preserve">Henrique Carvalho Silva </w:t>
            </w:r>
          </w:p>
          <w:p w14:paraId="035E3F69" w14:textId="77777777" w:rsidR="004D3ED9" w:rsidRPr="00AD4C81" w:rsidRDefault="004D3ED9" w:rsidP="00325797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354.873.988-10</w:t>
            </w:r>
          </w:p>
          <w:p w14:paraId="6F1A48ED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4D3ED9" w:rsidRPr="00AD4C81" w14:paraId="4852DFDE" w14:textId="77777777" w:rsidTr="004D3ED9">
        <w:trPr>
          <w:trHeight w:val="291"/>
        </w:trPr>
        <w:tc>
          <w:tcPr>
            <w:tcW w:w="8504" w:type="dxa"/>
            <w:gridSpan w:val="2"/>
          </w:tcPr>
          <w:p w14:paraId="17BCFD6C" w14:textId="49DE1C3B" w:rsidR="004D3ED9" w:rsidRPr="00AD4C81" w:rsidRDefault="004D3ED9" w:rsidP="008352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="0083524A"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</w:r>
            <w:r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>VALORES MOBILIÁRIOS LTDA</w:t>
            </w:r>
          </w:p>
        </w:tc>
      </w:tr>
      <w:tr w:rsidR="004D3ED9" w:rsidRPr="00AD4C81" w14:paraId="2C9470FE" w14:textId="77777777" w:rsidTr="006811EC">
        <w:trPr>
          <w:trHeight w:val="63"/>
        </w:trPr>
        <w:tc>
          <w:tcPr>
            <w:tcW w:w="8504" w:type="dxa"/>
            <w:gridSpan w:val="2"/>
          </w:tcPr>
          <w:p w14:paraId="2CAF78C7" w14:textId="77777777" w:rsidR="0083524A" w:rsidRPr="00AD4C81" w:rsidRDefault="0083524A" w:rsidP="00724945">
            <w:pPr>
              <w:autoSpaceDE w:val="0"/>
              <w:autoSpaceDN w:val="0"/>
              <w:adjustRightInd w:val="0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4C575ECD" w14:textId="77777777" w:rsidR="0083524A" w:rsidRPr="00AD4C81" w:rsidRDefault="0083524A" w:rsidP="0083524A">
            <w:pPr>
              <w:autoSpaceDE w:val="0"/>
              <w:autoSpaceDN w:val="0"/>
              <w:adjustRightInd w:val="0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7DA48EBB" w14:textId="3892EFDF" w:rsidR="0083524A" w:rsidRPr="00AD4C81" w:rsidRDefault="0083524A" w:rsidP="0083524A">
            <w:pPr>
              <w:autoSpaceDE w:val="0"/>
              <w:autoSpaceDN w:val="0"/>
              <w:adjustRightInd w:val="0"/>
              <w:spacing w:after="0" w:line="256" w:lineRule="auto"/>
              <w:ind w:left="38"/>
              <w:jc w:val="center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Rinaldo Rabello</w:t>
            </w:r>
          </w:p>
          <w:p w14:paraId="780900C5" w14:textId="19FBE1CA" w:rsidR="0083524A" w:rsidRPr="00AD4C81" w:rsidRDefault="0083524A" w:rsidP="0083524A">
            <w:pPr>
              <w:autoSpaceDE w:val="0"/>
              <w:autoSpaceDN w:val="0"/>
              <w:adjustRightInd w:val="0"/>
              <w:spacing w:after="0" w:line="256" w:lineRule="auto"/>
              <w:ind w:left="38"/>
              <w:jc w:val="center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509.941.827-91</w:t>
            </w:r>
          </w:p>
          <w:p w14:paraId="1842FEF3" w14:textId="77777777" w:rsidR="0083524A" w:rsidRPr="00AD4C81" w:rsidRDefault="0083524A" w:rsidP="0072494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CD57CF5" w14:textId="77777777" w:rsidR="00021706" w:rsidRDefault="0002170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BE28537" w14:textId="77777777" w:rsidR="004D3ED9" w:rsidRDefault="00B6660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z w:val="20"/>
                <w:szCs w:val="20"/>
              </w:rPr>
              <w:t>LI INVESTIMENTOS IMOBILIÁRIOS S.A.</w:t>
            </w:r>
          </w:p>
          <w:p w14:paraId="6A93C847" w14:textId="77777777" w:rsidR="00886D56" w:rsidRDefault="00886D5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2838F825" w14:textId="5C1D4959" w:rsidR="00886D56" w:rsidRPr="00AD4C81" w:rsidRDefault="00886D5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</w:p>
        </w:tc>
      </w:tr>
      <w:tr w:rsidR="004014D5" w:rsidRPr="00AD4C81" w14:paraId="2219A45B" w14:textId="77777777" w:rsidTr="004014D5">
        <w:trPr>
          <w:trHeight w:val="63"/>
        </w:trPr>
        <w:tc>
          <w:tcPr>
            <w:tcW w:w="4251" w:type="dxa"/>
          </w:tcPr>
          <w:p w14:paraId="6EECFAF0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1463C678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6CBE5EA7" w14:textId="7D9FC7CE" w:rsidR="004014D5" w:rsidRPr="00AD4C81" w:rsidRDefault="00B66606" w:rsidP="00B66606">
            <w:pPr>
              <w:autoSpaceDE w:val="0"/>
              <w:autoSpaceDN w:val="0"/>
              <w:adjustRightInd w:val="0"/>
              <w:spacing w:line="256" w:lineRule="auto"/>
              <w:ind w:left="322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Roberto Bocchino Ferrari</w:t>
            </w:r>
            <w:r w:rsidRPr="00AD4C81">
              <w:rPr>
                <w:rFonts w:ascii="Verdana" w:hAnsi="Verdana"/>
                <w:sz w:val="20"/>
                <w:szCs w:val="20"/>
              </w:rPr>
              <w:br/>
              <w:t>CPF/ME: 177.831.188-10</w:t>
            </w:r>
            <w:r w:rsidRPr="00AD4C81">
              <w:rPr>
                <w:rFonts w:ascii="Verdana" w:hAnsi="Verdana" w:cs="Bookman-Dem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53" w:type="dxa"/>
          </w:tcPr>
          <w:p w14:paraId="185325BB" w14:textId="77777777" w:rsidR="00886D56" w:rsidRPr="00AD4C81" w:rsidRDefault="00886D5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62F6A191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23304A85" w14:textId="77777777" w:rsidR="00B66606" w:rsidRPr="00AD4C81" w:rsidRDefault="00B66606" w:rsidP="00B66606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Nilton Bertuchi</w:t>
            </w:r>
          </w:p>
          <w:p w14:paraId="035D01C5" w14:textId="096BC559" w:rsidR="004014D5" w:rsidRPr="00AD4C81" w:rsidRDefault="00B66606" w:rsidP="00B66606">
            <w:pPr>
              <w:autoSpaceDE w:val="0"/>
              <w:autoSpaceDN w:val="0"/>
              <w:adjustRightInd w:val="0"/>
              <w:spacing w:after="0" w:line="256" w:lineRule="auto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</w:t>
            </w:r>
            <w:r w:rsidR="00903C02">
              <w:rPr>
                <w:rFonts w:ascii="Verdana" w:hAnsi="Verdana"/>
                <w:sz w:val="20"/>
                <w:szCs w:val="20"/>
              </w:rPr>
              <w:t>/ME</w:t>
            </w:r>
            <w:r w:rsidRPr="00AD4C81">
              <w:rPr>
                <w:rFonts w:ascii="Verdana" w:hAnsi="Verdana"/>
                <w:sz w:val="20"/>
                <w:szCs w:val="20"/>
              </w:rPr>
              <w:t>: 195.514.838-47</w:t>
            </w:r>
            <w:r w:rsidRPr="00AD4C81">
              <w:rPr>
                <w:rFonts w:ascii="Verdana" w:hAnsi="Verdana" w:cs="Bookman-Dem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7EDF3F7" w14:textId="07053C3A" w:rsidR="00CE4B07" w:rsidRDefault="00CE4B07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E4308B" w14:textId="43273C88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34A06F2" w14:textId="59F94E13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C3518C7" w14:textId="2C045705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D8B34A8" w14:textId="206FE2B5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30767A3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BE640C">
        <w:rPr>
          <w:rFonts w:ascii="Verdana" w:hAnsi="Verdana" w:cs="Times New Roman"/>
          <w:b/>
          <w:bCs/>
          <w:sz w:val="20"/>
          <w:szCs w:val="20"/>
        </w:rPr>
        <w:t>ANEXO I</w:t>
      </w:r>
    </w:p>
    <w:p w14:paraId="1E1F8300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F165FA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BE640C">
        <w:rPr>
          <w:rFonts w:ascii="Verdana" w:hAnsi="Verdana" w:cs="Times New Roman"/>
          <w:sz w:val="20"/>
          <w:szCs w:val="20"/>
        </w:rPr>
        <w:t xml:space="preserve"> </w:t>
      </w:r>
      <w:r w:rsidRPr="00BE640C">
        <w:rPr>
          <w:rFonts w:ascii="Verdana" w:hAnsi="Verdana"/>
          <w:b/>
          <w:w w:val="105"/>
          <w:sz w:val="20"/>
          <w:szCs w:val="20"/>
        </w:rPr>
        <w:t xml:space="preserve">Assembleia Geral Extraordinária de Titulares dos Certificados de Recebíveis Imobiliários da 95ª Séries da 4ª Emissão da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Isec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Securitizadora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S.A., realizada em 15 de janeiro 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021706" w:rsidRPr="00BE640C" w14:paraId="407A5F25" w14:textId="77777777" w:rsidTr="00165ED8">
        <w:tc>
          <w:tcPr>
            <w:tcW w:w="8504" w:type="dxa"/>
          </w:tcPr>
          <w:p w14:paraId="7CE1EC87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023BE68A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4F07FA66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001DF2BA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17F5819F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31A0E0FF" w14:textId="77777777" w:rsidR="00021706" w:rsidRPr="00BE640C" w:rsidRDefault="00021706" w:rsidP="0002170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03E4586E" w14:textId="77777777" w:rsidR="00021706" w:rsidRPr="00BE640C" w:rsidRDefault="00021706" w:rsidP="000217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Neste ato representado por BRL Trust Distribuidora de Títulos e Valores Mobiliários</w:t>
      </w:r>
    </w:p>
    <w:p w14:paraId="11F627C3" w14:textId="509A8ACC" w:rsidR="00021706" w:rsidRPr="00BE640C" w:rsidRDefault="00021706" w:rsidP="00021706">
      <w:pPr>
        <w:autoSpaceDE w:val="0"/>
        <w:autoSpaceDN w:val="0"/>
        <w:adjustRightInd w:val="0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S.A., através do seu procurador Rodrigo Martins Cavalcante - CPF/ME: 169.132.578-30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886D56" w:rsidRPr="00BE640C" w14:paraId="72F24512" w14:textId="77777777" w:rsidTr="00F279F0">
        <w:tc>
          <w:tcPr>
            <w:tcW w:w="8504" w:type="dxa"/>
          </w:tcPr>
          <w:p w14:paraId="4623EA0F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6AD72BC5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5BB71B1A" w14:textId="657DF7A2" w:rsidR="00886D56" w:rsidRPr="00BE640C" w:rsidRDefault="00886D56" w:rsidP="00F2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RENDA IMOBILIÁRIA – CNPJ/ME: 32.274.163/0001-59</w:t>
            </w:r>
          </w:p>
          <w:p w14:paraId="1A979C13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454B4065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5350B056" w14:textId="77777777" w:rsidR="00886D56" w:rsidRPr="00BE640C" w:rsidRDefault="00886D56" w:rsidP="00886D5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5989A330" w14:textId="77777777" w:rsidR="00886D56" w:rsidRPr="00BE640C" w:rsidRDefault="00886D56" w:rsidP="00886D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lastRenderedPageBreak/>
        <w:t>Neste ato representado por BRL Trust Distribuidora de Títulos e Valores Mobiliários</w:t>
      </w:r>
    </w:p>
    <w:p w14:paraId="10466160" w14:textId="77777777" w:rsidR="00886D56" w:rsidRPr="00076492" w:rsidRDefault="00886D56" w:rsidP="00886D56">
      <w:pPr>
        <w:autoSpaceDE w:val="0"/>
        <w:autoSpaceDN w:val="0"/>
        <w:adjustRightInd w:val="0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S.A., através do seu procurador Rodrigo Martins Cavalcante - CPF/ME: 169.132.578-30</w:t>
      </w:r>
    </w:p>
    <w:p w14:paraId="7F58ECC7" w14:textId="118082E2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A29E3DC" w14:textId="0417148A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47BACA8" w14:textId="179B5731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D6CA215" w14:textId="0B92CAB6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9775BBF" w14:textId="77777777" w:rsidR="00021706" w:rsidRPr="00AD4C81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sectPr w:rsidR="00021706" w:rsidRPr="00AD4C81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9739" w14:textId="77777777" w:rsidR="004C5F90" w:rsidRDefault="004C5F90" w:rsidP="00CE4B07">
      <w:pPr>
        <w:spacing w:after="0" w:line="240" w:lineRule="auto"/>
      </w:pPr>
      <w:r>
        <w:separator/>
      </w:r>
    </w:p>
  </w:endnote>
  <w:endnote w:type="continuationSeparator" w:id="0">
    <w:p w14:paraId="1C4EF600" w14:textId="77777777" w:rsidR="004C5F90" w:rsidRDefault="004C5F90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25E5" w14:textId="77777777" w:rsidR="004C5F90" w:rsidRDefault="004C5F90" w:rsidP="00CE4B07">
      <w:pPr>
        <w:spacing w:after="0" w:line="240" w:lineRule="auto"/>
      </w:pPr>
      <w:r>
        <w:separator/>
      </w:r>
    </w:p>
  </w:footnote>
  <w:footnote w:type="continuationSeparator" w:id="0">
    <w:p w14:paraId="18A4681A" w14:textId="77777777" w:rsidR="004C5F90" w:rsidRDefault="004C5F90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020EE"/>
    <w:rsid w:val="00021706"/>
    <w:rsid w:val="0003426B"/>
    <w:rsid w:val="000D1269"/>
    <w:rsid w:val="00152A0C"/>
    <w:rsid w:val="00177E60"/>
    <w:rsid w:val="0019376B"/>
    <w:rsid w:val="001D0D9B"/>
    <w:rsid w:val="001E1F93"/>
    <w:rsid w:val="001E79FC"/>
    <w:rsid w:val="002062A0"/>
    <w:rsid w:val="00217CBC"/>
    <w:rsid w:val="00236204"/>
    <w:rsid w:val="002415DD"/>
    <w:rsid w:val="00285995"/>
    <w:rsid w:val="002960F5"/>
    <w:rsid w:val="002B4C40"/>
    <w:rsid w:val="002D4E5C"/>
    <w:rsid w:val="002E7C4A"/>
    <w:rsid w:val="00320DC5"/>
    <w:rsid w:val="00325797"/>
    <w:rsid w:val="003309FA"/>
    <w:rsid w:val="00354B5F"/>
    <w:rsid w:val="00366A3C"/>
    <w:rsid w:val="00385D0D"/>
    <w:rsid w:val="003F29D4"/>
    <w:rsid w:val="004014D5"/>
    <w:rsid w:val="00402F7C"/>
    <w:rsid w:val="00457C18"/>
    <w:rsid w:val="004A1BBF"/>
    <w:rsid w:val="004A775B"/>
    <w:rsid w:val="004C5F90"/>
    <w:rsid w:val="004D3ED9"/>
    <w:rsid w:val="00521B3E"/>
    <w:rsid w:val="0052581C"/>
    <w:rsid w:val="005346CD"/>
    <w:rsid w:val="00574AF2"/>
    <w:rsid w:val="00587F9B"/>
    <w:rsid w:val="005A41DD"/>
    <w:rsid w:val="005D4990"/>
    <w:rsid w:val="00604355"/>
    <w:rsid w:val="006360E9"/>
    <w:rsid w:val="00694572"/>
    <w:rsid w:val="006A4D38"/>
    <w:rsid w:val="006A5E65"/>
    <w:rsid w:val="00714D2E"/>
    <w:rsid w:val="0072379C"/>
    <w:rsid w:val="00724945"/>
    <w:rsid w:val="00745E18"/>
    <w:rsid w:val="00776BC7"/>
    <w:rsid w:val="007E5952"/>
    <w:rsid w:val="00830AA8"/>
    <w:rsid w:val="0083524A"/>
    <w:rsid w:val="00836081"/>
    <w:rsid w:val="00852559"/>
    <w:rsid w:val="00886D56"/>
    <w:rsid w:val="008C7C26"/>
    <w:rsid w:val="00903C02"/>
    <w:rsid w:val="00904C51"/>
    <w:rsid w:val="00962DEF"/>
    <w:rsid w:val="009B12EF"/>
    <w:rsid w:val="009C5E67"/>
    <w:rsid w:val="00A824AA"/>
    <w:rsid w:val="00AB1520"/>
    <w:rsid w:val="00AB5313"/>
    <w:rsid w:val="00AC4B87"/>
    <w:rsid w:val="00AD4C81"/>
    <w:rsid w:val="00AE56A6"/>
    <w:rsid w:val="00B30DD9"/>
    <w:rsid w:val="00B56930"/>
    <w:rsid w:val="00B65F5A"/>
    <w:rsid w:val="00B66606"/>
    <w:rsid w:val="00B732D0"/>
    <w:rsid w:val="00BE640C"/>
    <w:rsid w:val="00BE6644"/>
    <w:rsid w:val="00C037B2"/>
    <w:rsid w:val="00C36446"/>
    <w:rsid w:val="00C64327"/>
    <w:rsid w:val="00CE4B07"/>
    <w:rsid w:val="00D2111F"/>
    <w:rsid w:val="00D413F9"/>
    <w:rsid w:val="00E11EB3"/>
    <w:rsid w:val="00E1443A"/>
    <w:rsid w:val="00E40D0C"/>
    <w:rsid w:val="00E5068E"/>
    <w:rsid w:val="00E7730E"/>
    <w:rsid w:val="00E85FE2"/>
    <w:rsid w:val="00E914A4"/>
    <w:rsid w:val="00EB2845"/>
    <w:rsid w:val="00EC1208"/>
    <w:rsid w:val="00ED4F43"/>
    <w:rsid w:val="00F11D29"/>
    <w:rsid w:val="00F12396"/>
    <w:rsid w:val="00F16D80"/>
    <w:rsid w:val="00F25BE5"/>
    <w:rsid w:val="00F41242"/>
    <w:rsid w:val="00F8440C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0D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0D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0DC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1749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Ana Clara Silva de Lima</cp:lastModifiedBy>
  <cp:revision>10</cp:revision>
  <dcterms:created xsi:type="dcterms:W3CDTF">2021-01-15T20:38:00Z</dcterms:created>
  <dcterms:modified xsi:type="dcterms:W3CDTF">2021-01-19T19:08:00Z</dcterms:modified>
</cp:coreProperties>
</file>