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Sumrio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38377F"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38377F"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38377F"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38377F"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38377F"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(vi) o presente Termo; (vii) o Contrato de Distribuição; (</w:t>
            </w:r>
            <w:r w:rsidR="0033709D" w:rsidRPr="001B4698">
              <w:rPr>
                <w:rFonts w:ascii="Leelawadee" w:hAnsi="Leelawadee" w:cs="Leelawadee"/>
                <w:sz w:val="20"/>
                <w:szCs w:val="20"/>
              </w:rPr>
              <w:t>viii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3709D" w:rsidRPr="001B4698">
              <w:rPr>
                <w:rFonts w:ascii="Leelawadee" w:hAnsi="Leelawadee" w:cs="Leelawadee"/>
                <w:sz w:val="20"/>
                <w:szCs w:val="20"/>
              </w:rPr>
              <w:t>i</w:t>
            </w:r>
            <w:r w:rsidRPr="001B4698">
              <w:rPr>
                <w:rFonts w:ascii="Leelawadee" w:hAnsi="Leelawadee" w:cs="Leelawadee"/>
                <w:sz w:val="20"/>
                <w:szCs w:val="20"/>
              </w:rPr>
              <w:t>x)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E62452C"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r w:rsidR="00BE5B81" w:rsidRPr="00B72A1D">
              <w:rPr>
                <w:rFonts w:ascii="Leelawadee" w:hAnsi="Leelawadee" w:cs="Leelawadee"/>
                <w:i/>
                <w:iCs/>
                <w:color w:val="000000"/>
                <w:sz w:val="20"/>
                <w:szCs w:val="20"/>
                <w:highlight w:val="lightGray"/>
              </w:rPr>
              <w:t>BRAP: confirmar se será o bradesco o escriturador.</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PargrafodaLista"/>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4" w:name="_Hlk41916412"/>
            <w:r w:rsidRPr="001B4698">
              <w:rPr>
                <w:rFonts w:ascii="Leelawadee" w:hAnsi="Leelawadee" w:cs="Leelawadee"/>
                <w:bCs/>
                <w:sz w:val="20"/>
                <w:szCs w:val="20"/>
              </w:rPr>
              <w:t>4.351,30 metros quadrados</w:t>
            </w:r>
            <w:bookmarkEnd w:id="14"/>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lastRenderedPageBreak/>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w:t>
            </w:r>
            <w:r w:rsidRPr="001B4698">
              <w:rPr>
                <w:rFonts w:ascii="Leelawadee" w:hAnsi="Leelawadee" w:cs="Leelawadee"/>
                <w:bCs/>
                <w:i/>
                <w:iCs/>
                <w:sz w:val="20"/>
                <w:szCs w:val="20"/>
              </w:rPr>
              <w:lastRenderedPageBreak/>
              <w:t>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Arteris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(i</w:t>
            </w:r>
            <w:r w:rsidR="00806C40" w:rsidRPr="001B4698">
              <w:rPr>
                <w:rFonts w:ascii="Leelawadee" w:eastAsia="MS Mincho" w:hAnsi="Leelawadee" w:cs="Leelawadee"/>
                <w:sz w:val="20"/>
                <w:szCs w:val="20"/>
              </w:rPr>
              <w:t>i</w:t>
            </w:r>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r w:rsidR="006936F8" w:rsidRPr="001B4698">
              <w:rPr>
                <w:rFonts w:ascii="Leelawadee" w:eastAsia="MS Mincho" w:hAnsi="Leelawadee" w:cs="Leelawadee"/>
                <w:sz w:val="20"/>
                <w:szCs w:val="20"/>
              </w:rPr>
              <w:t>iii</w:t>
            </w:r>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r w:rsidRPr="001B4698">
              <w:rPr>
                <w:rFonts w:ascii="Leelawadee" w:eastAsia="MS Mincho" w:hAnsi="Leelawadee" w:cs="Leelawadee"/>
                <w:color w:val="000000"/>
                <w:sz w:val="20"/>
                <w:szCs w:val="20"/>
                <w:u w:val="single"/>
                <w:lang w:val="en-US" w:eastAsia="en-US"/>
              </w:rPr>
              <w:t>Patrimônio Separado</w:t>
            </w:r>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 xml:space="preserve">brigação do Cedente de recomprar a totalidade dos Créditos </w:t>
            </w:r>
            <w:r w:rsidR="00072924" w:rsidRPr="001B4698">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r w:rsidR="00A36AA9" w:rsidRPr="001B4698">
              <w:rPr>
                <w:rFonts w:ascii="Leelawadee" w:hAnsi="Leelawadee" w:cs="Leelawadee"/>
                <w:sz w:val="20"/>
                <w:szCs w:val="20"/>
              </w:rPr>
              <w:t>da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na data de início da locação, ou seja, a partir da data da lavratura da escritura definitiva de aquisição do Imóvel em favor da da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5" w:name="_Toc110076261"/>
      <w:bookmarkStart w:id="16" w:name="_Toc163380699"/>
      <w:bookmarkStart w:id="17" w:name="_Toc180553615"/>
      <w:bookmarkStart w:id="18" w:name="_Toc205799090"/>
      <w:bookmarkStart w:id="19" w:name="_Toc241983065"/>
    </w:p>
    <w:p w14:paraId="45025501" w14:textId="2559C558" w:rsidR="00A965D6" w:rsidRPr="001B4698" w:rsidRDefault="00A965D6" w:rsidP="001B4698">
      <w:pPr>
        <w:pStyle w:val="Ttulo2"/>
        <w:keepNext w:val="0"/>
        <w:widowControl w:val="0"/>
        <w:suppressAutoHyphens/>
        <w:spacing w:line="360" w:lineRule="auto"/>
        <w:jc w:val="left"/>
        <w:rPr>
          <w:rFonts w:ascii="Leelawadee" w:hAnsi="Leelawadee" w:cs="Leelawadee"/>
          <w:color w:val="000000"/>
          <w:sz w:val="20"/>
          <w:szCs w:val="20"/>
        </w:rPr>
      </w:pPr>
      <w:bookmarkStart w:id="20" w:name="_Toc422473368"/>
      <w:bookmarkStart w:id="21" w:name="_Toc42698302"/>
      <w:r w:rsidRPr="001B4698">
        <w:rPr>
          <w:rFonts w:ascii="Leelawadee" w:hAnsi="Leelawadee" w:cs="Leelawadee"/>
          <w:color w:val="000000"/>
          <w:sz w:val="20"/>
          <w:szCs w:val="20"/>
        </w:rPr>
        <w:lastRenderedPageBreak/>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0"/>
      <w:bookmarkEnd w:id="21"/>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22" w:name="_Toc422473369"/>
      <w:bookmarkStart w:id="23"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5"/>
      <w:r w:rsidRPr="001B4698">
        <w:rPr>
          <w:rFonts w:ascii="Leelawadee" w:hAnsi="Leelawadee" w:cs="Leelawadee"/>
          <w:color w:val="000000"/>
          <w:sz w:val="20"/>
          <w:szCs w:val="20"/>
        </w:rPr>
        <w:t xml:space="preserve"> E CRÉDITOS IMOBILIÁRIOS</w:t>
      </w:r>
      <w:bookmarkEnd w:id="16"/>
      <w:bookmarkEnd w:id="17"/>
      <w:bookmarkEnd w:id="18"/>
      <w:bookmarkEnd w:id="19"/>
      <w:bookmarkEnd w:id="22"/>
      <w:bookmarkEnd w:id="23"/>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4" w:name="_DV_M27"/>
      <w:bookmarkEnd w:id="24"/>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Ttulo2"/>
        <w:spacing w:line="360" w:lineRule="auto"/>
        <w:jc w:val="both"/>
        <w:rPr>
          <w:rFonts w:ascii="Leelawadee" w:hAnsi="Leelawadee" w:cs="Leelawadee"/>
          <w:color w:val="000000"/>
          <w:sz w:val="20"/>
          <w:szCs w:val="20"/>
        </w:rPr>
      </w:pPr>
      <w:bookmarkStart w:id="25" w:name="_Toc110076262"/>
      <w:bookmarkStart w:id="26" w:name="_Toc163380700"/>
      <w:bookmarkStart w:id="27" w:name="_Toc180553616"/>
      <w:bookmarkStart w:id="28" w:name="_Toc205799091"/>
      <w:bookmarkStart w:id="29" w:name="_Toc241983066"/>
      <w:bookmarkStart w:id="30" w:name="_Toc422473370"/>
      <w:bookmarkStart w:id="31"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5"/>
      <w:bookmarkEnd w:id="26"/>
      <w:bookmarkEnd w:id="27"/>
      <w:bookmarkEnd w:id="28"/>
      <w:bookmarkEnd w:id="29"/>
      <w:r w:rsidR="00205066" w:rsidRPr="001B4698">
        <w:rPr>
          <w:rFonts w:ascii="Leelawadee" w:hAnsi="Leelawadee" w:cs="Leelawadee"/>
          <w:color w:val="000000"/>
          <w:sz w:val="20"/>
          <w:szCs w:val="20"/>
        </w:rPr>
        <w:t>CARACTERÍSTICAS DOS CRI</w:t>
      </w:r>
      <w:bookmarkEnd w:id="30"/>
      <w:bookmarkEnd w:id="31"/>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490C8E6"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Pr>
                <w:rFonts w:ascii="Leelawadee" w:hAnsi="Leelawadee" w:cs="Leelawadee"/>
                <w:sz w:val="20"/>
                <w:szCs w:val="20"/>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16655D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 (</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FD6ECD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lastRenderedPageBreak/>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32" w:name="_DV_M64"/>
      <w:bookmarkStart w:id="33" w:name="_DV_M65"/>
      <w:bookmarkStart w:id="34" w:name="_DV_M66"/>
      <w:bookmarkStart w:id="35" w:name="_DV_M67"/>
      <w:bookmarkEnd w:id="32"/>
      <w:bookmarkEnd w:id="33"/>
      <w:bookmarkEnd w:id="34"/>
      <w:bookmarkEnd w:id="35"/>
    </w:p>
    <w:p w14:paraId="460066FC" w14:textId="5A35555C" w:rsidR="00777250" w:rsidRPr="001B4698" w:rsidRDefault="00777250" w:rsidP="001B4698">
      <w:pPr>
        <w:pStyle w:val="Ttulo2"/>
        <w:spacing w:line="360" w:lineRule="auto"/>
        <w:jc w:val="both"/>
        <w:rPr>
          <w:rFonts w:ascii="Leelawadee" w:hAnsi="Leelawadee" w:cs="Leelawadee"/>
          <w:b w:val="0"/>
          <w:color w:val="000000"/>
          <w:sz w:val="20"/>
          <w:szCs w:val="20"/>
        </w:rPr>
      </w:pPr>
      <w:bookmarkStart w:id="36"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36"/>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r w:rsidR="008104DB">
        <w:rPr>
          <w:rFonts w:ascii="Leelawadee" w:hAnsi="Leelawadee" w:cs="Leelawadee"/>
          <w:b w:val="0"/>
          <w:bCs w:val="0"/>
          <w:color w:val="000000"/>
          <w:sz w:val="20"/>
          <w:szCs w:val="20"/>
        </w:rPr>
        <w:t>]</w:t>
      </w:r>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 xml:space="preserve">SDb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3A19D38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r w:rsidR="00081D9A">
        <w:rPr>
          <w:rFonts w:ascii="Leelawadee" w:hAnsi="Leelawadee" w:cs="Leelawadee"/>
          <w:sz w:val="20"/>
          <w:szCs w:val="20"/>
        </w:rPr>
        <w:t xml:space="preserve"> [</w:t>
      </w:r>
      <w:r w:rsidR="00081D9A" w:rsidRPr="00B72A1D">
        <w:rPr>
          <w:rFonts w:ascii="Leelawadee" w:hAnsi="Leelawadee" w:cs="Leelawadee"/>
          <w:i/>
          <w:iCs/>
          <w:sz w:val="20"/>
          <w:szCs w:val="20"/>
          <w:highlight w:val="lightGray"/>
        </w:rPr>
        <w:t>BRAP: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r w:rsidR="00B95A30" w:rsidRPr="00B72A1D">
        <w:rPr>
          <w:rFonts w:ascii="Leelawadee" w:hAnsi="Leelawadee" w:cs="Leelawadee"/>
          <w:i/>
          <w:iCs/>
          <w:sz w:val="20"/>
          <w:szCs w:val="20"/>
          <w:highlight w:val="lightGray"/>
        </w:rPr>
        <w:t xml:space="preserve">BRAP: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Nik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Comentário i2a: Conforme comentários da BRAP,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p>
    <w:p w14:paraId="0EE4F8EF" w14:textId="22F60B7C"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r>
        <w:rPr>
          <w:noProof/>
        </w:rPr>
        <w:drawing>
          <wp:inline distT="0" distB="0" distL="0" distR="0" wp14:anchorId="55AAE56B" wp14:editId="54236AD0">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996440"/>
                    </a:xfrm>
                    <a:prstGeom prst="rect">
                      <a:avLst/>
                    </a:prstGeom>
                  </pic:spPr>
                </pic:pic>
              </a:graphicData>
            </a:graphic>
          </wp:inline>
        </w:drawing>
      </w: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537B8D63"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 xml:space="preserve">k = Número índice do IPCA/IBGE </w:t>
      </w:r>
      <w:r w:rsidR="00F967E7">
        <w:rPr>
          <w:rFonts w:ascii="Leelawadee" w:hAnsi="Leelawadee" w:cs="Leelawadee"/>
          <w:sz w:val="20"/>
          <w:szCs w:val="20"/>
        </w:rPr>
        <w:t>divulgado no</w:t>
      </w:r>
      <w:r w:rsidRPr="001B4698">
        <w:rPr>
          <w:rFonts w:ascii="Leelawadee" w:hAnsi="Leelawadee" w:cs="Leelawadee"/>
          <w:sz w:val="20"/>
          <w:szCs w:val="20"/>
        </w:rPr>
        <w:t xml:space="preserve"> mês imediatamente anterior ao mês da Data de Atualização, ou seja, N</w:t>
      </w:r>
      <w:r w:rsidR="0051086A" w:rsidRPr="001B4698">
        <w:rPr>
          <w:rFonts w:ascii="Leelawadee" w:hAnsi="Leelawadee" w:cs="Leelawadee"/>
          <w:sz w:val="20"/>
          <w:szCs w:val="20"/>
        </w:rPr>
        <w:t>i</w:t>
      </w:r>
      <w:r w:rsidRPr="001B4698">
        <w:rPr>
          <w:rFonts w:ascii="Leelawadee" w:hAnsi="Leelawadee" w:cs="Leelawadee"/>
          <w:sz w:val="20"/>
          <w:szCs w:val="20"/>
        </w:rPr>
        <w:t xml:space="preserve">k será </w:t>
      </w:r>
      <w:r w:rsidR="0005336B" w:rsidRPr="001B4698">
        <w:rPr>
          <w:rFonts w:ascii="Leelawadee" w:hAnsi="Leelawadee" w:cs="Leelawadee"/>
          <w:sz w:val="20"/>
          <w:szCs w:val="20"/>
        </w:rPr>
        <w:t xml:space="preserve">o número índice referente ao mês de </w:t>
      </w:r>
      <w:r w:rsidR="00427578">
        <w:rPr>
          <w:rFonts w:ascii="Leelawadee" w:hAnsi="Leelawadee" w:cs="Leelawadee"/>
          <w:bCs/>
          <w:sz w:val="20"/>
          <w:szCs w:val="20"/>
          <w:lang w:eastAsia="en-US"/>
        </w:rPr>
        <w:t>junho</w:t>
      </w:r>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r w:rsidR="00F967E7">
        <w:rPr>
          <w:rFonts w:ascii="Leelawadee" w:hAnsi="Leelawadee" w:cs="Leelawadee"/>
          <w:sz w:val="20"/>
          <w:szCs w:val="20"/>
        </w:rPr>
        <w:t>julho</w:t>
      </w:r>
      <w:r w:rsidR="00427578" w:rsidRPr="001B4698">
        <w:rPr>
          <w:rFonts w:ascii="Leelawadee" w:hAnsi="Leelawadee" w:cs="Leelawadee"/>
          <w:bCs/>
          <w:sz w:val="20"/>
          <w:szCs w:val="20"/>
          <w:lang w:eastAsia="en-US"/>
        </w:rPr>
        <w:t>]</w:t>
      </w:r>
      <w:r w:rsidR="00427578" w:rsidRPr="001B4698">
        <w:rPr>
          <w:rFonts w:ascii="Leelawadee" w:hAnsi="Leelawadee" w:cs="Leelawadee"/>
          <w:sz w:val="20"/>
          <w:szCs w:val="20"/>
        </w:rPr>
        <w:t>.</w:t>
      </w:r>
      <w:r w:rsidR="00157696" w:rsidRPr="001B4698">
        <w:rPr>
          <w:rFonts w:ascii="Leelawadee" w:hAnsi="Leelawadee" w:cs="Leelawadee"/>
          <w:sz w:val="20"/>
          <w:szCs w:val="20"/>
        </w:rPr>
        <w:t xml:space="preserve"> Na primeira Data de Atualização, em </w:t>
      </w:r>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agosto</w:t>
      </w:r>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NIk será o número-índice do IPCA referente ao mês de </w:t>
      </w:r>
      <w:r w:rsidR="00F967E7">
        <w:rPr>
          <w:rFonts w:ascii="Leelawadee" w:hAnsi="Leelawadee" w:cs="Leelawadee"/>
          <w:bCs/>
          <w:sz w:val="20"/>
          <w:szCs w:val="20"/>
          <w:lang w:eastAsia="en-US"/>
        </w:rPr>
        <w:t>junho</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2021, divulgado em julho de 2021.</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5AD04572"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37"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r w:rsidRPr="001B4698">
        <w:rPr>
          <w:rFonts w:ascii="Leelawadee" w:hAnsi="Leelawadee" w:cs="Leelawadee"/>
          <w:sz w:val="20"/>
          <w:szCs w:val="20"/>
        </w:rPr>
        <w:t>Nik</w:t>
      </w:r>
      <w:bookmarkEnd w:id="37"/>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w:t>
      </w:r>
      <w:r w:rsidR="009010FB" w:rsidRPr="001B4698">
        <w:rPr>
          <w:rFonts w:ascii="Leelawadee" w:hAnsi="Leelawadee" w:cs="Leelawadee"/>
          <w:sz w:val="20"/>
          <w:szCs w:val="20"/>
        </w:rPr>
        <w:lastRenderedPageBreak/>
        <w:t xml:space="preserve">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r w:rsidRPr="001B4698">
        <w:rPr>
          <w:rFonts w:ascii="Leelawadee" w:hAnsi="Leelawadee" w:cs="Leelawadee"/>
          <w:sz w:val="20"/>
          <w:szCs w:val="20"/>
        </w:rPr>
        <w:t xml:space="preserve">temporis,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4FE1270F" w:rsidR="009F37E6"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38" w:name="_Hlk34288967"/>
      <w:r w:rsidR="00CD2707" w:rsidRPr="001B4698">
        <w:rPr>
          <w:rFonts w:ascii="Leelawadee" w:hAnsi="Leelawadee" w:cs="Leelawadee"/>
          <w:color w:val="000000"/>
          <w:sz w:val="20"/>
          <w:szCs w:val="20"/>
        </w:rPr>
        <w:t xml:space="preserve">próxima Data de </w:t>
      </w:r>
      <w:bookmarkStart w:id="39" w:name="_Hlk34288953"/>
      <w:r w:rsidR="00CD2707" w:rsidRPr="001B4698">
        <w:rPr>
          <w:rFonts w:ascii="Leelawadee" w:hAnsi="Leelawadee" w:cs="Leelawadee"/>
          <w:color w:val="000000"/>
          <w:sz w:val="20"/>
          <w:szCs w:val="20"/>
        </w:rPr>
        <w:t>Pagamento</w:t>
      </w:r>
      <w:bookmarkEnd w:id="38"/>
      <w:bookmarkEnd w:id="39"/>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considera-se dct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1A34565"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 xml:space="preserve">Tai = i-ésima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w:t>
      </w:r>
      <w:r w:rsidRPr="001B4698">
        <w:rPr>
          <w:rFonts w:ascii="Leelawadee" w:hAnsi="Leelawadee" w:cs="Leelawadee"/>
          <w:sz w:val="20"/>
          <w:szCs w:val="20"/>
        </w:rPr>
        <w:lastRenderedPageBreak/>
        <w:t>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PMTi,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130D32"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130D32"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15002714" w:rsidR="009F37E6" w:rsidRPr="001B4698" w:rsidRDefault="00130D32" w:rsidP="001B469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r w:rsidR="00D54A22">
        <w:rPr>
          <w:rFonts w:ascii="Leelawadee" w:hAnsi="Leelawadee" w:cs="Leelawadee"/>
          <w:sz w:val="20"/>
          <w:szCs w:val="20"/>
        </w:rPr>
        <w:t xml:space="preserve"> [</w:t>
      </w:r>
      <w:r w:rsidR="00D54A22" w:rsidRPr="00B72A1D">
        <w:rPr>
          <w:rFonts w:ascii="Leelawadee" w:hAnsi="Leelawadee" w:cs="Leelawadee"/>
          <w:i/>
          <w:iCs/>
          <w:sz w:val="20"/>
          <w:szCs w:val="20"/>
          <w:highlight w:val="lightGray"/>
        </w:rPr>
        <w:t>BRAP: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confirmarem</w:t>
      </w:r>
      <w:r w:rsidR="00E727CF">
        <w:rPr>
          <w:rFonts w:ascii="Leelawadee" w:hAnsi="Leelawadee" w:cs="Leelawadee"/>
          <w:sz w:val="20"/>
          <w:szCs w:val="20"/>
        </w:rPr>
        <w:t>]</w:t>
      </w:r>
    </w:p>
    <w:p w14:paraId="489F1DD6" w14:textId="76BA11DC" w:rsidR="00D54A22" w:rsidRPr="001B4698" w:rsidRDefault="00D54A22" w:rsidP="001B4698">
      <w:pPr>
        <w:spacing w:line="360" w:lineRule="auto"/>
        <w:ind w:left="720"/>
        <w:jc w:val="both"/>
        <w:rPr>
          <w:rFonts w:ascii="Leelawadee" w:hAnsi="Leelawadee" w:cs="Leelawadee"/>
          <w:sz w:val="20"/>
          <w:szCs w:val="20"/>
        </w:rPr>
      </w:pPr>
      <w:r>
        <w:rPr>
          <w:noProof/>
        </w:rPr>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41720A9F" w14:textId="5EE945E8"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r w:rsidR="007F2288">
        <w:rPr>
          <w:rFonts w:ascii="Leelawadee" w:hAnsi="Leelawadee" w:cs="Leelawadee"/>
          <w:sz w:val="20"/>
          <w:szCs w:val="20"/>
        </w:rPr>
        <w:t>Número Índice referente ao mês de junho 2020, divulagado em julho de 2020;</w:t>
      </w:r>
      <w:r w:rsidR="009C7F1F">
        <w:rPr>
          <w:rFonts w:ascii="Leelawadee" w:hAnsi="Leelawadee" w:cs="Leelawadee"/>
          <w:sz w:val="20"/>
          <w:szCs w:val="20"/>
        </w:rPr>
        <w:t xml:space="preserve"> [</w:t>
      </w:r>
      <w:r w:rsidR="009C7F1F" w:rsidRPr="00B72A1D">
        <w:rPr>
          <w:rFonts w:ascii="Leelawadee" w:hAnsi="Leelawadee" w:cs="Leelawadee"/>
          <w:i/>
          <w:iCs/>
          <w:sz w:val="20"/>
          <w:szCs w:val="20"/>
          <w:highlight w:val="lightGray"/>
        </w:rPr>
        <w:t>BRAP: os meses iremos checar quando o entedimento do mês de reajuste for sanado.</w:t>
      </w:r>
      <w:r w:rsidR="009C7F1F" w:rsidRPr="00C659DB">
        <w:rPr>
          <w:rFonts w:ascii="Leelawadee" w:hAnsi="Leelawadee" w:cs="Leelawadee"/>
          <w:sz w:val="20"/>
          <w:szCs w:val="20"/>
        </w:rPr>
        <w:t>]</w:t>
      </w:r>
    </w:p>
    <w:p w14:paraId="7807D294" w14:textId="77777777" w:rsidR="007F2288" w:rsidRDefault="007F2288" w:rsidP="001B4698">
      <w:pPr>
        <w:spacing w:line="360" w:lineRule="auto"/>
        <w:ind w:left="720"/>
        <w:jc w:val="both"/>
        <w:rPr>
          <w:rFonts w:ascii="Leelawadee" w:hAnsi="Leelawadee" w:cs="Leelawadee"/>
          <w:sz w:val="20"/>
          <w:szCs w:val="20"/>
        </w:rPr>
      </w:pPr>
    </w:p>
    <w:p w14:paraId="1CE1719B" w14:textId="5F993C0A"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w:t>
      </w:r>
      <w:r w:rsidR="007F2288">
        <w:rPr>
          <w:rFonts w:ascii="Leelawadee" w:hAnsi="Leelawadee" w:cs="Leelawadee"/>
          <w:sz w:val="20"/>
          <w:szCs w:val="20"/>
        </w:rPr>
        <w:t xml:space="preserve"> Índice referente ao segundo mês imediatamente anterior à Data de Aniversário anterior à data de cálculo;</w:t>
      </w:r>
    </w:p>
    <w:p w14:paraId="14A13270" w14:textId="77777777" w:rsidR="007F2288" w:rsidRPr="00B72A1D" w:rsidRDefault="007F2288" w:rsidP="001B4698">
      <w:pPr>
        <w:spacing w:line="360" w:lineRule="auto"/>
        <w:ind w:left="720"/>
        <w:jc w:val="both"/>
        <w:rPr>
          <w:rFonts w:ascii="Leelawadee" w:hAnsi="Leelawadee" w:cs="Leelawadee"/>
          <w:sz w:val="20"/>
          <w:szCs w:val="20"/>
        </w:rPr>
      </w:pPr>
    </w:p>
    <w:p w14:paraId="40606EEE" w14:textId="11861E60"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t>NI</w:t>
      </w:r>
      <w:r w:rsidRPr="00B72A1D">
        <w:rPr>
          <w:rFonts w:ascii="Leelawadee" w:hAnsi="Leelawadee" w:cs="Leelawadee"/>
          <w:sz w:val="20"/>
          <w:szCs w:val="20"/>
          <w:vertAlign w:val="subscript"/>
        </w:rPr>
        <w:t>mn</w:t>
      </w:r>
      <w:r w:rsidR="007F2288" w:rsidRP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 Índice referente a</w:t>
      </w:r>
      <w:r w:rsidR="007F2288">
        <w:rPr>
          <w:rFonts w:ascii="Leelawadee" w:hAnsi="Leelawadee" w:cs="Leelawadee"/>
          <w:sz w:val="20"/>
          <w:szCs w:val="20"/>
        </w:rPr>
        <w:t>o primeiro mês imediatamente posterior ao mês considerado no NI</w:t>
      </w:r>
      <w:r w:rsidR="007F2288" w:rsidRPr="00B72A1D">
        <w:rPr>
          <w:rFonts w:ascii="Leelawadee" w:hAnsi="Leelawadee" w:cs="Leelawadee"/>
          <w:sz w:val="20"/>
          <w:szCs w:val="20"/>
          <w:vertAlign w:val="subscript"/>
        </w:rPr>
        <w:t>m1</w:t>
      </w:r>
      <w:r w:rsidR="007F2288">
        <w:rPr>
          <w:rFonts w:ascii="Leelawadee" w:hAnsi="Leelawadee" w:cs="Leelawadee"/>
          <w:sz w:val="20"/>
          <w:szCs w:val="20"/>
        </w:rPr>
        <w:t>;</w:t>
      </w:r>
    </w:p>
    <w:p w14:paraId="6147F42B" w14:textId="77777777" w:rsidR="007F2288" w:rsidRPr="00B72A1D" w:rsidRDefault="007F2288" w:rsidP="001B4698">
      <w:pPr>
        <w:spacing w:line="360" w:lineRule="auto"/>
        <w:ind w:left="720"/>
        <w:jc w:val="both"/>
        <w:rPr>
          <w:rFonts w:ascii="Leelawadee" w:hAnsi="Leelawadee" w:cs="Leelawadee"/>
          <w:sz w:val="20"/>
          <w:szCs w:val="20"/>
        </w:rPr>
      </w:pPr>
    </w:p>
    <w:p w14:paraId="1AEB7197" w14:textId="0DE402A4"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lastRenderedPageBreak/>
        <w:t>dcp pro rata</w:t>
      </w:r>
      <w:r w:rsidR="007F2288" w:rsidRPr="007F2288">
        <w:rPr>
          <w:rFonts w:ascii="Leelawadee" w:hAnsi="Leelawadee" w:cs="Leelawadee"/>
          <w:sz w:val="20"/>
          <w:szCs w:val="20"/>
        </w:rPr>
        <w:t xml:space="preserve"> = co</w:t>
      </w:r>
      <w:r w:rsidR="007F2288" w:rsidRPr="00B72A1D">
        <w:rPr>
          <w:rFonts w:ascii="Leelawadee" w:hAnsi="Leelawadee" w:cs="Leelawadee"/>
          <w:sz w:val="20"/>
          <w:szCs w:val="20"/>
        </w:rPr>
        <w:t>nforme d</w:t>
      </w:r>
      <w:r w:rsidR="007F2288">
        <w:rPr>
          <w:rFonts w:ascii="Leelawadee" w:hAnsi="Leelawadee" w:cs="Leelawadee"/>
          <w:sz w:val="20"/>
          <w:szCs w:val="20"/>
        </w:rPr>
        <w:t>efinição acima;</w:t>
      </w:r>
    </w:p>
    <w:p w14:paraId="7F45F9C8" w14:textId="77777777" w:rsidR="007F2288" w:rsidRPr="007F2288" w:rsidRDefault="007F2288" w:rsidP="001B4698">
      <w:pPr>
        <w:spacing w:line="360" w:lineRule="auto"/>
        <w:ind w:left="720"/>
        <w:jc w:val="both"/>
        <w:rPr>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dct pro rata</w:t>
      </w:r>
      <w:r w:rsidR="007F2288">
        <w:rPr>
          <w:rFonts w:ascii="Leelawadee" w:hAnsi="Leelawadee" w:cs="Leelawadee"/>
          <w:sz w:val="20"/>
          <w:szCs w:val="20"/>
        </w:rPr>
        <w:t xml:space="preserve"> = conforme definição acima.</w:t>
      </w:r>
    </w:p>
    <w:p w14:paraId="736F34A8" w14:textId="77777777"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5A818F22"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 xml:space="preserve">ecorrentes, presentes e futuras, estando o Cedente obrigado a realizar tal depósito no prazo de até 5 (cinco) Dias Úteis contados do </w:t>
      </w:r>
      <w:r w:rsidR="00C85072" w:rsidRPr="001B4698">
        <w:rPr>
          <w:rFonts w:ascii="Leelawadee" w:hAnsi="Leelawadee" w:cs="Leelawadee"/>
          <w:sz w:val="20"/>
          <w:szCs w:val="20"/>
        </w:rPr>
        <w:lastRenderedPageBreak/>
        <w:t>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Comentário i2a: Não entendemos o ponto. A obrigação de recomposição consta neste item do Termo e também no item 2.3.2. do Contrato de Cessão.</w:t>
      </w:r>
      <w:r w:rsidR="00E214B2">
        <w:rPr>
          <w:rFonts w:ascii="Leelawadee" w:hAnsi="Leelawadee" w:cs="Leelawadee"/>
          <w:sz w:val="20"/>
          <w:szCs w:val="20"/>
        </w:rPr>
        <w:t>]</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544691" w:rsidRPr="001B4698">
        <w:rPr>
          <w:rFonts w:ascii="Leelawadee" w:hAnsi="Leelawadee" w:cs="Leelawadee"/>
          <w:sz w:val="20"/>
          <w:szCs w:val="20"/>
        </w:rPr>
        <w:t>à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Ttulo2"/>
        <w:suppressAutoHyphens/>
        <w:spacing w:line="360" w:lineRule="auto"/>
        <w:jc w:val="left"/>
        <w:rPr>
          <w:rFonts w:ascii="Leelawadee" w:hAnsi="Leelawadee" w:cs="Leelawadee"/>
          <w:b w:val="0"/>
          <w:color w:val="000000"/>
          <w:sz w:val="20"/>
          <w:szCs w:val="20"/>
        </w:rPr>
      </w:pPr>
      <w:bookmarkStart w:id="40" w:name="_Toc422473371"/>
      <w:bookmarkStart w:id="41"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0"/>
      <w:bookmarkEnd w:id="41"/>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1B4698">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w:t>
      </w:r>
      <w:r w:rsidR="002D73C7" w:rsidRPr="001B4698">
        <w:rPr>
          <w:rFonts w:ascii="Leelawadee" w:hAnsi="Leelawadee" w:cs="Leelawadee"/>
          <w:color w:val="000000"/>
          <w:sz w:val="20"/>
          <w:szCs w:val="20"/>
        </w:rPr>
        <w:lastRenderedPageBreak/>
        <w:t xml:space="preserve">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43B50C11"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no Contrato de Distribuição; (ii) </w:t>
      </w:r>
      <w:r w:rsidR="00F10346" w:rsidRPr="00B72A1D">
        <w:rPr>
          <w:rFonts w:ascii="Leelawadee" w:hAnsi="Leelawadee" w:cs="Leelawadee"/>
          <w:color w:val="000000"/>
          <w:sz w:val="20"/>
          <w:szCs w:val="20"/>
        </w:rPr>
        <w:t>os CRI não sejam integralmente subscritos e integralizados por Investidores Profissionais</w:t>
      </w:r>
      <w:r w:rsidRPr="0051338C">
        <w:rPr>
          <w:rFonts w:ascii="Leelawadee" w:hAnsi="Leelawadee" w:cs="Leelawadee"/>
          <w:color w:val="000000"/>
          <w:sz w:val="20"/>
          <w:szCs w:val="20"/>
        </w:rPr>
        <w:t>; (iii) o prazo de vigência do compromiss</w:t>
      </w:r>
      <w:r w:rsidRPr="00C659DB">
        <w:rPr>
          <w:rFonts w:ascii="Leelawadee" w:hAnsi="Leelawadee" w:cs="Leelawadee"/>
          <w:color w:val="000000"/>
          <w:sz w:val="20"/>
          <w:szCs w:val="20"/>
        </w:rPr>
        <w:t>o de</w:t>
      </w:r>
      <w:r w:rsidRPr="00F10346">
        <w:rPr>
          <w:rFonts w:ascii="Leelawadee" w:hAnsi="Leelawadee" w:cs="Leelawadee"/>
          <w:color w:val="000000"/>
          <w:sz w:val="20"/>
          <w:szCs w:val="20"/>
        </w:rPr>
        <w:t xml:space="preserve"> exercer a garantia firme parcial, conforme previsto no item 6.3., abaixo, esteja vigente; (iv) seja respeitado o prazo de colocação, conforme previsto no item 6.1.7., acima; e (v) </w:t>
      </w:r>
      <w:r w:rsidR="00F10346" w:rsidRPr="00B72A1D">
        <w:rPr>
          <w:rFonts w:ascii="Leelawadee" w:hAnsi="Leelawadee" w:cs="Leelawadee"/>
          <w:color w:val="000000"/>
          <w:sz w:val="20"/>
          <w:szCs w:val="20"/>
        </w:rPr>
        <w:t>ocorra a subscrição e integralização de CRI em montante equivalente a, no mínimo,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xml:space="preserve">]) do montante total emitido, </w:t>
      </w:r>
      <w:r w:rsidR="00F10346" w:rsidRPr="00B72A1D">
        <w:rPr>
          <w:rFonts w:ascii="Leelawadee" w:hAnsi="Leelawadee" w:cs="Leelawadee"/>
          <w:sz w:val="20"/>
          <w:szCs w:val="20"/>
        </w:rPr>
        <w:t>o que equivale a R$ </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sidDel="0022129E">
        <w:rPr>
          <w:rFonts w:ascii="Leelawadee" w:hAnsi="Leelawadee" w:cs="Leelawadee"/>
          <w:sz w:val="20"/>
          <w:szCs w:val="20"/>
        </w:rPr>
        <w:t xml:space="preserve"> </w:t>
      </w:r>
      <w:r w:rsidR="00F10346" w:rsidRPr="00B72A1D">
        <w:rPr>
          <w:rFonts w:ascii="Leelawadee" w:hAnsi="Leelawadee" w:cs="Leelawadee"/>
          <w:sz w:val="20"/>
          <w:szCs w:val="20"/>
        </w:rPr>
        <w:t>(</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Pr>
          <w:rFonts w:ascii="Leelawadee" w:hAnsi="Leelawadee" w:cs="Leelawadee"/>
          <w:sz w:val="20"/>
          <w:szCs w:val="20"/>
        </w:rPr>
        <w:t>)</w:t>
      </w:r>
      <w:r w:rsidR="00F10346" w:rsidRPr="00B72A1D">
        <w:rPr>
          <w:rFonts w:ascii="Leelawadee" w:hAnsi="Leelawadee" w:cs="Leelawadee"/>
          <w:color w:val="000000"/>
          <w:sz w:val="20"/>
          <w:szCs w:val="20"/>
        </w:rPr>
        <w:t>.</w:t>
      </w:r>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lastRenderedPageBreak/>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(ii)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(iii)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42" w:name="_Toc163380701"/>
      <w:bookmarkStart w:id="43" w:name="_Toc180553617"/>
      <w:bookmarkStart w:id="44" w:name="_Toc205799092"/>
      <w:bookmarkStart w:id="45" w:name="_Toc241983067"/>
      <w:bookmarkStart w:id="46" w:name="_Toc422473372"/>
      <w:bookmarkStart w:id="47"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2"/>
      <w:bookmarkEnd w:id="43"/>
      <w:bookmarkEnd w:id="44"/>
      <w:bookmarkEnd w:id="45"/>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6"/>
      <w:bookmarkEnd w:id="47"/>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48"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49" w:name="_Hlk42681642"/>
    </w:p>
    <w:p w14:paraId="2E3F4F37" w14:textId="77777777" w:rsidR="0038377F" w:rsidRPr="00B72A1D" w:rsidRDefault="003A151E" w:rsidP="005545F4">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r w:rsidR="0038377F" w:rsidRPr="00B72A1D">
        <w:rPr>
          <w:rFonts w:ascii="Leelawadee" w:hAnsi="Leelawadee" w:cs="Leelawadee"/>
          <w:sz w:val="20"/>
          <w:szCs w:val="20"/>
        </w:rPr>
        <w:t xml:space="preserve">a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w:t>
      </w:r>
      <w:r w:rsidR="009B2C4F" w:rsidRPr="001B4698">
        <w:rPr>
          <w:rFonts w:ascii="Leelawadee" w:hAnsi="Leelawadee" w:cs="Leelawadee"/>
          <w:bCs/>
          <w:sz w:val="20"/>
          <w:szCs w:val="20"/>
        </w:rPr>
        <w:lastRenderedPageBreak/>
        <w:t>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B72A1D">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Seguro de Perda de Receitas deverá prever, até o término do prazo da locação, uma indenização mínima </w:t>
      </w:r>
      <w:r w:rsidRPr="001B4698">
        <w:rPr>
          <w:rFonts w:ascii="Leelawadee" w:hAnsi="Leelawadee" w:cs="Leelawadee"/>
          <w:color w:val="000000"/>
          <w:sz w:val="20"/>
          <w:szCs w:val="20"/>
        </w:rPr>
        <w:lastRenderedPageBreak/>
        <w:t>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PargrafodaLista"/>
        <w:suppressAutoHyphens/>
        <w:spacing w:line="360" w:lineRule="auto"/>
        <w:ind w:left="709" w:hanging="709"/>
        <w:jc w:val="both"/>
        <w:rPr>
          <w:rFonts w:ascii="Leelawadee" w:hAnsi="Leelawadee" w:cs="Leelawadee"/>
          <w:color w:val="000000"/>
          <w:sz w:val="20"/>
          <w:szCs w:val="20"/>
        </w:rPr>
      </w:pPr>
    </w:p>
    <w:p w14:paraId="42112ACA" w14:textId="15FA42E6" w:rsidR="00726C33" w:rsidRPr="001B4698" w:rsidRDefault="00726C33"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xml:space="preserve">, tal seguradora estará desde já previamente autorizada; (ii)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(ii)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w:t>
      </w:r>
      <w:r w:rsidR="00A36AA9" w:rsidRPr="008C5E7A">
        <w:rPr>
          <w:rFonts w:ascii="Leelawadee" w:hAnsi="Leelawadee" w:cs="Leelawadee"/>
          <w:kern w:val="0"/>
          <w:sz w:val="20"/>
        </w:rPr>
        <w:lastRenderedPageBreak/>
        <w:t>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r w:rsidRPr="0052313B">
        <w:rPr>
          <w:rFonts w:ascii="Leelawadee" w:hAnsi="Leelawadee" w:cs="Leelawadee"/>
          <w:sz w:val="20"/>
        </w:rPr>
        <w:t>e</w:t>
      </w:r>
      <w:r w:rsidR="002363CF" w:rsidRPr="0052313B">
        <w:rPr>
          <w:rFonts w:ascii="Leelawadee" w:hAnsi="Leelawadee" w:cs="Leelawadee"/>
          <w:sz w:val="20"/>
        </w:rPr>
        <w:t xml:space="preserve">critura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(ii)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w:t>
      </w:r>
      <w:r w:rsidR="002363CF" w:rsidRPr="00E73AC7">
        <w:rPr>
          <w:rFonts w:ascii="Leelawadee" w:hAnsi="Leelawadee" w:cs="Leelawadee"/>
          <w:kern w:val="28"/>
          <w:sz w:val="20"/>
          <w:szCs w:val="20"/>
        </w:rPr>
        <w:lastRenderedPageBreak/>
        <w:t xml:space="preserve">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da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49"/>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50" w:name="_Hlk43179170"/>
      <w:r w:rsidR="0038377F">
        <w:rPr>
          <w:rFonts w:ascii="Leelawadee" w:hAnsi="Leelawadee" w:cs="Leelawadee"/>
          <w:color w:val="000000"/>
          <w:sz w:val="20"/>
          <w:szCs w:val="20"/>
        </w:rPr>
        <w:t>, sem que o referido pagamento tenha sido efetuado</w:t>
      </w:r>
      <w:bookmarkEnd w:id="50"/>
      <w:r w:rsidR="00DD28BB" w:rsidRPr="001B4698">
        <w:rPr>
          <w:rFonts w:ascii="Leelawadee" w:hAnsi="Leelawadee" w:cs="Leelawadee"/>
          <w:color w:val="000000"/>
          <w:sz w:val="20"/>
          <w:szCs w:val="20"/>
        </w:rPr>
        <w:t>, ou (ii)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PargrafodaLista"/>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w:t>
      </w:r>
      <w:r w:rsidR="007A1331" w:rsidRPr="00CA17AF">
        <w:rPr>
          <w:rFonts w:ascii="Leelawadee" w:hAnsi="Leelawadee" w:cs="Leelawadee"/>
          <w:sz w:val="20"/>
          <w:szCs w:val="20"/>
        </w:rPr>
        <w:lastRenderedPageBreak/>
        <w:t xml:space="preserve">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r w:rsidR="00CA17AF">
        <w:rPr>
          <w:rFonts w:ascii="Leelawadee" w:hAnsi="Leelawadee" w:cs="Leelawadee"/>
          <w:sz w:val="20"/>
          <w:szCs w:val="20"/>
        </w:rPr>
        <w:t>ii</w:t>
      </w:r>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r w:rsidR="001D395B">
        <w:rPr>
          <w:rFonts w:ascii="Leelawadee" w:hAnsi="Leelawadee" w:cs="Leelawadee"/>
          <w:sz w:val="20"/>
          <w:szCs w:val="20"/>
        </w:rPr>
        <w:t>ii</w:t>
      </w:r>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1D395B">
        <w:rPr>
          <w:rFonts w:ascii="Leelawadee" w:hAnsi="Leelawadee" w:cs="Leelawadee"/>
          <w:sz w:val="20"/>
          <w:szCs w:val="20"/>
        </w:rPr>
        <w:t>iii</w:t>
      </w:r>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r w:rsidR="001D395B">
        <w:rPr>
          <w:rFonts w:ascii="Leelawadee" w:hAnsi="Leelawadee" w:cs="Leelawadee"/>
          <w:sz w:val="20"/>
          <w:szCs w:val="20"/>
        </w:rPr>
        <w:t>ii</w:t>
      </w:r>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PargrafodaLista"/>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PargrafodaLista"/>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PargrafodaLista"/>
        <w:rPr>
          <w:rFonts w:ascii="Leelawadee" w:hAnsi="Leelawadee" w:cs="Leelawadee"/>
          <w:sz w:val="20"/>
          <w:szCs w:val="20"/>
        </w:rPr>
      </w:pPr>
    </w:p>
    <w:p w14:paraId="73A0266C" w14:textId="2FFC200E" w:rsidR="00C9650C" w:rsidRDefault="00647865" w:rsidP="00586C39">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 xml:space="preserve">considerando que o Imóvel está localizado em zona de uso especial, conforme Plano Diretor de Ribeirão Preto, por estar na zona de recarga do aquífero Guarani e, em razão disso, há diversas restrições de uso do </w:t>
      </w:r>
      <w:r w:rsidRPr="00647865">
        <w:rPr>
          <w:rFonts w:ascii="Leelawadee" w:hAnsi="Leelawadee" w:cs="Leelawadee"/>
          <w:sz w:val="20"/>
          <w:szCs w:val="20"/>
        </w:rPr>
        <w:lastRenderedPageBreak/>
        <w:t>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Ttulo2"/>
        <w:widowControl w:val="0"/>
        <w:suppressAutoHyphens/>
        <w:spacing w:line="360" w:lineRule="auto"/>
        <w:jc w:val="both"/>
        <w:rPr>
          <w:rFonts w:ascii="Leelawadee" w:hAnsi="Leelawadee" w:cs="Leelawadee"/>
          <w:color w:val="000000"/>
          <w:sz w:val="20"/>
          <w:szCs w:val="20"/>
        </w:rPr>
      </w:pPr>
      <w:bookmarkStart w:id="51" w:name="_Toc163380702"/>
      <w:bookmarkStart w:id="52" w:name="_Toc180553618"/>
      <w:bookmarkStart w:id="53" w:name="_Toc205799093"/>
      <w:bookmarkStart w:id="54" w:name="_Toc241983068"/>
      <w:bookmarkStart w:id="55" w:name="_Toc422473373"/>
      <w:bookmarkStart w:id="56" w:name="_Toc42698308"/>
      <w:bookmarkEnd w:id="4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7" w:name="_Toc110076264"/>
      <w:bookmarkStart w:id="58" w:name="_Toc163380703"/>
      <w:bookmarkStart w:id="59" w:name="_Toc180553619"/>
      <w:bookmarkStart w:id="60" w:name="_Toc205799094"/>
      <w:bookmarkStart w:id="61" w:name="_Toc241983069"/>
      <w:bookmarkEnd w:id="51"/>
      <w:bookmarkEnd w:id="52"/>
      <w:bookmarkEnd w:id="53"/>
      <w:bookmarkEnd w:id="54"/>
      <w:r w:rsidR="00BF5552" w:rsidRPr="001B4698">
        <w:rPr>
          <w:rFonts w:ascii="Leelawadee" w:hAnsi="Leelawadee" w:cs="Leelawadee"/>
          <w:color w:val="000000"/>
          <w:sz w:val="20"/>
          <w:szCs w:val="20"/>
        </w:rPr>
        <w:t>AMORTIZAÇÃO EXTRAORDINÁRIA</w:t>
      </w:r>
      <w:bookmarkEnd w:id="57"/>
      <w:bookmarkEnd w:id="58"/>
      <w:bookmarkEnd w:id="59"/>
      <w:bookmarkEnd w:id="60"/>
      <w:bookmarkEnd w:id="61"/>
      <w:r w:rsidR="00A141F8" w:rsidRPr="001B4698">
        <w:rPr>
          <w:rFonts w:ascii="Leelawadee" w:hAnsi="Leelawadee" w:cs="Leelawadee"/>
          <w:color w:val="000000"/>
          <w:sz w:val="20"/>
          <w:szCs w:val="20"/>
        </w:rPr>
        <w:t xml:space="preserve"> E RESGATE ANTECIPADO DOS CRI</w:t>
      </w:r>
      <w:bookmarkEnd w:id="55"/>
      <w:bookmarkEnd w:id="56"/>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(ii)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(iii)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Ttulo2"/>
        <w:keepNext w:val="0"/>
        <w:suppressAutoHyphens/>
        <w:spacing w:line="360" w:lineRule="auto"/>
        <w:jc w:val="left"/>
        <w:rPr>
          <w:rFonts w:ascii="Leelawadee" w:hAnsi="Leelawadee" w:cs="Leelawadee"/>
          <w:color w:val="000000"/>
          <w:sz w:val="20"/>
          <w:szCs w:val="20"/>
        </w:rPr>
      </w:pPr>
      <w:bookmarkStart w:id="62" w:name="_DV_M110"/>
      <w:bookmarkStart w:id="63" w:name="_DV_M109"/>
      <w:bookmarkStart w:id="64" w:name="_Toc422473374"/>
      <w:bookmarkStart w:id="65" w:name="_Toc42698309"/>
      <w:bookmarkStart w:id="66" w:name="_Toc110076265"/>
      <w:bookmarkStart w:id="67" w:name="_Toc163380704"/>
      <w:bookmarkStart w:id="68" w:name="_Toc180553620"/>
      <w:bookmarkStart w:id="69" w:name="_Toc205799095"/>
      <w:bookmarkStart w:id="70" w:name="_Toc241983070"/>
      <w:bookmarkEnd w:id="62"/>
      <w:bookmarkEnd w:id="6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4"/>
      <w:bookmarkEnd w:id="65"/>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Ttulo2"/>
        <w:keepNext w:val="0"/>
        <w:widowControl w:val="0"/>
        <w:suppressAutoHyphens/>
        <w:spacing w:line="360" w:lineRule="auto"/>
        <w:jc w:val="both"/>
        <w:rPr>
          <w:rFonts w:ascii="Leelawadee" w:hAnsi="Leelawadee" w:cs="Leelawadee"/>
          <w:color w:val="000000"/>
          <w:sz w:val="20"/>
          <w:szCs w:val="20"/>
        </w:rPr>
      </w:pPr>
      <w:bookmarkStart w:id="71" w:name="_Toc422473375"/>
      <w:bookmarkStart w:id="72"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71"/>
      <w:bookmarkEnd w:id="72"/>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lastRenderedPageBreak/>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Ttulo2"/>
        <w:keepNext w:val="0"/>
        <w:widowControl w:val="0"/>
        <w:suppressAutoHyphens/>
        <w:spacing w:line="360" w:lineRule="auto"/>
        <w:jc w:val="left"/>
        <w:rPr>
          <w:rFonts w:ascii="Leelawadee" w:hAnsi="Leelawadee" w:cs="Leelawadee"/>
          <w:color w:val="000000"/>
          <w:sz w:val="20"/>
          <w:szCs w:val="20"/>
        </w:rPr>
      </w:pPr>
      <w:bookmarkStart w:id="73" w:name="_Toc422473376"/>
      <w:bookmarkStart w:id="74"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3"/>
      <w:bookmarkEnd w:id="74"/>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75"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75"/>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w:t>
      </w:r>
      <w:r w:rsidRPr="001B4698">
        <w:rPr>
          <w:rFonts w:ascii="Leelawadee" w:hAnsi="Leelawadee" w:cs="Leelawadee"/>
          <w:color w:val="000000"/>
          <w:sz w:val="20"/>
          <w:szCs w:val="20"/>
        </w:rPr>
        <w:lastRenderedPageBreak/>
        <w:t>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w:t>
      </w:r>
      <w:r w:rsidR="009507A6" w:rsidRPr="001B4698">
        <w:rPr>
          <w:rFonts w:ascii="Leelawadee" w:hAnsi="Leelawadee" w:cs="Leelawadee"/>
          <w:color w:val="000000"/>
          <w:sz w:val="20"/>
          <w:szCs w:val="20"/>
        </w:rPr>
        <w:lastRenderedPageBreak/>
        <w:t>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Ttulo2"/>
        <w:keepNext w:val="0"/>
        <w:widowControl w:val="0"/>
        <w:suppressAutoHyphens/>
        <w:spacing w:line="360" w:lineRule="auto"/>
        <w:jc w:val="left"/>
        <w:rPr>
          <w:rFonts w:ascii="Leelawadee" w:hAnsi="Leelawadee" w:cs="Leelawadee"/>
          <w:b w:val="0"/>
          <w:bCs w:val="0"/>
          <w:color w:val="000000"/>
          <w:sz w:val="20"/>
          <w:szCs w:val="20"/>
        </w:rPr>
      </w:pPr>
      <w:bookmarkStart w:id="76" w:name="_Toc422473377"/>
      <w:bookmarkStart w:id="77"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6"/>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77"/>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Nota ISEC: A ser validado com a conclusão da DD</w:t>
      </w:r>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8" w:name="_Hlk36489641"/>
      <w:r w:rsidR="00D85739" w:rsidRPr="001B4698">
        <w:rPr>
          <w:rFonts w:ascii="Leelawadee" w:hAnsi="Leelawadee" w:cs="Leelawadee"/>
          <w:color w:val="000000"/>
          <w:sz w:val="20"/>
          <w:szCs w:val="20"/>
        </w:rPr>
        <w:t xml:space="preserve">seu consultor de investimentos e outros </w:t>
      </w:r>
      <w:bookmarkEnd w:id="78"/>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w:t>
      </w:r>
      <w:r w:rsidR="006120D4" w:rsidRPr="001B4698">
        <w:rPr>
          <w:rFonts w:ascii="Leelawadee" w:hAnsi="Leelawadee" w:cs="Leelawadee"/>
          <w:color w:val="000000"/>
          <w:sz w:val="20"/>
          <w:szCs w:val="20"/>
        </w:rPr>
        <w:lastRenderedPageBreak/>
        <w:t xml:space="preserve">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(i) dos pagamentos dos Créditos Imobiliários; e (ii)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79" w:name="_Toc162433199"/>
      <w:bookmarkStart w:id="80" w:name="_Toc164251780"/>
      <w:bookmarkStart w:id="81" w:name="_Toc164740512"/>
      <w:bookmarkStart w:id="82"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9"/>
      <w:bookmarkEnd w:id="80"/>
      <w:bookmarkEnd w:id="81"/>
      <w:bookmarkEnd w:id="82"/>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w:t>
      </w:r>
      <w:r w:rsidRPr="001B4698">
        <w:rPr>
          <w:rFonts w:ascii="Leelawadee" w:hAnsi="Leelawadee" w:cs="Leelawadee"/>
          <w:sz w:val="20"/>
          <w:szCs w:val="20"/>
        </w:rPr>
        <w:lastRenderedPageBreak/>
        <w:t xml:space="preserve">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B4698">
        <w:rPr>
          <w:rFonts w:ascii="Leelawadee" w:hAnsi="Leelawadee" w:cs="Leelawadee"/>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w:t>
      </w:r>
      <w:r w:rsidRPr="001B4698">
        <w:rPr>
          <w:rFonts w:ascii="Leelawadee" w:hAnsi="Leelawadee" w:cs="Leelawadee"/>
          <w:sz w:val="20"/>
          <w:szCs w:val="20"/>
        </w:rPr>
        <w:lastRenderedPageBreak/>
        <w:t>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 xml:space="preserve">servidão convencional perpétua em favor da Companhia Paulista de Força e Luz – CPFL para </w:t>
      </w:r>
      <w:r w:rsidR="00DD41FA" w:rsidRPr="00DD41FA">
        <w:rPr>
          <w:rFonts w:ascii="Leelawadee" w:hAnsi="Leelawadee" w:cs="Leelawadee"/>
          <w:bCs/>
          <w:sz w:val="20"/>
          <w:szCs w:val="20"/>
        </w:rPr>
        <w:lastRenderedPageBreak/>
        <w:t>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83"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3"/>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w:t>
      </w:r>
      <w:r w:rsidRPr="001B4698">
        <w:rPr>
          <w:rFonts w:ascii="Leelawadee" w:hAnsi="Leelawadee" w:cs="Leelawadee"/>
          <w:color w:val="000000"/>
          <w:sz w:val="20"/>
          <w:szCs w:val="20"/>
        </w:rPr>
        <w:lastRenderedPageBreak/>
        <w:t>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Obrascon Huarte Lain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 xml:space="preserve">Auto </w:t>
      </w:r>
      <w:r w:rsidR="003632BD" w:rsidRPr="001B4698">
        <w:rPr>
          <w:rFonts w:ascii="Leelawadee" w:hAnsi="Leelawadee" w:cs="Leelawadee"/>
          <w:color w:val="000000"/>
          <w:sz w:val="20"/>
          <w:szCs w:val="20"/>
        </w:rPr>
        <w:lastRenderedPageBreak/>
        <w:t>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4" w:name="_Toc161226109"/>
      <w:bookmarkStart w:id="85" w:name="_Toc163704820"/>
      <w:bookmarkStart w:id="86" w:name="_Toc165278447"/>
      <w:bookmarkStart w:id="87" w:name="_Toc169690866"/>
      <w:bookmarkStart w:id="88" w:name="_Toc241983082"/>
      <w:bookmarkStart w:id="89" w:name="_Toc422473378"/>
      <w:bookmarkStart w:id="90"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84"/>
      <w:bookmarkEnd w:id="85"/>
      <w:bookmarkEnd w:id="86"/>
      <w:bookmarkEnd w:id="87"/>
      <w:bookmarkEnd w:id="88"/>
      <w:bookmarkEnd w:id="89"/>
      <w:bookmarkEnd w:id="90"/>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Ttulo2"/>
        <w:keepNext w:val="0"/>
        <w:widowControl w:val="0"/>
        <w:suppressAutoHyphens/>
        <w:spacing w:line="360" w:lineRule="auto"/>
        <w:jc w:val="left"/>
        <w:rPr>
          <w:rFonts w:ascii="Leelawadee" w:hAnsi="Leelawadee" w:cs="Leelawadee"/>
          <w:color w:val="000000"/>
          <w:sz w:val="20"/>
          <w:szCs w:val="20"/>
        </w:rPr>
      </w:pPr>
      <w:bookmarkStart w:id="91" w:name="_Toc422473379"/>
      <w:bookmarkStart w:id="92"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6"/>
      <w:bookmarkEnd w:id="67"/>
      <w:bookmarkEnd w:id="68"/>
      <w:bookmarkEnd w:id="69"/>
      <w:bookmarkEnd w:id="70"/>
      <w:bookmarkEnd w:id="91"/>
      <w:bookmarkEnd w:id="92"/>
    </w:p>
    <w:p w14:paraId="50FD60DD" w14:textId="77777777" w:rsidR="003F5B06" w:rsidRPr="001B4698" w:rsidRDefault="003F5B06" w:rsidP="001B4698">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livres e desembaraçados de quaisquer ônus, gravames ou restrições de natureza pessoal e/ou real, não sendo do conhecimento da Emissora a existência de qualquer fato que impeça ou restrinja o direito da Emissora de </w:t>
      </w:r>
      <w:r w:rsidR="003C1396" w:rsidRPr="001B4698">
        <w:rPr>
          <w:rFonts w:ascii="Leelawadee" w:hAnsi="Leelawadee" w:cs="Leelawadee"/>
          <w:color w:val="000000"/>
          <w:sz w:val="20"/>
          <w:szCs w:val="20"/>
        </w:rPr>
        <w:lastRenderedPageBreak/>
        <w:t>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93" w:name="_Toc110076268"/>
      <w:bookmarkStart w:id="94" w:name="_Toc163380707"/>
      <w:bookmarkStart w:id="95" w:name="_Toc180553623"/>
      <w:bookmarkStart w:id="96" w:name="_Toc205799098"/>
      <w:bookmarkStart w:id="97"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98" w:name="_Toc422473380"/>
      <w:bookmarkStart w:id="99" w:name="_Toc42698315"/>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93"/>
      <w:bookmarkEnd w:id="94"/>
      <w:bookmarkEnd w:id="95"/>
      <w:bookmarkEnd w:id="96"/>
      <w:bookmarkEnd w:id="97"/>
      <w:bookmarkEnd w:id="98"/>
      <w:bookmarkEnd w:id="99"/>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PargrafodaLista"/>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PargrafodaLista"/>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PargrafodaLista"/>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00"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00"/>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PargrafodaLista"/>
        <w:spacing w:line="360" w:lineRule="auto"/>
        <w:rPr>
          <w:rFonts w:ascii="Leelawadee" w:hAnsi="Leelawadee" w:cs="Leelawadee"/>
          <w:sz w:val="20"/>
          <w:szCs w:val="20"/>
        </w:rPr>
      </w:pPr>
      <w:bookmarkStart w:id="101" w:name="_DV_M536"/>
      <w:bookmarkStart w:id="102" w:name="_DV_M538"/>
      <w:bookmarkStart w:id="103" w:name="_DV_M541"/>
      <w:bookmarkStart w:id="104" w:name="_DV_M542"/>
      <w:bookmarkStart w:id="105" w:name="_DV_M544"/>
      <w:bookmarkStart w:id="106" w:name="_DV_M548"/>
      <w:bookmarkEnd w:id="101"/>
      <w:bookmarkEnd w:id="102"/>
      <w:bookmarkEnd w:id="103"/>
      <w:bookmarkEnd w:id="104"/>
      <w:bookmarkEnd w:id="105"/>
      <w:bookmarkEnd w:id="106"/>
    </w:p>
    <w:p w14:paraId="576079C8" w14:textId="10B2F303" w:rsidR="00131E58" w:rsidRPr="001B4698" w:rsidRDefault="00131E58" w:rsidP="001B4698">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7" w:name="_DV_M168"/>
      <w:bookmarkEnd w:id="107"/>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 xml:space="preserve">despesas com viagens </w:t>
      </w:r>
      <w:r w:rsidR="008C06D3" w:rsidRPr="001B4698">
        <w:rPr>
          <w:rFonts w:ascii="Leelawadee" w:hAnsi="Leelawadee" w:cs="Leelawadee"/>
          <w:color w:val="000000"/>
          <w:sz w:val="20"/>
          <w:szCs w:val="20"/>
        </w:rPr>
        <w:lastRenderedPageBreak/>
        <w:t>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8" w:name="_DV_M169"/>
      <w:bookmarkEnd w:id="108"/>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w:t>
      </w:r>
      <w:r w:rsidRPr="001B4698">
        <w:rPr>
          <w:rFonts w:ascii="Leelawadee" w:hAnsi="Leelawadee" w:cs="Leelawadee"/>
          <w:color w:val="000000"/>
          <w:sz w:val="20"/>
          <w:szCs w:val="20"/>
        </w:rPr>
        <w:lastRenderedPageBreak/>
        <w:t xml:space="preserve">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09" w:name="_Toc110076270"/>
      <w:bookmarkStart w:id="110" w:name="_Toc163380709"/>
      <w:bookmarkStart w:id="111" w:name="_Toc180553625"/>
      <w:bookmarkStart w:id="112" w:name="_Toc205799100"/>
      <w:bookmarkStart w:id="113" w:name="_Toc241983075"/>
      <w:bookmarkStart w:id="114" w:name="_Toc422473381"/>
      <w:bookmarkStart w:id="115"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9"/>
      <w:bookmarkEnd w:id="110"/>
      <w:bookmarkEnd w:id="111"/>
      <w:bookmarkEnd w:id="112"/>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13"/>
      <w:bookmarkEnd w:id="114"/>
      <w:bookmarkEnd w:id="115"/>
    </w:p>
    <w:p w14:paraId="556AF857" w14:textId="77777777" w:rsidR="003F5B06" w:rsidRPr="001B4698" w:rsidRDefault="003F5B06" w:rsidP="001B4698">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6" w:name="_Hlk34291037"/>
      <w:r w:rsidRPr="001B4698">
        <w:rPr>
          <w:rFonts w:ascii="Leelawadee" w:hAnsi="Leelawadee" w:cs="Leelawadee"/>
          <w:color w:val="000000"/>
          <w:sz w:val="20"/>
          <w:szCs w:val="20"/>
        </w:rPr>
        <w:t>pela Emissora</w:t>
      </w:r>
      <w:bookmarkEnd w:id="116"/>
      <w:r w:rsidRPr="001B4698">
        <w:rPr>
          <w:rFonts w:ascii="Leelawadee" w:hAnsi="Leelawadee" w:cs="Leelawadee"/>
          <w:color w:val="000000"/>
          <w:sz w:val="20"/>
          <w:szCs w:val="20"/>
        </w:rPr>
        <w:t>;</w:t>
      </w:r>
    </w:p>
    <w:p w14:paraId="010A1FFC" w14:textId="699F410F"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0DFB5CF8" w:rsidR="003F5B06" w:rsidRPr="001B4698" w:rsidRDefault="00FB2E2B" w:rsidP="00B72A1D">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(iii) às Garantias;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4A7C4B" w:rsidRPr="001B4698">
        <w:rPr>
          <w:rFonts w:ascii="Leelawadee" w:hAnsi="Leelawadee" w:cs="Leelawadee"/>
          <w:sz w:val="20"/>
          <w:szCs w:val="20"/>
        </w:rPr>
        <w:t xml:space="preserve">v)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17" w:name="_Toc205799102"/>
      <w:bookmarkStart w:id="118" w:name="_Toc241983077"/>
      <w:bookmarkStart w:id="119" w:name="_Toc422473382"/>
      <w:bookmarkStart w:id="120"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7"/>
      <w:bookmarkEnd w:id="118"/>
      <w:bookmarkEnd w:id="119"/>
      <w:bookmarkEnd w:id="120"/>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w:t>
      </w:r>
      <w:r w:rsidRPr="001B4698">
        <w:rPr>
          <w:rFonts w:ascii="Leelawadee" w:eastAsia="Arial Unicode MS" w:hAnsi="Leelawadee" w:cs="Leelawadee"/>
          <w:color w:val="000000"/>
          <w:sz w:val="20"/>
          <w:szCs w:val="20"/>
        </w:rPr>
        <w:lastRenderedPageBreak/>
        <w:t>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w:t>
      </w:r>
      <w:r w:rsidRPr="001B4698">
        <w:rPr>
          <w:rFonts w:ascii="Leelawadee" w:eastAsia="Arial Unicode MS" w:hAnsi="Leelawadee" w:cs="Leelawadee"/>
          <w:color w:val="000000"/>
          <w:sz w:val="20"/>
          <w:szCs w:val="20"/>
        </w:rPr>
        <w:lastRenderedPageBreak/>
        <w:t>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21" w:name="_Toc110076272"/>
      <w:bookmarkStart w:id="122" w:name="_Toc163380711"/>
      <w:bookmarkStart w:id="123" w:name="_Toc180553627"/>
      <w:bookmarkStart w:id="124" w:name="_Toc205799103"/>
      <w:bookmarkStart w:id="125" w:name="_Toc241983078"/>
      <w:bookmarkStart w:id="126" w:name="_Toc422473383"/>
      <w:bookmarkStart w:id="127" w:name="_Toc42698318"/>
      <w:r w:rsidRPr="001B4698">
        <w:rPr>
          <w:rFonts w:ascii="Leelawadee" w:hAnsi="Leelawadee" w:cs="Leelawadee"/>
          <w:color w:val="000000"/>
          <w:sz w:val="20"/>
          <w:szCs w:val="20"/>
        </w:rPr>
        <w:t xml:space="preserve">CLÁUSULA </w:t>
      </w:r>
      <w:bookmarkEnd w:id="121"/>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22"/>
      <w:bookmarkEnd w:id="123"/>
      <w:bookmarkEnd w:id="124"/>
      <w:bookmarkEnd w:id="125"/>
      <w:bookmarkEnd w:id="126"/>
      <w:bookmarkEnd w:id="127"/>
    </w:p>
    <w:p w14:paraId="44FA1A6D" w14:textId="77777777" w:rsidR="003F5B06" w:rsidRPr="001B4698" w:rsidRDefault="003F5B06" w:rsidP="001B4698">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128" w:name="_Toc476114402"/>
      <w:bookmarkStart w:id="129" w:name="_Toc476115187"/>
      <w:bookmarkStart w:id="130" w:name="_Toc477212568"/>
      <w:bookmarkStart w:id="131" w:name="_Toc477857870"/>
      <w:bookmarkStart w:id="132" w:name="_Toc532829736"/>
      <w:bookmarkStart w:id="133" w:name="_Toc33162529"/>
      <w:bookmarkStart w:id="134" w:name="_Toc34713691"/>
      <w:bookmarkStart w:id="135"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8"/>
      <w:bookmarkEnd w:id="129"/>
      <w:bookmarkEnd w:id="130"/>
      <w:bookmarkEnd w:id="131"/>
      <w:bookmarkEnd w:id="132"/>
      <w:bookmarkEnd w:id="133"/>
      <w:bookmarkEnd w:id="134"/>
      <w:bookmarkEnd w:id="135"/>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36" w:name="_Toc110076273"/>
      <w:bookmarkStart w:id="137" w:name="_Toc163380712"/>
      <w:bookmarkStart w:id="138" w:name="_Toc180553628"/>
      <w:bookmarkStart w:id="139" w:name="_Toc205799104"/>
      <w:bookmarkStart w:id="140" w:name="_Toc241983079"/>
      <w:bookmarkStart w:id="141" w:name="_Toc422473384"/>
      <w:bookmarkStart w:id="142"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36"/>
      <w:bookmarkEnd w:id="137"/>
      <w:bookmarkEnd w:id="138"/>
      <w:bookmarkEnd w:id="139"/>
      <w:bookmarkEnd w:id="140"/>
      <w:bookmarkEnd w:id="141"/>
      <w:bookmarkEnd w:id="142"/>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43" w:name="_Toc162083611"/>
      <w:bookmarkStart w:id="144" w:name="_Toc163043028"/>
      <w:bookmarkStart w:id="145" w:name="_Toc163311032"/>
      <w:bookmarkStart w:id="146" w:name="_Toc163380716"/>
      <w:bookmarkStart w:id="147" w:name="_Toc180553632"/>
      <w:bookmarkStart w:id="148" w:name="_Toc205799108"/>
      <w:bookmarkStart w:id="149" w:name="_Toc241983081"/>
      <w:bookmarkStart w:id="150" w:name="_Toc422473385"/>
      <w:bookmarkStart w:id="151" w:name="_Toc42698320"/>
      <w:bookmarkStart w:id="152" w:name="_Toc162079650"/>
      <w:bookmarkStart w:id="153" w:name="_Toc162083623"/>
      <w:bookmarkStart w:id="154"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43"/>
      <w:bookmarkEnd w:id="144"/>
      <w:bookmarkEnd w:id="145"/>
      <w:bookmarkEnd w:id="146"/>
      <w:bookmarkEnd w:id="147"/>
      <w:bookmarkEnd w:id="148"/>
      <w:bookmarkEnd w:id="149"/>
      <w:bookmarkEnd w:id="150"/>
      <w:bookmarkEnd w:id="151"/>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55"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w:t>
      </w:r>
      <w:r w:rsidR="002B2F57" w:rsidRPr="001B4698">
        <w:rPr>
          <w:rFonts w:ascii="Leelawadee" w:hAnsi="Leelawadee" w:cs="Leelawadee"/>
          <w:sz w:val="20"/>
          <w:szCs w:val="20"/>
        </w:rPr>
        <w:lastRenderedPageBreak/>
        <w:t xml:space="preserve">qualquer dos endereços abaixo deverá ser </w:t>
      </w:r>
      <w:bookmarkEnd w:id="155"/>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6"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7"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Recuodecorpodetexto"/>
        <w:widowControl w:val="0"/>
        <w:suppressAutoHyphens/>
        <w:spacing w:line="360" w:lineRule="auto"/>
        <w:rPr>
          <w:rFonts w:ascii="Leelawadee" w:hAnsi="Leelawadee" w:cs="Leelawadee"/>
          <w:b/>
          <w:color w:val="000000"/>
        </w:rPr>
      </w:pPr>
      <w:bookmarkStart w:id="156"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156"/>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157" w:name="_DV_M264"/>
      <w:bookmarkEnd w:id="157"/>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158" w:name="_DV_M283"/>
      <w:bookmarkStart w:id="159" w:name="_DV_M284"/>
      <w:bookmarkStart w:id="160" w:name="_DV_M285"/>
      <w:bookmarkEnd w:id="158"/>
      <w:bookmarkEnd w:id="159"/>
      <w:bookmarkEnd w:id="160"/>
    </w:p>
    <w:p w14:paraId="691717A5" w14:textId="2C385371" w:rsidR="00BC0D4F" w:rsidRPr="001B4698" w:rsidRDefault="00BC0D4F" w:rsidP="001B4698">
      <w:pPr>
        <w:pStyle w:val="Ttulo2"/>
        <w:suppressAutoHyphens/>
        <w:spacing w:line="360" w:lineRule="auto"/>
        <w:jc w:val="left"/>
        <w:rPr>
          <w:rFonts w:ascii="Leelawadee" w:hAnsi="Leelawadee" w:cs="Leelawadee"/>
          <w:color w:val="000000"/>
          <w:sz w:val="20"/>
          <w:szCs w:val="20"/>
        </w:rPr>
      </w:pPr>
      <w:bookmarkStart w:id="161" w:name="_Toc110076274"/>
      <w:bookmarkStart w:id="162" w:name="_Toc163380715"/>
      <w:bookmarkStart w:id="163" w:name="_Toc180553631"/>
      <w:bookmarkStart w:id="164" w:name="_Toc205799107"/>
      <w:bookmarkStart w:id="165" w:name="_Toc241983080"/>
      <w:bookmarkStart w:id="166" w:name="_Toc422473386"/>
      <w:bookmarkStart w:id="167"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61"/>
      <w:bookmarkEnd w:id="162"/>
      <w:bookmarkEnd w:id="163"/>
      <w:bookmarkEnd w:id="164"/>
      <w:bookmarkEnd w:id="165"/>
      <w:bookmarkEnd w:id="166"/>
      <w:bookmarkEnd w:id="167"/>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Ttulo2"/>
        <w:keepNext w:val="0"/>
        <w:widowControl w:val="0"/>
        <w:suppressAutoHyphens/>
        <w:spacing w:line="360" w:lineRule="auto"/>
        <w:jc w:val="left"/>
        <w:rPr>
          <w:rFonts w:ascii="Leelawadee" w:hAnsi="Leelawadee" w:cs="Leelawadee"/>
          <w:bCs w:val="0"/>
          <w:color w:val="000000"/>
          <w:sz w:val="20"/>
          <w:szCs w:val="20"/>
        </w:rPr>
      </w:pPr>
      <w:bookmarkStart w:id="168" w:name="_Toc241983083"/>
      <w:bookmarkStart w:id="169" w:name="_Toc41728607"/>
      <w:bookmarkStart w:id="170" w:name="_Toc532964159"/>
      <w:bookmarkStart w:id="171" w:name="_Toc422473387"/>
      <w:bookmarkStart w:id="172"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8"/>
      <w:bookmarkEnd w:id="169"/>
      <w:bookmarkEnd w:id="170"/>
      <w:bookmarkEnd w:id="171"/>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72"/>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152"/>
    <w:bookmarkEnd w:id="153"/>
    <w:bookmarkEnd w:id="154"/>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173" w:name="_Hlk35622121"/>
      <w:r w:rsidRPr="001B4698">
        <w:rPr>
          <w:rFonts w:ascii="Leelawadee" w:hAnsi="Leelawadee" w:cs="Leelawadee"/>
          <w:b/>
          <w:sz w:val="20"/>
          <w:szCs w:val="20"/>
        </w:rPr>
        <w:t>SIMPLIFIC PAVARINI DISTRIBUIDORA DE TÍTULOS E VALORES MOBILIÁRIOS LTDA</w:t>
      </w:r>
      <w:bookmarkEnd w:id="173"/>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4" w:name="_DV_M288"/>
      <w:bookmarkEnd w:id="174"/>
    </w:p>
    <w:p w14:paraId="759550CE"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Ttulo1"/>
        <w:spacing w:line="360" w:lineRule="auto"/>
        <w:jc w:val="center"/>
        <w:rPr>
          <w:rFonts w:ascii="Leelawadee" w:hAnsi="Leelawadee" w:cs="Leelawadee"/>
          <w:sz w:val="20"/>
          <w:szCs w:val="20"/>
          <w:lang w:eastAsia="en-US"/>
        </w:rPr>
      </w:pPr>
      <w:bookmarkStart w:id="175" w:name="_Toc42698323"/>
      <w:r w:rsidRPr="001B4698">
        <w:rPr>
          <w:rFonts w:ascii="Leelawadee" w:hAnsi="Leelawadee" w:cs="Leelawadee"/>
          <w:sz w:val="20"/>
          <w:szCs w:val="20"/>
          <w:lang w:eastAsia="en-US"/>
        </w:rPr>
        <w:lastRenderedPageBreak/>
        <w:t>ANEXO I – TABELA DE AMORTIZAÇÃO DOS CRI</w:t>
      </w:r>
      <w:bookmarkEnd w:id="175"/>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Comentário i2a: BRAP,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Ttulo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Ttulo1"/>
        <w:spacing w:line="360" w:lineRule="auto"/>
        <w:jc w:val="center"/>
        <w:rPr>
          <w:rFonts w:ascii="Leelawadee" w:hAnsi="Leelawadee" w:cs="Leelawadee"/>
          <w:sz w:val="20"/>
          <w:szCs w:val="20"/>
          <w:lang w:eastAsia="en-US"/>
        </w:rPr>
      </w:pPr>
      <w:bookmarkStart w:id="176"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76"/>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Ttulo1"/>
        <w:spacing w:line="360" w:lineRule="auto"/>
        <w:jc w:val="center"/>
        <w:rPr>
          <w:rFonts w:ascii="Leelawadee" w:hAnsi="Leelawadee" w:cs="Leelawadee"/>
          <w:color w:val="auto"/>
          <w:sz w:val="20"/>
          <w:szCs w:val="20"/>
          <w:lang w:eastAsia="en-US"/>
        </w:rPr>
      </w:pPr>
      <w:bookmarkStart w:id="177" w:name="_Toc493584661"/>
      <w:bookmarkStart w:id="178" w:name="_Toc42698325"/>
      <w:r w:rsidRPr="001B4698">
        <w:rPr>
          <w:rFonts w:ascii="Leelawadee" w:hAnsi="Leelawadee" w:cs="Leelawadee"/>
          <w:color w:val="auto"/>
          <w:sz w:val="20"/>
          <w:szCs w:val="20"/>
          <w:lang w:eastAsia="en-US"/>
        </w:rPr>
        <w:lastRenderedPageBreak/>
        <w:t>ANEXO III – OPERAÇÕES DO AGENTE FIDUCIÁRIO</w:t>
      </w:r>
      <w:bookmarkEnd w:id="177"/>
      <w:bookmarkEnd w:id="178"/>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Ttulo1"/>
        <w:spacing w:line="360" w:lineRule="auto"/>
        <w:jc w:val="center"/>
        <w:rPr>
          <w:rFonts w:ascii="Leelawadee" w:hAnsi="Leelawadee" w:cs="Leelawadee"/>
          <w:color w:val="auto"/>
          <w:sz w:val="20"/>
          <w:szCs w:val="20"/>
          <w:lang w:eastAsia="en-US"/>
        </w:rPr>
      </w:pPr>
      <w:bookmarkStart w:id="179" w:name="_Toc42698326"/>
      <w:r w:rsidRPr="001B4698">
        <w:rPr>
          <w:rFonts w:ascii="Leelawadee" w:hAnsi="Leelawadee" w:cs="Leelawadee"/>
          <w:color w:val="auto"/>
          <w:sz w:val="20"/>
          <w:szCs w:val="20"/>
          <w:lang w:eastAsia="en-US"/>
        </w:rPr>
        <w:lastRenderedPageBreak/>
        <w:t>ANEXO IV – DECLARAÇÕES</w:t>
      </w:r>
      <w:bookmarkEnd w:id="179"/>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80"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80"/>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81" w:name="_Hlk34066754"/>
      <w:r w:rsidRPr="001B4698">
        <w:rPr>
          <w:rFonts w:ascii="Leelawadee" w:hAnsi="Leelawadee" w:cs="Leelawadee"/>
          <w:color w:val="000000"/>
          <w:sz w:val="20"/>
          <w:szCs w:val="20"/>
        </w:rPr>
        <w:t>no termo de securitização de créditos imobiliários que regula a Emissão</w:t>
      </w:r>
      <w:bookmarkEnd w:id="181"/>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182"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182"/>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713D0297" w:rsidR="00C659DB" w:rsidRDefault="00D37801" w:rsidP="001B4698">
      <w:pPr>
        <w:spacing w:line="360" w:lineRule="auto"/>
        <w:rPr>
          <w:rFonts w:ascii="Leelawadee" w:hAnsi="Leelawadee" w:cs="Leelawadee"/>
          <w:sz w:val="20"/>
          <w:szCs w:val="20"/>
          <w:lang w:eastAsia="en-US"/>
        </w:rPr>
      </w:pPr>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r w:rsidR="00C659DB">
        <w:rPr>
          <w:rFonts w:ascii="Leelawadee" w:hAnsi="Leelawadee" w:cs="Leelawadee"/>
          <w:sz w:val="20"/>
          <w:szCs w:val="20"/>
          <w:lang w:eastAsia="en-US"/>
        </w:rPr>
        <w:t>]</w:t>
      </w:r>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83" w:name="_DV_M0"/>
      <w:bookmarkEnd w:id="183"/>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8"/>
      <w:footerReference w:type="default" r:id="rId19"/>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9B09" w14:textId="77777777" w:rsidR="00130D32" w:rsidRDefault="00130D32">
      <w:r>
        <w:separator/>
      </w:r>
    </w:p>
  </w:endnote>
  <w:endnote w:type="continuationSeparator" w:id="0">
    <w:p w14:paraId="1184B1E4" w14:textId="77777777" w:rsidR="00130D32" w:rsidRDefault="00130D32">
      <w:r>
        <w:continuationSeparator/>
      </w:r>
    </w:p>
  </w:endnote>
  <w:endnote w:type="continuationNotice" w:id="1">
    <w:p w14:paraId="3A9B2516" w14:textId="77777777" w:rsidR="00130D32" w:rsidRDefault="0013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38377F" w:rsidRPr="00A2536B" w:rsidRDefault="0038377F">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38377F" w:rsidRPr="000663E5" w:rsidRDefault="0038377F"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8A6B" w14:textId="77777777" w:rsidR="00130D32" w:rsidRDefault="00130D32">
      <w:r>
        <w:separator/>
      </w:r>
    </w:p>
  </w:footnote>
  <w:footnote w:type="continuationSeparator" w:id="0">
    <w:p w14:paraId="74F10437" w14:textId="77777777" w:rsidR="00130D32" w:rsidRDefault="00130D32">
      <w:r>
        <w:continuationSeparator/>
      </w:r>
    </w:p>
  </w:footnote>
  <w:footnote w:type="continuationNotice" w:id="1">
    <w:p w14:paraId="54387D61" w14:textId="77777777" w:rsidR="00130D32" w:rsidRDefault="00130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38377F" w:rsidRDefault="0038377F"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7E06"/>
    <w:rsid w:val="004F0720"/>
    <w:rsid w:val="004F15F5"/>
    <w:rsid w:val="004F1D82"/>
    <w:rsid w:val="004F2560"/>
    <w:rsid w:val="004F2933"/>
    <w:rsid w:val="004F35EC"/>
    <w:rsid w:val="004F67D0"/>
    <w:rsid w:val="004F6FC8"/>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51C"/>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EA6"/>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484"/>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C2F6A-79FC-4707-85F1-C2708AA827E3}">
  <ds:schemaRefs>
    <ds:schemaRef ds:uri="http://schemas.openxmlformats.org/officeDocument/2006/bibliography"/>
  </ds:schemaRefs>
</ds:datastoreItem>
</file>

<file path=customXml/itemProps3.xml><?xml version="1.0" encoding="utf-8"?>
<ds:datastoreItem xmlns:ds="http://schemas.openxmlformats.org/officeDocument/2006/customXml" ds:itemID="{78F8A371-239B-46E3-90EE-DC5B416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26280</Words>
  <Characters>141913</Characters>
  <Application>Microsoft Office Word</Application>
  <DocSecurity>0</DocSecurity>
  <Lines>1182</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167858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i2a.legal</cp:lastModifiedBy>
  <cp:revision>3</cp:revision>
  <cp:lastPrinted>2018-12-17T19:18:00Z</cp:lastPrinted>
  <dcterms:created xsi:type="dcterms:W3CDTF">2020-06-16T11:08:00Z</dcterms:created>
  <dcterms:modified xsi:type="dcterms:W3CDTF">2020-06-16T11:08:00Z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