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5BF8D814"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B72606">
        <w:rPr>
          <w:b/>
        </w:rPr>
        <w:t xml:space="preserve">Usina </w:t>
      </w:r>
      <w:r w:rsidR="00212EFD" w:rsidRPr="00B72606">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(vii) Usina Atena SPE Ltda., inscrita no CNPJ/ME sob o nº 32.167.718/0001-63 (“</w:t>
      </w:r>
      <w:r w:rsidR="00212EFD" w:rsidRPr="00B72606">
        <w:rPr>
          <w:b/>
          <w:bCs/>
        </w:rPr>
        <w:t>Usina Atena</w:t>
      </w:r>
      <w:r w:rsidR="00212EFD" w:rsidRPr="00212EFD">
        <w:t>”); (viii)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B72606">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B72606">
        <w:rPr>
          <w:b/>
          <w:bCs/>
        </w:rPr>
        <w:t>Usina Marina</w:t>
      </w:r>
      <w:r w:rsidR="00212EFD" w:rsidRPr="00212EFD">
        <w:t xml:space="preserve">” e, em conjunto com a Usina Canoa, </w:t>
      </w:r>
      <w:r w:rsidR="00212EFD" w:rsidRPr="00212EFD">
        <w:lastRenderedPageBreak/>
        <w:t>Usina Castanheira, Usina Salinas, Usina Manacá, Usina Pinheiro, Usina Pitangueira, Usina Atena, Usina Cedro Rosa, Usina Litoral, “</w:t>
      </w:r>
      <w:r w:rsidR="00212EFD" w:rsidRPr="00B72606">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2"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Pinheiro,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2"/>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74119FFD"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F08B0">
        <w:rPr>
          <w:sz w:val="20"/>
          <w:szCs w:val="22"/>
        </w:rPr>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lastRenderedPageBreak/>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B72606"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2"/>
      <w:r w:rsidR="00D80EB9" w:rsidRPr="00B72606">
        <w:rPr>
          <w:szCs w:val="20"/>
        </w:rPr>
        <w:t xml:space="preserve"> </w:t>
      </w:r>
    </w:p>
    <w:p w14:paraId="5DE03516" w14:textId="4354510F" w:rsidR="00DB29D7" w:rsidRPr="00B72606" w:rsidRDefault="00DB29D7" w:rsidP="00514CA0">
      <w:pPr>
        <w:pStyle w:val="Level2"/>
        <w:rPr>
          <w:szCs w:val="20"/>
        </w:rPr>
      </w:pPr>
      <w:bookmarkStart w:id="33" w:name="_Hlk77854865"/>
      <w:r w:rsidRPr="00B72606">
        <w:rPr>
          <w:szCs w:val="20"/>
        </w:rPr>
        <w:t xml:space="preserve">Exclusivamente para fins fiscais as Partes atribuem às Ações o valor </w:t>
      </w:r>
      <w:r w:rsidR="0079182D" w:rsidRPr="00B72606">
        <w:rPr>
          <w:szCs w:val="20"/>
        </w:rPr>
        <w:t xml:space="preserve">de </w:t>
      </w:r>
      <w:r w:rsidR="00D00529" w:rsidRPr="00B72606">
        <w:rPr>
          <w:szCs w:val="20"/>
        </w:rPr>
        <w:t>R$</w:t>
      </w:r>
      <w:r w:rsidR="00E338BA" w:rsidRPr="00B72606">
        <w:rPr>
          <w:szCs w:val="20"/>
        </w:rPr>
        <w:t> </w:t>
      </w:r>
      <w:r w:rsidR="009F5294" w:rsidRPr="00B72606">
        <w:rPr>
          <w:szCs w:val="20"/>
        </w:rPr>
        <w:t>1</w:t>
      </w:r>
      <w:r w:rsidR="00E52F67" w:rsidRPr="00B72606">
        <w:rPr>
          <w:szCs w:val="20"/>
        </w:rPr>
        <w:t>.000</w:t>
      </w:r>
      <w:r w:rsidR="0049081A" w:rsidRPr="00B72606">
        <w:rPr>
          <w:szCs w:val="20"/>
        </w:rPr>
        <w:t>,00</w:t>
      </w:r>
      <w:r w:rsidR="009F5294" w:rsidRPr="00B72606">
        <w:rPr>
          <w:szCs w:val="20"/>
        </w:rPr>
        <w:t xml:space="preserve"> </w:t>
      </w:r>
      <w:r w:rsidR="00D00529" w:rsidRPr="00B72606">
        <w:rPr>
          <w:szCs w:val="20"/>
        </w:rPr>
        <w:t>(</w:t>
      </w:r>
      <w:r w:rsidR="0049081A" w:rsidRPr="00B72606">
        <w:rPr>
          <w:szCs w:val="20"/>
        </w:rPr>
        <w:t>um</w:t>
      </w:r>
      <w:r w:rsidR="00E52F67" w:rsidRPr="00B72606">
        <w:rPr>
          <w:szCs w:val="20"/>
        </w:rPr>
        <w:t xml:space="preserve"> mil</w:t>
      </w:r>
      <w:r w:rsidR="0049081A" w:rsidRPr="00B72606">
        <w:rPr>
          <w:szCs w:val="20"/>
        </w:rPr>
        <w:t xml:space="preserve"> rea</w:t>
      </w:r>
      <w:r w:rsidR="00E52F67" w:rsidRPr="00B72606">
        <w:rPr>
          <w:szCs w:val="20"/>
        </w:rPr>
        <w:t>is</w:t>
      </w:r>
      <w:r w:rsidR="00D00529" w:rsidRPr="00B72606">
        <w:rPr>
          <w:szCs w:val="20"/>
        </w:rPr>
        <w:t>)</w:t>
      </w:r>
      <w:r w:rsidR="00BF5EEA" w:rsidRPr="00B72606">
        <w:rPr>
          <w:szCs w:val="20"/>
        </w:rPr>
        <w:t xml:space="preserve"> </w:t>
      </w:r>
      <w:r w:rsidR="00B60B5B" w:rsidRPr="00B72606">
        <w:rPr>
          <w:szCs w:val="20"/>
        </w:rPr>
        <w:t>(“</w:t>
      </w:r>
      <w:r w:rsidR="00B60B5B" w:rsidRPr="00B72606">
        <w:rPr>
          <w:b/>
          <w:bCs/>
          <w:szCs w:val="20"/>
        </w:rPr>
        <w:t>Valor das Ações</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3"/>
    <w:p w14:paraId="28B64396" w14:textId="118F8A8B" w:rsidR="00335B00" w:rsidRPr="00514CA0" w:rsidRDefault="00880B68" w:rsidP="00514CA0">
      <w:pPr>
        <w:pStyle w:val="Level1"/>
        <w:rPr>
          <w:sz w:val="20"/>
        </w:rPr>
      </w:pPr>
      <w:r w:rsidRPr="00514CA0">
        <w:rPr>
          <w:sz w:val="20"/>
        </w:rPr>
        <w:lastRenderedPageBreak/>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6"/>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lastRenderedPageBreak/>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11850FB1"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09F876E5"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CDE0580"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60EA4">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2" w:name="_Hlk81486716"/>
      <w:r w:rsidR="00357374">
        <w:t>d</w:t>
      </w:r>
      <w:r w:rsidR="00357374" w:rsidRPr="005B21B4">
        <w:t>ebenturistas</w:t>
      </w:r>
      <w:r w:rsidR="00AE6C3F">
        <w:t xml:space="preserve"> (conforme descrito na Escritura de Emissão de Debêntures)</w:t>
      </w:r>
      <w:bookmarkEnd w:id="42"/>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lastRenderedPageBreak/>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6C1FFFD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60EA4">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w:t>
      </w:r>
      <w:r w:rsidRPr="007247C9">
        <w:rPr>
          <w:szCs w:val="20"/>
        </w:rPr>
        <w:lastRenderedPageBreak/>
        <w:t xml:space="preserve">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7F33CFFB"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060EA4">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73D666FF" w:rsidR="00E05F69" w:rsidRPr="00E05F69"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lastRenderedPageBreak/>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BE602C">
        <w:rPr>
          <w:sz w:val="20"/>
        </w:rPr>
        <w:t>/OU</w:t>
      </w:r>
      <w:r w:rsidRPr="00514CA0">
        <w:rPr>
          <w:sz w:val="20"/>
        </w:rPr>
        <w:t xml:space="preserve"> PROCEDIMENTO EXTRAJUDICIAL</w:t>
      </w:r>
      <w:bookmarkEnd w:id="59"/>
      <w:r w:rsidRPr="00514CA0">
        <w:rPr>
          <w:sz w:val="20"/>
        </w:rPr>
        <w:t xml:space="preserve"> </w:t>
      </w:r>
      <w:bookmarkEnd w:id="60"/>
    </w:p>
    <w:p w14:paraId="44DCA6E3" w14:textId="41CF0466"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3"/>
    </w:p>
    <w:p w14:paraId="7A44C32B" w14:textId="37A82773"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r w:rsidR="00902A64">
        <w:rPr>
          <w:szCs w:val="20"/>
        </w:rPr>
        <w:t xml:space="preserve"> </w:t>
      </w:r>
    </w:p>
    <w:p w14:paraId="161BE224" w14:textId="3D0A7089"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w:t>
      </w:r>
      <w:r w:rsidR="006C6CA9">
        <w:lastRenderedPageBreak/>
        <w:t xml:space="preserve">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bookmarkEnd w:id="67"/>
      <w:r w:rsidR="00902A64">
        <w:rPr>
          <w:b/>
          <w:bCs/>
          <w:szCs w:val="20"/>
        </w:rPr>
        <w:t xml:space="preserve"> </w:t>
      </w:r>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5DD7E4C7"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559159B2"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3AC0BAB5"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60EA4">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xml:space="preserve">, haja vista que a Emissora é a devedora principal </w:t>
      </w:r>
      <w:r w:rsidR="00605F67" w:rsidRPr="005B21B4">
        <w:lastRenderedPageBreak/>
        <w:t>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31396B80"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0"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 xml:space="preserve">para terceiros; (vii) assinar todos e quaisquer instrumentos e praticar todos os atos perante qualquer terceiro ou autoridade governamental, incluindo, </w:t>
      </w:r>
      <w:r w:rsidRPr="007247C9">
        <w:rPr>
          <w:szCs w:val="20"/>
        </w:rPr>
        <w:lastRenderedPageBreak/>
        <w:t>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1" w:name="_DV_M78"/>
      <w:bookmarkStart w:id="72" w:name="_Ref7547646"/>
      <w:bookmarkEnd w:id="71"/>
      <w:r w:rsidRPr="00514CA0">
        <w:rPr>
          <w:sz w:val="20"/>
        </w:rPr>
        <w:t xml:space="preserve">OBRIGAÇÕES ADICIONAIS </w:t>
      </w:r>
      <w:bookmarkEnd w:id="72"/>
    </w:p>
    <w:p w14:paraId="32618BFE" w14:textId="2BA88E5E" w:rsidR="00674974" w:rsidRPr="007247C9" w:rsidRDefault="00CD7FD4" w:rsidP="00514CA0">
      <w:pPr>
        <w:pStyle w:val="Level2"/>
        <w:rPr>
          <w:szCs w:val="20"/>
        </w:rPr>
      </w:pPr>
      <w:bookmarkStart w:id="73" w:name="_DV_M79"/>
      <w:bookmarkStart w:id="74" w:name="_Ref483447085"/>
      <w:bookmarkStart w:id="75" w:name="_Toc499990326"/>
      <w:bookmarkEnd w:id="7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19E6C503"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4EF732D"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60EA4">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514CA0">
        <w:rPr>
          <w:sz w:val="20"/>
        </w:rPr>
        <w:t>DECLARAÇÕES</w:t>
      </w:r>
      <w:bookmarkStart w:id="90" w:name="_DV_M407"/>
      <w:bookmarkEnd w:id="88"/>
      <w:bookmarkEnd w:id="90"/>
      <w:r w:rsidRPr="00514CA0">
        <w:rPr>
          <w:sz w:val="20"/>
        </w:rPr>
        <w:t xml:space="preserve"> E GARANTIAS</w:t>
      </w:r>
      <w:bookmarkStart w:id="91" w:name="_DV_C457"/>
      <w:bookmarkEnd w:id="89"/>
      <w:bookmarkEnd w:id="9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514CA0">
        <w:rPr>
          <w:sz w:val="20"/>
        </w:rPr>
        <w:lastRenderedPageBreak/>
        <w:t>DESPESAS E TRIBUTOS</w:t>
      </w:r>
      <w:bookmarkEnd w:id="9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9" w:name="_Hlk72419536"/>
      <w:r w:rsidR="00781153" w:rsidRPr="007247C9">
        <w:rPr>
          <w:szCs w:val="20"/>
        </w:rPr>
        <w:t xml:space="preserve">contratados em padrões de mercado </w:t>
      </w:r>
      <w:bookmarkEnd w:id="9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0" w:name="_DV_M416"/>
      <w:bookmarkStart w:id="101" w:name="_DV_M417"/>
      <w:bookmarkStart w:id="102" w:name="_Ref8641089"/>
      <w:bookmarkEnd w:id="100"/>
      <w:bookmarkEnd w:id="10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2"/>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3"/>
    </w:p>
    <w:p w14:paraId="1FC0EE62" w14:textId="77777777" w:rsidR="000C446A" w:rsidRPr="000C446A" w:rsidRDefault="007222CE" w:rsidP="000C446A">
      <w:pPr>
        <w:pStyle w:val="Level2"/>
      </w:pPr>
      <w:bookmarkStart w:id="104"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4"/>
      <w:r w:rsidR="00EC1513">
        <w:rPr>
          <w:szCs w:val="20"/>
        </w:rPr>
        <w:t xml:space="preserve"> </w:t>
      </w:r>
      <w:bookmarkStart w:id="105" w:name="_Ref485633793"/>
    </w:p>
    <w:p w14:paraId="74CE0EE5" w14:textId="3D347031" w:rsidR="00335B00" w:rsidRPr="00514CA0" w:rsidRDefault="00792DFD" w:rsidP="000C446A">
      <w:pPr>
        <w:pStyle w:val="Level1"/>
      </w:pPr>
      <w:r w:rsidRPr="00514CA0">
        <w:t>PRAZO DE VIGÊNCIA</w:t>
      </w:r>
      <w:bookmarkEnd w:id="105"/>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56ED1622" w:rsidR="00335B00" w:rsidRPr="007247C9" w:rsidRDefault="009C4054" w:rsidP="00514CA0">
      <w:pPr>
        <w:pStyle w:val="Level2"/>
        <w:rPr>
          <w:szCs w:val="20"/>
        </w:rPr>
      </w:pPr>
      <w:bookmarkStart w:id="10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60EA4">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60EA4">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6"/>
      <w:r w:rsidR="001F5060" w:rsidRPr="007247C9">
        <w:rPr>
          <w:szCs w:val="20"/>
        </w:rPr>
        <w:t xml:space="preserve"> </w:t>
      </w:r>
    </w:p>
    <w:p w14:paraId="211BE250" w14:textId="1E0A5FB0" w:rsidR="00183D8A" w:rsidRDefault="00183D8A" w:rsidP="00183D8A">
      <w:pPr>
        <w:pStyle w:val="Level1"/>
      </w:pPr>
      <w:bookmarkStart w:id="107" w:name="_Ref287979295"/>
      <w:bookmarkStart w:id="108" w:name="_Toc276640230"/>
      <w:bookmarkStart w:id="109" w:name="_Ref72143444"/>
      <w:r w:rsidRPr="005B21B4">
        <w:t>COMUNICAÇÕES</w:t>
      </w:r>
      <w:bookmarkEnd w:id="107"/>
    </w:p>
    <w:p w14:paraId="23039081" w14:textId="79F23D0C" w:rsidR="00183D8A" w:rsidRPr="00803125" w:rsidRDefault="00183D8A" w:rsidP="00183D8A">
      <w:pPr>
        <w:pStyle w:val="Level2"/>
        <w:rPr>
          <w:b/>
          <w:bCs/>
        </w:rPr>
      </w:pPr>
      <w:bookmarkStart w:id="11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A56CB27"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0CE0DB91"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29540D1D"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08"/>
      <w:bookmarkEnd w:id="10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14" w:name="_Ref32280328"/>
      <w:r w:rsidRPr="005B21B4">
        <w:rPr>
          <w:rFonts w:eastAsia="Arial Unicode MS"/>
          <w:w w:val="0"/>
          <w:u w:val="single"/>
        </w:rPr>
        <w:t>Alterações.</w:t>
      </w:r>
      <w:r w:rsidRPr="00514CA0">
        <w:rPr>
          <w:rFonts w:eastAsia="Arial Unicode MS"/>
          <w:w w:val="0"/>
        </w:rPr>
        <w:t xml:space="preserve"> </w:t>
      </w:r>
      <w:bookmarkStart w:id="11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4"/>
      <w:bookmarkEnd w:id="115"/>
    </w:p>
    <w:p w14:paraId="3F289E61" w14:textId="5D525B4E" w:rsidR="00183D8A" w:rsidRPr="005B21B4" w:rsidRDefault="00183D8A" w:rsidP="00514CA0">
      <w:pPr>
        <w:pStyle w:val="Level3"/>
      </w:pPr>
      <w:bookmarkStart w:id="11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60EA4">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7" w:name="_DV_M422"/>
      <w:bookmarkEnd w:id="117"/>
    </w:p>
    <w:p w14:paraId="552F6987" w14:textId="353ED23C" w:rsidR="00F924FC"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5B21B4">
        <w:t>, em relação à assinatura digital,</w:t>
      </w:r>
      <w:bookmarkEnd w:id="12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5" w:name="_Hlk78542094"/>
      <w:bookmarkEnd w:id="122"/>
      <w:bookmarkEnd w:id="123"/>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29" w:name="_DV_M436"/>
      <w:bookmarkEnd w:id="129"/>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0" w:name="_DV_M443"/>
      <w:bookmarkEnd w:id="130"/>
    </w:p>
    <w:p w14:paraId="4F5815BB" w14:textId="77777777" w:rsidR="00335B00" w:rsidRPr="007247C9" w:rsidRDefault="00335B00">
      <w:pPr>
        <w:rPr>
          <w:rFonts w:ascii="Arial" w:hAnsi="Arial" w:cs="Arial"/>
          <w:color w:val="000000"/>
          <w:sz w:val="20"/>
          <w:szCs w:val="20"/>
          <w:lang w:val="pt-PT"/>
        </w:rPr>
      </w:pPr>
      <w:bookmarkStart w:id="131" w:name="_DV_M446"/>
      <w:bookmarkEnd w:id="13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98D7D93"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33" w:name="_Hlk78384188"/>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Start w:id="134" w:name="_Hlk98258877"/>
            <w:r w:rsidRPr="00852ADC">
              <w:rPr>
                <w:rFonts w:ascii="Arial" w:hAnsi="Arial" w:cs="Arial"/>
                <w:sz w:val="20"/>
              </w:rPr>
              <w:t xml:space="preserve"> por cento)</w:t>
            </w:r>
            <w:bookmarkEnd w:id="133"/>
            <w:r w:rsidRPr="00852ADC">
              <w:rPr>
                <w:rFonts w:ascii="Arial" w:hAnsi="Arial" w:cs="Arial"/>
                <w:sz w:val="20"/>
              </w:rPr>
              <w:t xml:space="preserve"> ao ano, base 252 (duzentos e cinquenta e dois) Dias Úteis,</w:t>
            </w:r>
            <w:bookmarkEnd w:id="134"/>
            <w:r w:rsidRPr="00852ADC">
              <w:rPr>
                <w:rFonts w:ascii="Arial" w:hAnsi="Arial" w:cs="Arial"/>
                <w:sz w:val="20"/>
              </w:rPr>
              <w:t xml:space="preserve"> calculados de forma exponencial e cumulativa </w:t>
            </w:r>
            <w:r w:rsidRPr="00852ADC">
              <w:rPr>
                <w:rFonts w:ascii="Arial" w:hAnsi="Arial" w:cs="Arial"/>
                <w:i/>
                <w:iCs/>
                <w:sz w:val="20"/>
              </w:rPr>
              <w:t>pro rata temporis</w:t>
            </w:r>
            <w:r w:rsidRPr="00852ADC">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0F2426D8"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3E7952">
              <w:rPr>
                <w:rFonts w:ascii="Arial" w:hAnsi="Arial" w:cs="Arial"/>
                <w:sz w:val="20"/>
              </w:rPr>
              <w:lastRenderedPageBreak/>
              <w:t>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5" w:name="_Hlk77930108"/>
            <w:bookmarkStart w:id="136"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35"/>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36"/>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7" w:name="_Hlk77860011"/>
            <w:r w:rsidRPr="005B21B4">
              <w:rPr>
                <w:rFonts w:ascii="Arial" w:hAnsi="Arial" w:cs="Arial"/>
                <w:b/>
                <w:bCs/>
                <w:sz w:val="20"/>
              </w:rPr>
              <w:t>Local de Pagamento</w:t>
            </w:r>
            <w:bookmarkEnd w:id="137"/>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8" w:name="_DV_M188"/>
      <w:bookmarkStart w:id="139" w:name="_DV_M189"/>
      <w:bookmarkEnd w:id="138"/>
      <w:bookmarkEnd w:id="139"/>
      <w:r w:rsidRPr="007247C9">
        <w:rPr>
          <w:b w:val="0"/>
          <w:sz w:val="20"/>
          <w:szCs w:val="20"/>
        </w:rPr>
        <w:br w:type="page"/>
      </w:r>
      <w:r w:rsidRPr="00514CA0">
        <w:rPr>
          <w:sz w:val="20"/>
        </w:rPr>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0"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1" w:name="_DV_C2002"/>
      <w:bookmarkEnd w:id="140"/>
      <w:r w:rsidR="007222CE" w:rsidRPr="00514CA0">
        <w:rPr>
          <w:lang w:val="pt-BR"/>
        </w:rPr>
        <w:t xml:space="preserve"> incluindo:</w:t>
      </w:r>
      <w:bookmarkEnd w:id="14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a 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 L E F O S S E ! 3 7 5 0 7 5 7 . 1 < / d o c u m e n t i d >  
     < s e n d e r i d > C A I U B < / s e n d e r i d >  
     < s e n d e r e m a i l > C L A R I C E . A I U B @ L E F O S S E . C O M < / s e n d e r e m a i l >  
     < l a s t m o d i f i e d > 2 0 2 2 - 0 9 - 1 2 T 1 1 : 2 8 : 0 0 . 0 0 0 0 0 0 0 - 0 3 : 0 0 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11638</Words>
  <Characters>65409</Characters>
  <Application>Microsoft Office Word</Application>
  <DocSecurity>0</DocSecurity>
  <Lines>1308</Lines>
  <Paragraphs>513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Clarice</cp:lastModifiedBy>
  <cp:revision>14</cp:revision>
  <cp:lastPrinted>2017-05-19T17:17:00Z</cp:lastPrinted>
  <dcterms:created xsi:type="dcterms:W3CDTF">2022-08-25T17:24:00Z</dcterms:created>
  <dcterms:modified xsi:type="dcterms:W3CDTF">2022-09-12T14:28:00Z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- 3750757v1</vt:lpwstr>
  </property>
</Properties>
</file>