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850BF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BE05C8" w:rsidRPr="00BE05C8">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DE9373B"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BE05C8">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6A078CDA"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BE05C8" w:rsidRPr="00BE05C8">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3E3E8AC6"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4A3763A9"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BE05C8">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A30069B"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BE05C8" w:rsidRPr="00BE05C8">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D827D6B"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5EED442"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BE05C8" w:rsidRPr="00BE05C8">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B4B6C2A"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BE05C8">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98DCCB9"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BE05C8">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D8D2AB5"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BE05C8" w:rsidRPr="00BE05C8">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1F62066"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BE05C8" w:rsidRPr="00BE05C8">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B9B7EB1"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BE05C8">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8DDF79E"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24"/>
            <w:r w:rsidRPr="00FE1B6E">
              <w:t xml:space="preserve"> </w:t>
            </w:r>
            <w:r w:rsidRPr="00C43223">
              <w:t xml:space="preserve"> ao ano, base </w:t>
            </w:r>
            <w:r w:rsidR="00CE22CE">
              <w:t>360</w:t>
            </w:r>
            <w:r w:rsidR="00CE22CE" w:rsidRPr="00C43223">
              <w:t xml:space="preserve"> </w:t>
            </w:r>
            <w:r w:rsidRPr="00C43223">
              <w:t>(</w:t>
            </w:r>
            <w:r w:rsidR="00CE22CE">
              <w:t>trezentos e sessenta</w:t>
            </w:r>
            <w:r w:rsidRPr="00C43223">
              <w:t xml:space="preserve">)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79D07ADD"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BE05C8" w:rsidRPr="00BE05C8">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46487C7"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BE05C8" w:rsidRPr="00BE05C8">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6AFD71E"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BE05C8" w:rsidRPr="00BE05C8">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07BC771F"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BE05C8" w:rsidRPr="00BE05C8">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791E9CD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FE8F79"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BE05C8" w:rsidRPr="00BE05C8">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5D2BFCF"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BE05C8">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3C579F75"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67088B5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BE05C8">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BE05C8">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1D2F1E30" w:rsidR="003D6A14" w:rsidRPr="00FE1B6E" w:rsidRDefault="003D6A14" w:rsidP="00853D9B">
      <w:pPr>
        <w:pStyle w:val="Level2"/>
      </w:pPr>
      <w:r w:rsidRPr="00FE1B6E">
        <w:rPr>
          <w:b/>
        </w:rPr>
        <w:lastRenderedPageBreak/>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BE05C8">
        <w:t>4</w:t>
      </w:r>
      <w:r w:rsidR="00D705A4" w:rsidRPr="00FE1B6E">
        <w:fldChar w:fldCharType="end"/>
      </w:r>
      <w:r w:rsidRPr="00FE1B6E">
        <w:t xml:space="preserve"> abaixo.</w:t>
      </w:r>
    </w:p>
    <w:p w14:paraId="535AC6CF" w14:textId="53FAFE90"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7DAD9EE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BE05C8">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58DA7D7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BE05C8">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46D36235"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BE05C8">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lastRenderedPageBreak/>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lastRenderedPageBreak/>
        <w:t>OBJETO E CARACTERÍSTICAS DOS CRÉDITOS IMOBILIÁRIO</w:t>
      </w:r>
      <w:bookmarkEnd w:id="32"/>
      <w:bookmarkEnd w:id="33"/>
      <w:bookmarkEnd w:id="34"/>
      <w:r w:rsidRPr="00FE1B6E">
        <w:t>S</w:t>
      </w:r>
      <w:bookmarkEnd w:id="35"/>
      <w:bookmarkEnd w:id="40"/>
      <w:bookmarkEnd w:id="41"/>
      <w:bookmarkEnd w:id="42"/>
      <w:bookmarkEnd w:id="43"/>
    </w:p>
    <w:p w14:paraId="142B25FE" w14:textId="729C2204" w:rsidR="00116CE0" w:rsidRPr="00E712E4"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6AD1EFD5" w14:textId="332C4CC8" w:rsidR="00E712E4" w:rsidRPr="00350586" w:rsidRDefault="00E712E4" w:rsidP="00E712E4">
      <w:pPr>
        <w:pStyle w:val="Level2"/>
      </w:pPr>
      <w:r w:rsidRPr="00D347AE">
        <w:t>[</w:t>
      </w:r>
      <w:r w:rsidRPr="00D347AE">
        <w:rPr>
          <w:b/>
          <w:bCs/>
          <w:highlight w:val="green"/>
        </w:rPr>
        <w:t>Nota Virgo</w:t>
      </w:r>
      <w:r w:rsidRPr="00D347AE">
        <w:t>: Favor incluir as hipóteses de substituição dos créditos imobiliários cf. listados no art. 18, parágrafo 3º, da Resolução 60.]</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53AA1D8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BE05C8">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4" w:name="_Ref11855863"/>
      <w:bookmarkStart w:id="45" w:name="_Ref14106556"/>
      <w:bookmarkStart w:id="46" w:name="_Ref74311505"/>
      <w:bookmarkStart w:id="47" w:name="_Ref88226126"/>
      <w:r w:rsidRPr="000F30CD">
        <w:rPr>
          <w:b/>
          <w:bCs/>
        </w:rPr>
        <w:t>Constituição do Fundo de Reserva.</w:t>
      </w:r>
      <w:r w:rsidRPr="004C1F80">
        <w:t xml:space="preserve"> </w:t>
      </w:r>
      <w:bookmarkEnd w:id="44"/>
      <w:bookmarkEnd w:id="45"/>
      <w:bookmarkEnd w:id="4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39E553E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BE05C8">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3F9C8B9D"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BE05C8">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5BFD6F8"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1E6B2DFE" w:rsidR="00116CE0" w:rsidRPr="00C43223" w:rsidRDefault="00116CE0" w:rsidP="0080101B">
      <w:pPr>
        <w:pStyle w:val="Level2"/>
      </w:pPr>
      <w:bookmarkStart w:id="53" w:name="_Ref7010962"/>
      <w:r w:rsidRPr="00945739">
        <w:rPr>
          <w:b/>
          <w:bCs/>
          <w:iCs/>
        </w:rPr>
        <w:lastRenderedPageBreak/>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71F4EE8"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7"/>
      <w:r w:rsidRPr="00945739">
        <w:t xml:space="preserve"> </w:t>
      </w:r>
      <w:r w:rsidR="00D914C3" w:rsidRPr="00945739">
        <w:rPr>
          <w:b/>
          <w:bCs/>
          <w:highlight w:val="yellow"/>
        </w:rPr>
        <w:t>[</w:t>
      </w:r>
      <w:r w:rsidR="00453640" w:rsidRPr="00945739">
        <w:rPr>
          <w:b/>
          <w:bCs/>
          <w:highlight w:val="yellow"/>
        </w:rPr>
        <w:t xml:space="preserve">NOTA LEFOSSE: </w:t>
      </w:r>
      <w:r w:rsidR="00453640" w:rsidRPr="00797043">
        <w:rPr>
          <w:b/>
          <w:bCs/>
          <w:highlight w:val="yellow"/>
        </w:rPr>
        <w:t xml:space="preserve">A SER CONFIRMADO </w:t>
      </w:r>
      <w:r w:rsidR="00453640">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1416E99D"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BE05C8">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61F55315"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BE05C8">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8"/>
      <w:bookmarkEnd w:id="59"/>
    </w:p>
    <w:p w14:paraId="4EBE627B" w14:textId="05D08E25" w:rsidR="00116CE0" w:rsidRPr="000F30CD" w:rsidRDefault="00116CE0" w:rsidP="00D20C36">
      <w:pPr>
        <w:pStyle w:val="Level2"/>
        <w:rPr>
          <w:szCs w:val="20"/>
        </w:rPr>
      </w:pPr>
      <w:bookmarkStart w:id="60" w:name="_Ref85563846"/>
      <w:bookmarkStart w:id="61"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w:t>
      </w:r>
      <w:r w:rsidR="00435107">
        <w:t>[</w:t>
      </w:r>
      <w:r w:rsidR="00D20C36" w:rsidRPr="00797043">
        <w:t xml:space="preserve">variação </w:t>
      </w:r>
      <w:r w:rsidR="00435107">
        <w:t xml:space="preserve">positiva] </w:t>
      </w:r>
      <w:r w:rsidR="00D20C36" w:rsidRPr="00797043">
        <w:t>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r w:rsidR="00435107" w:rsidRPr="00C83B35">
        <w:rPr>
          <w:b/>
          <w:bCs/>
          <w:highlight w:val="yellow"/>
        </w:rPr>
        <w:t>[</w:t>
      </w:r>
      <w:r w:rsidR="00435107" w:rsidRPr="00767B77">
        <w:rPr>
          <w:b/>
          <w:bCs/>
          <w:highlight w:val="yellow"/>
        </w:rPr>
        <w:t>NOTA LEFOSSE: SOB VALIDAÇÃO ENTRE A RZK E GLPG</w:t>
      </w:r>
      <w:r w:rsidR="00435107" w:rsidRPr="00C83B35">
        <w:rPr>
          <w:b/>
          <w:bCs/>
          <w:highlight w:val="yellow"/>
        </w:rPr>
        <w:t>.]</w:t>
      </w:r>
      <w:bookmarkEnd w:id="61"/>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lastRenderedPageBreak/>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6471D795" w:rsidR="0018668A" w:rsidRPr="00FE1B6E" w:rsidRDefault="0018668A" w:rsidP="0018668A">
      <w:pPr>
        <w:pStyle w:val="Body"/>
        <w:ind w:left="1080"/>
        <w:rPr>
          <w:lang w:eastAsia="pt-BR"/>
        </w:rPr>
      </w:pPr>
      <w:bookmarkStart w:id="62"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m:t>
                  </m:r>
                  <m:r>
                    <w:rPr>
                      <w:rFonts w:ascii="Cambria Math" w:hAnsi="Cambria Math"/>
                    </w:rPr>
                    <m:t>c</m:t>
                  </m:r>
                  <m:r>
                    <w:rPr>
                      <w:rFonts w:ascii="Cambria Math" w:hAnsi="Cambria Math"/>
                    </w:rPr>
                    <m:t>p</m:t>
                  </m:r>
                </m:num>
                <m:den>
                  <m:r>
                    <w:rPr>
                      <w:rFonts w:ascii="Cambria Math" w:hAnsi="Cambria Math"/>
                    </w:rPr>
                    <m:t>d</m:t>
                  </m:r>
                  <m:r>
                    <w:rPr>
                      <w:rFonts w:ascii="Cambria Math" w:hAnsi="Cambria Math"/>
                    </w:rPr>
                    <m:t>c</m:t>
                  </m:r>
                  <m:r>
                    <w:rPr>
                      <w:rFonts w:ascii="Cambria Math" w:hAnsi="Cambria Math"/>
                    </w:rPr>
                    <m:t>t</m:t>
                  </m:r>
                </m:den>
              </m:f>
            </m:sup>
          </m:sSup>
        </m:oMath>
      </m:oMathPara>
      <w:bookmarkEnd w:id="62"/>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606AEB9D" w:rsidR="0018668A" w:rsidRPr="004C1F80" w:rsidRDefault="00435107" w:rsidP="0018668A">
      <w:pPr>
        <w:pStyle w:val="Body"/>
        <w:ind w:left="1418"/>
        <w:rPr>
          <w:lang w:eastAsia="pt-BR"/>
        </w:rPr>
      </w:pPr>
      <w:r w:rsidRPr="000F30CD">
        <w:t>d</w:t>
      </w:r>
      <w:r>
        <w:t>c</w:t>
      </w:r>
      <w:r w:rsidRPr="000F30CD">
        <w:t xml:space="preserve">p </w:t>
      </w:r>
      <w:r w:rsidR="0018668A" w:rsidRPr="000F30CD">
        <w:t xml:space="preserve">= número de </w:t>
      </w:r>
      <w:r>
        <w:t>d</w:t>
      </w:r>
      <w:r w:rsidRPr="000F30CD">
        <w:t xml:space="preserve">ias </w:t>
      </w:r>
      <w:r w:rsidR="0018668A" w:rsidRPr="000F30CD">
        <w:t xml:space="preserve">entre a </w:t>
      </w:r>
      <w:bookmarkStart w:id="63" w:name="_Hlk71315295"/>
      <w:r w:rsidR="0018668A" w:rsidRPr="000F30CD">
        <w:t xml:space="preserve">(i) </w:t>
      </w:r>
      <w:bookmarkEnd w:id="63"/>
      <w:r w:rsidR="0018668A" w:rsidRPr="000F30CD">
        <w:t>primeira Data de Integralização, (inclusive) no caso do primeiro Período de Capitalização ou (ii) a última Data de Pagamento, no caso dos demais Períodos de Capitalização (inclusive)</w:t>
      </w:r>
      <w:bookmarkStart w:id="64" w:name="_Hlk71315306"/>
      <w:r w:rsidR="0018668A" w:rsidRPr="000F30CD">
        <w:t>, conforme o caso</w:t>
      </w:r>
      <w:bookmarkEnd w:id="64"/>
      <w:r w:rsidR="0018668A" w:rsidRPr="000F30CD">
        <w:t xml:space="preserve"> e a data de cálculo (exclusive), sendo “</w:t>
      </w:r>
      <w:r w:rsidRPr="000F30CD">
        <w:t>d</w:t>
      </w:r>
      <w:r>
        <w:t>c</w:t>
      </w:r>
      <w:r w:rsidRPr="000F30CD">
        <w:t>p</w:t>
      </w:r>
      <w:r w:rsidR="0018668A" w:rsidRPr="000F30CD">
        <w:t xml:space="preserve">” um número inteiro. </w:t>
      </w:r>
    </w:p>
    <w:p w14:paraId="31826CC5" w14:textId="269C63B2" w:rsidR="0018668A" w:rsidRPr="00C43223" w:rsidRDefault="00435107" w:rsidP="0018668A">
      <w:pPr>
        <w:pStyle w:val="Body"/>
        <w:ind w:left="1418"/>
      </w:pPr>
      <w:r w:rsidRPr="00B64D26">
        <w:t>d</w:t>
      </w:r>
      <w:r>
        <w:t>c</w:t>
      </w:r>
      <w:r w:rsidRPr="00B64D26">
        <w:t xml:space="preserve">t </w:t>
      </w:r>
      <w:r w:rsidR="0018668A" w:rsidRPr="00B64D26">
        <w:t xml:space="preserve">= número de </w:t>
      </w:r>
      <w:r>
        <w:t>dias</w:t>
      </w:r>
      <w:r w:rsidR="0018668A" w:rsidRPr="00B64D26">
        <w:t xml:space="preserve"> entre a última Data de Pagamento (inclusive) e a próxima Data de Pagamento (exclusive), sendo “</w:t>
      </w:r>
      <w:r w:rsidRPr="00B64D26">
        <w:t>d</w:t>
      </w:r>
      <w:r>
        <w:t>c</w:t>
      </w:r>
      <w:r w:rsidRPr="00B64D26">
        <w:t>t</w:t>
      </w:r>
      <w:r w:rsidR="0018668A" w:rsidRPr="00B64D26">
        <w:t>” um número inteiro.</w:t>
      </w:r>
      <w:r w:rsidR="000147C6" w:rsidRPr="00F206C7">
        <w:t xml:space="preserve"> </w:t>
      </w:r>
      <w:r w:rsidR="000147C6" w:rsidRPr="00C20E74">
        <w:t>Exclusivamente para a primeira Data de Pagamento, “</w:t>
      </w:r>
      <w:r w:rsidRPr="00C20E74">
        <w:t>d</w:t>
      </w:r>
      <w:r>
        <w:t>c</w:t>
      </w:r>
      <w:r w:rsidRPr="00C20E74">
        <w:t>t</w:t>
      </w:r>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54DC48EB"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w:t>
      </w:r>
      <w:r w:rsidR="00435107">
        <w:t xml:space="preserve"> segundo</w:t>
      </w:r>
      <w:r w:rsidRPr="00945739">
        <w:t xml:space="preserve">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5"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5"/>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615F401" w:rsidR="0018668A" w:rsidRPr="00FE1B6E" w:rsidRDefault="00BE05C8"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m:t>
                  </m:r>
                  <m:r>
                    <w:rPr>
                      <w:rFonts w:ascii="Cambria Math" w:hAnsi="Cambria Math"/>
                    </w:rPr>
                    <m:t>c</m:t>
                  </m:r>
                  <m:r>
                    <w:rPr>
                      <w:rFonts w:ascii="Cambria Math" w:hAnsi="Cambria Math"/>
                    </w:rPr>
                    <m:t>p</m:t>
                  </m:r>
                </m:num>
                <m:den>
                  <m:r>
                    <w:rPr>
                      <w:rFonts w:ascii="Cambria Math" w:hAnsi="Cambria Math"/>
                    </w:rPr>
                    <m:t>d</m:t>
                  </m:r>
                  <m:r>
                    <w:rPr>
                      <w:rFonts w:ascii="Cambria Math" w:hAnsi="Cambria Math"/>
                    </w:rPr>
                    <m:t>c</m:t>
                  </m:r>
                  <m:r>
                    <w:rPr>
                      <w:rFonts w:ascii="Cambria Math" w:hAnsi="Cambria Math"/>
                    </w:rPr>
                    <m:t>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6" w:name="_Hlk63853216"/>
      <w:bookmarkStart w:id="67"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6"/>
    <w:bookmarkEnd w:id="67"/>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8"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w:t>
      </w:r>
      <w:r w:rsidRPr="00AE6217">
        <w:rPr>
          <w:rFonts w:eastAsia="Arial Unicode MS"/>
        </w:rPr>
        <w:lastRenderedPageBreak/>
        <w:t>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9" w:name="_Ref84218714"/>
      <w:bookmarkEnd w:id="68"/>
    </w:p>
    <w:bookmarkEnd w:id="69"/>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0" w:name="_Ref83919081"/>
      <w:r w:rsidR="009028E2" w:rsidRPr="00FE1B6E">
        <w:t>.</w:t>
      </w:r>
    </w:p>
    <w:p w14:paraId="7A6A2106" w14:textId="0D4130C0" w:rsidR="008B26FE" w:rsidRPr="00FE1B6E" w:rsidRDefault="00116CE0" w:rsidP="008B26FE">
      <w:pPr>
        <w:pStyle w:val="Level3"/>
        <w:rPr>
          <w:szCs w:val="20"/>
        </w:rPr>
      </w:pPr>
      <w:bookmarkStart w:id="71" w:name="_Ref19039075"/>
      <w:bookmarkStart w:id="72" w:name="_Ref7160615"/>
      <w:bookmarkStart w:id="73" w:name="_Ref7192418"/>
      <w:bookmarkStart w:id="74" w:name="_Ref15383220"/>
      <w:bookmarkStart w:id="75" w:name="_Ref15394389"/>
      <w:bookmarkStart w:id="76" w:name="_Ref79438123"/>
      <w:bookmarkStart w:id="77" w:name="_Ref85565720"/>
      <w:bookmarkEnd w:id="70"/>
      <w:r w:rsidRPr="00FE1B6E">
        <w:rPr>
          <w:b/>
          <w:bCs/>
          <w:iCs/>
        </w:rPr>
        <w:t>Amortização Extraordinária Obrigatória das Debêntures.</w:t>
      </w:r>
      <w:bookmarkEnd w:id="71"/>
      <w:r w:rsidRPr="00FE1B6E">
        <w:t xml:space="preserve"> </w:t>
      </w:r>
      <w:bookmarkStart w:id="78" w:name="_Ref19039504"/>
      <w:bookmarkEnd w:id="72"/>
      <w:bookmarkEnd w:id="73"/>
      <w:bookmarkEnd w:id="74"/>
      <w:bookmarkEnd w:id="75"/>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6"/>
      <w:bookmarkEnd w:id="78"/>
      <w:r w:rsidR="008C7078" w:rsidRPr="00FE1B6E">
        <w:t>, hipótese em que haverá amortização extraordinária obrigatória nos termos abaixo</w:t>
      </w:r>
      <w:r w:rsidR="00A86646" w:rsidRPr="00FE1B6E">
        <w:t>.</w:t>
      </w:r>
      <w:bookmarkEnd w:id="77"/>
    </w:p>
    <w:p w14:paraId="21CA408A" w14:textId="433EAEFE" w:rsidR="008C7078" w:rsidRPr="00FE1B6E" w:rsidRDefault="008C7078" w:rsidP="00A86646">
      <w:pPr>
        <w:pStyle w:val="Level3"/>
        <w:rPr>
          <w:szCs w:val="24"/>
          <w:lang w:eastAsia="pt-BR"/>
        </w:rPr>
      </w:pPr>
      <w:r w:rsidRPr="00FE1B6E">
        <w:rPr>
          <w:szCs w:val="24"/>
          <w:lang w:eastAsia="pt-BR"/>
        </w:rPr>
        <w:t xml:space="preserve">Caso o ICSD seja </w:t>
      </w:r>
      <w:r w:rsidR="00603DD7">
        <w:rPr>
          <w:szCs w:val="24"/>
          <w:lang w:eastAsia="pt-BR"/>
        </w:rPr>
        <w:t>maior ou igual</w:t>
      </w:r>
      <w:r w:rsidR="00603DD7" w:rsidRPr="00FE1B6E">
        <w:rPr>
          <w:szCs w:val="24"/>
          <w:lang w:eastAsia="pt-BR"/>
        </w:rPr>
        <w:t xml:space="preserve"> </w:t>
      </w:r>
      <w:r w:rsidRPr="00FE1B6E">
        <w:rPr>
          <w:szCs w:val="24"/>
          <w:lang w:eastAsia="pt-BR"/>
        </w:rPr>
        <w:t>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6FA84DD3" w:rsidR="00A86646" w:rsidRPr="00C43223" w:rsidRDefault="00A86646" w:rsidP="00A86646">
      <w:pPr>
        <w:pStyle w:val="Level3"/>
        <w:rPr>
          <w:szCs w:val="24"/>
          <w:lang w:eastAsia="pt-BR"/>
        </w:rPr>
      </w:pPr>
      <w:r w:rsidRPr="00FE1B6E">
        <w:lastRenderedPageBreak/>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r w:rsidR="00BE3A90">
        <w:t xml:space="preserve"> </w:t>
      </w:r>
      <w:r w:rsidR="00BE3A90" w:rsidRPr="00037FD9">
        <w:rPr>
          <w:b/>
          <w:bCs/>
          <w:highlight w:val="yellow"/>
        </w:rPr>
        <w:t>[</w:t>
      </w:r>
      <w:r w:rsidR="00453640" w:rsidRPr="00037FD9">
        <w:rPr>
          <w:b/>
          <w:bCs/>
          <w:highlight w:val="yellow"/>
        </w:rPr>
        <w:t>NOTA LEFOSSE: SOB VALIDAÇÃO D</w:t>
      </w:r>
      <w:r w:rsidR="00453640">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9" w:name="_Ref324932809"/>
      <w:bookmarkStart w:id="80" w:name="_Ref19042818"/>
      <w:r w:rsidRPr="00FE1B6E">
        <w:rPr>
          <w:b/>
          <w:bCs/>
          <w:iCs/>
        </w:rPr>
        <w:lastRenderedPageBreak/>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9"/>
      <w:bookmarkEnd w:id="80"/>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1" w:name="_Hlk72948842"/>
      <w:r w:rsidRPr="00FE1B6E">
        <w:t xml:space="preserve">regresso </w:t>
      </w:r>
      <w:bookmarkEnd w:id="81"/>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82" w:name="_Ref80864086"/>
      <w:bookmarkStart w:id="83" w:name="_Ref31847991"/>
      <w:bookmarkStart w:id="84" w:name="_Ref66996171"/>
      <w:bookmarkStart w:id="85" w:name="_Ref31847986"/>
      <w:r w:rsidRPr="00FE1B6E">
        <w:rPr>
          <w:u w:val="single"/>
        </w:rPr>
        <w:t>Fiança</w:t>
      </w:r>
      <w:bookmarkStart w:id="86" w:name="_Ref244087124"/>
      <w:bookmarkStart w:id="87"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8"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89" w:name="_Ref4623106"/>
      <w:bookmarkEnd w:id="88"/>
      <w:r w:rsidR="00A1325C" w:rsidRPr="00FE1B6E">
        <w:t>(“</w:t>
      </w:r>
      <w:r w:rsidR="00A1325C" w:rsidRPr="00FE1B6E">
        <w:rPr>
          <w:b/>
        </w:rPr>
        <w:t>Fiança</w:t>
      </w:r>
      <w:r w:rsidR="00A1325C" w:rsidRPr="00FE1B6E">
        <w:t xml:space="preserve">”). </w:t>
      </w:r>
      <w:bookmarkEnd w:id="89"/>
    </w:p>
    <w:bookmarkEnd w:id="82"/>
    <w:bookmarkEnd w:id="83"/>
    <w:bookmarkEnd w:id="84"/>
    <w:bookmarkEnd w:id="85"/>
    <w:bookmarkEnd w:id="86"/>
    <w:bookmarkEnd w:id="87"/>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90" w:name="_Ref106212022"/>
      <w:bookmarkStart w:id="91"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t>(“</w:t>
      </w:r>
      <w:r w:rsidR="00BF35BD">
        <w:rPr>
          <w:b/>
          <w:bCs/>
        </w:rPr>
        <w:t>Condições para Liberação da Fiança RZK Energia</w:t>
      </w:r>
      <w:r w:rsidR="00BF35BD">
        <w:t>”)</w:t>
      </w:r>
      <w:r w:rsidR="007A796B" w:rsidRPr="00FE1B6E">
        <w:t>:</w:t>
      </w:r>
      <w:bookmarkEnd w:id="90"/>
    </w:p>
    <w:p w14:paraId="0C8E9BE5" w14:textId="53B8145D"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573D23">
        <w:t xml:space="preserve"> após a </w:t>
      </w:r>
      <w:r w:rsidR="00E71E99">
        <w:t xml:space="preserve">Energização de </w:t>
      </w:r>
      <w:r w:rsidR="006248B4">
        <w:t>todos</w:t>
      </w:r>
      <w:r w:rsidR="00573D23">
        <w:t xml:space="preserve"> 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Energização de todos Empreendimentos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lastRenderedPageBreak/>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92" w:name="_Ref6922670"/>
      <w:bookmarkEnd w:id="91"/>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566CDB90"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por Fundo de Investimentos em Participações</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2"/>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93" w:name="_Ref535169016"/>
      <w:bookmarkStart w:id="9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3"/>
      <w:bookmarkEnd w:id="94"/>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9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 xml:space="preserve">Cessão Fiduciária de </w:t>
      </w:r>
      <w:r w:rsidR="00E14D47" w:rsidRPr="00FE1B6E">
        <w:rPr>
          <w:b/>
          <w:bCs/>
        </w:rPr>
        <w:lastRenderedPageBreak/>
        <w:t>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5"/>
    </w:p>
    <w:p w14:paraId="047038CF" w14:textId="7011C68A" w:rsidR="00116CE0" w:rsidRPr="00C43223" w:rsidRDefault="00116CE0" w:rsidP="00552680">
      <w:pPr>
        <w:pStyle w:val="Level2"/>
      </w:pPr>
      <w:bookmarkStart w:id="96" w:name="_Ref7013972"/>
      <w:bookmarkStart w:id="97" w:name="_Ref18772153"/>
      <w:bookmarkStart w:id="98"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9" w:name="_Ref84010039"/>
      <w:bookmarkEnd w:id="96"/>
      <w:bookmarkEnd w:id="97"/>
      <w:bookmarkEnd w:id="98"/>
    </w:p>
    <w:bookmarkEnd w:id="9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00"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1" w:name="_Ref84221172"/>
      <w:bookmarkEnd w:id="100"/>
    </w:p>
    <w:bookmarkEnd w:id="10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2" w:name="_DV_M82"/>
      <w:bookmarkEnd w:id="102"/>
      <w:r w:rsidRPr="00FE1B6E">
        <w:rPr>
          <w:b/>
          <w:bCs/>
          <w:iCs/>
          <w:szCs w:val="20"/>
        </w:rPr>
        <w:t>Cobrança dos Créditos Imobiliários.</w:t>
      </w:r>
      <w:r w:rsidRPr="00FE1B6E">
        <w:rPr>
          <w:szCs w:val="20"/>
        </w:rPr>
        <w:t xml:space="preserve"> Os pagamentos dos Créditos Imobiliários </w:t>
      </w:r>
      <w:bookmarkStart w:id="103" w:name="_DV_M83"/>
      <w:bookmarkEnd w:id="10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491A2850" w:rsidR="00116CE0" w:rsidRPr="00C43223" w:rsidRDefault="00116CE0" w:rsidP="00625D5C">
      <w:pPr>
        <w:pStyle w:val="Level2"/>
        <w:rPr>
          <w:szCs w:val="20"/>
        </w:rPr>
      </w:pPr>
      <w:bookmarkStart w:id="104" w:name="_Ref4950392"/>
      <w:r w:rsidRPr="00FE1B6E">
        <w:rPr>
          <w:b/>
          <w:bCs/>
          <w:iCs/>
          <w:szCs w:val="20"/>
        </w:rPr>
        <w:lastRenderedPageBreak/>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5" w:name="_Ref84221075"/>
      <w:bookmarkEnd w:id="104"/>
    </w:p>
    <w:bookmarkEnd w:id="10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6" w:name="_DV_C294"/>
      <w:r w:rsidRPr="00945739">
        <w:rPr>
          <w:szCs w:val="20"/>
        </w:rPr>
        <w:t xml:space="preserve">prorrogadas as datas de pagamento de qualquer obrigação relativa ao CRI </w:t>
      </w:r>
      <w:bookmarkEnd w:id="10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9" w:name="_Ref84221213"/>
      <w:bookmarkEnd w:id="108"/>
    </w:p>
    <w:bookmarkEnd w:id="109"/>
    <w:p w14:paraId="4D214847" w14:textId="2E1C2BD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10" w:name="_Ref486511799"/>
      <w:bookmarkStart w:id="111" w:name="_Ref4883781"/>
    </w:p>
    <w:p w14:paraId="2FA34E4F" w14:textId="02917577" w:rsidR="00116CE0" w:rsidRPr="000F30CD" w:rsidRDefault="00116CE0" w:rsidP="003C32A7">
      <w:pPr>
        <w:pStyle w:val="Level3"/>
      </w:pPr>
      <w:bookmarkStart w:id="11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3" w:name="_Ref83909102"/>
      <w:bookmarkEnd w:id="110"/>
      <w:bookmarkEnd w:id="111"/>
      <w:bookmarkEnd w:id="112"/>
    </w:p>
    <w:p w14:paraId="46AE91D0" w14:textId="21541B17" w:rsidR="00116CE0" w:rsidRPr="00B64D26" w:rsidRDefault="00116CE0" w:rsidP="003C32A7">
      <w:pPr>
        <w:pStyle w:val="Level3"/>
        <w:ind w:hanging="680"/>
      </w:pPr>
      <w:bookmarkStart w:id="114" w:name="_Ref486511808"/>
      <w:bookmarkStart w:id="115" w:name="_Ref4883782"/>
      <w:bookmarkEnd w:id="113"/>
      <w:r w:rsidRPr="000F30CD">
        <w:t>Em conformidade com o artigo 8° da Instrução CVM 476, o ence</w:t>
      </w:r>
      <w:r w:rsidRPr="004C1F80">
        <w:t>rramento da Oferta Restrita deverá ser informado pelo Coordenador Líder à CVM no prazo de 5 (cinco) dias contados do seu encerramento.</w:t>
      </w:r>
      <w:bookmarkStart w:id="116" w:name="_Ref83909111"/>
      <w:bookmarkEnd w:id="114"/>
      <w:bookmarkEnd w:id="115"/>
    </w:p>
    <w:bookmarkEnd w:id="116"/>
    <w:p w14:paraId="13C97603" w14:textId="708780F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BE05C8">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BE05C8">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 xml:space="preserve">13 e 15 da Instrução CVM 476, e depois do cumprimento, pela Emissora, das obrigações previstas </w:t>
      </w:r>
      <w:r w:rsidRPr="004B4541">
        <w:lastRenderedPageBreak/>
        <w:t>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7"/>
    </w:p>
    <w:p w14:paraId="7AFBE5C9" w14:textId="347610A8"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BE05C8">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8" w:name="_Ref108338525"/>
      <w:bookmarkStart w:id="119" w:name="_Ref7217448"/>
      <w:bookmarkStart w:id="120" w:name="_DV_C32"/>
      <w:r w:rsidRPr="00861D98">
        <w:rPr>
          <w:b/>
          <w:bCs/>
          <w:iCs/>
        </w:rPr>
        <w:t xml:space="preserve">Distribuição Parcial. </w:t>
      </w:r>
      <w:bookmarkStart w:id="12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1"/>
      <w:r w:rsidR="003F6E46">
        <w:t>.</w:t>
      </w:r>
      <w:bookmarkEnd w:id="118"/>
    </w:p>
    <w:p w14:paraId="4F333631" w14:textId="089A8166" w:rsidR="002B2EBA" w:rsidRPr="00C11803" w:rsidRDefault="002B2EBA" w:rsidP="002B2EBA">
      <w:pPr>
        <w:pStyle w:val="Level3"/>
      </w:pPr>
      <w:bookmarkStart w:id="122" w:name="_Ref408992126"/>
      <w:bookmarkStart w:id="123" w:name="_Ref408997578"/>
      <w:bookmarkStart w:id="124" w:name="_Hlk61473705"/>
      <w:r w:rsidRPr="00C11803">
        <w:t>Será admitida distribuição parcial dos CR</w:t>
      </w:r>
      <w:r>
        <w:t>I</w:t>
      </w:r>
      <w:bookmarkEnd w:id="12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4"/>
      <w:r>
        <w:t>I</w:t>
      </w:r>
      <w:r w:rsidRPr="00C11803">
        <w:t>.</w:t>
      </w:r>
    </w:p>
    <w:p w14:paraId="7AB2C7D8" w14:textId="0E23B11A" w:rsidR="002B2EBA" w:rsidRPr="00C11803" w:rsidRDefault="002B2EBA" w:rsidP="002B2EBA">
      <w:pPr>
        <w:pStyle w:val="Level3"/>
      </w:pPr>
      <w:bookmarkStart w:id="125" w:name="_Ref61365524"/>
      <w:bookmarkStart w:id="126" w:name="_Hlk62032663"/>
      <w:bookmarkStart w:id="12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6"/>
      <w:r w:rsidRPr="00C11803">
        <w:t>.</w:t>
      </w:r>
      <w:bookmarkEnd w:id="127"/>
    </w:p>
    <w:p w14:paraId="37A9A5B3" w14:textId="6750DB96" w:rsidR="002B2EBA" w:rsidRPr="00C11803" w:rsidRDefault="002B2EBA" w:rsidP="002B2EBA">
      <w:pPr>
        <w:pStyle w:val="Level3"/>
      </w:pPr>
      <w:bookmarkStart w:id="128" w:name="_Ref106098087"/>
      <w:r w:rsidRPr="00C11803">
        <w:lastRenderedPageBreak/>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BE05C8">
        <w:t>4.29.3</w:t>
      </w:r>
      <w:r>
        <w:fldChar w:fldCharType="end"/>
      </w:r>
      <w:r w:rsidRPr="00C11803">
        <w:t xml:space="preserve"> acima.</w:t>
      </w:r>
      <w:bookmarkEnd w:id="128"/>
    </w:p>
    <w:p w14:paraId="6EFB31AA" w14:textId="4077A91B" w:rsidR="00116CE0" w:rsidRPr="00F206C7" w:rsidRDefault="00116CE0" w:rsidP="00625D5C">
      <w:pPr>
        <w:pStyle w:val="Level1"/>
        <w:rPr>
          <w:szCs w:val="20"/>
        </w:rPr>
      </w:pPr>
      <w:bookmarkStart w:id="129" w:name="_Toc163380701"/>
      <w:bookmarkStart w:id="130" w:name="_Toc180553617"/>
      <w:bookmarkStart w:id="131" w:name="_Toc302458790"/>
      <w:bookmarkStart w:id="132" w:name="_Toc411606362"/>
      <w:bookmarkStart w:id="133" w:name="_Toc5023986"/>
      <w:bookmarkStart w:id="134" w:name="_Toc79516050"/>
      <w:bookmarkEnd w:id="119"/>
      <w:bookmarkEnd w:id="120"/>
      <w:r w:rsidRPr="00F206C7">
        <w:t>SUBSCRIÇÃO E INTEGRALIZAÇÃO DOS CRI</w:t>
      </w:r>
      <w:bookmarkStart w:id="135" w:name="_Toc110076263"/>
      <w:bookmarkEnd w:id="129"/>
      <w:bookmarkEnd w:id="130"/>
      <w:bookmarkEnd w:id="131"/>
      <w:bookmarkEnd w:id="132"/>
      <w:bookmarkEnd w:id="133"/>
      <w:bookmarkEnd w:id="134"/>
    </w:p>
    <w:p w14:paraId="5140974B" w14:textId="109C73F0" w:rsidR="00116CE0" w:rsidRPr="00BB3F43" w:rsidRDefault="00116CE0" w:rsidP="00BB4B32">
      <w:pPr>
        <w:pStyle w:val="Level2"/>
        <w:rPr>
          <w:szCs w:val="20"/>
        </w:rPr>
      </w:pPr>
      <w:bookmarkStart w:id="136"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113D9B8D" w:rsidR="00116CE0" w:rsidRPr="00FE1B6E" w:rsidRDefault="00116CE0" w:rsidP="00621029">
      <w:pPr>
        <w:pStyle w:val="Level4"/>
        <w:tabs>
          <w:tab w:val="clear" w:pos="2041"/>
          <w:tab w:val="num" w:pos="1418"/>
        </w:tabs>
        <w:ind w:left="1418"/>
        <w:rPr>
          <w:szCs w:val="20"/>
        </w:rPr>
      </w:pPr>
      <w:r w:rsidRPr="00FE1B6E">
        <w:lastRenderedPageBreak/>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p>
    <w:p w14:paraId="5C61D6B7" w14:textId="6ED37489"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BE05C8">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(iii)</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7"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8" w:name="_Ref84221399"/>
      <w:bookmarkEnd w:id="137"/>
    </w:p>
    <w:p w14:paraId="3C3DB8CC" w14:textId="18E9D11D" w:rsidR="00116CE0" w:rsidRPr="000D740E" w:rsidRDefault="00116CE0" w:rsidP="00050C86">
      <w:pPr>
        <w:pStyle w:val="Level3"/>
        <w:rPr>
          <w:szCs w:val="20"/>
        </w:rPr>
      </w:pPr>
      <w:bookmarkStart w:id="139" w:name="_Hlk35972875"/>
      <w:bookmarkEnd w:id="138"/>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BE05C8">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9"/>
      <w:r w:rsidRPr="00C43223">
        <w:t>.</w:t>
      </w:r>
    </w:p>
    <w:p w14:paraId="3C4DB561" w14:textId="44B0F7AC"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e (ii)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r w:rsidRPr="00E45BB4">
        <w:rPr>
          <w:szCs w:val="20"/>
        </w:rPr>
        <w:t>.</w:t>
      </w:r>
    </w:p>
    <w:p w14:paraId="11041481" w14:textId="14FFE43D"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BE05C8">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40"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1" w:name="_Ref84011685"/>
      <w:bookmarkEnd w:id="140"/>
    </w:p>
    <w:bookmarkEnd w:id="141"/>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2"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D43BFC0" w:rsidR="008C1771" w:rsidRPr="00FE1B6E" w:rsidRDefault="00116CE0">
      <w:pPr>
        <w:pStyle w:val="Level2"/>
      </w:pPr>
      <w:bookmarkStart w:id="143" w:name="_Ref7180616"/>
      <w:bookmarkStart w:id="144" w:name="_Ref85551402"/>
      <w:bookmarkStart w:id="145" w:name="_Ref15387360"/>
      <w:bookmarkStart w:id="146" w:name="_Ref85550830"/>
      <w:bookmarkEnd w:id="142"/>
      <w:r w:rsidRPr="00BB3F43">
        <w:rPr>
          <w:b/>
          <w:bCs/>
        </w:rPr>
        <w:t>Destinação</w:t>
      </w:r>
      <w:r w:rsidRPr="00BB3F43">
        <w:rPr>
          <w:b/>
          <w:bCs/>
          <w:iCs/>
        </w:rPr>
        <w:t xml:space="preserve"> dos Recursos.</w:t>
      </w:r>
      <w:r w:rsidRPr="00BB3F43">
        <w:t xml:space="preserve"> </w:t>
      </w:r>
      <w:bookmarkStart w:id="147" w:name="_Ref80864128"/>
      <w:bookmarkStart w:id="148" w:name="_Ref4890622"/>
      <w:bookmarkEnd w:id="143"/>
      <w:r w:rsidR="008C1771" w:rsidRPr="00A42371">
        <w:t xml:space="preserve">Os Recursos Líquidos serão destinados: </w:t>
      </w:r>
      <w:r w:rsidR="00C54149" w:rsidRPr="00037FD9">
        <w:t>[(a) pela Devedora diretamente; ou (b) pel</w:t>
      </w:r>
      <w:bookmarkStart w:id="149" w:name="_Hlk108510046"/>
      <w:r w:rsidR="00F21BBE" w:rsidRPr="00F21BBE">
        <w:t>as SPEs</w:t>
      </w:r>
      <w:r w:rsidR="00C54149" w:rsidRPr="00F21BBE">
        <w:t xml:space="preserve">, </w:t>
      </w:r>
      <w:bookmarkEnd w:id="149"/>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w:t>
      </w:r>
      <w:r w:rsidR="00F21BBE">
        <w:lastRenderedPageBreak/>
        <w:t xml:space="preserve">(II) Projeto </w:t>
      </w:r>
      <w:r w:rsidR="009D2745">
        <w:t>Águas Lindas</w:t>
      </w:r>
      <w:r w:rsidR="00F21BBE">
        <w:t xml:space="preserve"> pela Usina Castanheira; (III) Projeto Altair pela Usina Salinas; (IV) Projeto Cipó-Guaçu pela Usina Manacá; (V) Projeto Ceilândia 2 pela Usina Pinheiro, Usina Pitangueira, Usina Atena e Usina Cedro Rosa; e (VI) Projeto Fernandópolis 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r w:rsidR="006B5199">
        <w:t>Águas Lindas</w:t>
      </w:r>
      <w:r w:rsidR="00F21BBE">
        <w:t xml:space="preserve"> pela Usina Castanheira; (III) Projeto Altair pela Usina Salinas; (IV) Projeto Cipó-Guaçu pela Usina Manacá;</w:t>
      </w:r>
      <w:r w:rsidR="006B6C24">
        <w:t xml:space="preserve"> </w:t>
      </w:r>
      <w:r w:rsidR="00AD2D89">
        <w:t>(V) Projeto Ceilândia 2 pela Usina Pinheiro, Usina Pitangueira, Usina Atena e Usina Cedro Rosa; e (VI) Projeto Fernandópolis pela Usina Litoral</w:t>
      </w:r>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147"/>
      <w:r w:rsidR="00F64385" w:rsidRPr="00FE1B6E">
        <w:t>.</w:t>
      </w:r>
      <w:r w:rsidR="00C54149">
        <w:t xml:space="preserve"> </w:t>
      </w:r>
    </w:p>
    <w:p w14:paraId="340FBFCC" w14:textId="059580EA" w:rsidR="0061439F" w:rsidRPr="00FE1B6E" w:rsidRDefault="0061439F" w:rsidP="0061439F">
      <w:pPr>
        <w:pStyle w:val="Level3"/>
      </w:pPr>
      <w:bookmarkStart w:id="150" w:name="_Ref85551251"/>
      <w:bookmarkEnd w:id="144"/>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0"/>
    </w:p>
    <w:p w14:paraId="4194E9C5" w14:textId="1F5BD426" w:rsidR="00F64385" w:rsidRPr="00C43223" w:rsidRDefault="00F64385" w:rsidP="00F64385">
      <w:pPr>
        <w:pStyle w:val="Level2"/>
      </w:pPr>
      <w:bookmarkStart w:id="151" w:name="_Ref73033364"/>
      <w:bookmarkEnd w:id="145"/>
      <w:bookmarkEnd w:id="148"/>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[NOTA LEFOSSE: FINANCEIRO DA RZK LEVANTANDO AS NOTAS FISCAIS.]</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46"/>
      <w:bookmarkEnd w:id="151"/>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3833103C" w:rsidR="001C7FA2" w:rsidRPr="004B4541" w:rsidRDefault="00012BD1" w:rsidP="001C7FA2">
      <w:pPr>
        <w:pStyle w:val="Level4"/>
      </w:pPr>
      <w:bookmarkStart w:id="152"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BE05C8">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52"/>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576F590B" w14:textId="734A855C"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BE05C8">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 xml:space="preserve">ao Agente Fiduciário todo e qualquer documento necessário à sua comprovação, </w:t>
      </w:r>
      <w:r w:rsidRPr="004B4541">
        <w:lastRenderedPageBreak/>
        <w:t>inclusive, sem limitação, notas fiscais, comprovantes de pagamento</w:t>
      </w:r>
      <w:r w:rsidR="00F64385" w:rsidRPr="00FE1B6E">
        <w:t>,</w:t>
      </w:r>
      <w:r w:rsidRPr="00FE1B6E">
        <w:t xml:space="preserve"> </w:t>
      </w:r>
      <w:bookmarkStart w:id="153"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2DF9D0E2"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4" w:name="_Ref72749343"/>
      <w:r w:rsidR="00CE1A89" w:rsidRPr="00FE1B6E">
        <w:t>.</w:t>
      </w:r>
      <w:bookmarkStart w:id="155" w:name="_Ref7199179"/>
      <w:bookmarkStart w:id="156" w:name="_Ref4891240"/>
      <w:bookmarkEnd w:id="153"/>
      <w:bookmarkEnd w:id="154"/>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1EB200A2"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BE05C8">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7D87DF15" w:rsidR="00836840" w:rsidRPr="004B4541" w:rsidRDefault="00116CE0" w:rsidP="00836840">
      <w:pPr>
        <w:pStyle w:val="Level3"/>
      </w:pPr>
      <w:bookmarkStart w:id="157"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5"/>
      <w:bookmarkEnd w:id="156"/>
      <w:bookmarkEnd w:id="157"/>
    </w:p>
    <w:p w14:paraId="7888BBF4" w14:textId="049F29D9" w:rsidR="00836840" w:rsidRPr="00B64D26" w:rsidRDefault="00116CE0">
      <w:pPr>
        <w:pStyle w:val="Level3"/>
      </w:pPr>
      <w:bookmarkStart w:id="158"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8"/>
      <w:r w:rsidRPr="004C1F80">
        <w:t xml:space="preserve"> </w:t>
      </w:r>
      <w:bookmarkStart w:id="159" w:name="_Ref7099479"/>
    </w:p>
    <w:p w14:paraId="1934E796" w14:textId="1540EC0F" w:rsidR="004824E9" w:rsidRPr="00C43223" w:rsidRDefault="004824E9" w:rsidP="004824E9">
      <w:pPr>
        <w:pStyle w:val="Level3"/>
        <w:rPr>
          <w:szCs w:val="24"/>
          <w:lang w:eastAsia="pt-BR"/>
        </w:rPr>
      </w:pPr>
      <w:bookmarkStart w:id="160"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BE05C8">
        <w:t>5.6.6</w:t>
      </w:r>
      <w:r w:rsidRPr="00FE1B6E">
        <w:fldChar w:fldCharType="end"/>
      </w:r>
      <w:r w:rsidR="005C1622" w:rsidRPr="00FE1B6E">
        <w:t xml:space="preserve"> </w:t>
      </w:r>
      <w:r w:rsidRPr="00FE1B6E">
        <w:t xml:space="preserve">acima. O Agente </w:t>
      </w:r>
      <w:r w:rsidRPr="00FE1B6E">
        <w:lastRenderedPageBreak/>
        <w:t>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60"/>
    </w:p>
    <w:p w14:paraId="13D3B724" w14:textId="5A01A8C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BE05C8">
        <w:t>5.6.7</w:t>
      </w:r>
      <w:r w:rsidR="002C3D8E" w:rsidRPr="00FE1B6E">
        <w:rPr>
          <w:highlight w:val="yellow"/>
        </w:rPr>
        <w:fldChar w:fldCharType="end"/>
      </w:r>
      <w:r w:rsidR="002C3D8E" w:rsidRPr="00FE1B6E">
        <w:t xml:space="preserve"> </w:t>
      </w:r>
      <w:r w:rsidRPr="00FE1B6E">
        <w:t>acima.</w:t>
      </w:r>
      <w:bookmarkStart w:id="161" w:name="_Ref71743491"/>
      <w:bookmarkEnd w:id="159"/>
    </w:p>
    <w:p w14:paraId="0E007B07" w14:textId="1FD5D60E" w:rsidR="00836840" w:rsidRPr="00C43223" w:rsidRDefault="00116CE0" w:rsidP="00540E56">
      <w:pPr>
        <w:pStyle w:val="Level3"/>
      </w:pPr>
      <w:bookmarkStart w:id="162"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BE05C8">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61"/>
      <w:bookmarkEnd w:id="162"/>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3" w:name="_Ref486448440"/>
      <w:bookmarkStart w:id="164" w:name="_Ref4950417"/>
      <w:bookmarkStart w:id="165" w:name="_Ref7225085"/>
      <w:bookmarkEnd w:id="135"/>
    </w:p>
    <w:p w14:paraId="3ABAA28F" w14:textId="256AE2C4"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BE05C8">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6" w:name="_Ref87968116"/>
    </w:p>
    <w:p w14:paraId="0BD0D403" w14:textId="20E9BFDB" w:rsidR="00116CE0" w:rsidRPr="004B4541" w:rsidRDefault="007237EC" w:rsidP="007237EC">
      <w:pPr>
        <w:pStyle w:val="Level2"/>
      </w:pPr>
      <w:bookmarkStart w:id="167" w:name="_Ref79485188"/>
      <w:bookmarkStart w:id="168" w:name="_Ref84220198"/>
      <w:bookmarkStart w:id="169" w:name="_Ref87972472"/>
      <w:bookmarkEnd w:id="163"/>
      <w:bookmarkEnd w:id="164"/>
      <w:bookmarkEnd w:id="165"/>
      <w:bookmarkEnd w:id="166"/>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7237EC">
        <w:rPr>
          <w:szCs w:val="20"/>
        </w:rPr>
        <w:t>% (</w:t>
      </w:r>
      <w:r w:rsidR="00913840">
        <w:t>oito por cento ao ano</w:t>
      </w:r>
      <w:r w:rsidR="00913840" w:rsidRPr="007237EC">
        <w:rPr>
          <w:szCs w:val="20"/>
        </w:rPr>
        <w:t>)</w:t>
      </w:r>
      <w:r w:rsidR="00913840" w:rsidRPr="007237EC">
        <w:t xml:space="preserve"> </w:t>
      </w:r>
      <w:r w:rsidR="001A0C2D" w:rsidRPr="007237EC">
        <w:t xml:space="preserve">ao ano, base </w:t>
      </w:r>
      <w:r w:rsidR="00CE22CE">
        <w:t xml:space="preserve">360 (trezentos e sessenta) </w:t>
      </w:r>
      <w:r w:rsidR="001A0C2D" w:rsidRPr="007237EC">
        <w:t xml:space="preserve">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7"/>
      <w:bookmarkEnd w:id="168"/>
      <w:r w:rsidR="001A0C2D" w:rsidRPr="007237EC">
        <w:t>.</w:t>
      </w:r>
      <w:bookmarkEnd w:id="169"/>
    </w:p>
    <w:p w14:paraId="4C237C2B" w14:textId="0085C5C4" w:rsidR="001A0C2D" w:rsidRPr="00BB3F43" w:rsidRDefault="001A0C2D" w:rsidP="001A0C2D">
      <w:pPr>
        <w:pStyle w:val="Level3"/>
      </w:pPr>
      <w:bookmarkStart w:id="170" w:name="_Ref286330516"/>
      <w:bookmarkStart w:id="171" w:name="_Ref286331549"/>
      <w:bookmarkStart w:id="172"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lastRenderedPageBreak/>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2FC1931" w14:textId="0F68126E" w:rsidR="00CE22CE" w:rsidRPr="00F6090E" w:rsidRDefault="00CE22CE" w:rsidP="00CE22CE">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m:t>
                  </m:r>
                  <m:r>
                    <w:rPr>
                      <w:rFonts w:ascii="Cambria Math" w:hAnsi="Cambria Math"/>
                    </w:rPr>
                    <m:t>cp</m:t>
                  </m:r>
                </m:num>
                <m:den>
                  <m:r>
                    <m:rPr>
                      <m:sty m:val="p"/>
                    </m:rPr>
                    <w:rPr>
                      <w:rFonts w:ascii="Cambria Math" w:hAnsi="Cambria Math"/>
                    </w:rPr>
                    <m:t>360</m:t>
                  </m:r>
                </m:den>
              </m:f>
            </m:sup>
          </m:sSup>
        </m:oMath>
      </m:oMathPara>
    </w:p>
    <w:p w14:paraId="51634919" w14:textId="77777777" w:rsidR="001A0C2D" w:rsidRPr="00C43223" w:rsidRDefault="001A0C2D" w:rsidP="001A0C2D">
      <w:pPr>
        <w:pStyle w:val="Body"/>
        <w:ind w:left="1361"/>
      </w:pPr>
      <w:r w:rsidRPr="00C43223">
        <w:t xml:space="preserve">Onde: </w:t>
      </w:r>
    </w:p>
    <w:p w14:paraId="68F82F87" w14:textId="5EA344EA" w:rsidR="001A0C2D" w:rsidRPr="000F30CD" w:rsidRDefault="001A0C2D" w:rsidP="001A0C2D">
      <w:pPr>
        <w:pStyle w:val="Body"/>
        <w:ind w:left="1361"/>
      </w:pPr>
      <w:r w:rsidRPr="00C43223">
        <w:t xml:space="preserve">taxa </w:t>
      </w:r>
      <w:r w:rsidRPr="00945739">
        <w:t xml:space="preserve">= </w:t>
      </w:r>
      <w:r w:rsidR="00913840">
        <w:rPr>
          <w:szCs w:val="20"/>
        </w:rPr>
        <w:t>8,0000</w:t>
      </w:r>
      <w:r w:rsidR="00913840" w:rsidRPr="004B4541">
        <w:t>;</w:t>
      </w:r>
    </w:p>
    <w:p w14:paraId="14443A05" w14:textId="38979E79" w:rsidR="001A0C2D" w:rsidRPr="004C1F80" w:rsidRDefault="00CE22CE" w:rsidP="001A0C2D">
      <w:pPr>
        <w:pStyle w:val="Body"/>
        <w:ind w:left="1361"/>
      </w:pPr>
      <w:r w:rsidRPr="000F30CD">
        <w:t>d</w:t>
      </w:r>
      <w:r>
        <w:t>c</w:t>
      </w:r>
      <w:r w:rsidRPr="000F30CD">
        <w:t xml:space="preserve">p </w:t>
      </w:r>
      <w:r w:rsidR="001A0C2D" w:rsidRPr="000F30CD">
        <w:t>= conforme definido acima;</w:t>
      </w:r>
    </w:p>
    <w:p w14:paraId="5632286B" w14:textId="3D6F078D" w:rsidR="00116CE0" w:rsidRPr="008C59CB" w:rsidRDefault="00116CE0" w:rsidP="00FC67F1">
      <w:pPr>
        <w:pStyle w:val="Level1"/>
        <w:rPr>
          <w:szCs w:val="20"/>
        </w:rPr>
      </w:pPr>
      <w:bookmarkStart w:id="173" w:name="_DV_M274"/>
      <w:bookmarkStart w:id="174" w:name="_DV_M275"/>
      <w:bookmarkStart w:id="175" w:name="_DV_M276"/>
      <w:bookmarkStart w:id="176" w:name="_DV_M277"/>
      <w:bookmarkStart w:id="177" w:name="_DV_M278"/>
      <w:bookmarkStart w:id="178" w:name="_DV_M282"/>
      <w:bookmarkStart w:id="179" w:name="_DV_M283"/>
      <w:bookmarkStart w:id="180" w:name="_DV_M284"/>
      <w:bookmarkStart w:id="181" w:name="_DV_M100"/>
      <w:bookmarkStart w:id="182" w:name="_DV_M101"/>
      <w:bookmarkStart w:id="183" w:name="_DV_M108"/>
      <w:bookmarkStart w:id="184" w:name="_DV_M111"/>
      <w:bookmarkStart w:id="185" w:name="_DV_M112"/>
      <w:bookmarkStart w:id="186" w:name="_DV_M113"/>
      <w:bookmarkStart w:id="187" w:name="_Toc7225791"/>
      <w:bookmarkStart w:id="188" w:name="_Toc7225853"/>
      <w:bookmarkStart w:id="189" w:name="_Toc7225886"/>
      <w:bookmarkStart w:id="190" w:name="_Toc7225919"/>
      <w:bookmarkStart w:id="191" w:name="_Toc7303878"/>
      <w:bookmarkStart w:id="192" w:name="_Toc7325050"/>
      <w:bookmarkStart w:id="193" w:name="_Toc7225792"/>
      <w:bookmarkStart w:id="194" w:name="_Toc7225854"/>
      <w:bookmarkStart w:id="195" w:name="_Toc7225887"/>
      <w:bookmarkStart w:id="196" w:name="_Toc7225920"/>
      <w:bookmarkStart w:id="197" w:name="_Toc7303879"/>
      <w:bookmarkStart w:id="198" w:name="_Toc7325051"/>
      <w:bookmarkStart w:id="199" w:name="_Toc7225793"/>
      <w:bookmarkStart w:id="200" w:name="_Toc7225855"/>
      <w:bookmarkStart w:id="201" w:name="_Toc7225888"/>
      <w:bookmarkStart w:id="202" w:name="_Toc7225921"/>
      <w:bookmarkStart w:id="203" w:name="_Toc7303880"/>
      <w:bookmarkStart w:id="204" w:name="_Toc7325052"/>
      <w:bookmarkStart w:id="205" w:name="_Toc7225794"/>
      <w:bookmarkStart w:id="206" w:name="_Toc7225856"/>
      <w:bookmarkStart w:id="207" w:name="_Toc7225889"/>
      <w:bookmarkStart w:id="208" w:name="_Toc7225922"/>
      <w:bookmarkStart w:id="209" w:name="_Toc7303881"/>
      <w:bookmarkStart w:id="210" w:name="_Toc7325053"/>
      <w:bookmarkStart w:id="211" w:name="_Toc411606364"/>
      <w:bookmarkStart w:id="212" w:name="_Ref486427263"/>
      <w:bookmarkStart w:id="213" w:name="_Toc502399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AE6217">
        <w:t xml:space="preserve">RESGATE ANTECIPADO </w:t>
      </w:r>
      <w:bookmarkEnd w:id="211"/>
      <w:bookmarkEnd w:id="212"/>
      <w:r w:rsidRPr="00AE6217">
        <w:t>DOS CRI</w:t>
      </w:r>
      <w:bookmarkEnd w:id="213"/>
    </w:p>
    <w:p w14:paraId="4A16058F" w14:textId="526475F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BE05C8">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BE05C8">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4" w:name="_Ref84218485"/>
    </w:p>
    <w:p w14:paraId="3C633702" w14:textId="06455942" w:rsidR="004E42A6" w:rsidRPr="004E42A6" w:rsidRDefault="00116CE0" w:rsidP="00F97F91">
      <w:pPr>
        <w:pStyle w:val="Level2"/>
      </w:pPr>
      <w:bookmarkStart w:id="215" w:name="_DV_M110"/>
      <w:bookmarkStart w:id="216" w:name="_Ref19039850"/>
      <w:bookmarkStart w:id="217" w:name="_Ref74334667"/>
      <w:bookmarkStart w:id="218" w:name="_Toc5206755"/>
      <w:bookmarkStart w:id="219" w:name="_Ref298842333"/>
      <w:bookmarkEnd w:id="214"/>
      <w:bookmarkEnd w:id="215"/>
      <w:r w:rsidRPr="00C43223">
        <w:rPr>
          <w:b/>
          <w:bCs/>
          <w:iCs/>
        </w:rPr>
        <w:t>Resgate Antecipado Facultativo das Debêntures</w:t>
      </w:r>
      <w:r w:rsidRPr="00C43223">
        <w:t>.</w:t>
      </w:r>
      <w:bookmarkEnd w:id="216"/>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20"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221" w:name="_Ref85633616"/>
      <w:bookmarkStart w:id="222" w:name="_Ref37779356"/>
      <w:bookmarkEnd w:id="220"/>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3"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w:t>
      </w:r>
      <w:r w:rsidRPr="00F701BA">
        <w:lastRenderedPageBreak/>
        <w:t xml:space="preserve">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2D7DE556" w:rsidR="00163BE1" w:rsidRDefault="00163BE1" w:rsidP="00037FD9">
      <w:pPr>
        <w:pStyle w:val="Level3"/>
      </w:pPr>
      <w:r>
        <w:t>Para os fins do previsto na tabela acima, o prazo médio remanescente da Emissão será calculado de acordo com a seguinte fórmula:</w:t>
      </w:r>
    </w:p>
    <w:p w14:paraId="5371A346" w14:textId="7970787D" w:rsidR="00BF35BD" w:rsidRDefault="00BF35BD" w:rsidP="00BF35BD">
      <w:pPr>
        <w:pStyle w:val="Level3"/>
        <w:numPr>
          <w:ilvl w:val="0"/>
          <w:numId w:val="0"/>
        </w:numPr>
        <w:ind w:left="1361"/>
      </w:pPr>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p>
    <w:p w14:paraId="641B16A7" w14:textId="77777777" w:rsidR="00BF35BD" w:rsidRDefault="00BF35BD" w:rsidP="00D347AE">
      <w:pPr>
        <w:pStyle w:val="Level3"/>
        <w:numPr>
          <w:ilvl w:val="0"/>
          <w:numId w:val="0"/>
        </w:numPr>
        <w:ind w:left="1361"/>
      </w:pP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34A7B69B" w:rsidR="00163BE1" w:rsidRDefault="00163BE1" w:rsidP="00163BE1">
      <w:pPr>
        <w:pStyle w:val="Body"/>
        <w:ind w:left="1361"/>
      </w:pPr>
      <w:r w:rsidRPr="00D5067C">
        <w:rPr>
          <w:b/>
          <w:bCs/>
        </w:rPr>
        <w:t>dj</w:t>
      </w:r>
      <w:r w:rsidRPr="00A20FC4">
        <w:t xml:space="preserve"> = dias </w:t>
      </w:r>
      <w:r w:rsidR="00BF35BD">
        <w:t>corridos</w:t>
      </w:r>
      <w:r w:rsidR="00BF35BD" w:rsidRPr="00A20FC4">
        <w:t xml:space="preserve"> </w:t>
      </w:r>
      <w:r w:rsidRPr="00A20FC4">
        <w:t xml:space="preserve">a decorrer (da data de cálculo do PMP até a data de cada pagamento); </w:t>
      </w:r>
    </w:p>
    <w:p w14:paraId="4A9F218D" w14:textId="417A3849" w:rsidR="00163BE1" w:rsidRPr="00A20FC4" w:rsidRDefault="00163BE1" w:rsidP="00163BE1">
      <w:pPr>
        <w:pStyle w:val="Body"/>
        <w:ind w:left="136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21"/>
    <w:bookmarkEnd w:id="222"/>
    <w:bookmarkEnd w:id="223"/>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4" w:name="_Ref84237991"/>
      <w:bookmarkStart w:id="225" w:name="_Ref4899136"/>
      <w:bookmarkEnd w:id="217"/>
      <w:bookmarkEnd w:id="218"/>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4"/>
    </w:p>
    <w:p w14:paraId="0C7EAA82" w14:textId="5B849C37" w:rsidR="00B3342D" w:rsidRPr="00FE1B6E" w:rsidRDefault="00B3342D" w:rsidP="00B3342D">
      <w:pPr>
        <w:pStyle w:val="Level2"/>
      </w:pPr>
      <w:bookmarkStart w:id="226"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BE05C8">
        <w:t>6.3</w:t>
      </w:r>
      <w:r w:rsidRPr="00FE1B6E">
        <w:fldChar w:fldCharType="end"/>
      </w:r>
      <w:r w:rsidRPr="00FE1B6E">
        <w:t xml:space="preserve"> acima.</w:t>
      </w:r>
      <w:bookmarkEnd w:id="226"/>
    </w:p>
    <w:p w14:paraId="43F72912" w14:textId="37107D1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7"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Pr="00FE1B6E">
        <w:t xml:space="preserve"> abaixo</w:t>
      </w:r>
      <w:bookmarkEnd w:id="227"/>
      <w:r w:rsidRPr="00FE1B6E">
        <w:t>.</w:t>
      </w:r>
      <w:r w:rsidR="002135CA" w:rsidRPr="00FE1B6E">
        <w:t xml:space="preserve"> </w:t>
      </w:r>
    </w:p>
    <w:p w14:paraId="2D9DD3BD" w14:textId="223E822A" w:rsidR="00116CE0" w:rsidRPr="004B4541" w:rsidRDefault="00116CE0" w:rsidP="001D38DC">
      <w:pPr>
        <w:pStyle w:val="Level3"/>
        <w:rPr>
          <w:szCs w:val="20"/>
        </w:rPr>
      </w:pPr>
      <w:bookmarkStart w:id="228" w:name="_Ref15397585"/>
      <w:bookmarkStart w:id="229" w:name="_Ref19020809"/>
      <w:r w:rsidRPr="00C43223">
        <w:rPr>
          <w:b/>
          <w:bCs/>
          <w:iCs/>
        </w:rPr>
        <w:t>Vencime</w:t>
      </w:r>
      <w:r w:rsidRPr="00945739">
        <w:rPr>
          <w:b/>
          <w:bCs/>
          <w:iCs/>
        </w:rPr>
        <w:t>nto Antecipado Automático</w:t>
      </w:r>
      <w:r w:rsidRPr="00945739">
        <w:rPr>
          <w:i/>
        </w:rPr>
        <w:t xml:space="preserve">. </w:t>
      </w:r>
      <w:bookmarkEnd w:id="225"/>
      <w:bookmarkEnd w:id="228"/>
      <w:r w:rsidRPr="00797043">
        <w:t>Constituem Eventos de Vencimento Antecipado Automático que acarretam o vencimento automático das obrigações decorrentes das Debêntures, independentemente de aviso ou notificação, judicial ou extrajudicial</w:t>
      </w:r>
      <w:bookmarkStart w:id="230" w:name="_Ref83909358"/>
      <w:bookmarkEnd w:id="229"/>
      <w:r w:rsidR="0081496D">
        <w:t>:</w:t>
      </w:r>
      <w:r w:rsidR="00813071">
        <w:t xml:space="preserve"> </w:t>
      </w:r>
    </w:p>
    <w:p w14:paraId="0124A0E7" w14:textId="6C81F323" w:rsidR="00DC3B88" w:rsidRPr="00FE1B6E" w:rsidRDefault="00DC3B88" w:rsidP="00A027DC">
      <w:pPr>
        <w:pStyle w:val="Level4"/>
      </w:pPr>
      <w:bookmarkStart w:id="231" w:name="_Ref137475231"/>
      <w:bookmarkStart w:id="232" w:name="_Ref149033996"/>
      <w:bookmarkStart w:id="233" w:name="_Ref164238998"/>
      <w:bookmarkStart w:id="234" w:name="_Hlk35950458"/>
      <w:bookmarkEnd w:id="230"/>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35" w:name="_Ref85555981"/>
      <w:bookmarkStart w:id="236"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5"/>
      <w:bookmarkEnd w:id="236"/>
      <w:r w:rsidR="007F192F">
        <w:t>;</w:t>
      </w:r>
    </w:p>
    <w:p w14:paraId="64DEC7E5" w14:textId="7D0B7047" w:rsidR="00DC3B88" w:rsidRPr="00FE1B6E" w:rsidRDefault="00DC3B88" w:rsidP="00A027DC">
      <w:pPr>
        <w:pStyle w:val="Level4"/>
      </w:pPr>
      <w:bookmarkStart w:id="237"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w:t>
      </w:r>
      <w:r w:rsidRPr="00FE1B6E">
        <w:lastRenderedPageBreak/>
        <w:t>Empreendimentos Alvo, conforme aplicável, incluindo, sem qualquer limitação, todos os seus direitos e obrigações, sem prévia aprovação d</w:t>
      </w:r>
      <w:r w:rsidR="0086614C">
        <w:t>a Emissora</w:t>
      </w:r>
      <w:r w:rsidRPr="00FE1B6E">
        <w:t>;</w:t>
      </w:r>
      <w:bookmarkEnd w:id="237"/>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8" w:name="_Hlk77262135"/>
      <w:r w:rsidRPr="00FE1B6E">
        <w:t>transformação da forma societária da Devedora, de modo que ela deixe de ser uma sociedade por ações, nos termos dos artigos 220 a 222 da Lei das Sociedades por Ações;</w:t>
      </w:r>
      <w:bookmarkEnd w:id="238"/>
      <w:r w:rsidRPr="00FE1B6E">
        <w:t xml:space="preserve"> </w:t>
      </w:r>
    </w:p>
    <w:p w14:paraId="58537B57" w14:textId="2230DCA4" w:rsidR="00DC3B88" w:rsidRPr="00FE1B6E" w:rsidRDefault="00DC3B88" w:rsidP="00DC3B88">
      <w:pPr>
        <w:pStyle w:val="Level4"/>
      </w:pPr>
      <w:bookmarkStart w:id="239" w:name="_Ref328666873"/>
      <w:bookmarkStart w:id="240" w:name="_Ref85553548"/>
      <w:bookmarkStart w:id="241" w:name="_Hlk72787197"/>
      <w:bookmarkStart w:id="242" w:name="_Ref72764219"/>
      <w:r w:rsidRPr="00FE1B6E" w:rsidDel="00781E6A">
        <w:t xml:space="preserve">redução de capital social da </w:t>
      </w:r>
      <w:bookmarkStart w:id="243"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9"/>
      <w:r w:rsidRPr="00FE1B6E">
        <w:t xml:space="preserve"> e/ou</w:t>
      </w:r>
      <w:r w:rsidRPr="00FE1B6E" w:rsidDel="00781E6A">
        <w:t xml:space="preserve"> (b) liquidação das obrigações assumidas no âmbito da Escritura</w:t>
      </w:r>
      <w:bookmarkEnd w:id="240"/>
      <w:bookmarkEnd w:id="243"/>
      <w:r w:rsidRPr="00FE1B6E">
        <w:t xml:space="preserve"> de Emissão; </w:t>
      </w:r>
      <w:bookmarkEnd w:id="241"/>
      <w:bookmarkEnd w:id="242"/>
    </w:p>
    <w:p w14:paraId="15AF9F09" w14:textId="040DE854" w:rsidR="00DC3B88" w:rsidRPr="00FE1B6E" w:rsidRDefault="00DC3B88" w:rsidP="00A027DC">
      <w:pPr>
        <w:pStyle w:val="Level4"/>
      </w:pPr>
      <w:bookmarkStart w:id="244" w:name="_Ref73999283"/>
      <w:bookmarkStart w:id="245" w:name="_Ref279344707"/>
      <w:bookmarkStart w:id="246"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sociedade em questão pela Controladora; ou </w:t>
      </w:r>
      <w:r w:rsidR="005B7501" w:rsidRPr="00D347AE">
        <w:rPr>
          <w:highlight w:val="yellow"/>
        </w:rPr>
        <w:t>[</w:t>
      </w:r>
      <w:r w:rsidRPr="00D347AE">
        <w:rPr>
          <w:highlight w:val="yellow"/>
        </w:rPr>
        <w:t>(c) em caso de oferta pública de ações</w:t>
      </w:r>
      <w:r w:rsidR="005B7501" w:rsidRPr="00D347AE">
        <w:rPr>
          <w:highlight w:val="yellow"/>
        </w:rPr>
        <w:t>]</w:t>
      </w:r>
      <w:r w:rsidRPr="00FE1B6E">
        <w:t>;</w:t>
      </w:r>
      <w:bookmarkStart w:id="247" w:name="_Ref272931224"/>
      <w:bookmarkEnd w:id="244"/>
      <w:bookmarkEnd w:id="245"/>
      <w:bookmarkEnd w:id="246"/>
      <w:r w:rsidR="005B7501">
        <w:t xml:space="preserve"> </w:t>
      </w:r>
      <w:r w:rsidR="005B7501" w:rsidRPr="00C83B35">
        <w:rPr>
          <w:b/>
          <w:bCs/>
          <w:highlight w:val="yellow"/>
        </w:rPr>
        <w:t>[NOTA LEFOSSE: SOB VALIDAÇÃO DA GLPG.]</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7"/>
      <w:r w:rsidRPr="00FE1B6E">
        <w:t xml:space="preserve"> </w:t>
      </w:r>
    </w:p>
    <w:p w14:paraId="57103003" w14:textId="5EF5C888" w:rsidR="00DC3B88" w:rsidRPr="00FE1B6E" w:rsidRDefault="00DC3B88" w:rsidP="00A027DC">
      <w:pPr>
        <w:pStyle w:val="Level4"/>
      </w:pPr>
      <w:bookmarkStart w:id="248" w:name="_Ref71743467"/>
      <w:bookmarkStart w:id="249" w:name="_Ref79447034"/>
      <w:r w:rsidRPr="00FE1B6E">
        <w:lastRenderedPageBreak/>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w:t>
      </w:r>
      <w:r w:rsidR="005B7501">
        <w:t xml:space="preserve">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48"/>
      <w:bookmarkEnd w:id="249"/>
    </w:p>
    <w:p w14:paraId="230EC9E5" w14:textId="11510269" w:rsidR="00DC3B88" w:rsidRPr="00FE1B6E" w:rsidRDefault="00DC3B88" w:rsidP="00DC3B88">
      <w:pPr>
        <w:pStyle w:val="Level4"/>
      </w:pPr>
      <w:bookmarkStart w:id="250"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0"/>
      <w:r w:rsidRPr="00FE1B6E">
        <w:t xml:space="preserve">; </w:t>
      </w:r>
      <w:bookmarkStart w:id="251" w:name="_Ref74042853"/>
      <w:r w:rsidRPr="00FE1B6E">
        <w:t>destruição ou deterioração total ou parcial dos Empreendimentos Alvo que torne inviável sua implementação ou sua continuidade;</w:t>
      </w:r>
      <w:bookmarkEnd w:id="251"/>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F3E2F9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BE05C8">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BE05C8">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1"/>
      <w:bookmarkEnd w:id="232"/>
      <w:bookmarkEnd w:id="233"/>
      <w:r w:rsidRPr="00FE1B6E">
        <w:t>;</w:t>
      </w:r>
    </w:p>
    <w:p w14:paraId="0CD1D9D8" w14:textId="1D8CDAED" w:rsidR="00DC3B88" w:rsidRPr="00FE1B6E" w:rsidRDefault="00DC3B88" w:rsidP="00DC3B88">
      <w:pPr>
        <w:pStyle w:val="Level4"/>
      </w:pPr>
      <w:bookmarkStart w:id="252"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52"/>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63B996B2" w:rsidR="00116CE0" w:rsidRPr="00C43223" w:rsidRDefault="00116CE0" w:rsidP="00301BA6">
      <w:pPr>
        <w:pStyle w:val="Level3"/>
        <w:rPr>
          <w:szCs w:val="20"/>
        </w:rPr>
      </w:pPr>
      <w:bookmarkStart w:id="253" w:name="_Ref15397460"/>
      <w:bookmarkStart w:id="254" w:name="_Ref4899140"/>
      <w:bookmarkStart w:id="255" w:name="_Ref79479295"/>
      <w:bookmarkEnd w:id="234"/>
      <w:r w:rsidRPr="00FE1B6E">
        <w:rPr>
          <w:b/>
          <w:bCs/>
          <w:iCs/>
        </w:rPr>
        <w:lastRenderedPageBreak/>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A926B5" w:rsidRPr="00FE1B6E">
        <w:t xml:space="preserve"> </w:t>
      </w:r>
      <w:r w:rsidRPr="00FE1B6E">
        <w:t>e seguintes abaixo</w:t>
      </w:r>
      <w:bookmarkEnd w:id="253"/>
      <w:bookmarkEnd w:id="254"/>
      <w:r w:rsidRPr="00FE1B6E">
        <w:t>:</w:t>
      </w:r>
      <w:bookmarkStart w:id="256" w:name="_Ref83909372"/>
      <w:bookmarkEnd w:id="255"/>
    </w:p>
    <w:p w14:paraId="3FAD5888" w14:textId="1BC597AE" w:rsidR="0045364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r w:rsidR="005B7501" w:rsidRPr="00902573">
        <w:rPr>
          <w:b/>
          <w:bCs/>
          <w:highlight w:val="yellow"/>
        </w:rPr>
        <w:t>[NOTA LEFOSSE: GLPG, FAVOR ENVIAR A SUGESTÃO DE REDAÇÃO ACERCA DO FUNDO DE DESPESAS.]</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57"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57"/>
    </w:p>
    <w:p w14:paraId="02DAAAB4" w14:textId="7EA14C79" w:rsidR="00E14D47" w:rsidRPr="00447EE5" w:rsidRDefault="00E14D47" w:rsidP="001022F9">
      <w:pPr>
        <w:pStyle w:val="Level4"/>
      </w:pPr>
      <w:bookmarkStart w:id="258" w:name="_Ref105005627"/>
      <w:bookmarkStart w:id="259"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BE05C8">
        <w:t>6.5.1(ix)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60"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0"/>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58"/>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w:t>
      </w:r>
      <w:r w:rsidRPr="0083003F">
        <w:rPr>
          <w:rFonts w:eastAsia="Arial Unicode MS"/>
          <w:w w:val="0"/>
        </w:rPr>
        <w:lastRenderedPageBreak/>
        <w:t xml:space="preserve">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xml:space="preserve">, </w:t>
      </w:r>
      <w:r w:rsidR="005B7501">
        <w:rPr>
          <w:rFonts w:eastAsia="Arial Unicode MS"/>
          <w:w w:val="0"/>
        </w:rPr>
        <w:t>[</w:t>
      </w:r>
      <w:r w:rsidR="00345BA0" w:rsidRPr="004B3827">
        <w:rPr>
          <w:rFonts w:eastAsia="Arial Unicode MS"/>
          <w:w w:val="0"/>
        </w:rPr>
        <w:t>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59"/>
      <w:r w:rsidR="005B7501">
        <w:rPr>
          <w:rFonts w:eastAsia="Arial Unicode MS"/>
          <w:w w:val="0"/>
        </w:rPr>
        <w:t xml:space="preserve">] </w:t>
      </w:r>
      <w:r w:rsidR="005B7501" w:rsidRPr="0014696E">
        <w:rPr>
          <w:rFonts w:eastAsia="Arial Unicode MS"/>
          <w:b/>
          <w:bCs/>
          <w:w w:val="0"/>
          <w:highlight w:val="yellow"/>
        </w:rPr>
        <w:t>[NOTA LEFOSSE: SOB VALIDAÇÃO DA COMPANHIA.]</w:t>
      </w:r>
    </w:p>
    <w:p w14:paraId="19D37BC2" w14:textId="4BD0A4D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BE05C8">
        <w:t>(iv)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BE05C8">
        <w:t>6.5.1(iii)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61" w:name="_Ref272931218"/>
      <w:bookmarkStart w:id="262" w:name="_Ref130283570"/>
      <w:bookmarkStart w:id="263" w:name="_Ref130301134"/>
      <w:bookmarkStart w:id="264" w:name="_Ref137104995"/>
      <w:bookmarkStart w:id="265"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6" w:name="_DV_M45"/>
      <w:bookmarkEnd w:id="266"/>
    </w:p>
    <w:p w14:paraId="5DA1C2AF" w14:textId="237F0F19" w:rsidR="00E14D47" w:rsidRPr="00FE1B6E" w:rsidRDefault="00E14D47" w:rsidP="00A027DC">
      <w:pPr>
        <w:pStyle w:val="Level4"/>
      </w:pPr>
      <w:r w:rsidRPr="00FE1B6E">
        <w:lastRenderedPageBreak/>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67"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67"/>
      <w:r w:rsidR="00037FD9">
        <w:t>;</w:t>
      </w:r>
      <w:r w:rsidR="00B12CC3">
        <w:t xml:space="preserve"> </w:t>
      </w:r>
    </w:p>
    <w:p w14:paraId="75A932AA" w14:textId="1846EC2E" w:rsidR="00E14D47" w:rsidRPr="00FE1B6E" w:rsidRDefault="00E14D47" w:rsidP="00A027DC">
      <w:pPr>
        <w:pStyle w:val="Level4"/>
      </w:pPr>
      <w:bookmarkStart w:id="268" w:name="_Hlk77262359"/>
      <w:bookmarkStart w:id="269"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68"/>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69"/>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70"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1" w:name="_Ref279344869"/>
      <w:bookmarkStart w:id="272" w:name="_Ref130283254"/>
      <w:bookmarkEnd w:id="262"/>
      <w:bookmarkEnd w:id="263"/>
      <w:bookmarkEnd w:id="264"/>
      <w:bookmarkEnd w:id="265"/>
      <w:bookmarkEnd w:id="270"/>
    </w:p>
    <w:p w14:paraId="47B30863" w14:textId="3D95EE13" w:rsidR="00E14D47" w:rsidRPr="00FE1B6E" w:rsidRDefault="00E14D47" w:rsidP="00E14D47">
      <w:pPr>
        <w:pStyle w:val="Level4"/>
      </w:pPr>
      <w:bookmarkStart w:id="273"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3"/>
      <w:r w:rsidRPr="00FE1B6E">
        <w:t>;</w:t>
      </w:r>
      <w:r w:rsidR="005B7501">
        <w:t xml:space="preserve"> </w:t>
      </w:r>
      <w:r w:rsidR="005B7501" w:rsidRPr="0039482C">
        <w:rPr>
          <w:b/>
          <w:bCs/>
          <w:highlight w:val="yellow"/>
        </w:rPr>
        <w:t xml:space="preserve">[NOTA LEFOSSE: A SER AJUSTADO MEDIANTE CONFIRMAÇÃO DA REDAÇÃO DO CRONOGRAMA DE OBRAS. </w:t>
      </w:r>
      <w:r w:rsidR="005B7501">
        <w:rPr>
          <w:b/>
          <w:bCs/>
          <w:highlight w:val="yellow"/>
        </w:rPr>
        <w:t xml:space="preserve">CONFORME SOLICITADO PELA GLPG </w:t>
      </w:r>
      <w:r w:rsidR="005B7501" w:rsidRPr="0039482C">
        <w:rPr>
          <w:b/>
          <w:bCs/>
          <w:highlight w:val="yellow"/>
        </w:rPr>
        <w:t>O ATRASO ACIMA DO THRESHOLD PERMITIDO TAMBÉM DEVERÁ ENSEJAR O EVNA DA OPERAÇÃO</w:t>
      </w:r>
      <w:r w:rsidR="005B7501">
        <w:rPr>
          <w:b/>
          <w:bCs/>
          <w:highlight w:val="yellow"/>
        </w:rPr>
        <w:t>.</w:t>
      </w:r>
      <w:r w:rsidR="005B7501" w:rsidRPr="0039482C">
        <w:rPr>
          <w:b/>
          <w:bCs/>
          <w:highlight w:val="yellow"/>
        </w:rPr>
        <w:t>]</w:t>
      </w:r>
    </w:p>
    <w:bookmarkEnd w:id="271"/>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w:t>
      </w:r>
      <w:r w:rsidRPr="00FE1B6E">
        <w:lastRenderedPageBreak/>
        <w:t xml:space="preserve">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77777777" w:rsidR="004842B5" w:rsidRPr="00901CD3" w:rsidRDefault="004842B5" w:rsidP="004842B5">
      <w:pPr>
        <w:pStyle w:val="Level4"/>
        <w:rPr>
          <w:rFonts w:eastAsia="MS Mincho"/>
        </w:rPr>
      </w:pPr>
      <w:bookmarkStart w:id="274" w:name="_Ref72921857"/>
      <w:r>
        <w:rPr>
          <w:rFonts w:eastAsia="MS Mincho"/>
        </w:rPr>
        <w:t xml:space="preserve">[caso o ICSD verificado trimestralmente esteja em patamar inferior a 1,20x em 3 (três) trimestres consecutivos ou em 2 (dois) trimestres dentro de um período de 1 (um) ano;] </w:t>
      </w:r>
      <w:r w:rsidRPr="0039482C">
        <w:rPr>
          <w:rFonts w:eastAsia="MS Mincho"/>
          <w:b/>
          <w:bCs/>
          <w:highlight w:val="yellow"/>
        </w:rPr>
        <w:t>[NOTA LEFOSSE: SOB VALIDAÇÃO DA RZK E GLPG.]</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4"/>
      <w:r w:rsidR="008F2BD3">
        <w:t>; e</w:t>
      </w:r>
    </w:p>
    <w:p w14:paraId="4EA8F548" w14:textId="637EB1EC"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da </w:t>
      </w:r>
      <w:r w:rsidR="00561E9E">
        <w:t xml:space="preserve">Emissora, </w:t>
      </w:r>
      <w:r w:rsidR="00561E9E" w:rsidRPr="00B55DF9">
        <w:rPr>
          <w:rFonts w:eastAsia="Arial Unicode MS"/>
          <w:w w:val="0"/>
        </w:rPr>
        <w:t>conforme orientação deliberada pelos Titulares de CRI, após a realização de uma assembleia geral de Titulares de CRI</w:t>
      </w:r>
      <w:r>
        <w:t>.</w:t>
      </w:r>
    </w:p>
    <w:p w14:paraId="663D7E74" w14:textId="203029BB" w:rsidR="00116CE0" w:rsidRPr="00FE1B6E" w:rsidRDefault="00116CE0" w:rsidP="00301BA6">
      <w:pPr>
        <w:pStyle w:val="Level3"/>
      </w:pPr>
      <w:bookmarkStart w:id="275" w:name="_Ref18859722"/>
      <w:bookmarkStart w:id="276" w:name="_Ref4876044"/>
      <w:bookmarkEnd w:id="256"/>
      <w:bookmarkEnd w:id="272"/>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7" w:name="_Ref6855028"/>
      <w:r w:rsidRPr="00FE1B6E">
        <w:rPr>
          <w:szCs w:val="20"/>
        </w:rPr>
        <w:t>.</w:t>
      </w:r>
      <w:bookmarkStart w:id="278" w:name="_Ref83918236"/>
      <w:bookmarkEnd w:id="275"/>
      <w:bookmarkEnd w:id="277"/>
    </w:p>
    <w:p w14:paraId="2F858702" w14:textId="14BCED88" w:rsidR="00C45FD0" w:rsidRPr="00FE1B6E" w:rsidRDefault="004842B5" w:rsidP="00C45FD0">
      <w:pPr>
        <w:pStyle w:val="Level3"/>
      </w:pPr>
      <w:bookmarkStart w:id="279" w:name="_Ref19046245"/>
      <w:bookmarkStart w:id="280" w:name="_Ref10023738"/>
      <w:bookmarkEnd w:id="278"/>
      <w:r>
        <w:t>[</w:t>
      </w:r>
      <w:r w:rsidR="00116CE0"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116CE0" w:rsidRPr="00FE1B6E">
        <w:t xml:space="preserve"> acima </w:t>
      </w:r>
      <w:r w:rsidR="00116CE0" w:rsidRPr="00FE1B6E">
        <w:rPr>
          <w:b/>
        </w:rPr>
        <w:t>(i)</w:t>
      </w:r>
      <w:r w:rsidR="00116CE0" w:rsidRPr="00C43223">
        <w:t xml:space="preserve"> </w:t>
      </w:r>
      <w:r w:rsidR="00116CE0" w:rsidRPr="00FE1B6E">
        <w:t xml:space="preserve">seja instalada em segunda convocação, ou </w:t>
      </w:r>
      <w:r w:rsidR="00116CE0" w:rsidRPr="00FE1B6E">
        <w:rPr>
          <w:b/>
        </w:rPr>
        <w:t>(ii)</w:t>
      </w:r>
      <w:r w:rsidR="00116CE0"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116CE0" w:rsidRPr="00FE1B6E">
        <w:t>haverá o vencimento antecipado das Debêntures, e consequentemente o resgate antecipado dos CRI.</w:t>
      </w:r>
      <w:bookmarkEnd w:id="279"/>
      <w:r w:rsidR="00116CE0" w:rsidRPr="00FE1B6E">
        <w:t xml:space="preserve"> </w:t>
      </w:r>
      <w:bookmarkEnd w:id="28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t xml:space="preserve">] </w:t>
      </w:r>
      <w:r w:rsidRPr="00D347AE">
        <w:rPr>
          <w:rStyle w:val="DeltaViewInsertion"/>
          <w:rFonts w:cs="Tahoma"/>
          <w:b/>
          <w:bCs/>
          <w:color w:val="000000"/>
          <w:szCs w:val="20"/>
          <w:highlight w:val="yellow"/>
          <w:u w:val="none"/>
        </w:rPr>
        <w:t>[NOTA LEFOSSE: SOB VALIDAÇÃO DA VIRGO A POSSIBILIDADE DE NÃO VENCER A DÍVIDA CASO NÃO TENHA QUÓRUM.]</w:t>
      </w:r>
    </w:p>
    <w:bookmarkEnd w:id="276"/>
    <w:p w14:paraId="13ECFE44" w14:textId="146ACFF3" w:rsidR="00116CE0" w:rsidRPr="00945739" w:rsidRDefault="00116CE0" w:rsidP="00301BA6">
      <w:pPr>
        <w:pStyle w:val="Level3"/>
      </w:pPr>
      <w:r w:rsidRPr="00FE1B6E">
        <w:lastRenderedPageBreak/>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1" w:name="_Toc110076265"/>
      <w:bookmarkStart w:id="282" w:name="_Toc163380704"/>
      <w:bookmarkStart w:id="283" w:name="_Toc180553620"/>
      <w:bookmarkStart w:id="284" w:name="_Toc302458793"/>
      <w:bookmarkStart w:id="285" w:name="_Toc411606365"/>
      <w:bookmarkEnd w:id="219"/>
    </w:p>
    <w:p w14:paraId="0FEC8F4C" w14:textId="1C0FB5FE"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BE05C8">
        <w:rPr>
          <w:iCs/>
        </w:rPr>
        <w:t>6.5.2(v)</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286" w:name="_Toc5023993"/>
      <w:bookmarkStart w:id="287" w:name="_Toc79516051"/>
      <w:r w:rsidRPr="00447EE5">
        <w:t>DECLARAÇÕES E OBRIGAÇÕES DA EMISSORA</w:t>
      </w:r>
      <w:bookmarkEnd w:id="281"/>
      <w:bookmarkEnd w:id="282"/>
      <w:bookmarkEnd w:id="283"/>
      <w:bookmarkEnd w:id="284"/>
      <w:bookmarkEnd w:id="285"/>
      <w:bookmarkEnd w:id="286"/>
      <w:bookmarkEnd w:id="287"/>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w:t>
      </w:r>
      <w:r w:rsidRPr="00C618A5">
        <w:lastRenderedPageBreak/>
        <w:t xml:space="preserve">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8" w:name="_Ref7304080"/>
      <w:r w:rsidRPr="00FE1B6E">
        <w:t>A Emissora declara, sob as penas da lei, que:</w:t>
      </w:r>
      <w:bookmarkEnd w:id="288"/>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 xml:space="preserve">m conformidade com a auditoria jurídica, os Créditos Imobiliários encontram-se livres e desembaraçadas de quaisquer Ônus, gravames ou restrições de natureza pessoal e/ou real, não sendo do conhecimento da Emissora a </w:t>
      </w:r>
      <w:r w:rsidR="00116CE0" w:rsidRPr="00FE1B6E">
        <w:lastRenderedPageBreak/>
        <w:t>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 xml:space="preserve">as disposições das leis anticorrupção dos países em que fazem negócios, bem como não adota quaisquer condutas que infrinjam as leis anticorrupção desses países, sendo </w:t>
      </w:r>
      <w:r w:rsidR="00116CE0" w:rsidRPr="00FE1B6E">
        <w:lastRenderedPageBreak/>
        <w:t>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0" w:name="_Ref84010920"/>
      <w:bookmarkEnd w:id="289"/>
    </w:p>
    <w:bookmarkEnd w:id="290"/>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lastRenderedPageBreak/>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1" w:name="_Hlk103901719"/>
      <w:r w:rsidRPr="00FE1B6E">
        <w:rPr>
          <w:lang w:eastAsia="pt-BR"/>
        </w:rPr>
        <w:t>observar a regra de rodízio dos auditores independentes da Emissora, assim como para os Patrimônios Separados, conforme disposto na regulamentação específica.</w:t>
      </w:r>
    </w:p>
    <w:bookmarkEnd w:id="291"/>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2" w:name="_Ref9860520"/>
      <w:bookmarkStart w:id="293"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2"/>
      <w:bookmarkEnd w:id="293"/>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lastRenderedPageBreak/>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4" w:name="_DV_M476"/>
      <w:bookmarkStart w:id="295" w:name="_DV_M477"/>
      <w:bookmarkStart w:id="296" w:name="_DV_M478"/>
      <w:bookmarkStart w:id="297" w:name="_DV_M480"/>
      <w:bookmarkStart w:id="298" w:name="_DV_M481"/>
      <w:bookmarkStart w:id="299" w:name="_DV_M482"/>
      <w:bookmarkStart w:id="300" w:name="_DV_M483"/>
      <w:bookmarkStart w:id="301" w:name="_DV_M484"/>
      <w:bookmarkStart w:id="302" w:name="_DV_M486"/>
      <w:bookmarkStart w:id="303" w:name="_DV_M487"/>
      <w:bookmarkStart w:id="304" w:name="_DV_M488"/>
      <w:bookmarkStart w:id="305" w:name="_DV_M489"/>
      <w:bookmarkStart w:id="306" w:name="_DV_M490"/>
      <w:bookmarkStart w:id="307" w:name="_DV_M491"/>
      <w:bookmarkStart w:id="308" w:name="_DV_M492"/>
      <w:bookmarkStart w:id="309" w:name="_DV_M493"/>
      <w:bookmarkStart w:id="310" w:name="_DV_M494"/>
      <w:bookmarkStart w:id="311" w:name="_DV_M495"/>
      <w:bookmarkStart w:id="312" w:name="_DV_M496"/>
      <w:bookmarkStart w:id="313" w:name="_DV_M497"/>
      <w:bookmarkStart w:id="314" w:name="_DV_M498"/>
      <w:bookmarkStart w:id="315" w:name="_DV_M499"/>
      <w:bookmarkStart w:id="316" w:name="_DV_M500"/>
      <w:bookmarkStart w:id="317" w:name="_DV_M501"/>
      <w:bookmarkStart w:id="318" w:name="_DV_M502"/>
      <w:bookmarkStart w:id="319" w:name="_DV_M505"/>
      <w:bookmarkStart w:id="320" w:name="_DV_M506"/>
      <w:bookmarkStart w:id="321" w:name="_DV_M508"/>
      <w:bookmarkStart w:id="322" w:name="_DV_M509"/>
      <w:bookmarkStart w:id="323" w:name="_DV_M510"/>
      <w:bookmarkStart w:id="324" w:name="_DV_M511"/>
      <w:bookmarkStart w:id="325" w:name="_DV_M512"/>
      <w:bookmarkStart w:id="326" w:name="_DV_M51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AA49901" w14:textId="4B038D99" w:rsidR="00116CE0" w:rsidRPr="00FE1B6E" w:rsidRDefault="00116CE0" w:rsidP="00674EFA">
      <w:pPr>
        <w:pStyle w:val="Level1"/>
        <w:rPr>
          <w:sz w:val="20"/>
          <w:szCs w:val="20"/>
        </w:rPr>
      </w:pPr>
      <w:bookmarkStart w:id="327" w:name="_DV_M135"/>
      <w:bookmarkStart w:id="328" w:name="_DV_M137"/>
      <w:bookmarkStart w:id="329" w:name="_DV_M138"/>
      <w:bookmarkStart w:id="330" w:name="_DV_M139"/>
      <w:bookmarkStart w:id="331" w:name="_DV_M140"/>
      <w:bookmarkStart w:id="332" w:name="_DV_M141"/>
      <w:bookmarkStart w:id="333" w:name="_DV_M142"/>
      <w:bookmarkStart w:id="334" w:name="_Toc110076267"/>
      <w:bookmarkStart w:id="335" w:name="_Toc163380706"/>
      <w:bookmarkStart w:id="336" w:name="_Toc180553622"/>
      <w:bookmarkStart w:id="337" w:name="_Toc302458795"/>
      <w:bookmarkStart w:id="338" w:name="_Toc411606366"/>
      <w:bookmarkStart w:id="339" w:name="_Toc5023999"/>
      <w:bookmarkStart w:id="340" w:name="_Toc79516052"/>
      <w:bookmarkEnd w:id="327"/>
      <w:bookmarkEnd w:id="328"/>
      <w:bookmarkEnd w:id="329"/>
      <w:bookmarkEnd w:id="330"/>
      <w:bookmarkEnd w:id="331"/>
      <w:bookmarkEnd w:id="332"/>
      <w:bookmarkEnd w:id="333"/>
      <w:r w:rsidRPr="00FE1B6E">
        <w:t>REGIME FIDUCIÁRIO E ADMINISTRAÇÃO DO PATRIMÔNIO SEPARADO</w:t>
      </w:r>
      <w:bookmarkEnd w:id="334"/>
      <w:bookmarkEnd w:id="335"/>
      <w:bookmarkEnd w:id="336"/>
      <w:bookmarkEnd w:id="337"/>
      <w:bookmarkEnd w:id="338"/>
      <w:bookmarkEnd w:id="339"/>
      <w:bookmarkEnd w:id="340"/>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1" w:name="_DV_M444"/>
      <w:bookmarkStart w:id="342" w:name="_DV_M445"/>
      <w:bookmarkEnd w:id="341"/>
      <w:bookmarkEnd w:id="342"/>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43" w:name="_DV_M446"/>
      <w:bookmarkEnd w:id="34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44" w:name="_DV_M447"/>
      <w:bookmarkEnd w:id="344"/>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w:t>
      </w:r>
      <w:r w:rsidR="00116CE0" w:rsidRPr="00FE1B6E">
        <w:rPr>
          <w:rFonts w:eastAsia="Arial Unicode MS"/>
        </w:rPr>
        <w:lastRenderedPageBreak/>
        <w:t>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45" w:name="_DV_M448"/>
      <w:bookmarkEnd w:id="34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6" w:name="_DV_M449"/>
      <w:bookmarkStart w:id="347" w:name="_DV_M450"/>
      <w:bookmarkStart w:id="348" w:name="_Ref79513881"/>
      <w:bookmarkEnd w:id="346"/>
      <w:bookmarkEnd w:id="347"/>
      <w:r w:rsidRPr="00FE1B6E">
        <w:t>Administração do Patrimônio Separado. A Emissora fará jus ao recebimento de taxa no valor mensal de R</w:t>
      </w:r>
      <w:r w:rsidRPr="00C04D38">
        <w:t>$ </w:t>
      </w:r>
      <w:bookmarkStart w:id="349" w:name="_Hlk107323291"/>
      <w:r w:rsidR="00C04D38" w:rsidRPr="00F71B20">
        <w:t>3.000,00</w:t>
      </w:r>
      <w:bookmarkEnd w:id="34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0" w:name="_Ref84218601"/>
      <w:bookmarkEnd w:id="348"/>
    </w:p>
    <w:bookmarkEnd w:id="35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lastRenderedPageBreak/>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lastRenderedPageBreak/>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1" w:name="_Hlk102567449"/>
      <w:bookmarkStart w:id="35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1"/>
      <w:bookmarkEnd w:id="352"/>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3"/>
      <w:r w:rsidR="00FD3FC2" w:rsidRPr="00FE1B6E">
        <w:rPr>
          <w:szCs w:val="20"/>
        </w:rPr>
        <w:t xml:space="preserve"> </w:t>
      </w:r>
    </w:p>
    <w:p w14:paraId="59DC095E" w14:textId="690F824B" w:rsidR="00116CE0" w:rsidRPr="00FE1B6E" w:rsidRDefault="00116CE0" w:rsidP="00674EFA">
      <w:pPr>
        <w:pStyle w:val="Level1"/>
        <w:rPr>
          <w:szCs w:val="20"/>
        </w:rPr>
      </w:pPr>
      <w:bookmarkStart w:id="354" w:name="_Toc110076268"/>
      <w:bookmarkStart w:id="355" w:name="_Toc163380707"/>
      <w:bookmarkStart w:id="356" w:name="_Toc180553623"/>
      <w:bookmarkStart w:id="357" w:name="_Toc302458796"/>
      <w:bookmarkStart w:id="358" w:name="_Toc411606367"/>
      <w:bookmarkStart w:id="359" w:name="_Ref486533074"/>
      <w:bookmarkStart w:id="360" w:name="_Ref4929218"/>
      <w:bookmarkStart w:id="361" w:name="_Toc5024005"/>
      <w:bookmarkStart w:id="362" w:name="_Toc79516053"/>
      <w:r w:rsidRPr="00FE1B6E">
        <w:t>AGENTE FIDUCIÁRIO</w:t>
      </w:r>
      <w:bookmarkEnd w:id="354"/>
      <w:bookmarkEnd w:id="355"/>
      <w:bookmarkEnd w:id="356"/>
      <w:bookmarkEnd w:id="357"/>
      <w:bookmarkEnd w:id="358"/>
      <w:bookmarkEnd w:id="359"/>
      <w:bookmarkEnd w:id="360"/>
      <w:bookmarkEnd w:id="361"/>
      <w:bookmarkEnd w:id="36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4" w:name="_Hlk79486320"/>
      <w:r w:rsidRPr="00FE1B6E">
        <w:t>Aceitar a função para a qual foi nomeado, assumindo integralmente os deveres e atribuições previstas na legislação e regulamentação específica e neste Termo de Securitização</w:t>
      </w:r>
      <w:bookmarkEnd w:id="36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w:t>
      </w:r>
      <w:r w:rsidRPr="00FE1B6E">
        <w:lastRenderedPageBreak/>
        <w:t>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w:t>
      </w:r>
      <w:r w:rsidRPr="00FE1B6E">
        <w:lastRenderedPageBreak/>
        <w:t>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5" w:name="_Ref486541813"/>
      <w:r w:rsidRPr="00FE1B6E">
        <w:t>Incumbe ao Agente Fiduciário ora nomeado, dentre outras atribuições previstas neste Termo de Securitização e na legislação e regulamentação aplicável:</w:t>
      </w:r>
      <w:bookmarkStart w:id="366" w:name="_Ref83918972"/>
      <w:bookmarkEnd w:id="365"/>
    </w:p>
    <w:bookmarkEnd w:id="36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lastRenderedPageBreak/>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7" w:name="_DV_M536"/>
      <w:bookmarkStart w:id="368" w:name="_DV_M538"/>
      <w:bookmarkStart w:id="369" w:name="_DV_M541"/>
      <w:bookmarkStart w:id="370" w:name="_DV_M542"/>
      <w:bookmarkStart w:id="371" w:name="_DV_M544"/>
      <w:bookmarkStart w:id="372" w:name="_DV_M548"/>
      <w:bookmarkStart w:id="373" w:name="_Ref486541177"/>
      <w:bookmarkStart w:id="374" w:name="_Ref4932298"/>
      <w:bookmarkEnd w:id="367"/>
      <w:bookmarkEnd w:id="368"/>
      <w:bookmarkEnd w:id="369"/>
      <w:bookmarkEnd w:id="370"/>
      <w:bookmarkEnd w:id="371"/>
      <w:bookmarkEnd w:id="372"/>
    </w:p>
    <w:p w14:paraId="0ADE732D" w14:textId="35EB1048" w:rsidR="00116CE0" w:rsidRPr="00447EE5" w:rsidRDefault="00F75472" w:rsidP="000F6792">
      <w:pPr>
        <w:pStyle w:val="Level2"/>
        <w:rPr>
          <w:szCs w:val="20"/>
        </w:rPr>
      </w:pPr>
      <w:bookmarkStart w:id="375" w:name="_Ref79578876"/>
      <w:r w:rsidRPr="00FE1B6E">
        <w:t>S</w:t>
      </w:r>
      <w:r w:rsidR="00116CE0" w:rsidRPr="00FE1B6E">
        <w:t xml:space="preserve">erá devida, ao Agente Fiduciário, parcela </w:t>
      </w:r>
      <w:bookmarkEnd w:id="373"/>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6" w:name="_Hlk525826518"/>
      <w:bookmarkStart w:id="37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6"/>
      <w:bookmarkEnd w:id="377"/>
      <w:r w:rsidR="00116CE0" w:rsidRPr="008C59CB">
        <w:t>. Os valores previstos neste item serão atualizados anualmente, a partir da data do primeiro pagamento, pela variação acumulada do IPCA.</w:t>
      </w:r>
      <w:bookmarkEnd w:id="375"/>
      <w:r w:rsidR="00116CE0" w:rsidRPr="008C59CB">
        <w:t xml:space="preserve"> </w:t>
      </w:r>
      <w:bookmarkStart w:id="378" w:name="_Ref83909495"/>
      <w:bookmarkEnd w:id="37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9" w:name="_Ref8763317"/>
      <w:bookmarkEnd w:id="378"/>
      <w:r w:rsidRPr="00447EE5">
        <w:t>A remuneração não inclui as despesas, conforme, sempre que possível, previamente aprovadas pela Devedora, com notificações, extração de certidões, fotocópias,</w:t>
      </w:r>
      <w:r w:rsidRPr="00E93D84">
        <w:t xml:space="preserve"> </w:t>
      </w:r>
      <w:r w:rsidRPr="00E93D84">
        <w:lastRenderedPageBreak/>
        <w:t>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0" w:name="_Ref83909502"/>
      <w:bookmarkEnd w:id="379"/>
    </w:p>
    <w:bookmarkEnd w:id="380"/>
    <w:p w14:paraId="7FCDA6DA" w14:textId="2016526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BE05C8">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BE05C8">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 xml:space="preserve">itando, (i) </w:t>
      </w:r>
      <w:r w:rsidRPr="00797043">
        <w:rPr>
          <w:szCs w:val="20"/>
        </w:rPr>
        <w:lastRenderedPageBreak/>
        <w:t>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382" w:name="_DV_M168"/>
      <w:bookmarkStart w:id="383" w:name="_DV_M169"/>
      <w:bookmarkEnd w:id="381"/>
      <w:bookmarkEnd w:id="382"/>
      <w:bookmarkEnd w:id="38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4" w:name="_Ref486541827"/>
      <w:bookmarkStart w:id="385" w:name="_Ref4932603"/>
      <w:r w:rsidRPr="00F206C7">
        <w:t>O Agente Fiduciário poderá ser destituído:</w:t>
      </w:r>
      <w:bookmarkStart w:id="386" w:name="_Ref83918884"/>
      <w:bookmarkEnd w:id="384"/>
      <w:bookmarkEnd w:id="385"/>
    </w:p>
    <w:bookmarkEnd w:id="38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6E83349F"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BE05C8">
        <w:t>9.3</w:t>
      </w:r>
      <w:r w:rsidR="008B283E" w:rsidRPr="00C43223">
        <w:fldChar w:fldCharType="end"/>
      </w:r>
      <w:r w:rsidR="008B283E" w:rsidRPr="00FE1B6E">
        <w:t xml:space="preserve"> </w:t>
      </w:r>
      <w:r w:rsidRPr="00C43223">
        <w:t>acima.</w:t>
      </w:r>
    </w:p>
    <w:p w14:paraId="6F315FF4" w14:textId="59BFF95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BE05C8">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7"/>
    </w:p>
    <w:p w14:paraId="375BE182" w14:textId="5E115CBA" w:rsidR="00116CE0" w:rsidRPr="00A66132" w:rsidRDefault="00116CE0" w:rsidP="003C6331">
      <w:pPr>
        <w:pStyle w:val="Level3"/>
        <w:rPr>
          <w:szCs w:val="20"/>
        </w:rPr>
      </w:pPr>
      <w:r w:rsidRPr="00A62F51">
        <w:lastRenderedPageBreak/>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388" w:name="_Toc110076269"/>
      <w:bookmarkStart w:id="389" w:name="_Toc163380708"/>
      <w:bookmarkStart w:id="390" w:name="_Toc180553624"/>
      <w:bookmarkStart w:id="391" w:name="_Toc302458797"/>
      <w:bookmarkStart w:id="392" w:name="_Toc411606368"/>
      <w:bookmarkStart w:id="393" w:name="_Ref486540798"/>
      <w:bookmarkStart w:id="394" w:name="_Ref4938052"/>
      <w:bookmarkStart w:id="395" w:name="_Ref4949928"/>
      <w:bookmarkStart w:id="396" w:name="_Toc5024017"/>
      <w:bookmarkStart w:id="397" w:name="_Toc79516054"/>
      <w:r w:rsidRPr="00FE1B6E">
        <w:t>L</w:t>
      </w:r>
      <w:r w:rsidR="00116CE0" w:rsidRPr="00FE1B6E">
        <w:t>IQUIDAÇÃO DO PATRIMÔNIO SEPARADO</w:t>
      </w:r>
      <w:bookmarkStart w:id="398" w:name="_Ref84221697"/>
      <w:bookmarkEnd w:id="388"/>
      <w:bookmarkEnd w:id="389"/>
      <w:bookmarkEnd w:id="390"/>
      <w:bookmarkEnd w:id="391"/>
      <w:bookmarkEnd w:id="392"/>
      <w:bookmarkEnd w:id="393"/>
      <w:bookmarkEnd w:id="394"/>
      <w:bookmarkEnd w:id="395"/>
      <w:bookmarkEnd w:id="396"/>
      <w:bookmarkEnd w:id="397"/>
    </w:p>
    <w:p w14:paraId="2204E144" w14:textId="124520B5" w:rsidR="00116CE0" w:rsidRPr="00FE1B6E" w:rsidRDefault="00116CE0" w:rsidP="000F6792">
      <w:pPr>
        <w:pStyle w:val="Level2"/>
        <w:rPr>
          <w:szCs w:val="20"/>
        </w:rPr>
      </w:pPr>
      <w:bookmarkStart w:id="399" w:name="_Ref4933150"/>
      <w:bookmarkStart w:id="400" w:name="_Toc110076270"/>
      <w:bookmarkStart w:id="401" w:name="_Toc163380709"/>
      <w:bookmarkStart w:id="402" w:name="_Toc180553625"/>
      <w:bookmarkEnd w:id="39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3" w:name="_Ref83918542"/>
      <w:bookmarkEnd w:id="399"/>
    </w:p>
    <w:bookmarkEnd w:id="40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0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4"/>
    </w:p>
    <w:p w14:paraId="10158280" w14:textId="4B30353E" w:rsidR="00116CE0" w:rsidRPr="00C43223" w:rsidRDefault="00116CE0" w:rsidP="000F6792">
      <w:pPr>
        <w:pStyle w:val="Level3"/>
      </w:pPr>
      <w:r w:rsidRPr="000F30CD">
        <w:lastRenderedPageBreak/>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BE05C8">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6475E99B"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BE05C8">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5" w:name="_DV_M463"/>
      <w:bookmarkEnd w:id="40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6" w:name="_DV_M464"/>
      <w:bookmarkEnd w:id="406"/>
    </w:p>
    <w:p w14:paraId="46BFEA00" w14:textId="43EDEEC3" w:rsidR="00116CE0" w:rsidRPr="004C1F80" w:rsidRDefault="00116CE0" w:rsidP="000F6792">
      <w:pPr>
        <w:pStyle w:val="Level2"/>
      </w:pPr>
      <w:bookmarkStart w:id="407" w:name="_DV_M465"/>
      <w:bookmarkStart w:id="408" w:name="_DV_M466"/>
      <w:bookmarkStart w:id="409" w:name="_DV_M467"/>
      <w:bookmarkEnd w:id="407"/>
      <w:bookmarkEnd w:id="408"/>
      <w:bookmarkEnd w:id="40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0" w:name="_DV_M469"/>
      <w:bookmarkStart w:id="411" w:name="_DV_M470"/>
      <w:bookmarkStart w:id="412" w:name="_DV_M471"/>
      <w:bookmarkStart w:id="413" w:name="_DV_M472"/>
      <w:bookmarkEnd w:id="410"/>
      <w:bookmarkEnd w:id="411"/>
      <w:bookmarkEnd w:id="412"/>
      <w:bookmarkEnd w:id="41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4" w:name="_Toc302458798"/>
      <w:bookmarkStart w:id="415" w:name="_Toc411606369"/>
      <w:bookmarkStart w:id="416" w:name="_Ref486412805"/>
      <w:bookmarkStart w:id="417" w:name="_Ref4949874"/>
      <w:bookmarkStart w:id="418" w:name="_Ref4952435"/>
      <w:bookmarkStart w:id="419" w:name="_Toc5024022"/>
      <w:bookmarkStart w:id="420" w:name="_Ref15560404"/>
      <w:bookmarkStart w:id="421" w:name="_Ref18770734"/>
      <w:bookmarkStart w:id="422" w:name="_Ref18772617"/>
      <w:bookmarkStart w:id="423" w:name="_Ref19009606"/>
      <w:bookmarkStart w:id="424" w:name="_Toc79516055"/>
      <w:r w:rsidRPr="00A66132">
        <w:lastRenderedPageBreak/>
        <w:t>ASSEMBLEIA GERAL</w:t>
      </w:r>
      <w:bookmarkStart w:id="425" w:name="_Ref83918801"/>
      <w:bookmarkEnd w:id="400"/>
      <w:bookmarkEnd w:id="401"/>
      <w:bookmarkEnd w:id="402"/>
      <w:bookmarkEnd w:id="414"/>
      <w:bookmarkEnd w:id="415"/>
      <w:bookmarkEnd w:id="416"/>
      <w:bookmarkEnd w:id="417"/>
      <w:bookmarkEnd w:id="418"/>
      <w:bookmarkEnd w:id="419"/>
      <w:bookmarkEnd w:id="420"/>
      <w:bookmarkEnd w:id="421"/>
      <w:bookmarkEnd w:id="422"/>
      <w:bookmarkEnd w:id="423"/>
      <w:bookmarkEnd w:id="424"/>
    </w:p>
    <w:bookmarkEnd w:id="42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7" w:name="_DV_M306"/>
      <w:bookmarkEnd w:id="427"/>
      <w:r w:rsidRPr="00FE1B6E">
        <w:t>.</w:t>
      </w:r>
    </w:p>
    <w:p w14:paraId="23E08751" w14:textId="4AA622C1"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BE05C8">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8" w:name="_DV_M308"/>
      <w:bookmarkEnd w:id="42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42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429"/>
      <w:r w:rsidR="00850F51">
        <w:t xml:space="preserve"> </w:t>
      </w:r>
    </w:p>
    <w:p w14:paraId="139B2F11" w14:textId="09324073" w:rsidR="00874291" w:rsidRPr="00A62F51" w:rsidRDefault="00874291" w:rsidP="00874291">
      <w:pPr>
        <w:pStyle w:val="Level2"/>
      </w:pPr>
      <w:bookmarkStart w:id="430" w:name="_Ref109750948"/>
      <w:r w:rsidRPr="00924813">
        <w:lastRenderedPageBreak/>
        <w:t>A convocação</w:t>
      </w:r>
      <w:r w:rsidRPr="00447EE5">
        <w:t xml:space="preserve"> referida na Cláusula </w:t>
      </w:r>
      <w:r w:rsidR="008923E8">
        <w:t>12.5</w:t>
      </w:r>
      <w:r w:rsidR="0076165B">
        <w:t xml:space="preserve"> </w:t>
      </w:r>
      <w:r w:rsidRPr="00447EE5">
        <w:t>acima deverá conter, no mínimo, os seguintes requisitos:</w:t>
      </w:r>
      <w:bookmarkEnd w:id="43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1" w:name="_Ref104164226"/>
      <w:bookmarkStart w:id="432" w:name="_Ref19044448"/>
      <w:r w:rsidRPr="00FE1B6E">
        <w:rPr>
          <w:lang w:eastAsia="pt-BR"/>
        </w:rPr>
        <w:t>Não podem votar na Assembleia Geral:</w:t>
      </w:r>
      <w:bookmarkEnd w:id="43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lastRenderedPageBreak/>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5197D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BE05C8">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3" w:name="_DV_M316"/>
      <w:bookmarkEnd w:id="433"/>
    </w:p>
    <w:p w14:paraId="0FA8DA4E" w14:textId="77777777" w:rsidR="003F229A" w:rsidRPr="00797043" w:rsidRDefault="003F229A" w:rsidP="003F229A">
      <w:pPr>
        <w:pStyle w:val="Level2"/>
        <w:rPr>
          <w:szCs w:val="20"/>
        </w:rPr>
      </w:pPr>
      <w:bookmarkStart w:id="434" w:name="_Ref491026465"/>
      <w:r w:rsidRPr="00945739">
        <w:rPr>
          <w:szCs w:val="20"/>
        </w:rPr>
        <w:t>O Agente Fiduciário dos CRI deverá comparecer à Assembleia Geral de Titulares dos CRI e prestar aos Titulares dos CRI as informações que lhe forem solicitadas.</w:t>
      </w:r>
      <w:bookmarkEnd w:id="434"/>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5" w:name="_Ref103604075"/>
      <w:r w:rsidRPr="00E93D84">
        <w:rPr>
          <w:lang w:eastAsia="pt-BR"/>
        </w:rPr>
        <w:t>alterações no presente Termo de Securitização;</w:t>
      </w:r>
      <w:bookmarkEnd w:id="43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w:t>
      </w:r>
      <w:r w:rsidRPr="00FE1B6E">
        <w:lastRenderedPageBreak/>
        <w:t xml:space="preserve">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6" w:name="_Ref521608612"/>
      <w:r w:rsidRPr="00FE1B6E">
        <w:t>qualquer representante da Emissora</w:t>
      </w:r>
      <w:r w:rsidRPr="00FE1B6E">
        <w:rPr>
          <w:szCs w:val="20"/>
        </w:rPr>
        <w:t>;</w:t>
      </w:r>
      <w:bookmarkEnd w:id="43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7" w:name="_DV_M318"/>
      <w:bookmarkStart w:id="438" w:name="_Ref103604036"/>
      <w:bookmarkStart w:id="439" w:name="_Ref109319478"/>
      <w:bookmarkEnd w:id="437"/>
      <w:r w:rsidRPr="00FE1B6E">
        <w:t>A destituição e substituição da Emissora da administração do Patrimônio Separado pode ocorrer nas seguintes situações:</w:t>
      </w:r>
      <w:bookmarkEnd w:id="438"/>
      <w:bookmarkEnd w:id="439"/>
    </w:p>
    <w:p w14:paraId="3880FCC8" w14:textId="77777777" w:rsidR="003F229A" w:rsidRPr="00FE1B6E" w:rsidRDefault="003F229A" w:rsidP="003F229A">
      <w:pPr>
        <w:pStyle w:val="Level4"/>
        <w:rPr>
          <w:lang w:eastAsia="pt-BR"/>
        </w:rPr>
      </w:pPr>
      <w:bookmarkStart w:id="440" w:name="_Ref101302929"/>
      <w:r w:rsidRPr="00FE1B6E">
        <w:rPr>
          <w:lang w:eastAsia="pt-BR"/>
        </w:rPr>
        <w:t>insuficiência dos bens do Patrimônio Separado para liquidar a emissão dos CRI;</w:t>
      </w:r>
      <w:bookmarkEnd w:id="440"/>
    </w:p>
    <w:p w14:paraId="476E4625" w14:textId="77777777" w:rsidR="003F229A" w:rsidRPr="00FE1B6E" w:rsidRDefault="003F229A" w:rsidP="003F229A">
      <w:pPr>
        <w:pStyle w:val="Level4"/>
        <w:rPr>
          <w:lang w:eastAsia="pt-BR"/>
        </w:rPr>
      </w:pPr>
      <w:bookmarkStart w:id="441" w:name="_Ref101303044"/>
      <w:r w:rsidRPr="00FE1B6E">
        <w:rPr>
          <w:lang w:eastAsia="pt-BR"/>
        </w:rPr>
        <w:t>decretação de falência ou recuperação judicial ou extrajudicial da Emissora;</w:t>
      </w:r>
      <w:bookmarkEnd w:id="441"/>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79111073"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BE05C8">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9A3E83E"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BE05C8">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2"/>
      <w:r w:rsidRPr="00F631C4">
        <w:rPr>
          <w:rFonts w:eastAsia="TrebuchetMS"/>
        </w:rPr>
        <w:t xml:space="preserve"> </w:t>
      </w:r>
      <w:bookmarkStart w:id="443" w:name="_Ref83918067"/>
    </w:p>
    <w:bookmarkEnd w:id="443"/>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BB66F9" w:rsidR="00116CE0" w:rsidRPr="00945739" w:rsidRDefault="00116CE0" w:rsidP="00483ECE">
      <w:pPr>
        <w:pStyle w:val="Level4"/>
        <w:tabs>
          <w:tab w:val="clear" w:pos="2041"/>
          <w:tab w:val="num" w:pos="1361"/>
        </w:tabs>
        <w:ind w:left="1360"/>
        <w:rPr>
          <w:szCs w:val="20"/>
        </w:rPr>
      </w:pPr>
      <w:bookmarkStart w:id="444" w:name="_Ref15325412"/>
      <w:bookmarkStart w:id="445" w:name="_Ref15408560"/>
      <w:bookmarkStart w:id="446" w:name="_Ref19131296"/>
      <w:r w:rsidRPr="004B4541">
        <w:rPr>
          <w:rFonts w:eastAsia="TrebuchetMS"/>
        </w:rPr>
        <w:lastRenderedPageBreak/>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4"/>
      <w:bookmarkEnd w:id="44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BE05C8">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7" w:name="_DV_M666"/>
      <w:bookmarkStart w:id="448" w:name="_Ref83918021"/>
      <w:bookmarkEnd w:id="446"/>
      <w:bookmarkEnd w:id="44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8"/>
    <w:p w14:paraId="6E4C9D60" w14:textId="6D37867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BE05C8">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BE05C8">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9" w:name="_Ref19047031"/>
      <w:r w:rsidRPr="00FE1B6E">
        <w:t>Independentemente das formalidades previstas na lei e neste Termo de Securitização, será considerada regular a Assembleia Geral de Titulares de CRI a que comparecerem os titulares de todos os CRI em Circulação.</w:t>
      </w:r>
      <w:bookmarkEnd w:id="449"/>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0" w:name="_DV_M310"/>
      <w:bookmarkEnd w:id="450"/>
    </w:p>
    <w:p w14:paraId="236CC843" w14:textId="77777777" w:rsidR="00116CE0" w:rsidRPr="00FE1B6E" w:rsidRDefault="00116CE0" w:rsidP="000F6792">
      <w:pPr>
        <w:pStyle w:val="Level2"/>
        <w:tabs>
          <w:tab w:val="clear" w:pos="680"/>
          <w:tab w:val="num" w:pos="-27009"/>
        </w:tabs>
      </w:pPr>
      <w:bookmarkStart w:id="451"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1"/>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2" w:name="_Ref15398066"/>
      <w:bookmarkStart w:id="453" w:name="_Ref15557324"/>
      <w:bookmarkStart w:id="454" w:name="_Ref18771969"/>
      <w:bookmarkStart w:id="455" w:name="_Toc79516056"/>
      <w:r w:rsidRPr="00FE1B6E">
        <w:t>DESPESAS</w:t>
      </w:r>
      <w:bookmarkEnd w:id="452"/>
      <w:bookmarkEnd w:id="453"/>
      <w:bookmarkEnd w:id="454"/>
      <w:bookmarkEnd w:id="455"/>
      <w:r w:rsidR="00861F92" w:rsidRPr="00FE1B6E">
        <w:t xml:space="preserve"> DA EMISSÃO</w:t>
      </w:r>
      <w:bookmarkStart w:id="456" w:name="_Ref6413335"/>
    </w:p>
    <w:p w14:paraId="47405A69" w14:textId="5BA17DB0" w:rsidR="00116CE0" w:rsidRPr="004B4541" w:rsidRDefault="00116CE0" w:rsidP="00DF76DC">
      <w:pPr>
        <w:pStyle w:val="Level2"/>
        <w:rPr>
          <w:szCs w:val="20"/>
        </w:rPr>
      </w:pPr>
      <w:bookmarkStart w:id="457" w:name="_Ref79612592"/>
      <w:bookmarkEnd w:id="45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BE05C8">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8" w:name="_Ref83908772"/>
      <w:bookmarkEnd w:id="457"/>
    </w:p>
    <w:bookmarkEnd w:id="458"/>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5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esta indicar, até o 1º (primeiro) Dia Útil subsequente à Primeira Data de Integralização dos CRI; (b) remuneração pela administração do </w:t>
      </w:r>
      <w:r w:rsidRPr="00797043">
        <w:lastRenderedPageBreak/>
        <w:t>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0" w:name="_Ref433893138"/>
      <w:bookmarkStart w:id="461"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3088F811" w:rsidR="00350586" w:rsidRPr="00C20E74" w:rsidRDefault="00453640" w:rsidP="00350586">
      <w:pPr>
        <w:pStyle w:val="Level4"/>
        <w:tabs>
          <w:tab w:val="clear" w:pos="2041"/>
          <w:tab w:val="num" w:pos="1361"/>
        </w:tabs>
        <w:ind w:left="1360"/>
      </w:pPr>
      <w:r>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xml:space="preserve">, entre a Emissora e a Instituição Custodiante, por meio do qual é formalizada a contratação da Instituição </w:t>
      </w:r>
      <w:r w:rsidRPr="00FE1B6E">
        <w:lastRenderedPageBreak/>
        <w:t>Custodiante para os serviços de agente registrador e custodiante segundo as disposições da Lei 10.931 ("</w:t>
      </w:r>
      <w:r w:rsidRPr="00FE1B6E">
        <w:rPr>
          <w:b/>
          <w:bCs/>
        </w:rPr>
        <w:t>Contrato de Custodiante e Registrador</w:t>
      </w:r>
      <w:r w:rsidRPr="00FE1B6E">
        <w:t>")</w:t>
      </w:r>
      <w:bookmarkEnd w:id="460"/>
      <w:bookmarkEnd w:id="461"/>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62" w:name="_Ref433893140"/>
      <w:bookmarkStart w:id="463" w:name="_Ref433101662"/>
    </w:p>
    <w:p w14:paraId="43996B82" w14:textId="14913BF1"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62"/>
      <w:bookmarkEnd w:id="463"/>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BE05C8">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464"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4"/>
    </w:p>
    <w:p w14:paraId="7A6E1507" w14:textId="645117CF" w:rsidR="00116CE0" w:rsidRPr="00F206C7" w:rsidRDefault="00116CE0" w:rsidP="000F6792">
      <w:pPr>
        <w:pStyle w:val="Level4"/>
        <w:tabs>
          <w:tab w:val="clear" w:pos="2041"/>
          <w:tab w:val="num" w:pos="1361"/>
        </w:tabs>
        <w:ind w:left="1360"/>
      </w:pPr>
      <w:r w:rsidRPr="004C1F80">
        <w:lastRenderedPageBreak/>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5" w:name="_Ref432700468"/>
    </w:p>
    <w:bookmarkEnd w:id="465"/>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6" w:name="_Ref9862481"/>
    </w:p>
    <w:p w14:paraId="5D317915" w14:textId="1EC7D9D2" w:rsidR="00116CE0" w:rsidRPr="004B4541" w:rsidRDefault="00116CE0" w:rsidP="00DF76DC">
      <w:pPr>
        <w:pStyle w:val="Level2"/>
      </w:pPr>
      <w:bookmarkStart w:id="467"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BE05C8">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lastRenderedPageBreak/>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8" w:name="_Ref83908787"/>
      <w:bookmarkEnd w:id="467"/>
    </w:p>
    <w:bookmarkEnd w:id="468"/>
    <w:p w14:paraId="4D0EA210" w14:textId="27A49AA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6"/>
    </w:p>
    <w:p w14:paraId="5DDC1BF4" w14:textId="6EA455E2" w:rsidR="00116CE0" w:rsidRPr="00C43223" w:rsidRDefault="00116CE0" w:rsidP="00DF76DC">
      <w:pPr>
        <w:pStyle w:val="Level2"/>
        <w:rPr>
          <w:szCs w:val="20"/>
        </w:rPr>
      </w:pPr>
      <w:bookmarkStart w:id="46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BE05C8">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0" w:name="_Ref83908709"/>
      <w:bookmarkEnd w:id="469"/>
    </w:p>
    <w:bookmarkEnd w:id="470"/>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0AF1AEEA"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BE05C8">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2" w:name="_Toc411606371"/>
    </w:p>
    <w:p w14:paraId="6EE478BF" w14:textId="38717BD3" w:rsidR="00116CE0" w:rsidRPr="00C618A5" w:rsidRDefault="002B406C" w:rsidP="00DF76DC">
      <w:pPr>
        <w:pStyle w:val="Level1"/>
      </w:pPr>
      <w:bookmarkStart w:id="473" w:name="_Toc5023932"/>
      <w:bookmarkStart w:id="474" w:name="_Toc5024035"/>
      <w:bookmarkStart w:id="475" w:name="_Toc5036322"/>
      <w:bookmarkStart w:id="476" w:name="_Toc5036411"/>
      <w:bookmarkStart w:id="477" w:name="_Toc5206825"/>
      <w:bookmarkStart w:id="478" w:name="_Toc5023933"/>
      <w:bookmarkStart w:id="479" w:name="_Toc5024036"/>
      <w:bookmarkStart w:id="480" w:name="_Toc5036323"/>
      <w:bookmarkStart w:id="481" w:name="_Toc5036412"/>
      <w:bookmarkStart w:id="482" w:name="_Toc5206826"/>
      <w:bookmarkStart w:id="483" w:name="_Toc5023934"/>
      <w:bookmarkStart w:id="484" w:name="_Toc5024037"/>
      <w:bookmarkStart w:id="485" w:name="_Toc5036324"/>
      <w:bookmarkStart w:id="486" w:name="_Toc5036413"/>
      <w:bookmarkStart w:id="487" w:name="_Toc5206827"/>
      <w:bookmarkStart w:id="488" w:name="_DV_M321"/>
      <w:bookmarkStart w:id="489" w:name="_DV_M323"/>
      <w:bookmarkStart w:id="490" w:name="_Toc5023936"/>
      <w:bookmarkStart w:id="491" w:name="_Toc5024039"/>
      <w:bookmarkStart w:id="492" w:name="_Toc5036326"/>
      <w:bookmarkStart w:id="493" w:name="_Toc5036415"/>
      <w:bookmarkStart w:id="494" w:name="_Toc5206829"/>
      <w:bookmarkStart w:id="495" w:name="_Toc79516057"/>
      <w:bookmarkStart w:id="496" w:name="_Toc5024040"/>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C618A5">
        <w:t>TRATAMENTO TRIBUTÁRIO APLICÁVEL AOS INVESTIDORES</w:t>
      </w:r>
      <w:bookmarkEnd w:id="471"/>
      <w:bookmarkEnd w:id="472"/>
      <w:bookmarkEnd w:id="495"/>
      <w:bookmarkEnd w:id="496"/>
    </w:p>
    <w:p w14:paraId="28E30498" w14:textId="77777777" w:rsidR="002B406C" w:rsidRPr="00823F0D" w:rsidRDefault="002B406C" w:rsidP="002B406C">
      <w:pPr>
        <w:pStyle w:val="Body"/>
        <w:widowControl w:val="0"/>
        <w:rPr>
          <w:iCs/>
          <w:szCs w:val="20"/>
          <w:lang w:eastAsia="pt-BR"/>
        </w:rPr>
      </w:pPr>
      <w:bookmarkStart w:id="497" w:name="_Toc342068370"/>
      <w:bookmarkStart w:id="498" w:name="_Toc342068725"/>
      <w:bookmarkStart w:id="499"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lastRenderedPageBreak/>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0" w:name="_DV_C191"/>
      <w:r w:rsidRPr="00FE1B6E">
        <w:t>respectivo titular de CRI</w:t>
      </w:r>
      <w:bookmarkEnd w:id="50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1" w:name="_DV_M341"/>
      <w:bookmarkEnd w:id="50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2" w:name="_DV_C196"/>
    </w:p>
    <w:p w14:paraId="06C15812" w14:textId="77777777" w:rsidR="002B406C" w:rsidRPr="00FE1B6E" w:rsidRDefault="002B406C" w:rsidP="000F6792">
      <w:pPr>
        <w:pStyle w:val="Level3"/>
      </w:pPr>
      <w:bookmarkStart w:id="503" w:name="_DV_C198"/>
      <w:bookmarkEnd w:id="502"/>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3"/>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w:t>
      </w:r>
      <w:r w:rsidRPr="00FE1B6E">
        <w:lastRenderedPageBreak/>
        <w:t>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lastRenderedPageBreak/>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4" w:name="_DV_M368"/>
      <w:bookmarkStart w:id="505" w:name="_Toc163380711"/>
      <w:bookmarkStart w:id="506" w:name="_Toc180553627"/>
      <w:bookmarkStart w:id="507" w:name="_Toc302458801"/>
      <w:bookmarkStart w:id="508" w:name="_Toc411606372"/>
      <w:bookmarkStart w:id="509" w:name="_Toc5024042"/>
      <w:bookmarkStart w:id="510" w:name="_Toc79516058"/>
      <w:bookmarkEnd w:id="497"/>
      <w:bookmarkEnd w:id="498"/>
      <w:bookmarkEnd w:id="499"/>
      <w:bookmarkEnd w:id="504"/>
      <w:r w:rsidRPr="00FE1B6E">
        <w:t>PUBLICIDADE</w:t>
      </w:r>
      <w:bookmarkEnd w:id="505"/>
      <w:bookmarkEnd w:id="506"/>
      <w:bookmarkEnd w:id="507"/>
      <w:bookmarkEnd w:id="508"/>
      <w:bookmarkEnd w:id="509"/>
      <w:bookmarkEnd w:id="510"/>
    </w:p>
    <w:p w14:paraId="43A67768" w14:textId="77777777" w:rsidR="002B406C" w:rsidRPr="00FE1B6E" w:rsidRDefault="002B406C" w:rsidP="000F6792">
      <w:pPr>
        <w:pStyle w:val="Level2"/>
        <w:rPr>
          <w:rFonts w:eastAsia="Arial Unicode MS"/>
        </w:rPr>
      </w:pPr>
      <w:bookmarkStart w:id="511"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w:t>
      </w:r>
      <w:r w:rsidRPr="00FE1B6E">
        <w:rPr>
          <w:rFonts w:eastAsia="Arial Unicode MS"/>
        </w:rPr>
        <w:lastRenderedPageBreak/>
        <w:t>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2" w:name="_Toc342068393"/>
      <w:bookmarkStart w:id="513" w:name="_Toc342068748"/>
      <w:bookmarkStart w:id="514" w:name="_Toc342068939"/>
      <w:r w:rsidRPr="00FE1B6E">
        <w:t>.</w:t>
      </w:r>
      <w:bookmarkStart w:id="515" w:name="_Ref486543775"/>
      <w:bookmarkEnd w:id="511"/>
      <w:bookmarkEnd w:id="512"/>
      <w:bookmarkEnd w:id="513"/>
      <w:bookmarkEnd w:id="514"/>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5"/>
      <w:r w:rsidR="009937A7" w:rsidRPr="00FE1B6E">
        <w:t xml:space="preserve"> </w:t>
      </w:r>
      <w:bookmarkStart w:id="516" w:name="_Toc5023941"/>
      <w:bookmarkStart w:id="517" w:name="_Toc5024044"/>
      <w:bookmarkStart w:id="518" w:name="_Toc5036329"/>
      <w:bookmarkStart w:id="519" w:name="_Toc5036418"/>
      <w:bookmarkStart w:id="520" w:name="_Toc5206794"/>
      <w:bookmarkStart w:id="521" w:name="_Toc5206832"/>
      <w:bookmarkStart w:id="522" w:name="_Toc5023942"/>
      <w:bookmarkStart w:id="523" w:name="_Toc5024045"/>
      <w:bookmarkStart w:id="524" w:name="_Toc5036330"/>
      <w:bookmarkStart w:id="525" w:name="_Toc5036419"/>
      <w:bookmarkStart w:id="526" w:name="_Toc5206795"/>
      <w:bookmarkStart w:id="527" w:name="_Toc5206833"/>
      <w:bookmarkStart w:id="528" w:name="_Toc5023943"/>
      <w:bookmarkStart w:id="529" w:name="_Toc5024046"/>
      <w:bookmarkStart w:id="530" w:name="_Toc5036331"/>
      <w:bookmarkStart w:id="531" w:name="_Toc5036420"/>
      <w:bookmarkStart w:id="532" w:name="_Toc5206796"/>
      <w:bookmarkStart w:id="533" w:name="_Toc5206834"/>
      <w:bookmarkStart w:id="534" w:name="_Toc110076274"/>
      <w:bookmarkStart w:id="535" w:name="_Toc163380715"/>
      <w:bookmarkStart w:id="536" w:name="_Toc180553631"/>
      <w:bookmarkStart w:id="537" w:name="_Toc302458804"/>
      <w:bookmarkStart w:id="538" w:name="_Toc411606375"/>
      <w:bookmarkStart w:id="539" w:name="_Toc5024053"/>
      <w:bookmarkStart w:id="540" w:name="_Toc7951606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C3F830A" w14:textId="3B37A8D1" w:rsidR="00116CE0" w:rsidRPr="00C618A5" w:rsidRDefault="00116CE0" w:rsidP="009937A7">
      <w:pPr>
        <w:pStyle w:val="Level1"/>
        <w:rPr>
          <w:sz w:val="20"/>
          <w:szCs w:val="20"/>
        </w:rPr>
      </w:pPr>
      <w:r w:rsidRPr="00C618A5">
        <w:t>DISPOSIÇÕES GERAIS</w:t>
      </w:r>
      <w:bookmarkEnd w:id="534"/>
      <w:bookmarkEnd w:id="535"/>
      <w:bookmarkEnd w:id="536"/>
      <w:bookmarkEnd w:id="537"/>
      <w:bookmarkEnd w:id="538"/>
      <w:bookmarkEnd w:id="539"/>
      <w:bookmarkEnd w:id="540"/>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1"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1"/>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 xml:space="preserve">artes poderão, a seu critério exclusivo, requerer a execução específica das obrigações aqui assumidas, nos termos dos artigos 497 e seguintes, </w:t>
      </w:r>
      <w:r w:rsidRPr="00FE1B6E">
        <w:lastRenderedPageBreak/>
        <w:t>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2" w:name="_Toc205799108"/>
      <w:bookmarkStart w:id="543" w:name="_Toc247616944"/>
      <w:bookmarkStart w:id="544" w:name="_Toc247616980"/>
      <w:bookmarkStart w:id="545" w:name="_Toc342068760"/>
      <w:bookmarkStart w:id="546" w:name="_Toc342068951"/>
      <w:bookmarkStart w:id="547"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8"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9" w:name="_DV_C156"/>
      <w:bookmarkEnd w:id="548"/>
    </w:p>
    <w:p w14:paraId="33F9E93E" w14:textId="26E27384"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BE05C8">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9"/>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lastRenderedPageBreak/>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0" w:name="_Toc162083611"/>
      <w:bookmarkStart w:id="551" w:name="_Toc163043028"/>
      <w:bookmarkStart w:id="552" w:name="_Toc163311032"/>
      <w:bookmarkStart w:id="553" w:name="_Toc163380716"/>
      <w:bookmarkStart w:id="554" w:name="_Toc180553632"/>
      <w:bookmarkStart w:id="555" w:name="_Toc302458805"/>
      <w:bookmarkStart w:id="556" w:name="_Toc411606376"/>
      <w:bookmarkStart w:id="557" w:name="_Toc5024058"/>
      <w:bookmarkStart w:id="558" w:name="_Ref19039637"/>
      <w:bookmarkStart w:id="559" w:name="_Ref19042381"/>
      <w:bookmarkStart w:id="560" w:name="_Toc79516061"/>
      <w:bookmarkStart w:id="561" w:name="_Toc162079650"/>
      <w:bookmarkStart w:id="562" w:name="_Toc162083623"/>
      <w:bookmarkStart w:id="563" w:name="_Toc163043040"/>
      <w:bookmarkEnd w:id="542"/>
      <w:bookmarkEnd w:id="543"/>
      <w:bookmarkEnd w:id="544"/>
      <w:bookmarkEnd w:id="545"/>
      <w:bookmarkEnd w:id="546"/>
      <w:bookmarkEnd w:id="547"/>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4"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7A02DD5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lastRenderedPageBreak/>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65" w:name="_Toc342068407"/>
      <w:bookmarkStart w:id="566" w:name="_Toc342068762"/>
      <w:bookmarkStart w:id="567"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5"/>
      <w:bookmarkEnd w:id="566"/>
      <w:bookmarkEnd w:id="567"/>
      <w:r w:rsidRPr="00C43223">
        <w:t>indicados.</w:t>
      </w:r>
      <w:bookmarkEnd w:id="550"/>
      <w:bookmarkEnd w:id="551"/>
      <w:bookmarkEnd w:id="552"/>
      <w:bookmarkEnd w:id="553"/>
      <w:bookmarkEnd w:id="554"/>
      <w:bookmarkEnd w:id="555"/>
      <w:bookmarkEnd w:id="556"/>
      <w:bookmarkEnd w:id="557"/>
      <w:bookmarkEnd w:id="558"/>
      <w:bookmarkEnd w:id="559"/>
      <w:bookmarkEnd w:id="560"/>
      <w:bookmarkEnd w:id="564"/>
    </w:p>
    <w:p w14:paraId="4F8BB9B7" w14:textId="1A854837" w:rsidR="00077BC9" w:rsidRPr="004B4541" w:rsidRDefault="00077BC9" w:rsidP="00DF76DC">
      <w:pPr>
        <w:pStyle w:val="Level1"/>
      </w:pPr>
      <w:bookmarkStart w:id="568" w:name="_Toc302458806"/>
      <w:bookmarkStart w:id="569" w:name="_Toc411606377"/>
      <w:bookmarkStart w:id="570" w:name="_Toc5024060"/>
      <w:bookmarkStart w:id="571" w:name="_Toc79516062"/>
      <w:r w:rsidRPr="00797043">
        <w:t>LEI DE REGÊNCIA E FORO</w:t>
      </w:r>
    </w:p>
    <w:p w14:paraId="2D62C95E" w14:textId="77777777" w:rsidR="00077BC9" w:rsidRPr="000F30CD" w:rsidRDefault="00077BC9" w:rsidP="00077BC9">
      <w:pPr>
        <w:pStyle w:val="Level2"/>
        <w:rPr>
          <w:szCs w:val="20"/>
          <w:lang w:eastAsia="pt-BR"/>
        </w:rPr>
      </w:pPr>
      <w:bookmarkStart w:id="572" w:name="_DV_M243"/>
      <w:bookmarkStart w:id="573" w:name="_DV_M244"/>
      <w:bookmarkStart w:id="574" w:name="_DV_M245"/>
      <w:bookmarkStart w:id="575" w:name="_DV_M246"/>
      <w:bookmarkStart w:id="576" w:name="_DV_M247"/>
      <w:bookmarkStart w:id="577" w:name="_DV_M249"/>
      <w:bookmarkStart w:id="578" w:name="_DV_M252"/>
      <w:bookmarkStart w:id="579" w:name="_DV_M253"/>
      <w:bookmarkStart w:id="580" w:name="_DV_M254"/>
      <w:bookmarkStart w:id="581" w:name="_DV_M255"/>
      <w:bookmarkStart w:id="582" w:name="_DV_M256"/>
      <w:bookmarkStart w:id="583" w:name="_DV_M257"/>
      <w:bookmarkStart w:id="584" w:name="_DV_M258"/>
      <w:bookmarkStart w:id="585" w:name="_DV_M259"/>
      <w:bookmarkStart w:id="586" w:name="_DV_M260"/>
      <w:bookmarkStart w:id="587" w:name="_DV_M261"/>
      <w:bookmarkStart w:id="588" w:name="_DV_M262"/>
      <w:bookmarkStart w:id="589" w:name="_DV_M263"/>
      <w:bookmarkStart w:id="590" w:name="_DV_M265"/>
      <w:bookmarkStart w:id="591" w:name="_DV_M266"/>
      <w:bookmarkStart w:id="592" w:name="_DV_M267"/>
      <w:bookmarkStart w:id="593" w:name="_DV_M268"/>
      <w:bookmarkStart w:id="594" w:name="_DV_M272"/>
      <w:bookmarkStart w:id="595" w:name="_DV_M27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6" w:name="_DV_M378"/>
      <w:bookmarkEnd w:id="596"/>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7" w:name="_DV_M373"/>
      <w:bookmarkStart w:id="598" w:name="_DV_M374"/>
      <w:bookmarkStart w:id="599" w:name="_DV_M376"/>
      <w:bookmarkStart w:id="600" w:name="_DV_M382"/>
      <w:bookmarkStart w:id="601" w:name="_DV_M383"/>
      <w:bookmarkEnd w:id="597"/>
      <w:bookmarkEnd w:id="598"/>
      <w:bookmarkEnd w:id="599"/>
      <w:bookmarkEnd w:id="600"/>
      <w:bookmarkEnd w:id="601"/>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2" w:name="_DV_M197"/>
      <w:bookmarkStart w:id="603" w:name="_DV_M218"/>
      <w:bookmarkEnd w:id="602"/>
      <w:bookmarkEnd w:id="603"/>
      <w:r w:rsidRPr="00FE1B6E">
        <w:rPr>
          <w:szCs w:val="20"/>
          <w:lang w:eastAsia="pt-BR"/>
        </w:rPr>
        <w:t>)</w:t>
      </w:r>
      <w:bookmarkStart w:id="604" w:name="_DV_M280"/>
      <w:bookmarkEnd w:id="561"/>
      <w:bookmarkEnd w:id="562"/>
      <w:bookmarkEnd w:id="563"/>
      <w:bookmarkEnd w:id="604"/>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05" w:name="_DV_M288"/>
      <w:bookmarkEnd w:id="605"/>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06" w:name="_Toc5024048"/>
      <w:bookmarkStart w:id="607" w:name="_Toc5206798"/>
      <w:r w:rsidRPr="00B529FA">
        <w:rPr>
          <w:b/>
          <w:bCs/>
          <w:i/>
          <w:iCs/>
          <w:szCs w:val="20"/>
        </w:rPr>
        <w:t>Riscos Relativos ao Ambiente Macroeconômico</w:t>
      </w:r>
      <w:bookmarkEnd w:id="606"/>
      <w:bookmarkEnd w:id="607"/>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08" w:name="_Toc5024049"/>
      <w:bookmarkStart w:id="609" w:name="_Toc5206799"/>
      <w:r w:rsidRPr="00B529FA">
        <w:rPr>
          <w:b/>
          <w:bCs/>
          <w:szCs w:val="20"/>
        </w:rPr>
        <w:t>Riscos Relativos ao Ambiente Macroeconômico Internacional</w:t>
      </w:r>
      <w:bookmarkEnd w:id="608"/>
      <w:bookmarkEnd w:id="609"/>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10"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10"/>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1"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12" w:name="_Hlk83974780"/>
      <w:bookmarkEnd w:id="611"/>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2"/>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13" w:name="_Hlk78376405"/>
      <w:r w:rsidRPr="00EE4E24">
        <w:rPr>
          <w:b/>
          <w:bCs/>
          <w:szCs w:val="20"/>
        </w:rPr>
        <w:t xml:space="preserve">Possibilidade de ausência de registro da Escritura de Emissão de Debêntures perante os Cartórios de Registro de Títulos e Documentos </w:t>
      </w:r>
    </w:p>
    <w:bookmarkEnd w:id="613"/>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14"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14"/>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15" w:name="_DV_M1122"/>
      <w:bookmarkStart w:id="616" w:name="_DV_M1123"/>
      <w:bookmarkStart w:id="617" w:name="_DV_M1124"/>
      <w:bookmarkEnd w:id="615"/>
      <w:bookmarkEnd w:id="616"/>
      <w:bookmarkEnd w:id="617"/>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lastRenderedPageBreak/>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 xml:space="preserve">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w:t>
      </w:r>
      <w:r w:rsidRPr="00B529FA">
        <w:rPr>
          <w:szCs w:val="20"/>
        </w:rPr>
        <w:lastRenderedPageBreak/>
        <w:t>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18"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619" w:name="_DV_M1903"/>
      <w:bookmarkStart w:id="620" w:name="_DV_M1904"/>
      <w:bookmarkStart w:id="621" w:name="_DV_M1905"/>
      <w:bookmarkStart w:id="622" w:name="_DV_M1906"/>
      <w:bookmarkStart w:id="623" w:name="_DV_M1907"/>
      <w:bookmarkStart w:id="624" w:name="_DV_M1908"/>
      <w:bookmarkStart w:id="625" w:name="_DV_M1909"/>
      <w:bookmarkStart w:id="626" w:name="_DV_M1911"/>
      <w:bookmarkEnd w:id="618"/>
      <w:bookmarkEnd w:id="619"/>
      <w:bookmarkEnd w:id="620"/>
      <w:bookmarkEnd w:id="621"/>
      <w:bookmarkEnd w:id="622"/>
      <w:bookmarkEnd w:id="623"/>
      <w:bookmarkEnd w:id="624"/>
      <w:bookmarkEnd w:id="625"/>
      <w:bookmarkEnd w:id="626"/>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7" w:name="_DV_M687"/>
      <w:bookmarkStart w:id="628" w:name="_DV_M688"/>
      <w:bookmarkStart w:id="629" w:name="_DV_M689"/>
      <w:bookmarkEnd w:id="627"/>
      <w:bookmarkEnd w:id="628"/>
      <w:bookmarkEnd w:id="629"/>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0" w:name="_Hlk104830678"/>
      <w:r w:rsidRPr="00FE1B6E">
        <w:t>17.298.092/0001-30</w:t>
      </w:r>
      <w:bookmarkEnd w:id="630"/>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31"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1"/>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32" w:name="_Toc20148386"/>
      <w:bookmarkStart w:id="633"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32"/>
    <w:bookmarkEnd w:id="633"/>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D4C9" w14:textId="77777777" w:rsidR="00B5526B" w:rsidRDefault="00B5526B">
      <w:r>
        <w:separator/>
      </w:r>
    </w:p>
    <w:p w14:paraId="7EB3DDD6" w14:textId="77777777" w:rsidR="00B5526B" w:rsidRDefault="00B5526B"/>
    <w:p w14:paraId="55524B22" w14:textId="77777777" w:rsidR="00B5526B" w:rsidRDefault="00B5526B"/>
    <w:p w14:paraId="511942DF" w14:textId="77777777" w:rsidR="00B5526B" w:rsidRDefault="00B5526B"/>
  </w:endnote>
  <w:endnote w:type="continuationSeparator" w:id="0">
    <w:p w14:paraId="6D65F78A" w14:textId="77777777" w:rsidR="00B5526B" w:rsidRDefault="00B5526B">
      <w:r>
        <w:continuationSeparator/>
      </w:r>
    </w:p>
    <w:p w14:paraId="7BD66968" w14:textId="77777777" w:rsidR="00B5526B" w:rsidRDefault="00B5526B"/>
    <w:p w14:paraId="6B96B9C8" w14:textId="77777777" w:rsidR="00B5526B" w:rsidRDefault="00B5526B"/>
    <w:p w14:paraId="1062295E" w14:textId="77777777" w:rsidR="00B5526B" w:rsidRDefault="00B5526B"/>
  </w:endnote>
  <w:endnote w:type="continuationNotice" w:id="1">
    <w:p w14:paraId="596C090A" w14:textId="77777777" w:rsidR="00B5526B" w:rsidRDefault="00B5526B"/>
    <w:p w14:paraId="20A39EA0" w14:textId="77777777" w:rsidR="00B5526B" w:rsidRDefault="00B5526B"/>
    <w:p w14:paraId="4009195F" w14:textId="77777777" w:rsidR="00B5526B" w:rsidRDefault="00B5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BE05C8"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091C" w14:textId="77777777" w:rsidR="00B5526B" w:rsidRDefault="00B5526B">
      <w:r>
        <w:separator/>
      </w:r>
    </w:p>
    <w:p w14:paraId="07C719DE" w14:textId="77777777" w:rsidR="00B5526B" w:rsidRDefault="00B5526B"/>
    <w:p w14:paraId="7C3810F1" w14:textId="77777777" w:rsidR="00B5526B" w:rsidRDefault="00B5526B"/>
    <w:p w14:paraId="0DEEEFB4" w14:textId="77777777" w:rsidR="00B5526B" w:rsidRDefault="00B5526B"/>
  </w:footnote>
  <w:footnote w:type="continuationSeparator" w:id="0">
    <w:p w14:paraId="071D5771" w14:textId="77777777" w:rsidR="00B5526B" w:rsidRDefault="00B5526B">
      <w:r>
        <w:continuationSeparator/>
      </w:r>
    </w:p>
    <w:p w14:paraId="0BB03789" w14:textId="77777777" w:rsidR="00B5526B" w:rsidRDefault="00B5526B"/>
    <w:p w14:paraId="024F4011" w14:textId="77777777" w:rsidR="00B5526B" w:rsidRDefault="00B5526B"/>
    <w:p w14:paraId="35596F9E" w14:textId="77777777" w:rsidR="00B5526B" w:rsidRDefault="00B5526B"/>
  </w:footnote>
  <w:footnote w:type="continuationNotice" w:id="1">
    <w:p w14:paraId="1E14A466" w14:textId="77777777" w:rsidR="00B5526B" w:rsidRDefault="00B5526B"/>
    <w:p w14:paraId="18F39EC5" w14:textId="77777777" w:rsidR="00B5526B" w:rsidRDefault="00B5526B"/>
    <w:p w14:paraId="551EAA81" w14:textId="77777777" w:rsidR="00B5526B" w:rsidRDefault="00B55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58F9"/>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01"/>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footer" Target="footer4.xml" Id="rId22" /><Relationship Type="http://schemas.openxmlformats.org/officeDocument/2006/relationships/customXml" Target="/customXML/item7.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 L E F O S S E ! 3 8 3 6 8 1 5 . 1 < / d o c u m e n t i d >  
     < s e n d e r i d > C A I U B < / s e n d e r i d >  
     < s e n d e r e m a i l > C L A R I C E . A I U B @ L E F O S S E . C O M < / s e n d e r e m a i l >  
     < l a s t m o d i f i e d > 2 0 2 2 - 0 9 - 1 6 T 1 8 : 0 0 : 0 0 . 0 0 0 0 0 0 0 - 0 3 : 0 0 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6.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115</Pages>
  <Words>47512</Words>
  <Characters>271297</Characters>
  <Application>Microsoft Office Word</Application>
  <DocSecurity>0</DocSecurity>
  <Lines>6165</Lines>
  <Paragraphs>2183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316626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6</cp:revision>
  <cp:lastPrinted>2019-09-25T00:18:00Z</cp:lastPrinted>
  <dcterms:created xsi:type="dcterms:W3CDTF">2022-09-16T20:59:00Z</dcterms:created>
  <dcterms:modified xsi:type="dcterms:W3CDTF">2022-09-16T21:00:00Z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- 3836815v1</vt:lpwstr>
  </property>
</Properties>
</file>