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2199C231" w14:textId="01DB4A1A" w:rsidR="00EE14DB" w:rsidRPr="00050B15" w:rsidRDefault="00EE14DB" w:rsidP="0053494E">
      <w:pPr>
        <w:jc w:val="center"/>
        <w:rPr>
          <w:rFonts w:ascii="Arial" w:hAnsi="Arial" w:cs="Arial"/>
          <w:b/>
          <w:bCs/>
          <w:iCs/>
          <w:sz w:val="20"/>
        </w:rPr>
      </w:pP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306A2806"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3C3657" w:rsidRPr="000C586B">
        <w:t>”)</w:t>
      </w:r>
      <w:r w:rsidR="00C711A9">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31107E2F"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A8255F">
        <w:t>;</w:t>
      </w:r>
    </w:p>
    <w:p w14:paraId="560EFEAE" w14:textId="65BE761B"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lastRenderedPageBreak/>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9824B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10EA14D2"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(vii)</w:t>
      </w:r>
      <w:r w:rsidRPr="00337CC7">
        <w:t xml:space="preserve"> Usina Atena SPE Ltda., inscrita no CNPJ/ME sob o nº 32.167.718/0001-63 (“</w:t>
      </w:r>
      <w:r w:rsidRPr="00337CC7">
        <w:rPr>
          <w:b/>
          <w:bCs/>
        </w:rPr>
        <w:t>Usina Atena</w:t>
      </w:r>
      <w:r w:rsidRPr="00337CC7">
        <w:t xml:space="preserve">”); </w:t>
      </w:r>
      <w:r w:rsidR="00F3500C">
        <w:t>[</w:t>
      </w:r>
      <w:r w:rsidRPr="00754B35">
        <w:rPr>
          <w:b/>
          <w:bCs/>
          <w:highlight w:val="yellow"/>
        </w:rPr>
        <w:t xml:space="preserve">(viii) </w:t>
      </w:r>
      <w:r w:rsidRPr="00754B35">
        <w:rPr>
          <w:highlight w:val="yellow"/>
        </w:rPr>
        <w:t>Usina Cedro Rosa SPE Ltda., inscrita no CNPJ/ME sob o nº 32.136.249/0001-15 (“</w:t>
      </w:r>
      <w:r w:rsidRPr="00754B35">
        <w:rPr>
          <w:b/>
          <w:bCs/>
          <w:highlight w:val="yellow"/>
        </w:rPr>
        <w:t>Usina Cedro Rosa</w:t>
      </w:r>
      <w:r w:rsidRPr="00754B35">
        <w:rPr>
          <w:highlight w:val="yellow"/>
        </w:rPr>
        <w:t>”)</w:t>
      </w:r>
      <w:r w:rsidR="00F3500C">
        <w:t>]</w:t>
      </w:r>
      <w:r w:rsidRPr="00337CC7">
        <w:t xml:space="preserve">; </w:t>
      </w:r>
      <w:r w:rsidRPr="00337CC7">
        <w:rPr>
          <w:b/>
          <w:bCs/>
        </w:rPr>
        <w:t>(ix)</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lastRenderedPageBreak/>
        <w:t>“</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Fiduciária de Quotas pela Usina Canoa, Usina Pinheiro,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r w:rsidR="00F3500C" w:rsidRPr="004D3249">
        <w:rPr>
          <w:rFonts w:cstheme="minorHAnsi"/>
          <w:b/>
          <w:bCs/>
          <w:highlight w:val="yellow"/>
        </w:rPr>
        <w:t>[Nota Lefosse: Pendente de confirmação se as Usinas destacas serão fiduciárias na Operação.]</w:t>
      </w:r>
    </w:p>
    <w:p w14:paraId="5FC17EFF" w14:textId="3960A960"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627F54AA"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5A35A7">
        <w:t>,</w:t>
      </w:r>
      <w:r w:rsidR="008B5AF7" w:rsidRPr="00117BA4">
        <w:t xml:space="preserve"> da </w:t>
      </w:r>
      <w:r w:rsidR="008B5AF7" w:rsidRPr="00117BA4">
        <w:rPr>
          <w:iCs/>
        </w:rPr>
        <w:t>AGE RZK Energia</w:t>
      </w:r>
      <w:r w:rsidR="008B5AF7" w:rsidRPr="00117BA4">
        <w:t xml:space="preserve"> </w:t>
      </w:r>
      <w:r w:rsidR="005A35A7">
        <w:t xml:space="preserve">e da AGE do Grupo Rezek </w:t>
      </w:r>
      <w:r w:rsidR="008B5AF7" w:rsidRPr="00117BA4">
        <w:t xml:space="preserve">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5A35A7" w:rsidRPr="0087789B">
        <w:rPr>
          <w:rFonts w:cs="Tahoma"/>
          <w:b/>
          <w:bCs/>
          <w:iCs/>
        </w:rPr>
        <w:t xml:space="preserve"> </w:t>
      </w:r>
      <w:r w:rsidR="005A35A7" w:rsidRPr="0087789B">
        <w:rPr>
          <w:rFonts w:cs="Tahoma"/>
          <w:b/>
          <w:bCs/>
          <w:iCs/>
          <w:highlight w:val="yellow"/>
        </w:rPr>
        <w:t>[Nota Lefosse: RZK, por gentileza confirmar publicação do grupo rezek no SPED.]</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6869B8F4"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9824B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lastRenderedPageBreak/>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w:t>
      </w:r>
      <w:r w:rsidRPr="00F6090E">
        <w:lastRenderedPageBreak/>
        <w:t xml:space="preserve">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DD936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e </w:t>
      </w:r>
      <w:r w:rsidRPr="00B342F7">
        <w:t>a</w:t>
      </w:r>
      <w:r>
        <w:t xml:space="preserve"> 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26AB2368"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9824B9">
        <w:t>5.38</w:t>
      </w:r>
      <w:r w:rsidRPr="00F6090E">
        <w:fldChar w:fldCharType="end"/>
      </w:r>
      <w:r w:rsidRPr="00F6090E">
        <w:t xml:space="preserve"> abaixo, de acordo com o disposto nos artigos 129 e 130 da Lei </w:t>
      </w:r>
      <w:r w:rsidR="00EC3624">
        <w:t>de Registros Públicos</w:t>
      </w:r>
      <w:r w:rsidRPr="00F6090E">
        <w:t xml:space="preserve">, a presente Escritura de Emissão, bem como seus aditamentos, serão registrados no cartório de </w:t>
      </w:r>
      <w:r w:rsidRPr="00F6090E">
        <w:lastRenderedPageBreak/>
        <w:t>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208EB97B"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527FB1">
        <w:rPr>
          <w:highlight w:val="yellow"/>
        </w:rPr>
        <w:t>[(a) pela Emissora diretamente; ou (b) pel</w:t>
      </w:r>
      <w:r w:rsidR="00D913E1" w:rsidRPr="00527FB1">
        <w:rPr>
          <w:highlight w:val="yellow"/>
        </w:rPr>
        <w:t xml:space="preserve">as SPE </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5D4B67" w:rsidRPr="00527FB1">
        <w:rPr>
          <w:b/>
          <w:bCs/>
          <w:lang w:eastAsia="en-US"/>
        </w:rPr>
        <w:t>Cidade Ocidental</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Cidade Ocidental,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w:t>
      </w:r>
      <w:r w:rsidRPr="006867A5">
        <w:lastRenderedPageBreak/>
        <w:t xml:space="preserve">Escritura de Emissão; e </w:t>
      </w:r>
      <w:r w:rsidRPr="00527FB1">
        <w:rPr>
          <w:b/>
          <w:bCs/>
        </w:rPr>
        <w:t>(ii)</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r>
        <w:t xml:space="preserve"> </w:t>
      </w:r>
      <w:r w:rsidR="00BF09FA">
        <w:rPr>
          <w:b/>
          <w:bCs/>
        </w:rPr>
        <w:t xml:space="preserve"> </w:t>
      </w:r>
      <w:r w:rsidR="00BF09FA" w:rsidRPr="0087789B">
        <w:rPr>
          <w:b/>
          <w:bCs/>
          <w:highlight w:val="yellow"/>
        </w:rPr>
        <w:t>[Nota Lefosse: RZK, por gentileza identificar o empreendimento relacionado a cada Usina.]</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347553C1" w:rsidR="00713250" w:rsidRPr="00713250" w:rsidRDefault="008E0C63" w:rsidP="00713250">
      <w:pPr>
        <w:pStyle w:val="Level2"/>
      </w:pPr>
      <w:bookmarkStart w:id="42" w:name="_Ref113379767"/>
      <w:bookmarkStart w:id="43" w:name="_Ref83823657"/>
      <w:bookmarkStart w:id="44"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42"/>
      <w:r w:rsidR="00A8255F">
        <w:t xml:space="preserve"> </w:t>
      </w:r>
      <w:r w:rsidR="00A8255F" w:rsidRPr="00323334">
        <w:rPr>
          <w:b/>
          <w:bCs/>
          <w:highlight w:val="yellow"/>
        </w:rPr>
        <w:t xml:space="preserve">[Nota Lefosse: RZK, por gentileza </w:t>
      </w:r>
      <w:r w:rsidR="00A8255F">
        <w:rPr>
          <w:b/>
          <w:bCs/>
          <w:highlight w:val="yellow"/>
        </w:rPr>
        <w:t>indicar</w:t>
      </w:r>
      <w:r w:rsidR="00A8255F" w:rsidRPr="00323334">
        <w:rPr>
          <w:b/>
          <w:bCs/>
          <w:highlight w:val="yellow"/>
        </w:rPr>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3"/>
      <w:r w:rsidR="00167472" w:rsidRPr="00F6090E">
        <w:t xml:space="preserve"> </w:t>
      </w:r>
      <w:bookmarkEnd w:id="44"/>
    </w:p>
    <w:p w14:paraId="53B5C708" w14:textId="4C3AB593"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9824B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9824B9">
        <w:t>5.40</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603D1D91"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9824B9">
        <w:t>10.3</w:t>
      </w:r>
      <w:r w:rsidR="00C643EC" w:rsidRPr="00F6090E">
        <w:rPr>
          <w:highlight w:val="yellow"/>
        </w:rPr>
        <w:fldChar w:fldCharType="end"/>
      </w:r>
      <w:r w:rsidR="00EE55BD" w:rsidRPr="00F6090E">
        <w:t>;</w:t>
      </w:r>
    </w:p>
    <w:p w14:paraId="6D033CCC" w14:textId="6AB11241"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9824B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4AC4430" w:rsidR="00567D0A" w:rsidRPr="00F6090E" w:rsidRDefault="00970005" w:rsidP="00567D0A">
      <w:pPr>
        <w:pStyle w:val="Level4"/>
        <w:tabs>
          <w:tab w:val="clear" w:pos="2041"/>
          <w:tab w:val="num" w:pos="1361"/>
        </w:tabs>
        <w:ind w:left="1360"/>
      </w:pPr>
      <w:bookmarkStart w:id="45" w:name="_Ref83735930"/>
      <w:bookmarkStart w:id="46"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5"/>
      <w:r w:rsidR="002B1151">
        <w:t xml:space="preserve"> </w:t>
      </w:r>
      <w:r w:rsidR="002B1151" w:rsidRPr="0087789B">
        <w:rPr>
          <w:b/>
          <w:bCs/>
          <w:highlight w:val="yellow"/>
        </w:rPr>
        <w:t>[Nota Lefosse: Cronograma a ser confirmado pela RZK.]</w:t>
      </w:r>
      <w:bookmarkEnd w:id="46"/>
    </w:p>
    <w:p w14:paraId="7F4FD09B" w14:textId="3A880143"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t>ssis:</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w:t>
      </w:r>
      <w:r w:rsidR="008013D5" w:rsidRPr="00A84806">
        <w:lastRenderedPageBreak/>
        <w:t xml:space="preserve">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[Nota Lefosse: Cia., favor confirmar as informações em aberto.]</w:t>
      </w:r>
    </w:p>
    <w:p w14:paraId="0034F8B2" w14:textId="502DAD7B"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C32108">
        <w:rPr>
          <w:u w:val="single"/>
        </w:rPr>
        <w:t>Cidade Ocidental</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0B358495" w14:textId="5756533C"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[Nota Lefosse: Cia., favor confirmar as informações em aberto.]</w:t>
      </w:r>
    </w:p>
    <w:p w14:paraId="419B74A8" w14:textId="657A22FF"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199D7CC3" w14:textId="6A7E7440" w:rsidR="00D41D8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[Nota Lefosse: Cia., favor confirmar as informações em aberto.]</w:t>
      </w:r>
    </w:p>
    <w:p w14:paraId="7CC94395" w14:textId="1FC0BCBB"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(i)</w:t>
      </w:r>
      <w:r w:rsidR="00167472" w:rsidRPr="00F6090E">
        <w:t xml:space="preserve"> </w:t>
      </w:r>
      <w:r w:rsidRPr="00F6090E">
        <w:t>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05011657" w:rsidR="00521516" w:rsidRDefault="00D71243" w:rsidP="00D71243">
      <w:pPr>
        <w:pStyle w:val="Level2"/>
      </w:pPr>
      <w:bookmarkStart w:id="47"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xml:space="preserve">,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w:t>
      </w:r>
      <w:r w:rsidRPr="00F6090E">
        <w:lastRenderedPageBreak/>
        <w:t>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47"/>
    </w:p>
    <w:p w14:paraId="695BECFE" w14:textId="3DABC72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7A31CFD7" w:rsidR="00D71243" w:rsidRPr="00F6090E" w:rsidRDefault="00D71243" w:rsidP="00D71243">
      <w:pPr>
        <w:pStyle w:val="Level2"/>
      </w:pPr>
      <w:bookmarkStart w:id="48" w:name="_Ref80864344"/>
      <w:r w:rsidRPr="00F6090E">
        <w:t>A Emissora deverá prestar contas à Debenturista, com cópia ao Agente Fiduciário dos CRI,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8"/>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07576429" w:rsidR="00D71243" w:rsidRPr="00F6090E" w:rsidRDefault="00D71243" w:rsidP="00D71243">
      <w:pPr>
        <w:pStyle w:val="Level2"/>
      </w:pPr>
      <w:bookmarkStart w:id="49" w:name="_Ref80864357"/>
      <w:bookmarkStart w:id="50"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9824B9">
        <w:t>4.7</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9"/>
    </w:p>
    <w:bookmarkEnd w:id="50"/>
    <w:p w14:paraId="494745C3" w14:textId="21E25C44" w:rsidR="00D71243" w:rsidRPr="00F6090E" w:rsidRDefault="00D71243" w:rsidP="00D71243">
      <w:pPr>
        <w:pStyle w:val="Level2"/>
      </w:pPr>
      <w:r w:rsidRPr="00F6090E">
        <w:t xml:space="preserve">Uma vez atingida e comprovada a aplicação integral dos Recursos Líquidos, a Emissora ficará desobrigada com relação ao envio do Relatório Semestral e dos </w:t>
      </w:r>
      <w:r w:rsidRPr="00F6090E">
        <w:lastRenderedPageBreak/>
        <w:t xml:space="preserve">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9824B9">
        <w:t>4.9</w:t>
      </w:r>
      <w:r w:rsidR="008B7AF9" w:rsidRPr="00F6090E">
        <w:fldChar w:fldCharType="end"/>
      </w:r>
      <w:r w:rsidR="008922C8" w:rsidRPr="00F6090E">
        <w:t xml:space="preserve"> </w:t>
      </w:r>
      <w:r w:rsidRPr="00F6090E">
        <w:t>acima.</w:t>
      </w:r>
    </w:p>
    <w:p w14:paraId="5CCD5BAE" w14:textId="36725468"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9824B9">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010E48B0"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9824B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 xml:space="preserve">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w:t>
      </w:r>
      <w:r>
        <w:lastRenderedPageBreak/>
        <w:t>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1"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14D5FDB4" w:rsidR="00B74235" w:rsidRPr="00F6090E" w:rsidRDefault="00EF42F8" w:rsidP="00647865">
      <w:pPr>
        <w:pStyle w:val="Level2"/>
      </w:pPr>
      <w:r w:rsidRPr="00F6090E">
        <w:rPr>
          <w:u w:val="single"/>
        </w:rPr>
        <w:t>Debenturista</w:t>
      </w:r>
      <w:r w:rsidR="00B74235" w:rsidRPr="00F6090E">
        <w:t xml:space="preserve">. As Debêntures serão </w:t>
      </w:r>
      <w:bookmarkStart w:id="52" w:name="_Ref64481570"/>
      <w:r w:rsidR="00B74235" w:rsidRPr="00F6090E">
        <w:t xml:space="preserve">subscritas </w:t>
      </w:r>
      <w:r w:rsidR="000117FF" w:rsidRPr="00F6090E">
        <w:t>pel</w:t>
      </w:r>
      <w:r w:rsidR="000117FF">
        <w:t>a</w:t>
      </w:r>
      <w:r w:rsidR="000117FF" w:rsidRPr="00F6090E">
        <w:t xml:space="preserve"> </w:t>
      </w:r>
      <w:r w:rsidRPr="00F6090E">
        <w:t>Debenturista</w:t>
      </w:r>
      <w:r w:rsidR="00B74235" w:rsidRPr="00F6090E">
        <w:t xml:space="preserve">, sendo </w:t>
      </w:r>
      <w:r w:rsidR="005153CD" w:rsidRPr="00F6090E">
        <w:t>a Securitizadora</w:t>
      </w:r>
      <w:r w:rsidR="00B74235" w:rsidRPr="00F6090E">
        <w:t xml:space="preserve"> ou qualquer pessoa que</w:t>
      </w:r>
      <w:r w:rsidR="00666F93" w:rsidRPr="00F6090E">
        <w:t xml:space="preserve"> </w:t>
      </w:r>
      <w:bookmarkEnd w:id="52"/>
      <w:r w:rsidR="00666F93" w:rsidRPr="00F6090E">
        <w:t>venha a ser</w:t>
      </w:r>
      <w:r w:rsidR="00B74235" w:rsidRPr="00F6090E">
        <w:t xml:space="preserve"> titular das Debêntures a qualquer tempo doravante denominado “</w:t>
      </w:r>
      <w:r w:rsidR="00B74235" w:rsidRPr="00F6090E">
        <w:rPr>
          <w:b/>
        </w:rPr>
        <w:t>Debenturista</w:t>
      </w:r>
      <w:r w:rsidR="00B74235" w:rsidRPr="00F6090E">
        <w:t>”.</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5BC44B96"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9824B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3" w:name="_Hlk3800877"/>
      <w:r w:rsidR="00666F93" w:rsidRPr="00F6090E">
        <w:t xml:space="preserve">a qualquer momento até o </w:t>
      </w:r>
      <w:r w:rsidR="00B61090" w:rsidRPr="00F6090E">
        <w:t>encerramento</w:t>
      </w:r>
      <w:r w:rsidR="00666F93" w:rsidRPr="00F6090E">
        <w:t xml:space="preserve"> da Oferta</w:t>
      </w:r>
      <w:bookmarkEnd w:id="5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473139B" w:rsidR="00662B77" w:rsidRPr="00F6090E" w:rsidRDefault="00662B77" w:rsidP="00706301">
      <w:pPr>
        <w:pStyle w:val="Level2"/>
      </w:pPr>
      <w:bookmarkStart w:id="54"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(ii)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pro rata temporis</w:t>
      </w:r>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9824B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55" w:name="_Ref457471959"/>
      <w:bookmarkStart w:id="56" w:name="_Ref491022002"/>
      <w:bookmarkEnd w:id="5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0219699"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71B3E318" w:rsidR="001C5EC0" w:rsidRPr="00F6090E" w:rsidRDefault="0041173E" w:rsidP="001C5EC0">
      <w:pPr>
        <w:pStyle w:val="Level2"/>
      </w:pPr>
      <w:bookmarkStart w:id="57" w:name="_Ref82534589"/>
      <w:bookmarkStart w:id="58" w:name="_Ref264481789"/>
      <w:bookmarkStart w:id="59" w:name="_Ref310606049"/>
      <w:bookmarkEnd w:id="55"/>
      <w:bookmarkEnd w:id="56"/>
      <w:r w:rsidRPr="00F6090E">
        <w:rPr>
          <w:u w:val="single"/>
        </w:rPr>
        <w:lastRenderedPageBreak/>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1C5EC0" w:rsidRPr="00F6090E">
        <w:t>”):</w:t>
      </w:r>
      <w:bookmarkEnd w:id="57"/>
      <w:r w:rsidR="009B6B50">
        <w:t xml:space="preserve"> </w:t>
      </w:r>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749517F0" w:rsidR="001C5EC0" w:rsidRPr="00F6090E" w:rsidRDefault="00770B80" w:rsidP="00110C52">
      <w:pPr>
        <w:pStyle w:val="Level5"/>
        <w:tabs>
          <w:tab w:val="clear" w:pos="2721"/>
          <w:tab w:val="num" w:pos="2041"/>
        </w:tabs>
        <w:ind w:left="2040"/>
      </w:pPr>
      <w:bookmarkStart w:id="60" w:name="_Hlk86335346"/>
      <w:r w:rsidRPr="00260772">
        <w:t xml:space="preserve">com relação à </w:t>
      </w:r>
      <w:r w:rsidR="004B7626" w:rsidRPr="00186766">
        <w:t>(i)</w:t>
      </w:r>
      <w:r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Pr="00260772">
        <w:t>:</w:t>
      </w:r>
      <w:r w:rsidR="001C5EC0" w:rsidRPr="00186766">
        <w:t xml:space="preserve"> </w:t>
      </w:r>
      <w:r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0"/>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[Nota Lefosse:</w:t>
      </w:r>
      <w:r w:rsidR="00702654">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p>
    <w:p w14:paraId="6272B562" w14:textId="08C29F72"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 respectivo Cartório de RTD;</w:t>
      </w:r>
    </w:p>
    <w:p w14:paraId="1AEB78D6" w14:textId="77777777" w:rsidR="00976EA3" w:rsidRPr="00976EA3" w:rsidRDefault="00976EA3" w:rsidP="00976EA3">
      <w:pPr>
        <w:pStyle w:val="Level4"/>
        <w:tabs>
          <w:tab w:val="clear" w:pos="2041"/>
          <w:tab w:val="num" w:pos="1361"/>
        </w:tabs>
        <w:ind w:left="1360"/>
      </w:pPr>
      <w:r w:rsidRPr="00976EA3">
        <w:t>apresentar à Debenturista 1 (uma) cópia digitalizada do Contrato de Alienação Fiduciária de Ações devidamente registrado no respectivo Cartório de RTD;</w:t>
      </w:r>
    </w:p>
    <w:p w14:paraId="4E5D24DC" w14:textId="47813D06"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s devidamente registrado no respectivo Cartório de RTD;</w:t>
      </w:r>
    </w:p>
    <w:p w14:paraId="2A77C71D" w14:textId="299820B8"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Cartório de RTD</w:t>
      </w:r>
      <w:r w:rsidR="00EC3624">
        <w:t xml:space="preserve"> Fiança</w:t>
      </w:r>
      <w:r w:rsidRPr="006867A5">
        <w:t>;</w:t>
      </w:r>
    </w:p>
    <w:p w14:paraId="132525D0" w14:textId="63FF7319" w:rsidR="003D0AC8" w:rsidRDefault="00F9485E" w:rsidP="00110C52">
      <w:pPr>
        <w:pStyle w:val="Level4"/>
        <w:tabs>
          <w:tab w:val="clear" w:pos="2041"/>
          <w:tab w:val="num" w:pos="1361"/>
        </w:tabs>
        <w:ind w:left="1360"/>
      </w:pPr>
      <w:r>
        <w:t>protocolo</w:t>
      </w:r>
      <w:r w:rsidR="003D0AC8" w:rsidRPr="00F6090E">
        <w:t xml:space="preserve"> 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r w:rsidR="009953E7">
        <w:t xml:space="preserve"> </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77777777"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 xml:space="preserve">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w:t>
      </w:r>
      <w:r w:rsidRPr="00F6090E">
        <w:lastRenderedPageBreak/>
        <w:t>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73D405ED" w:rsidR="001C5EC0" w:rsidRPr="00914C67"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1855A5">
        <w:t>[</w:t>
      </w:r>
      <w:r w:rsidR="00671213">
        <w:t>(b)</w:t>
      </w:r>
      <w:r w:rsidR="00FB6DCF" w:rsidRPr="00F6090E">
        <w:t xml:space="preserve"> aprovações</w:t>
      </w:r>
      <w:r w:rsidR="00671213">
        <w:t xml:space="preserve"> e/ou licenças</w:t>
      </w:r>
      <w:r w:rsidR="00144F42" w:rsidRPr="00F6090E">
        <w:t xml:space="preserve"> </w:t>
      </w:r>
      <w:r w:rsidRPr="00F6090E">
        <w:t xml:space="preserve">ambientais e societárias </w:t>
      </w:r>
      <w:r w:rsidR="0096611E" w:rsidRPr="00F6090E">
        <w:t>aplicáveis</w:t>
      </w:r>
      <w:r w:rsidR="001855A5">
        <w:t>]</w:t>
      </w:r>
      <w:r w:rsidR="00671213">
        <w:t xml:space="preserve">; </w:t>
      </w:r>
      <w:r w:rsidR="00F079E2">
        <w:t xml:space="preserve">e </w:t>
      </w:r>
      <w:r w:rsidR="00F079E2" w:rsidRPr="00F079E2">
        <w:rPr>
          <w:b/>
          <w:bCs/>
          <w:highlight w:val="yellow"/>
        </w:rPr>
        <w:t xml:space="preserve">[Nota Lefosse: </w:t>
      </w:r>
      <w:r w:rsidR="001855A5">
        <w:rPr>
          <w:b/>
          <w:bCs/>
          <w:highlight w:val="yellow"/>
        </w:rPr>
        <w:t>item (b) sob validação da Companhia</w:t>
      </w:r>
      <w:r w:rsidR="00F079E2" w:rsidRPr="00F079E2">
        <w:rPr>
          <w:b/>
          <w:bCs/>
          <w:highlight w:val="yellow"/>
        </w:rPr>
        <w:t>.]</w:t>
      </w:r>
    </w:p>
    <w:p w14:paraId="79B27C9D" w14:textId="67E38D8D"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9824B9">
        <w:t>5.10</w:t>
      </w:r>
      <w:r w:rsidR="00D17EE4">
        <w:fldChar w:fldCharType="end"/>
      </w:r>
      <w:r w:rsidR="00D17EE4">
        <w:t xml:space="preserve"> abaixo</w:t>
      </w:r>
      <w:r w:rsidR="0033445A" w:rsidRPr="00F6090E">
        <w:t xml:space="preserve">; </w:t>
      </w:r>
      <w:r w:rsidRPr="00F6090E">
        <w:t>(</w:t>
      </w:r>
      <w:r w:rsidR="0033445A" w:rsidRPr="00F6090E">
        <w:t>i</w:t>
      </w:r>
      <w:r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Pr="00F6090E">
        <w:t>; e (</w:t>
      </w:r>
      <w:r w:rsidR="00022275" w:rsidRPr="00F6090E">
        <w:t>i</w:t>
      </w:r>
      <w:r w:rsidRPr="00F6090E">
        <w:t xml:space="preserve">v)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6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1"/>
      <w:r w:rsidR="00BF7335" w:rsidRPr="00F6090E">
        <w:t xml:space="preserve"> </w:t>
      </w:r>
    </w:p>
    <w:p w14:paraId="687C1D69" w14:textId="49882C27"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9824B9">
        <w:t>5.8</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0CE3B367" w:rsidR="00D17EE4" w:rsidRPr="0087789B" w:rsidRDefault="00D17EE4" w:rsidP="0087789B">
      <w:pPr>
        <w:pStyle w:val="Level2"/>
      </w:pPr>
      <w:bookmarkStart w:id="62"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9824B9">
        <w:t>4.3(iv)</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xml:space="preserve">; e (ii) </w:t>
      </w:r>
      <w:bookmarkStart w:id="63" w:name="_Hlk113528740"/>
      <w:r w:rsidR="00115558">
        <w:t xml:space="preserve">desde que apresentado o comprovante de registro </w:t>
      </w:r>
      <w:r w:rsidR="00115558" w:rsidRPr="00F6090E">
        <w:t>desta Escritura</w:t>
      </w:r>
      <w:r w:rsidR="00115558">
        <w:t xml:space="preserve"> perante a JUCESP</w:t>
      </w:r>
      <w:bookmarkEnd w:id="63"/>
      <w:r w:rsidRPr="0087789B">
        <w:t>.</w:t>
      </w:r>
      <w:bookmarkEnd w:id="62"/>
      <w:r w:rsidR="002265C3">
        <w:t xml:space="preserve"> </w:t>
      </w:r>
    </w:p>
    <w:p w14:paraId="5C0E790D" w14:textId="1659A590" w:rsidR="00D33F26" w:rsidRPr="00F6090E" w:rsidRDefault="00D33F26" w:rsidP="007B1ED0">
      <w:pPr>
        <w:pStyle w:val="Level2"/>
      </w:pPr>
      <w:bookmarkStart w:id="64"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4"/>
    </w:p>
    <w:p w14:paraId="169AE567" w14:textId="0EDD942E" w:rsidR="009F573B" w:rsidRDefault="009F573B" w:rsidP="009F573B">
      <w:pPr>
        <w:pStyle w:val="Level3"/>
      </w:pPr>
      <w:bookmarkStart w:id="65"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lastRenderedPageBreak/>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65"/>
    </w:p>
    <w:p w14:paraId="6408AE9B" w14:textId="636B82FD" w:rsidR="00D33F26" w:rsidRPr="00F6090E" w:rsidRDefault="00D33F26" w:rsidP="001B6D60">
      <w:pPr>
        <w:pStyle w:val="Level3"/>
      </w:pPr>
      <w:bookmarkStart w:id="66"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66"/>
    </w:p>
    <w:p w14:paraId="1A326589" w14:textId="700D8F92"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9824B9">
        <w:t>6.1.1(xiv)</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9824B9">
        <w:t>6.1.1(xiv)</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7831A66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3E4AD6A7" w:rsidR="003E2DEF" w:rsidRPr="00F6090E" w:rsidRDefault="003E2DEF" w:rsidP="003E2DEF">
      <w:pPr>
        <w:pStyle w:val="Level2"/>
        <w:rPr>
          <w:u w:val="single"/>
        </w:rPr>
      </w:pPr>
      <w:r w:rsidRPr="00F6090E">
        <w:rPr>
          <w:u w:val="single"/>
        </w:rPr>
        <w:t>Vinculação das CCI aos CRI</w:t>
      </w:r>
      <w:r w:rsidR="00BE486D" w:rsidRPr="00F6090E">
        <w:rPr>
          <w:u w:val="single"/>
        </w:rPr>
        <w:t>.</w:t>
      </w:r>
    </w:p>
    <w:p w14:paraId="28FE5930" w14:textId="064B2A0D" w:rsidR="003E2DEF" w:rsidRPr="00F6090E" w:rsidRDefault="003E2DEF" w:rsidP="00FC4BF0">
      <w:pPr>
        <w:pStyle w:val="Level3"/>
      </w:pPr>
      <w:r w:rsidRPr="00F6090E">
        <w:t>As CCI serão vinculadas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F6090E" w:rsidRDefault="003E2DEF" w:rsidP="00AB573C">
      <w:pPr>
        <w:pStyle w:val="Level3"/>
      </w:pPr>
      <w:r w:rsidRPr="00F6090E">
        <w:lastRenderedPageBreak/>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8"/>
    <w:bookmarkEnd w:id="59"/>
    <w:p w14:paraId="25D92484" w14:textId="50EE0F1A" w:rsidR="00973E47" w:rsidRPr="00F6090E" w:rsidRDefault="00973E47" w:rsidP="00706301">
      <w:pPr>
        <w:pStyle w:val="Level2"/>
      </w:pPr>
      <w:r w:rsidRPr="00F6090E">
        <w:rPr>
          <w:u w:val="single"/>
        </w:rPr>
        <w:t>Número da Emissão</w:t>
      </w:r>
      <w:r w:rsidRPr="00F6090E">
        <w:t xml:space="preserve">. </w:t>
      </w:r>
      <w:bookmarkStart w:id="67"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6280061" w:rsidR="00270338" w:rsidRDefault="00973E47" w:rsidP="00706301">
      <w:pPr>
        <w:pStyle w:val="Level2"/>
      </w:pPr>
      <w:bookmarkStart w:id="68" w:name="_Ref106207753"/>
      <w:r w:rsidRPr="00F6090E">
        <w:rPr>
          <w:u w:val="single"/>
        </w:rPr>
        <w:t>Valor Total da Emissão</w:t>
      </w:r>
      <w:bookmarkStart w:id="69" w:name="_Ref264653613"/>
      <w:bookmarkEnd w:id="67"/>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9824B9">
        <w:t>5.15.1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9824B9">
        <w:t>5.16.1</w:t>
      </w:r>
      <w:r w:rsidR="00B409F0" w:rsidRPr="0068680A">
        <w:fldChar w:fldCharType="end"/>
      </w:r>
      <w:r w:rsidR="00B409F0" w:rsidRPr="0068680A">
        <w:t xml:space="preserve"> abaixo</w:t>
      </w:r>
      <w:r w:rsidR="00270338" w:rsidRPr="0068680A">
        <w:t>.</w:t>
      </w:r>
      <w:bookmarkEnd w:id="68"/>
    </w:p>
    <w:p w14:paraId="6EF56B0C" w14:textId="2F5425BC" w:rsidR="00B409F0" w:rsidRPr="00B409F0" w:rsidRDefault="00B409F0" w:rsidP="00B409F0">
      <w:pPr>
        <w:pStyle w:val="Level3"/>
      </w:pPr>
      <w:bookmarkStart w:id="70"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0"/>
    </w:p>
    <w:p w14:paraId="253DEB18" w14:textId="22872328"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9824B9">
        <w:t>5.15</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71"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1"/>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72" w:name="_Ref137548372"/>
      <w:bookmarkStart w:id="73" w:name="_Ref168458019"/>
      <w:bookmarkStart w:id="74" w:name="_Ref191891571"/>
      <w:bookmarkStart w:id="75" w:name="_Ref130363099"/>
      <w:bookmarkStart w:id="76" w:name="_Toc499990343"/>
      <w:bookmarkEnd w:id="51"/>
      <w:bookmarkEnd w:id="69"/>
      <w:r w:rsidRPr="00B409F0">
        <w:rPr>
          <w:u w:val="single"/>
        </w:rPr>
        <w:t>Séries</w:t>
      </w:r>
      <w:r w:rsidRPr="00F6090E">
        <w:t xml:space="preserve">. </w:t>
      </w:r>
      <w:bookmarkEnd w:id="72"/>
      <w:r w:rsidRPr="00F6090E">
        <w:t xml:space="preserve">A Emissão </w:t>
      </w:r>
      <w:r w:rsidR="00025C88" w:rsidRPr="00F6090E">
        <w:t>será realizada em série única</w:t>
      </w:r>
      <w:r w:rsidRPr="00F6090E">
        <w:t>.</w:t>
      </w:r>
      <w:bookmarkEnd w:id="73"/>
      <w:bookmarkEnd w:id="74"/>
      <w:r w:rsidR="00486599" w:rsidRPr="00F6090E">
        <w:t xml:space="preserve"> </w:t>
      </w:r>
    </w:p>
    <w:bookmarkEnd w:id="75"/>
    <w:p w14:paraId="48802720" w14:textId="5785A8CB" w:rsidR="00973E47" w:rsidRPr="00F6090E" w:rsidRDefault="00973E47" w:rsidP="00017B22">
      <w:pPr>
        <w:pStyle w:val="Level2"/>
      </w:pPr>
      <w:r w:rsidRPr="00F6090E">
        <w:rPr>
          <w:u w:val="single"/>
        </w:rPr>
        <w:lastRenderedPageBreak/>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77" w:name="_Ref264653840"/>
      <w:bookmarkStart w:id="78" w:name="_Ref278297550"/>
    </w:p>
    <w:p w14:paraId="2CA4D344" w14:textId="4ACFC1C6" w:rsidR="00973E47" w:rsidRPr="00F6090E" w:rsidRDefault="00973E47" w:rsidP="00A36A89">
      <w:pPr>
        <w:pStyle w:val="Level2"/>
      </w:pPr>
      <w:bookmarkStart w:id="79"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0" w:name="_Ref535067474"/>
      <w:bookmarkEnd w:id="77"/>
      <w:bookmarkEnd w:id="78"/>
      <w:bookmarkEnd w:id="79"/>
      <w:r w:rsidR="0031086E" w:rsidRPr="00F6090E">
        <w:t xml:space="preserve"> </w:t>
      </w:r>
    </w:p>
    <w:p w14:paraId="24E3F32D" w14:textId="460DA9EA" w:rsidR="00A003E2" w:rsidRPr="00F6090E" w:rsidRDefault="00973E47" w:rsidP="00A36A89">
      <w:pPr>
        <w:pStyle w:val="Level2"/>
      </w:pPr>
      <w:bookmarkStart w:id="81"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2" w:name="_Hlk77930108"/>
      <w:bookmarkStart w:id="83"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82"/>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83"/>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81"/>
    </w:p>
    <w:p w14:paraId="0EEFC0CB" w14:textId="4C9C0997" w:rsidR="00963C8B" w:rsidRPr="00F6090E" w:rsidRDefault="00973E47" w:rsidP="001F0DDF">
      <w:pPr>
        <w:pStyle w:val="Level2"/>
      </w:pPr>
      <w:bookmarkStart w:id="84"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r w:rsidR="007539A7" w:rsidRPr="007C56EF">
        <w:rPr>
          <w:b/>
          <w:bCs/>
          <w:highlight w:val="yellow"/>
        </w:rPr>
        <w:t>[Nota Lefosse:</w:t>
      </w:r>
      <w:r w:rsidR="003019D5">
        <w:rPr>
          <w:b/>
          <w:bCs/>
          <w:highlight w:val="yellow"/>
        </w:rPr>
        <w:t xml:space="preserve"> RZK e IBBA, favor confirmar (1) se haverá carência no pagamento do valor nominal unitário; (2) </w:t>
      </w:r>
      <w:r w:rsidR="00081C6A">
        <w:rPr>
          <w:b/>
          <w:bCs/>
          <w:highlight w:val="yellow"/>
        </w:rPr>
        <w:t>e a periodicidade de</w:t>
      </w:r>
      <w:r w:rsidR="003019D5">
        <w:rPr>
          <w:b/>
          <w:bCs/>
          <w:highlight w:val="yellow"/>
        </w:rPr>
        <w:t xml:space="preserve"> pagamento.]</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3549627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9824B9">
        <w:rPr>
          <w:b w:val="0"/>
          <w:color w:val="auto"/>
          <w:sz w:val="20"/>
        </w:rPr>
        <w:t>5.25</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77A4C836"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13D43C3D" w:rsidR="00E94D04" w:rsidRPr="00F6090E" w:rsidRDefault="003D3720" w:rsidP="00647865">
      <w:pPr>
        <w:pStyle w:val="Level2"/>
      </w:pPr>
      <w:bookmarkStart w:id="85" w:name="_Ref260242522"/>
      <w:bookmarkStart w:id="86" w:name="_Ref67488126"/>
      <w:bookmarkStart w:id="87" w:name="_Ref130286776"/>
      <w:bookmarkStart w:id="88" w:name="_Ref130611431"/>
      <w:bookmarkStart w:id="89" w:name="_Ref168843122"/>
      <w:bookmarkStart w:id="90" w:name="_Ref130282854"/>
      <w:bookmarkEnd w:id="84"/>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1" w:name="_Ref164156803"/>
      <w:bookmarkEnd w:id="85"/>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pela variação 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pro rata temporis</w:t>
      </w:r>
      <w:r w:rsidR="0088348A" w:rsidRPr="00F6090E">
        <w:t xml:space="preserve"> por Dias Úteis, desde a primeira </w:t>
      </w:r>
      <w:r w:rsidR="00151FEC">
        <w:t>d</w:t>
      </w:r>
      <w:r w:rsidR="0088348A" w:rsidRPr="00F6090E">
        <w:t xml:space="preserve">ata de </w:t>
      </w:r>
      <w:r w:rsidR="00151FEC">
        <w:t>i</w:t>
      </w:r>
      <w:r w:rsidR="00151FEC" w:rsidRPr="00F6090E">
        <w:t>ntegralização</w:t>
      </w:r>
      <w:r w:rsidR="00151FEC">
        <w:t xml:space="preserve"> dos CRI</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xml:space="preserve">, sendo o produto da atualização </w:t>
      </w:r>
      <w:r w:rsidR="00037BDD" w:rsidRPr="00F6090E">
        <w:lastRenderedPageBreak/>
        <w:t>incorporado automaticamente ao Valor Nominal Unitário ou saldo do Valor Nominal Unitário das Debêntures, conforme aplicável</w:t>
      </w:r>
      <w:r w:rsidR="0088348A" w:rsidRPr="00F6090E">
        <w:t>:</w:t>
      </w:r>
      <w:bookmarkEnd w:id="86"/>
    </w:p>
    <w:p w14:paraId="05330B5C" w14:textId="77777777" w:rsidR="000B67DF" w:rsidRPr="00F6090E" w:rsidRDefault="000B67DF" w:rsidP="00647865">
      <w:pPr>
        <w:pStyle w:val="Body"/>
        <w:ind w:left="680"/>
      </w:pPr>
    </w:p>
    <w:p w14:paraId="7C3951A6" w14:textId="77777777" w:rsidR="00EE7DDD" w:rsidRPr="00F6090E" w:rsidRDefault="009824B9"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2"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77777777" w:rsidR="00EE7DDD" w:rsidRPr="00F6090E" w:rsidRDefault="00EE7DDD" w:rsidP="00EE7DDD">
      <w:pPr>
        <w:pStyle w:val="Body"/>
        <w:ind w:left="1080"/>
      </w:pPr>
      <w:bookmarkStart w:id="93"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79E242B4" w14:textId="0AA144DE" w:rsidR="00B90E3B" w:rsidRPr="00F6090E" w:rsidRDefault="00037BDD" w:rsidP="00B90E3B">
      <w:pPr>
        <w:pStyle w:val="Body"/>
        <w:ind w:left="708"/>
      </w:pPr>
      <w:r w:rsidRPr="00F6090E">
        <w:t xml:space="preserve">dup = </w:t>
      </w:r>
      <w:r w:rsidR="00800757" w:rsidRPr="00F6090E">
        <w:t xml:space="preserve">número de Dias Úteis entre a </w:t>
      </w:r>
      <w:bookmarkStart w:id="94" w:name="_Hlk71315295"/>
      <w:r w:rsidR="00A603A6" w:rsidRPr="00F6090E">
        <w:t xml:space="preserve">(i) </w:t>
      </w:r>
      <w:bookmarkEnd w:id="94"/>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 xml:space="preserve">(ii)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95" w:name="_Hlk71315306"/>
      <w:r w:rsidR="00656826" w:rsidRPr="00F6090E">
        <w:t>, conforme o caso</w:t>
      </w:r>
      <w:bookmarkEnd w:id="95"/>
      <w:r w:rsidR="00800757" w:rsidRPr="00F6090E">
        <w:t xml:space="preserve"> e a data de cálculo (exclusive), </w:t>
      </w:r>
      <w:r w:rsidR="002331DC" w:rsidRPr="00F6090E">
        <w:t xml:space="preserve">limitado ao número total de dias úteis de vigência do índice de preço, </w:t>
      </w:r>
      <w:r w:rsidR="00800757" w:rsidRPr="00F6090E">
        <w:t>sendo “dup” um número inteiro</w:t>
      </w:r>
      <w:r w:rsidR="00BF7335" w:rsidRPr="00F6090E">
        <w:t xml:space="preserve">. Exclusivamente para o primeiro período, “dup” será acrescido de 2 </w:t>
      </w:r>
      <w:r w:rsidR="00070694" w:rsidRPr="00F6090E">
        <w:t xml:space="preserve">(dois) </w:t>
      </w:r>
      <w:r w:rsidR="00BF7335" w:rsidRPr="00F6090E">
        <w:t>Dias Úteis</w:t>
      </w:r>
      <w:r w:rsidR="00C0464D" w:rsidRPr="00F6090E">
        <w:t>;</w:t>
      </w:r>
    </w:p>
    <w:p w14:paraId="56B864CB" w14:textId="641FB2A6" w:rsidR="00037BDD" w:rsidRPr="00F6090E" w:rsidRDefault="00037BDD" w:rsidP="00037BDD">
      <w:pPr>
        <w:pStyle w:val="Body"/>
        <w:ind w:left="708"/>
      </w:pPr>
      <w:r w:rsidRPr="00F6090E">
        <w:t xml:space="preserve">dut = </w:t>
      </w:r>
      <w:r w:rsidR="00800757" w:rsidRPr="00F6090E">
        <w:t xml:space="preserve">número de Dias Úteis 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“dut” um número inteiro</w:t>
      </w:r>
      <w:r w:rsidR="007C15B7" w:rsidRPr="00F6090E">
        <w:t>. Exclusivamente para a primeira</w:t>
      </w:r>
      <w:r w:rsidR="008E52E5" w:rsidRPr="00F6090E">
        <w:t xml:space="preserve"> Data de Pagamento</w:t>
      </w:r>
      <w:r w:rsidR="007C15B7" w:rsidRPr="00F6090E">
        <w:t xml:space="preserve">, “dut”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A615A6" w:rsidRPr="00F6090E">
        <w:rPr>
          <w:bCs/>
        </w:rPr>
        <w:t>Dias Úteis</w:t>
      </w:r>
      <w:r w:rsidRPr="00F6090E">
        <w:t>;</w:t>
      </w:r>
    </w:p>
    <w:p w14:paraId="710B4981" w14:textId="2F158796" w:rsidR="00037BDD" w:rsidRPr="00F6090E" w:rsidRDefault="00037BDD" w:rsidP="00037BDD">
      <w:pPr>
        <w:pStyle w:val="Body"/>
        <w:ind w:left="708"/>
      </w:pPr>
      <w:r w:rsidRPr="00F6090E">
        <w:t>NI</w:t>
      </w:r>
      <w:r w:rsidRPr="00F6090E">
        <w:rPr>
          <w:vertAlign w:val="subscript"/>
        </w:rPr>
        <w:t>k</w:t>
      </w:r>
      <w:r w:rsidRPr="00F6090E">
        <w:t xml:space="preserve"> = </w:t>
      </w:r>
      <w:r w:rsidR="007C15B7" w:rsidRPr="00F6090E">
        <w:t xml:space="preserve">valor do número-índice do IPCA divulgado no 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“N</w:t>
      </w:r>
      <w:r w:rsidR="00FE470E" w:rsidRPr="00F6090E">
        <w:t>i</w:t>
      </w:r>
      <w:r w:rsidR="007C15B7" w:rsidRPr="00F6090E">
        <w:t xml:space="preserve">k”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96" w:name="_Hlk64654201"/>
      <w:r w:rsidR="007C15B7" w:rsidRPr="00F6090E">
        <w:t>valor do número-índice utilizado por N</w:t>
      </w:r>
      <w:r w:rsidR="00FE470E" w:rsidRPr="00F6090E">
        <w:t>i</w:t>
      </w:r>
      <w:r w:rsidR="007C15B7" w:rsidRPr="00F6090E">
        <w:t xml:space="preserve">k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92"/>
      <w:bookmarkEnd w:id="96"/>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t xml:space="preserve">O fator resultante da expressão abaixo descrita é considerado com 8 (oito) casas decimais, sem arredondamento: </w:t>
      </w:r>
    </w:p>
    <w:p w14:paraId="6EE51933" w14:textId="70F73FE1" w:rsidR="00037BDD" w:rsidRPr="00F6090E" w:rsidRDefault="009824B9"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lastRenderedPageBreak/>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97" w:name="_Hlk63853532"/>
      <w:bookmarkStart w:id="98"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97"/>
    <w:bookmarkEnd w:id="98"/>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o N</w:t>
      </w:r>
      <w:r w:rsidR="00FE470E" w:rsidRPr="00F6090E">
        <w:t>i</w:t>
      </w:r>
      <w:r w:rsidRPr="00F6090E">
        <w:t>k não houver sido divulgado, deverá ser utilizado em substituição a N</w:t>
      </w:r>
      <w:r w:rsidR="00FE470E" w:rsidRPr="00F6090E">
        <w:t>i</w:t>
      </w:r>
      <w:r w:rsidRPr="00F6090E">
        <w:t xml:space="preserve">k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99" w:name="_Ref80818551"/>
      <w:bookmarkStart w:id="100"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99"/>
    </w:p>
    <w:p w14:paraId="67F53B4F" w14:textId="4EC10A0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9824B9">
        <w:t>5.25.3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01"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1"/>
    </w:p>
    <w:p w14:paraId="38537705" w14:textId="1F5A2309" w:rsidR="00986CA8" w:rsidRPr="00F6090E" w:rsidRDefault="00986CA8" w:rsidP="00E33E60">
      <w:pPr>
        <w:pStyle w:val="Level3"/>
      </w:pPr>
      <w:r w:rsidRPr="00F6090E">
        <w:lastRenderedPageBreak/>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9824B9">
        <w:t>5.25.1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9824B9">
        <w:t>5.25.3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9A76FA8" w:rsidR="006637B2" w:rsidRPr="00F6090E" w:rsidRDefault="00D4331C" w:rsidP="007D278C">
      <w:pPr>
        <w:pStyle w:val="Level2"/>
      </w:pPr>
      <w:bookmarkStart w:id="102" w:name="_Ref67948046"/>
      <w:bookmarkStart w:id="103" w:name="_Ref67429167"/>
      <w:bookmarkStart w:id="104" w:name="_Ref64477682"/>
      <w:bookmarkStart w:id="105" w:name="_Ref328665579"/>
      <w:bookmarkStart w:id="106" w:name="_Ref279828381"/>
      <w:bookmarkStart w:id="107" w:name="_Ref289698191"/>
      <w:bookmarkStart w:id="108" w:name="_DV_C115"/>
      <w:bookmarkEnd w:id="93"/>
      <w:bookmarkEnd w:id="100"/>
      <w:r w:rsidRPr="007D278C">
        <w:rPr>
          <w:u w:val="single"/>
        </w:rPr>
        <w:t>Remuneração</w:t>
      </w:r>
      <w:r w:rsidR="00973E47" w:rsidRPr="00F6090E">
        <w:t xml:space="preserve">: </w:t>
      </w:r>
      <w:bookmarkStart w:id="109"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10" w:name="_Hlk78384188"/>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r w:rsidR="005140FF" w:rsidRPr="00F6090E">
        <w:rPr>
          <w:szCs w:val="20"/>
        </w:rPr>
        <w:t>% (</w:t>
      </w:r>
      <w:r w:rsidR="002377DA" w:rsidRPr="002B3FAF">
        <w:rPr>
          <w:szCs w:val="20"/>
          <w:highlight w:val="yellow"/>
        </w:rPr>
        <w:t>[</w:t>
      </w:r>
      <w:r w:rsidR="002377DA" w:rsidRPr="002B3FAF">
        <w:rPr>
          <w:szCs w:val="20"/>
          <w:highlight w:val="yellow"/>
        </w:rPr>
        <w:sym w:font="Symbol" w:char="F0B7"/>
      </w:r>
      <w:r w:rsidR="002377DA" w:rsidRPr="002B3FAF">
        <w:rPr>
          <w:szCs w:val="20"/>
          <w:highlight w:val="yellow"/>
        </w:rPr>
        <w:t>]</w:t>
      </w:r>
      <w:bookmarkStart w:id="111" w:name="_Hlk98258877"/>
      <w:r w:rsidR="006D7FC1" w:rsidRPr="00D33BB1">
        <w:t xml:space="preserve"> por cento)</w:t>
      </w:r>
      <w:bookmarkEnd w:id="110"/>
      <w:r w:rsidR="006D7FC1" w:rsidRPr="00D33BB1">
        <w:t xml:space="preserve"> ao ano, base 252 (duzentos e cinquenta e dois) Dias Úteis,</w:t>
      </w:r>
      <w:bookmarkEnd w:id="111"/>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Dias Úteis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09"/>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02"/>
      <w:bookmarkEnd w:id="103"/>
      <w:bookmarkEnd w:id="104"/>
      <w:r w:rsidR="0089627A" w:rsidRPr="00F6090E">
        <w:t xml:space="preserve"> </w:t>
      </w:r>
    </w:p>
    <w:p w14:paraId="7AD8735F" w14:textId="0FA86A5E" w:rsidR="00EB77BD" w:rsidRPr="00F6090E" w:rsidRDefault="00EB77BD" w:rsidP="00E33E60">
      <w:pPr>
        <w:pStyle w:val="Level3"/>
      </w:pPr>
      <w:bookmarkStart w:id="112" w:name="_Ref286330516"/>
      <w:bookmarkStart w:id="113" w:name="_Ref286331549"/>
      <w:bookmarkStart w:id="114" w:name="_Ref286154048"/>
      <w:bookmarkEnd w:id="87"/>
      <w:bookmarkEnd w:id="88"/>
      <w:bookmarkEnd w:id="89"/>
      <w:bookmarkEnd w:id="91"/>
      <w:bookmarkEnd w:id="105"/>
      <w:bookmarkEnd w:id="106"/>
      <w:bookmarkEnd w:id="107"/>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Dias Úteis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77777777" w:rsidR="00EE7DDD" w:rsidRPr="00F6090E" w:rsidRDefault="00EE7DDD" w:rsidP="00EE7DD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F6090E" w:rsidRDefault="00B73F64" w:rsidP="001F0DDF">
      <w:pPr>
        <w:pStyle w:val="Body"/>
        <w:ind w:left="1361"/>
      </w:pPr>
      <w:r w:rsidRPr="00F6090E">
        <w:t xml:space="preserve">Onde: </w:t>
      </w:r>
    </w:p>
    <w:p w14:paraId="01CA5A7D" w14:textId="77777777" w:rsidR="00EB77BD" w:rsidRPr="00F6090E" w:rsidRDefault="00EB77BD" w:rsidP="00647865">
      <w:pPr>
        <w:pStyle w:val="Body"/>
        <w:ind w:left="1361"/>
      </w:pPr>
      <w:r w:rsidRPr="00F6090E">
        <w:t xml:space="preserve">taxa = </w:t>
      </w:r>
      <w:r w:rsidR="005D2E60" w:rsidRPr="006867A5">
        <w:rPr>
          <w:szCs w:val="20"/>
          <w:highlight w:val="yellow"/>
        </w:rPr>
        <w:t>[</w:t>
      </w:r>
      <w:r w:rsidR="005D2E60" w:rsidRPr="006867A5">
        <w:rPr>
          <w:szCs w:val="20"/>
          <w:highlight w:val="yellow"/>
        </w:rPr>
        <w:sym w:font="Symbol" w:char="F0B7"/>
      </w:r>
      <w:r w:rsidR="005D2E60" w:rsidRPr="006867A5">
        <w:rPr>
          <w:szCs w:val="20"/>
          <w:highlight w:val="yellow"/>
        </w:rPr>
        <w:t>]</w:t>
      </w:r>
      <w:r w:rsidR="008F36E9" w:rsidRPr="00F6090E">
        <w:t>;</w:t>
      </w:r>
    </w:p>
    <w:p w14:paraId="70D11285" w14:textId="5E964E83" w:rsidR="001C4893" w:rsidRPr="00F6090E" w:rsidRDefault="008856B6" w:rsidP="00647865">
      <w:pPr>
        <w:pStyle w:val="Body"/>
        <w:ind w:left="1361"/>
      </w:pPr>
      <w:r w:rsidRPr="00F6090E">
        <w:t>d</w:t>
      </w:r>
      <w:r w:rsidR="001C4893" w:rsidRPr="00F6090E">
        <w:t>up</w:t>
      </w:r>
      <w:r w:rsidR="00A04F95" w:rsidRPr="00F6090E">
        <w:t xml:space="preserve"> = </w:t>
      </w:r>
      <w:r w:rsidR="00BF7335" w:rsidRPr="00F6090E">
        <w:t>conforme definido acima</w:t>
      </w:r>
      <w:r w:rsidR="00C0464D" w:rsidRPr="00F6090E">
        <w:t>;</w:t>
      </w:r>
    </w:p>
    <w:p w14:paraId="3E76CDA9" w14:textId="0E9E2189" w:rsidR="00B73F64" w:rsidRDefault="00B73F64" w:rsidP="00647865">
      <w:pPr>
        <w:pStyle w:val="Body"/>
        <w:ind w:left="1361"/>
      </w:pPr>
      <w:r w:rsidRPr="00F6090E">
        <w:lastRenderedPageBreak/>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5" w:name="_DV_M80"/>
      <w:bookmarkStart w:id="116" w:name="_DV_M81"/>
      <w:bookmarkStart w:id="117" w:name="_DV_M195"/>
      <w:bookmarkStart w:id="118" w:name="_Toc499990356"/>
      <w:bookmarkEnd w:id="76"/>
      <w:bookmarkEnd w:id="108"/>
      <w:bookmarkEnd w:id="112"/>
      <w:bookmarkEnd w:id="113"/>
      <w:bookmarkEnd w:id="114"/>
      <w:bookmarkEnd w:id="115"/>
      <w:bookmarkEnd w:id="116"/>
      <w:bookmarkEnd w:id="117"/>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19" w:name="_Ref534176584"/>
      <w:bookmarkEnd w:id="80"/>
      <w:bookmarkEnd w:id="90"/>
    </w:p>
    <w:p w14:paraId="44C0F747" w14:textId="4C3241DA" w:rsidR="00D83475" w:rsidRPr="00F6090E" w:rsidRDefault="00087C40" w:rsidP="00D83475">
      <w:pPr>
        <w:pStyle w:val="Level2"/>
      </w:pPr>
      <w:bookmarkStart w:id="120" w:name="_Ref85716376"/>
      <w:bookmarkStart w:id="121" w:name="_Ref73994132"/>
      <w:bookmarkStart w:id="122" w:name="_Ref72745076"/>
      <w:bookmarkStart w:id="123" w:name="_Ref77212517"/>
      <w:bookmarkStart w:id="124" w:name="_Hlk85038001"/>
      <w:r>
        <w:rPr>
          <w:u w:val="single"/>
        </w:rPr>
        <w:t>[</w:t>
      </w:r>
      <w:r w:rsidR="007E4ADA" w:rsidRPr="00F6090E">
        <w:rPr>
          <w:u w:val="single"/>
        </w:rPr>
        <w:t>Amortização Extraordinária Obrigatória</w:t>
      </w:r>
      <w:r w:rsidR="007E4ADA"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observado o limite de 98,00% (noventa e oito por cento) do Valor Nominal Unitário ou do saldo do Valor Nominal Unitário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9824B9">
        <w:t>5.28.3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0"/>
      <w:r w:rsidR="00A15560" w:rsidRPr="00F6090E">
        <w:t xml:space="preserve"> </w:t>
      </w:r>
    </w:p>
    <w:p w14:paraId="307AF735" w14:textId="5D6AB2C6" w:rsidR="00117912" w:rsidRPr="00F6090E" w:rsidRDefault="00117912" w:rsidP="00265917">
      <w:pPr>
        <w:pStyle w:val="Level3"/>
      </w:pPr>
      <w:r w:rsidRPr="00F6090E">
        <w:t xml:space="preserve">Caso o ICSD seja superior a 1,00x, será utilizado o excedente </w:t>
      </w:r>
      <w:r w:rsidR="00F0740A" w:rsidRPr="00F6090E">
        <w:t xml:space="preserve">dos Recebíveis </w:t>
      </w:r>
      <w:r w:rsidR="00CB0F18" w:rsidRPr="00F6090E">
        <w:t>para Amortização Extraordinária Obrigatória.</w:t>
      </w:r>
    </w:p>
    <w:p w14:paraId="6B14CA1F" w14:textId="40292108"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p>
    <w:p w14:paraId="2492724C" w14:textId="76589555" w:rsidR="008F544F" w:rsidRPr="00F6090E" w:rsidRDefault="00CB0F18" w:rsidP="00265917">
      <w:pPr>
        <w:pStyle w:val="Level3"/>
      </w:pPr>
      <w:bookmarkStart w:id="125" w:name="_Ref104911948"/>
      <w:r w:rsidRPr="00F6090E">
        <w:t xml:space="preserve">O </w:t>
      </w:r>
      <w:r w:rsidR="002B2CC7" w:rsidRPr="00F6090E">
        <w:t xml:space="preserve">ICSD será apurado </w:t>
      </w:r>
      <w:r w:rsidR="00F3500C">
        <w:t>semestralmente</w:t>
      </w:r>
      <w:r w:rsidR="007355F4">
        <w:t>,</w:t>
      </w:r>
      <w:r w:rsidR="00F3500C">
        <w:t xml:space="preserve"> nos</w:t>
      </w:r>
      <w:r w:rsidR="007355F4">
        <w:t xml:space="preserve"> </w:t>
      </w:r>
      <w:r w:rsidR="00F3500C">
        <w:t xml:space="preserve">meses de março e setembro, </w:t>
      </w:r>
      <w:r w:rsidR="007355F4">
        <w:t>a partir da ocorrência da Energização</w:t>
      </w:r>
      <w:r w:rsidR="007355F4" w:rsidRPr="00AE2E44">
        <w:t xml:space="preserve"> </w:t>
      </w:r>
      <w:r w:rsidR="007355F4">
        <w:t>d</w:t>
      </w:r>
      <w:r w:rsidR="00FD7DFB">
        <w:t>e</w:t>
      </w:r>
      <w:r w:rsidR="007355F4">
        <w:t xml:space="preserve"> </w:t>
      </w:r>
      <w:r w:rsidR="00FD7DFB">
        <w:t xml:space="preserve">todos os </w:t>
      </w:r>
      <w:r w:rsidR="007355F4">
        <w:t>Empreendimentos Alvo,</w:t>
      </w:r>
      <w:r w:rsidR="002B2CC7" w:rsidRPr="00F6090E" w:rsidDel="00FC4D30">
        <w:t xml:space="preserve"> </w:t>
      </w:r>
      <w:r w:rsidR="002B2CC7" w:rsidRPr="00F6090E">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rsidRPr="00F6090E">
        <w:t xml:space="preserve">2 </w:t>
      </w:r>
      <w:r w:rsidR="002B2CC7" w:rsidRPr="00F6090E">
        <w:t>(</w:t>
      </w:r>
      <w:r w:rsidR="003B33F2" w:rsidRPr="00F6090E">
        <w:t>dois</w:t>
      </w:r>
      <w:r w:rsidR="002B2CC7" w:rsidRPr="00F6090E">
        <w:t>) Dia</w:t>
      </w:r>
      <w:r w:rsidR="003B33F2" w:rsidRPr="00F6090E">
        <w:t>s</w:t>
      </w:r>
      <w:r w:rsidR="002B2CC7" w:rsidRPr="00F6090E">
        <w:t xml:space="preserve"> </w:t>
      </w:r>
      <w:r w:rsidR="003B33F2" w:rsidRPr="00F6090E">
        <w:t xml:space="preserve">Úteis </w:t>
      </w:r>
      <w:r w:rsidR="002B2CC7" w:rsidRPr="00F6090E">
        <w:t>contado</w:t>
      </w:r>
      <w:r w:rsidR="003B33F2" w:rsidRPr="00F6090E">
        <w:t>s</w:t>
      </w:r>
      <w:r w:rsidR="002B2CC7" w:rsidRPr="00F6090E">
        <w:t xml:space="preserve"> a partir da realização da validação, acerca do resultado de tal apuração</w:t>
      </w:r>
      <w:r w:rsidR="000B764B" w:rsidRPr="00F6090E">
        <w:t xml:space="preserve">, devendo a Amortização Extraordinária Obrigatória, se o caso, ocorrer no prazo de </w:t>
      </w:r>
      <w:r w:rsidR="000F79B8" w:rsidRPr="00F6090E">
        <w:t>60 (sessenta</w:t>
      </w:r>
      <w:r w:rsidR="000B764B" w:rsidRPr="00F6090E">
        <w:t>) dias contados da comunicação ao Agente Fiduciário</w:t>
      </w:r>
      <w:r w:rsidR="00FE470E">
        <w:t xml:space="preserve"> dos CRI</w:t>
      </w:r>
      <w:r w:rsidR="002B2CC7" w:rsidRPr="00F6090E">
        <w:t xml:space="preserve">. </w:t>
      </w:r>
      <w:r w:rsidR="002B2CC7" w:rsidRPr="0087789B">
        <w:t xml:space="preserve">As Partes estabelecem que para fins da Amortização Extraordinária Obrigatória, a primeira apuração do ICSD deverá ocorrer no dia </w:t>
      </w:r>
      <w:r w:rsidR="002377DA" w:rsidRPr="0087789B">
        <w:t>[</w:t>
      </w:r>
      <w:r w:rsidR="002377DA" w:rsidRPr="0087789B">
        <w:sym w:font="Symbol" w:char="F0B7"/>
      </w:r>
      <w:r w:rsidR="002377DA" w:rsidRPr="0087789B">
        <w:t xml:space="preserve">] </w:t>
      </w:r>
      <w:r w:rsidR="002B2CC7" w:rsidRPr="0087789B">
        <w:t xml:space="preserve">de </w:t>
      </w:r>
      <w:r w:rsidR="002377DA" w:rsidRPr="0087789B">
        <w:t>[</w:t>
      </w:r>
      <w:r w:rsidR="002377DA" w:rsidRPr="0087789B">
        <w:sym w:font="Symbol" w:char="F0B7"/>
      </w:r>
      <w:r w:rsidR="002377DA" w:rsidRPr="0087789B">
        <w:t xml:space="preserve">] </w:t>
      </w:r>
      <w:r w:rsidR="002B2CC7" w:rsidRPr="0087789B">
        <w:t xml:space="preserve">de </w:t>
      </w:r>
      <w:r w:rsidR="002377DA" w:rsidRPr="0087789B">
        <w:t>20[</w:t>
      </w:r>
      <w:r w:rsidR="002377DA" w:rsidRPr="0087789B">
        <w:sym w:font="Symbol" w:char="F0B7"/>
      </w:r>
      <w:r w:rsidR="002377DA" w:rsidRPr="0087789B">
        <w:t>]</w:t>
      </w:r>
      <w:r w:rsidR="008F544F" w:rsidRPr="0087789B">
        <w:t xml:space="preserve">, e as demais deverão ocorrer nos </w:t>
      </w:r>
      <w:r w:rsidR="009479C7" w:rsidRPr="0087789B">
        <w:t xml:space="preserve">períodos </w:t>
      </w:r>
      <w:r w:rsidR="008F544F" w:rsidRPr="0087789B">
        <w:t>subsequentes:</w:t>
      </w:r>
      <w:bookmarkEnd w:id="125"/>
      <w:r w:rsidR="008F544F" w:rsidRPr="00F6090E">
        <w:t xml:space="preserve"> </w:t>
      </w:r>
      <w:r w:rsidR="007A60D6" w:rsidRPr="007A60D6">
        <w:rPr>
          <w:b/>
          <w:bCs/>
          <w:highlight w:val="yellow"/>
        </w:rPr>
        <w:t xml:space="preserve">[Nota Lefosse: A data da primeira apuração do ICSD será preenchida com base na data </w:t>
      </w:r>
      <w:r w:rsidR="00E06F48">
        <w:rPr>
          <w:b/>
          <w:bCs/>
          <w:highlight w:val="yellow"/>
        </w:rPr>
        <w:t>limite para</w:t>
      </w:r>
      <w:r w:rsidR="007A60D6" w:rsidRPr="007A60D6">
        <w:rPr>
          <w:b/>
          <w:bCs/>
          <w:highlight w:val="yellow"/>
        </w:rPr>
        <w:t xml:space="preserve"> Energização.</w:t>
      </w:r>
      <w:r w:rsidR="00F3500C">
        <w:rPr>
          <w:b/>
          <w:bCs/>
          <w:highlight w:val="yellow"/>
        </w:rPr>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3E9470C8" w:rsidR="008F544F" w:rsidRPr="00F6090E" w:rsidRDefault="008F544F" w:rsidP="00E65CAA">
      <w:pPr>
        <w:pStyle w:val="Level4"/>
        <w:numPr>
          <w:ilvl w:val="0"/>
          <w:numId w:val="0"/>
        </w:numPr>
        <w:ind w:left="2041"/>
      </w:pPr>
      <w:r w:rsidRPr="00F6090E">
        <w:t xml:space="preserve">ICSD = Fluxo de Caixa Disponível / (Amortizações Programadas + pagamento da Remuneração). </w:t>
      </w:r>
    </w:p>
    <w:p w14:paraId="6BF7FCCA" w14:textId="02F994FD" w:rsidR="008F544F" w:rsidRPr="00F6090E" w:rsidRDefault="008F544F" w:rsidP="00E65CAA">
      <w:pPr>
        <w:pStyle w:val="Level4"/>
        <w:numPr>
          <w:ilvl w:val="0"/>
          <w:numId w:val="0"/>
        </w:numPr>
        <w:ind w:left="2041"/>
      </w:pPr>
      <w:r w:rsidRPr="00F6090E">
        <w:t>Fluxo de Caixa Disponível = (EBITDA</w:t>
      </w:r>
      <w:r w:rsidR="00CB2CF4">
        <w:t xml:space="preserve"> + Caixa e Equivalentes de Caixa</w:t>
      </w:r>
      <w:r w:rsidRPr="00F6090E">
        <w:t xml:space="preserve"> – CAPEX - IRCSLL). </w:t>
      </w:r>
    </w:p>
    <w:p w14:paraId="23A9B1E4" w14:textId="2312676F" w:rsidR="008F544F" w:rsidRDefault="008F544F" w:rsidP="00E65CAA">
      <w:pPr>
        <w:pStyle w:val="Level4"/>
        <w:numPr>
          <w:ilvl w:val="0"/>
          <w:numId w:val="0"/>
        </w:numPr>
        <w:ind w:left="2041"/>
      </w:pPr>
      <w:r w:rsidRPr="00F6090E">
        <w:lastRenderedPageBreak/>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77777777" w:rsidR="008F544F" w:rsidRPr="00F6090E" w:rsidRDefault="008F544F" w:rsidP="00E65CAA">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6A547AC7" w14:textId="436CB191"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r w:rsidR="009161C7">
        <w:t>]</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21"/>
      <w:bookmarkEnd w:id="122"/>
      <w:bookmarkEnd w:id="123"/>
    </w:p>
    <w:bookmarkEnd w:id="118"/>
    <w:bookmarkEnd w:id="124"/>
    <w:p w14:paraId="3F9DAB6E" w14:textId="252653D2"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desde que a energização dos Empreendimentos Alvo tenha se efetivado,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 xml:space="preserve">não vier a ser validado pela Debenturista, os procedimentos descritos acima deverão ser repetidos até que </w:t>
      </w:r>
      <w:r w:rsidRPr="00F6090E">
        <w:lastRenderedPageBreak/>
        <w:t>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26"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pro rata temporis</w:t>
      </w:r>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(iv)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26"/>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27" w:name="_Ref84237991"/>
      <w:bookmarkStart w:id="128" w:name="_Hlk85037983"/>
    </w:p>
    <w:p w14:paraId="54C89BF3" w14:textId="6E9004FB" w:rsidR="00D5067C" w:rsidRDefault="00D5067C" w:rsidP="00D5067C">
      <w:pPr>
        <w:pStyle w:val="Level3"/>
      </w:pPr>
      <w:r>
        <w:rPr>
          <w:noProof/>
        </w:rPr>
        <w:drawing>
          <wp:anchor distT="0" distB="0" distL="0" distR="0" simplePos="0" relativeHeight="251656704" behindDoc="0" locked="0" layoutInCell="1" allowOverlap="1" wp14:anchorId="4E70E86A" wp14:editId="3E0589CC">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E100E18" w14:textId="77777777"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r w:rsidRPr="00D5067C">
        <w:rPr>
          <w:b/>
          <w:bCs/>
        </w:rPr>
        <w:t>Fj</w:t>
      </w:r>
      <w:r w:rsidRPr="00A20FC4">
        <w:t xml:space="preserve"> = cada parte do fluxo de pagamento dos CRI;</w:t>
      </w:r>
    </w:p>
    <w:p w14:paraId="586D992D" w14:textId="77777777" w:rsidR="00E262FB" w:rsidRDefault="00D5067C" w:rsidP="00D5067C">
      <w:pPr>
        <w:pStyle w:val="Body"/>
        <w:ind w:left="1361"/>
      </w:pPr>
      <w:r w:rsidRPr="00D5067C">
        <w:rPr>
          <w:b/>
          <w:bCs/>
        </w:rPr>
        <w:t>dj</w:t>
      </w:r>
      <w:r w:rsidRPr="00A20FC4">
        <w:t xml:space="preserve"> = dias úteis a decorrer (da data de cálculo do PMP até a data de cada pagamento); </w:t>
      </w:r>
    </w:p>
    <w:p w14:paraId="78BBB734" w14:textId="07C1C984" w:rsidR="00D5067C" w:rsidRPr="00A20FC4" w:rsidRDefault="00D5067C" w:rsidP="00D5067C">
      <w:pPr>
        <w:pStyle w:val="Body"/>
        <w:ind w:left="1361"/>
      </w:pPr>
      <w:r w:rsidRPr="00E262FB">
        <w:rPr>
          <w:b/>
          <w:bCs/>
        </w:rPr>
        <w:t>i</w:t>
      </w:r>
      <w:r w:rsidRPr="00A20FC4">
        <w:t xml:space="preserve"> = </w:t>
      </w:r>
      <w:r w:rsidRPr="00A20FC4">
        <w:rPr>
          <w:highlight w:val="yellow"/>
        </w:rPr>
        <w:t>[*]</w:t>
      </w:r>
      <w:r w:rsidRPr="00A20FC4">
        <w:t xml:space="preserve"> 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27"/>
      <w:r w:rsidR="002C173F">
        <w:t xml:space="preserve"> </w:t>
      </w:r>
    </w:p>
    <w:p w14:paraId="79F8147D" w14:textId="28DDBEEF" w:rsidR="00A52056" w:rsidRPr="00F6090E" w:rsidRDefault="00A52056" w:rsidP="00A52056">
      <w:pPr>
        <w:pStyle w:val="Level2"/>
      </w:pPr>
      <w:bookmarkStart w:id="129" w:name="_Ref84238127"/>
      <w:r w:rsidRPr="00F6090E">
        <w:lastRenderedPageBreak/>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29"/>
      <w:r w:rsidR="005B6DA4">
        <w:t xml:space="preserve"> </w:t>
      </w:r>
    </w:p>
    <w:bookmarkEnd w:id="128"/>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30"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0"/>
    </w:p>
    <w:p w14:paraId="5533F206" w14:textId="34EC9749" w:rsidR="00881601" w:rsidRPr="00F6090E" w:rsidRDefault="00973E47" w:rsidP="009C2CDB">
      <w:pPr>
        <w:pStyle w:val="Level2"/>
      </w:pPr>
      <w:bookmarkStart w:id="131"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2" w:name="_Ref279851957"/>
      <w:bookmarkEnd w:id="131"/>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2"/>
    </w:p>
    <w:p w14:paraId="31758AD3" w14:textId="0C9119AA" w:rsidR="00A63B80" w:rsidRPr="00F6090E" w:rsidRDefault="00973E47" w:rsidP="009C2CDB">
      <w:pPr>
        <w:pStyle w:val="Level2"/>
      </w:pPr>
      <w:bookmarkStart w:id="133"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19"/>
    </w:p>
    <w:p w14:paraId="23DB8120" w14:textId="33601783" w:rsidR="00103955" w:rsidRPr="00F6090E" w:rsidRDefault="00716B5E" w:rsidP="00647865">
      <w:pPr>
        <w:pStyle w:val="Level2"/>
      </w:pPr>
      <w:bookmarkStart w:id="134" w:name="_Ref457475238"/>
      <w:bookmarkStart w:id="135"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w:t>
      </w:r>
      <w:r w:rsidRPr="00F6090E">
        <w:lastRenderedPageBreak/>
        <w:t>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3"/>
    </w:p>
    <w:p w14:paraId="3591A648" w14:textId="3A395AA5" w:rsidR="00EB76D8" w:rsidRPr="00F6090E" w:rsidRDefault="00EB76D8" w:rsidP="00CC3DEE">
      <w:pPr>
        <w:pStyle w:val="Level3"/>
      </w:pPr>
      <w:bookmarkStart w:id="136" w:name="_Ref64478153"/>
      <w:bookmarkStart w:id="137"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 xml:space="preserve">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w:t>
      </w:r>
      <w:r w:rsidRPr="00F6090E">
        <w:lastRenderedPageBreak/>
        <w:t>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138" w:name="_Ref31847986"/>
      <w:bookmarkStart w:id="139" w:name="_Ref80864086"/>
      <w:bookmarkStart w:id="140" w:name="_Ref244087124"/>
      <w:bookmarkStart w:id="141" w:name="_Ref32256871"/>
      <w:bookmarkStart w:id="142" w:name="_Ref31847991"/>
      <w:bookmarkStart w:id="143" w:name="_Ref66996171"/>
      <w:bookmarkEnd w:id="134"/>
      <w:bookmarkEnd w:id="135"/>
      <w:bookmarkEnd w:id="136"/>
      <w:bookmarkEnd w:id="137"/>
      <w:r w:rsidRPr="00F6090E">
        <w:rPr>
          <w:u w:val="single"/>
        </w:rPr>
        <w:t>Garantia Fidejussória</w:t>
      </w:r>
      <w:bookmarkEnd w:id="138"/>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44"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44"/>
      <w:r w:rsidRPr="00F6090E">
        <w:t xml:space="preserve">: </w:t>
      </w:r>
      <w:bookmarkStart w:id="145"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45"/>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46"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 xml:space="preserve">exigir tais valores e/ou demandar da Emissora, assim como somente executar os </w:t>
      </w:r>
      <w:r w:rsidRPr="00F6090E">
        <w:lastRenderedPageBreak/>
        <w:t>Contrato de Cessão Fiduciária de Recebíveis, após a Debenturista ter recebido, integralmente, sem qualquer Ônus, os valores devidos para quitação integral das Obrigações Garantidas.</w:t>
      </w:r>
      <w:bookmarkEnd w:id="146"/>
    </w:p>
    <w:p w14:paraId="11FA0010" w14:textId="0972FE29" w:rsidR="00087C40" w:rsidRPr="00F6090E" w:rsidRDefault="00087C40" w:rsidP="00087C40">
      <w:pPr>
        <w:pStyle w:val="Level3"/>
      </w:pPr>
      <w:bookmarkStart w:id="147"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47"/>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6B122C58"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9824B9">
        <w:t>5.38.10</w:t>
      </w:r>
      <w:r w:rsidRPr="00F6090E">
        <w:fldChar w:fldCharType="end"/>
      </w:r>
      <w:r w:rsidRPr="00F6090E">
        <w:t xml:space="preserve"> abaixo, a Fiança outorgada pela Fiadora será resolvida de pleno direito. </w:t>
      </w:r>
    </w:p>
    <w:p w14:paraId="45746D22" w14:textId="19E85CC5" w:rsidR="00AA2CF7" w:rsidRPr="00E44DFF" w:rsidRDefault="00837739" w:rsidP="00AA2CF7">
      <w:pPr>
        <w:pStyle w:val="Level3"/>
      </w:pPr>
      <w:bookmarkStart w:id="148" w:name="_Ref106212022"/>
      <w:bookmarkStart w:id="149" w:name="_Ref35958331"/>
      <w:bookmarkStart w:id="150" w:name="_Hlk85623066"/>
      <w:r>
        <w:t>A implementação das Condições para Liberação da Fiança RZK Energia</w:t>
      </w:r>
      <w:r w:rsidR="00411264" w:rsidRPr="00E44DFF">
        <w:t xml:space="preserve"> </w:t>
      </w:r>
      <w:r w:rsidR="00411264" w:rsidRPr="001D1190">
        <w:t>deverá ser comunicado pela Emissora ao Agente Fiduciário,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AA2CF7" w:rsidRPr="00E44DFF">
        <w:t>:</w:t>
      </w:r>
      <w:bookmarkEnd w:id="148"/>
    </w:p>
    <w:p w14:paraId="69F1CDC6" w14:textId="0DE7ADBF" w:rsidR="00AA2CF7" w:rsidRDefault="00AA2CF7" w:rsidP="00AA2CF7">
      <w:pPr>
        <w:pStyle w:val="Level4"/>
      </w:pPr>
      <w:r w:rsidRPr="00E44DFF">
        <w:t>o ICSD, a ser apurado com base nas demonstrações financeiras auditadas da Emissora, ser igual ou superior 1,20x</w:t>
      </w:r>
      <w:r w:rsidR="0051488E">
        <w:t xml:space="preserve"> </w:t>
      </w:r>
      <w:r w:rsidR="001B40D6">
        <w:t xml:space="preserve">por um período de 4 (quatro) trimestres consecutivos </w:t>
      </w:r>
      <w:r w:rsidR="0051488E">
        <w:t xml:space="preserve">após a </w:t>
      </w:r>
      <w:r w:rsidR="001B40D6">
        <w:t>energização dos Empreendimentos Alvo</w:t>
      </w:r>
      <w:r w:rsidRPr="00E44DFF">
        <w:t>;</w:t>
      </w:r>
    </w:p>
    <w:p w14:paraId="45819130" w14:textId="77777777" w:rsidR="001B40D6" w:rsidRDefault="001B40D6" w:rsidP="001B40D6">
      <w:pPr>
        <w:pStyle w:val="Level4"/>
      </w:pPr>
      <w:r>
        <w:t xml:space="preserve">a </w:t>
      </w:r>
      <w:r w:rsidRPr="00EF0423">
        <w:t>partir da 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r w:rsidRPr="00203D1F">
        <w:rPr>
          <w:highlight w:val="yellow"/>
        </w:rPr>
        <w:t>[</w:t>
      </w:r>
      <w:r>
        <w:rPr>
          <w:highlight w:val="yellow"/>
        </w:rPr>
        <w:sym w:font="Symbol" w:char="F0B7"/>
      </w:r>
      <w:r w:rsidRPr="00203D1F">
        <w:rPr>
          <w:highlight w:val="yellow"/>
        </w:rPr>
        <w:t>]</w:t>
      </w:r>
      <w:r>
        <w:t xml:space="preserve">; </w:t>
      </w:r>
    </w:p>
    <w:p w14:paraId="6F71DEAE" w14:textId="4BEB1E76" w:rsidR="00CB1EBD" w:rsidRDefault="00CB1EBD" w:rsidP="00CB1EBD">
      <w:pPr>
        <w:pStyle w:val="Level4"/>
      </w:pPr>
      <w:r>
        <w:t>o ICSD, a ser apurado anualmente com base nas demonstrações financeiras auditadas da Emissora, ser igual ou superior 1,20x;</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79F95FF1" w:rsidR="00E33E60" w:rsidRPr="00E44DFF" w:rsidRDefault="00FA4C05" w:rsidP="00AA2CF7">
      <w:pPr>
        <w:pStyle w:val="Level4"/>
      </w:pPr>
      <w:r>
        <w:t>a comprovação de que ao menos 20% (vinte por cento) das Obrigações Garantidas já foram adimplidas pela Emissora;</w:t>
      </w:r>
    </w:p>
    <w:p w14:paraId="1CF6F376" w14:textId="15B48518"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9824B9">
        <w:t>5.11.1</w:t>
      </w:r>
      <w:r w:rsidRPr="00E44DFF">
        <w:fldChar w:fldCharType="end"/>
      </w:r>
      <w:r w:rsidRPr="00E44DFF">
        <w:t xml:space="preserve"> acima, todas devidamente acompanhadas </w:t>
      </w:r>
      <w:r w:rsidRPr="00E44DFF">
        <w:lastRenderedPageBreak/>
        <w:t>dos respectivos documentos comprobatórios da quitação do prêmio devido e/ou declaração de quitação do prêmio emitida pela respectiva seguradora;</w:t>
      </w:r>
      <w:r w:rsidR="009479C7">
        <w:t xml:space="preserve"> e </w:t>
      </w:r>
    </w:p>
    <w:p w14:paraId="59D5B2A9" w14:textId="0CE94F0D" w:rsidR="009479C7" w:rsidRPr="00E44DFF" w:rsidRDefault="009479C7" w:rsidP="00AA2CF7">
      <w:pPr>
        <w:pStyle w:val="Level4"/>
      </w:pPr>
      <w:r>
        <w:rPr>
          <w:szCs w:val="20"/>
        </w:rPr>
        <w:t>obtenção da Anuência Cliente (conforme definido no Contrato de Cessão Fiduciária de Recebíveis).</w:t>
      </w:r>
      <w:r w:rsidR="00CB1EBD">
        <w:rPr>
          <w:szCs w:val="20"/>
        </w:rPr>
        <w:t xml:space="preserve"> </w:t>
      </w:r>
      <w:r w:rsidR="00CB1EBD" w:rsidRPr="0087789B">
        <w:rPr>
          <w:b/>
          <w:bCs/>
          <w:szCs w:val="20"/>
          <w:highlight w:val="yellow"/>
        </w:rPr>
        <w:t>[Nota RZK: Item sob validação da Companhia.]</w:t>
      </w:r>
    </w:p>
    <w:bookmarkEnd w:id="139"/>
    <w:bookmarkEnd w:id="140"/>
    <w:bookmarkEnd w:id="141"/>
    <w:bookmarkEnd w:id="149"/>
    <w:bookmarkEnd w:id="150"/>
    <w:p w14:paraId="788572E4" w14:textId="6D8A4CC2" w:rsidR="00C674BC" w:rsidRDefault="00C674BC" w:rsidP="006C4363">
      <w:pPr>
        <w:pStyle w:val="Level3"/>
      </w:pPr>
      <w:r>
        <w:t xml:space="preserve">Caso, após a Liberação da Fiança RZK Energia, haja qualquer reorganização societária da RZK Energia, desde que não seja </w:t>
      </w:r>
      <w:r w:rsidRPr="00F6090E">
        <w:t xml:space="preserve">previamente autorizado pela Debenturista, </w:t>
      </w:r>
      <w:r w:rsidRPr="00B55DF9">
        <w:rPr>
          <w:rFonts w:eastAsia="Arial Unicode MS"/>
          <w:w w:val="0"/>
        </w:rPr>
        <w:t>conforme orientação deliberada pelos Titulares de CRI, após a realização de uma assembleia geral de Titulares de CRI</w:t>
      </w:r>
      <w:r>
        <w:rPr>
          <w:szCs w:val="20"/>
        </w:rPr>
        <w:t xml:space="preserve">, </w:t>
      </w:r>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quitação integral das Obrigações Garantidas.</w:t>
      </w:r>
    </w:p>
    <w:p w14:paraId="235FD5E4" w14:textId="4CF545D9" w:rsidR="006C4363" w:rsidRPr="00F6090E" w:rsidRDefault="006C4363" w:rsidP="006C4363">
      <w:pPr>
        <w:pStyle w:val="Level3"/>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r w:rsidRPr="00F6090E">
        <w:t xml:space="preserve">, observado que, uma vez </w:t>
      </w:r>
      <w:r>
        <w:t xml:space="preserve">comunicado à Securitizadora, por qualquer das Fiadoras, a referida condição, </w:t>
      </w:r>
      <w:r w:rsidRPr="00F6090E">
        <w:t xml:space="preserve">a Fiança </w:t>
      </w:r>
      <w:r>
        <w:t xml:space="preserve">outorgada pelo Grupo Rezek </w:t>
      </w:r>
      <w:r w:rsidRPr="00F6090E">
        <w:t xml:space="preserve">será resolvida de pleno direito. </w:t>
      </w:r>
    </w:p>
    <w:p w14:paraId="202D6863" w14:textId="3A98168D" w:rsidR="00FB5360" w:rsidRDefault="00430D75" w:rsidP="008F120D">
      <w:pPr>
        <w:pStyle w:val="Level2"/>
      </w:pPr>
      <w:r w:rsidRPr="00F6090E">
        <w:rPr>
          <w:u w:val="single"/>
        </w:rPr>
        <w:t>Garantia Rea</w:t>
      </w:r>
      <w:bookmarkStart w:id="151" w:name="_Ref521440061"/>
      <w:bookmarkEnd w:id="142"/>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2" w:name="_Ref34693743"/>
      <w:bookmarkEnd w:id="151"/>
    </w:p>
    <w:p w14:paraId="41F14A1A" w14:textId="6DAFA0A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(ii)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[Nota Lefosse: A ser ajustado conforme definição em Contrato de Cessão Fiduciária.]</w:t>
      </w:r>
    </w:p>
    <w:p w14:paraId="6A10E370" w14:textId="7625E4DC" w:rsidR="005A35A7" w:rsidRDefault="00976EA3" w:rsidP="00976EA3">
      <w:pPr>
        <w:pStyle w:val="Level4"/>
        <w:tabs>
          <w:tab w:val="clear" w:pos="2041"/>
          <w:tab w:val="num" w:pos="1361"/>
        </w:tabs>
        <w:ind w:left="1360"/>
      </w:pPr>
      <w:r w:rsidRPr="00976EA3">
        <w:t xml:space="preserve">alienação fiduciária, em caráter irrevogável e irretratável, pela RZK Energia, em favor da Debenturista, de 100% (cem por cento) das ações de emissão da </w:t>
      </w:r>
      <w:r w:rsidRPr="00976EA3">
        <w:lastRenderedPageBreak/>
        <w:t>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33127EFB" w:rsidR="006F5B20" w:rsidRPr="00F6090E" w:rsidRDefault="00EF5E66" w:rsidP="00402FC5">
      <w:pPr>
        <w:pStyle w:val="Level2"/>
      </w:pPr>
      <w:bookmarkStart w:id="153" w:name="_Ref82534597"/>
      <w:bookmarkEnd w:id="143"/>
      <w:bookmarkEnd w:id="152"/>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3"/>
      <w:r w:rsidR="00D72EA0">
        <w:t xml:space="preserve"> </w:t>
      </w:r>
      <w:r w:rsidR="00D72EA0" w:rsidRPr="00323334">
        <w:rPr>
          <w:b/>
          <w:bCs/>
          <w:szCs w:val="20"/>
          <w:highlight w:val="yellow"/>
        </w:rPr>
        <w:t xml:space="preserve">[Nota </w:t>
      </w:r>
      <w:r w:rsidR="00D72EA0">
        <w:rPr>
          <w:b/>
          <w:bCs/>
          <w:szCs w:val="20"/>
          <w:highlight w:val="yellow"/>
        </w:rPr>
        <w:t>Lefosse</w:t>
      </w:r>
      <w:r w:rsidR="00D72EA0" w:rsidRPr="00323334">
        <w:rPr>
          <w:b/>
          <w:bCs/>
          <w:szCs w:val="20"/>
          <w:highlight w:val="yellow"/>
        </w:rPr>
        <w:t xml:space="preserve">: </w:t>
      </w:r>
      <w:r w:rsidR="00D72EA0">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w:t>
      </w:r>
      <w:r w:rsidRPr="00F6090E">
        <w:lastRenderedPageBreak/>
        <w:t xml:space="preserve">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4" w:name="_Ref66121734"/>
    </w:p>
    <w:p w14:paraId="380C455A" w14:textId="115EF75F" w:rsidR="00973E47" w:rsidRPr="00F6090E" w:rsidRDefault="009155AE" w:rsidP="00EF5E66">
      <w:pPr>
        <w:pStyle w:val="Level2"/>
      </w:pPr>
      <w:bookmarkStart w:id="155" w:name="_Ref23543361"/>
      <w:bookmarkStart w:id="156" w:name="_Ref392008548"/>
      <w:bookmarkStart w:id="157" w:name="_Ref534176672"/>
      <w:bookmarkStart w:id="158"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9824B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9824B9">
        <w:t>6.1.2</w:t>
      </w:r>
      <w:r w:rsidR="0033210E" w:rsidRPr="00F6090E">
        <w:fldChar w:fldCharType="end"/>
      </w:r>
      <w:r w:rsidRPr="00F6090E">
        <w:t xml:space="preserve"> abaixo (cada uma, um “</w:t>
      </w:r>
      <w:r w:rsidRPr="00F6090E">
        <w:rPr>
          <w:b/>
        </w:rPr>
        <w:t>Evento de Vencimento Antecipado</w:t>
      </w:r>
      <w:bookmarkEnd w:id="155"/>
      <w:bookmarkEnd w:id="156"/>
      <w:r w:rsidRPr="00F6090E">
        <w:t>”)</w:t>
      </w:r>
      <w:bookmarkEnd w:id="157"/>
      <w:r w:rsidR="00973E47" w:rsidRPr="00F6090E">
        <w:t>.</w:t>
      </w:r>
      <w:bookmarkEnd w:id="158"/>
      <w:r w:rsidR="006742D2">
        <w:t xml:space="preserve"> </w:t>
      </w:r>
    </w:p>
    <w:p w14:paraId="64CDE9AF" w14:textId="61B45933" w:rsidR="00973E47" w:rsidRPr="00F6090E" w:rsidRDefault="00D8162D">
      <w:pPr>
        <w:pStyle w:val="Level3"/>
      </w:pPr>
      <w:bookmarkStart w:id="159" w:name="_Ref356481657"/>
      <w:r w:rsidRPr="00F6090E">
        <w:rPr>
          <w:u w:val="single"/>
        </w:rPr>
        <w:t>Vencimento Antecipado Automático</w:t>
      </w:r>
      <w:r w:rsidRPr="00F6090E">
        <w:t xml:space="preserve">. </w:t>
      </w:r>
      <w:bookmarkStart w:id="160" w:name="_Ref416256173"/>
      <w:bookmarkStart w:id="161"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33210E" w:rsidRPr="00F6090E">
        <w:t xml:space="preserve"> </w:t>
      </w:r>
      <w:r w:rsidR="009155AE" w:rsidRPr="00F6090E">
        <w:t>abaixo</w:t>
      </w:r>
      <w:bookmarkEnd w:id="160"/>
      <w:bookmarkEnd w:id="161"/>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59"/>
    </w:p>
    <w:p w14:paraId="054BA095" w14:textId="2817B9EE" w:rsidR="00A9585D" w:rsidRPr="00F6090E" w:rsidRDefault="00A9585D" w:rsidP="0000177A">
      <w:pPr>
        <w:pStyle w:val="Level4"/>
      </w:pPr>
      <w:bookmarkStart w:id="162" w:name="_Hlk35950458"/>
      <w:r w:rsidRPr="00F6090E">
        <w:t>inadimplemento, pela Emissora</w:t>
      </w:r>
      <w:r w:rsidR="006C1C3D">
        <w:t xml:space="preserve"> </w:t>
      </w:r>
      <w:r w:rsidR="00304D50">
        <w:t>e pela</w:t>
      </w:r>
      <w:r w:rsidR="006C4363">
        <w:t>s</w:t>
      </w:r>
      <w:r w:rsidR="00304D50">
        <w:t xml:space="preserve"> Fiadora</w:t>
      </w:r>
      <w:r w:rsidR="006C4363">
        <w:t>s</w:t>
      </w:r>
      <w:r w:rsidRPr="00F6090E">
        <w:t>,</w:t>
      </w:r>
      <w:r w:rsidR="00304D50">
        <w:t xml:space="preserve"> conforme aplicável,</w:t>
      </w:r>
      <w:r w:rsidRPr="00F6090E">
        <w:t xml:space="preserve"> de qualquer obrigação pecuniária relativa às Debêntures prevista 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 </w:t>
      </w:r>
      <w:r w:rsidR="006700D2">
        <w:t>no Contrato de Alienação Fiduciária de Ações</w:t>
      </w:r>
      <w:r w:rsidRPr="00F6090E">
        <w:t xml:space="preserve"> na respectiva data de pagamento</w:t>
      </w:r>
      <w:r w:rsidR="0079345F">
        <w:t xml:space="preserve"> ou prazo para pagamento</w:t>
      </w:r>
      <w:r w:rsidRPr="00F6090E">
        <w:t xml:space="preserve"> </w:t>
      </w:r>
      <w:r w:rsidR="0079345F" w:rsidRPr="00F6090E">
        <w:t>previst</w:t>
      </w:r>
      <w:r w:rsidR="0079345F">
        <w:t>os</w:t>
      </w:r>
      <w:r w:rsidR="0079345F" w:rsidRPr="00F6090E">
        <w:t xml:space="preserve"> </w:t>
      </w:r>
      <w:r w:rsidRPr="00F6090E">
        <w:t>nesta Escritura</w:t>
      </w:r>
      <w:r w:rsidR="00A073A4">
        <w:t>,</w:t>
      </w:r>
      <w:r w:rsidRPr="00F6090E">
        <w:t xml:space="preserve"> no</w:t>
      </w:r>
      <w:r w:rsidR="002701BF" w:rsidRPr="00F6090E">
        <w:t xml:space="preserve"> Contrato de Cessão Fiduciária de Recebíveis</w:t>
      </w:r>
      <w:r w:rsidR="00AF7863">
        <w:t>, no Contrato de Alienação Fiduciária de Quotas</w:t>
      </w:r>
      <w:r w:rsidR="00812CCF">
        <w:t xml:space="preserve"> e/ou</w:t>
      </w:r>
      <w:r w:rsidR="00017366">
        <w:t xml:space="preserve"> no Contrato de Alienação Fiduciária de Ações</w:t>
      </w:r>
      <w:r w:rsidR="00A073A4">
        <w:t xml:space="preserve"> </w:t>
      </w:r>
      <w:r w:rsidRPr="00F6090E">
        <w:t xml:space="preserve">não sanado no prazo de </w:t>
      </w:r>
      <w:r w:rsidR="00AE5A53" w:rsidRPr="00F6090E">
        <w:t xml:space="preserve">2 </w:t>
      </w:r>
      <w:r w:rsidR="005B365D" w:rsidRPr="00F6090E">
        <w:t>(</w:t>
      </w:r>
      <w:r w:rsidR="00AE5A53" w:rsidRPr="00F6090E">
        <w:t>dois</w:t>
      </w:r>
      <w:r w:rsidR="005B365D" w:rsidRPr="00F6090E">
        <w:t>)</w:t>
      </w:r>
      <w:r w:rsidR="00AE5A53" w:rsidRPr="00F6090E">
        <w:t xml:space="preserve"> </w:t>
      </w:r>
      <w:r w:rsidRPr="00F6090E">
        <w:t>Dias Úteis contados da data do respectivo inadimplemento, sendo que o prazo previsto neste inciso não se aplica às obrigações para as quais tenha sido estipulado prazo de cura específico;</w:t>
      </w:r>
      <w:r w:rsidR="005B365D" w:rsidRPr="00F6090E">
        <w:t xml:space="preserve"> </w:t>
      </w:r>
    </w:p>
    <w:p w14:paraId="05CA499B" w14:textId="7BF6225D"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9824B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63"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lastRenderedPageBreak/>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63"/>
    </w:p>
    <w:p w14:paraId="0E66FD32" w14:textId="11115280" w:rsidR="00A9585D" w:rsidRPr="00F6090E" w:rsidRDefault="00A9585D" w:rsidP="0000177A">
      <w:pPr>
        <w:pStyle w:val="Level4"/>
      </w:pPr>
      <w:bookmarkStart w:id="164"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4"/>
      <w:r w:rsidRPr="00F6090E">
        <w:t xml:space="preserve"> </w:t>
      </w:r>
    </w:p>
    <w:p w14:paraId="0EE7AEE7" w14:textId="5C99BA1E"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9824B9">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570FA60A" w14:textId="1F2E97B4" w:rsidR="00E717F0" w:rsidRPr="00F6090E" w:rsidRDefault="00E717F0" w:rsidP="00E717F0">
      <w:pPr>
        <w:pStyle w:val="Level4"/>
      </w:pPr>
      <w:r w:rsidRPr="00F6090E">
        <w:t xml:space="preserve">não atendimento, após decorridos eventuais prazos de cura, às obrigações de reforço </w:t>
      </w:r>
      <w:r w:rsidR="00C20291">
        <w:t xml:space="preserve">de garantia </w:t>
      </w:r>
      <w:r w:rsidRPr="00F6090E">
        <w:t>e/ou aditamento</w:t>
      </w:r>
      <w:r w:rsidR="00C20291">
        <w:t xml:space="preserve"> previstas</w:t>
      </w:r>
      <w:r w:rsidR="00433E16" w:rsidRPr="00F6090E">
        <w:t xml:space="preserve"> </w:t>
      </w:r>
      <w:r w:rsidR="00433E16">
        <w:t xml:space="preserve">no </w:t>
      </w:r>
      <w:r w:rsidR="00433E16" w:rsidRPr="00F6090E">
        <w:t>Contrato de Cessão Fiduciária de Recebíveis</w:t>
      </w:r>
      <w:r w:rsidR="00B31062" w:rsidRPr="00F6090E">
        <w:t>, conforme aplicável</w:t>
      </w:r>
      <w:r w:rsidRPr="00F6090E">
        <w:t xml:space="preserve">; </w:t>
      </w:r>
    </w:p>
    <w:p w14:paraId="1567A012" w14:textId="099A9D5B" w:rsidR="00A9585D" w:rsidRPr="00F6090E" w:rsidRDefault="00A9585D" w:rsidP="0000177A">
      <w:pPr>
        <w:pStyle w:val="Level4"/>
      </w:pPr>
      <w:r w:rsidRPr="00F6090E">
        <w:t>em relação à Emissora,</w:t>
      </w:r>
      <w:r w:rsidR="00304D50">
        <w:t xml:space="preserve"> à</w:t>
      </w:r>
      <w:r w:rsidR="006C4363">
        <w:t>s</w:t>
      </w:r>
      <w:r w:rsidR="00304D50">
        <w:t xml:space="preserve"> Fiadora</w:t>
      </w:r>
      <w:r w:rsidR="006C4363">
        <w:t>s</w:t>
      </w:r>
      <w:r w:rsidR="00304D50">
        <w:t>,</w:t>
      </w:r>
      <w:r w:rsidRPr="00F6090E">
        <w:t xml:space="preserve"> </w:t>
      </w:r>
      <w:r w:rsidR="003A7A19" w:rsidRPr="00F6090E">
        <w:t>à</w:t>
      </w:r>
      <w:r w:rsidR="00C372C0">
        <w:t>s</w:t>
      </w:r>
      <w:r w:rsidR="003A7A19" w:rsidRPr="00F6090E">
        <w:t xml:space="preserve"> </w:t>
      </w:r>
      <w:r w:rsidR="00A32A69">
        <w:t>SPEs</w:t>
      </w:r>
      <w:r w:rsidR="00A32A69" w:rsidRPr="00F6090E">
        <w:t xml:space="preserve"> </w:t>
      </w:r>
      <w:r w:rsidRPr="00F6090E">
        <w:t xml:space="preserve">e/ou a qualquer de suas </w:t>
      </w:r>
      <w:r w:rsidR="008F371C">
        <w:t>C</w:t>
      </w:r>
      <w:r w:rsidRPr="00F6090E">
        <w:t xml:space="preserve">ontroladoras: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5" w:name="_Hlk77262135"/>
      <w:r w:rsidRPr="00F6090E">
        <w:t>transformação da forma societária da Emissora, de modo que ela deixe de ser uma sociedade por ações, nos termos dos artigos 220 a 222 da Lei das Sociedades por Ações;</w:t>
      </w:r>
      <w:bookmarkEnd w:id="165"/>
      <w:r w:rsidRPr="00F6090E">
        <w:t xml:space="preserve"> </w:t>
      </w:r>
    </w:p>
    <w:p w14:paraId="5BC5EB15" w14:textId="53696E3F" w:rsidR="00A9585D" w:rsidRPr="00F6090E" w:rsidRDefault="00A9585D" w:rsidP="0000177A">
      <w:pPr>
        <w:pStyle w:val="Level4"/>
      </w:pPr>
      <w:bookmarkStart w:id="166" w:name="_Ref328666873"/>
      <w:bookmarkStart w:id="167" w:name="_Hlk72787197"/>
      <w:bookmarkStart w:id="168" w:name="_Ref72764219"/>
      <w:r w:rsidRPr="00F6090E" w:rsidDel="00781E6A">
        <w:lastRenderedPageBreak/>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66"/>
      <w:r w:rsidRPr="00F6090E">
        <w:t xml:space="preserve"> e/ou</w:t>
      </w:r>
      <w:r w:rsidRPr="00F6090E" w:rsidDel="00781E6A">
        <w:t xml:space="preserve"> (b) liquidação das obrigações assumidas no âmbito desta Escritura</w:t>
      </w:r>
      <w:r w:rsidRPr="00F6090E">
        <w:t xml:space="preserve">; </w:t>
      </w:r>
      <w:bookmarkEnd w:id="167"/>
      <w:bookmarkEnd w:id="168"/>
    </w:p>
    <w:p w14:paraId="519BB40A" w14:textId="67CD0EB2" w:rsidR="00A9585D" w:rsidRPr="00F6090E" w:rsidRDefault="00A9585D" w:rsidP="0000177A">
      <w:pPr>
        <w:pStyle w:val="Level4"/>
      </w:pPr>
      <w:bookmarkStart w:id="169" w:name="_Ref73999283"/>
      <w:bookmarkStart w:id="170" w:name="_Ref279344707"/>
      <w:bookmarkStart w:id="171"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ou (</w:t>
      </w:r>
      <w:r w:rsidR="009B5AC8">
        <w:t>c</w:t>
      </w:r>
      <w:r w:rsidRPr="008B2DCD">
        <w:t>) em caso de oferta pública de ações;</w:t>
      </w:r>
      <w:bookmarkStart w:id="172" w:name="_Ref272931224"/>
      <w:bookmarkEnd w:id="169"/>
      <w:bookmarkEnd w:id="170"/>
      <w:bookmarkEnd w:id="171"/>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2"/>
      <w:r w:rsidRPr="00F6090E">
        <w:t xml:space="preserve"> </w:t>
      </w:r>
    </w:p>
    <w:p w14:paraId="68762954" w14:textId="3662F1E3" w:rsidR="00954354" w:rsidRPr="00F6090E" w:rsidRDefault="00A9585D" w:rsidP="0000177A">
      <w:pPr>
        <w:pStyle w:val="Level4"/>
      </w:pPr>
      <w:bookmarkStart w:id="173"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6C4363">
        <w:t>s</w:t>
      </w:r>
      <w:r w:rsidR="0097501D" w:rsidRPr="00F6090E">
        <w:t xml:space="preserve"> Fiadora</w:t>
      </w:r>
      <w:r w:rsidR="006C4363">
        <w:t>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energização dos Empreendimentos Alvo</w:t>
      </w:r>
      <w:r w:rsidRPr="00F6090E">
        <w:t>;</w:t>
      </w:r>
      <w:bookmarkEnd w:id="173"/>
    </w:p>
    <w:p w14:paraId="5223544F" w14:textId="6C5144BD" w:rsidR="00A9585D" w:rsidRPr="00F6090E" w:rsidRDefault="00A9585D" w:rsidP="0000177A">
      <w:pPr>
        <w:pStyle w:val="Level4"/>
      </w:pPr>
      <w:bookmarkStart w:id="17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4"/>
      <w:r w:rsidRPr="00F6090E">
        <w:t>;</w:t>
      </w:r>
      <w:r w:rsidR="00CF2F37" w:rsidRPr="00F6090E">
        <w:t xml:space="preserve"> </w:t>
      </w:r>
      <w:bookmarkStart w:id="175" w:name="_Ref74042853"/>
      <w:r w:rsidRPr="00F6090E">
        <w:t>destruição ou deterioração total ou parcial dos Empreendimentos Alvo que torne inviável sua implementação ou sua continuidade;</w:t>
      </w:r>
      <w:bookmarkEnd w:id="175"/>
    </w:p>
    <w:p w14:paraId="5ABB5229" w14:textId="516AA734"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 sem o prévio e expresso consentimento da Debenturista;</w:t>
      </w:r>
    </w:p>
    <w:p w14:paraId="78DF4BC9" w14:textId="731566A7" w:rsidR="00A9585D" w:rsidRPr="00F6090E" w:rsidRDefault="00A9585D" w:rsidP="0000177A">
      <w:pPr>
        <w:pStyle w:val="Level4"/>
      </w:pPr>
      <w:r w:rsidRPr="00F6090E">
        <w:lastRenderedPageBreak/>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exceto: para os fins (a) do previsto </w:t>
      </w:r>
      <w:r w:rsidR="002C79B6" w:rsidRPr="00F6090E">
        <w:t xml:space="preserve">na Cláusula 4.10 acima; (b) do previsto </w:t>
      </w:r>
      <w:r w:rsidRPr="00F6090E">
        <w:t>no inciso</w:t>
      </w:r>
      <w:r w:rsidR="008931A4">
        <w:t xml:space="preserve"> </w:t>
      </w:r>
      <w:r w:rsidR="008931A4">
        <w:fldChar w:fldCharType="begin"/>
      </w:r>
      <w:r w:rsidR="008931A4">
        <w:instrText xml:space="preserve"> REF _Ref71743467 \r \h </w:instrText>
      </w:r>
      <w:r w:rsidR="008931A4">
        <w:fldChar w:fldCharType="separate"/>
      </w:r>
      <w:r w:rsidR="009824B9">
        <w:t>(xiii)</w:t>
      </w:r>
      <w:r w:rsidR="008931A4">
        <w:fldChar w:fldCharType="end"/>
      </w:r>
      <w:r w:rsidRPr="00F6090E">
        <w:t xml:space="preserve"> desta Cláusula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76"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76"/>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5DFDAC58"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9824B9">
        <w:t>5.31</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177" w:name="_DV_M45"/>
      <w:bookmarkStart w:id="178" w:name="_Ref356481704"/>
      <w:bookmarkStart w:id="179" w:name="_Ref359943338"/>
      <w:bookmarkStart w:id="180" w:name="_Ref72928605"/>
      <w:bookmarkStart w:id="181" w:name="_Ref66121768"/>
      <w:bookmarkStart w:id="182" w:name="_Ref130283254"/>
      <w:bookmarkEnd w:id="154"/>
      <w:bookmarkEnd w:id="162"/>
      <w:bookmarkEnd w:id="177"/>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78"/>
      <w:bookmarkEnd w:id="179"/>
      <w:r w:rsidR="00C03477" w:rsidRPr="00F6090E">
        <w:t>:</w:t>
      </w:r>
      <w:bookmarkEnd w:id="180"/>
      <w:r w:rsidR="00B3446C" w:rsidRPr="00F6090E">
        <w:t xml:space="preserve"> </w:t>
      </w:r>
    </w:p>
    <w:p w14:paraId="22EC5CF2" w14:textId="5690DA3C" w:rsidR="00EB5DB7" w:rsidRPr="00F6090E" w:rsidRDefault="00EB5DB7" w:rsidP="0000177A">
      <w:pPr>
        <w:pStyle w:val="Level4"/>
      </w:pPr>
      <w:bookmarkStart w:id="183" w:name="_Hlk71820799"/>
      <w:bookmarkStart w:id="184" w:name="_Hlk26219835"/>
      <w:bookmarkStart w:id="185" w:name="_Hlk35950504"/>
      <w:bookmarkStart w:id="186" w:name="_Hlk23678874"/>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352CD412" w:rsidR="00EB5DB7" w:rsidRPr="00C16715" w:rsidRDefault="00EB5DB7" w:rsidP="0000177A">
      <w:pPr>
        <w:pStyle w:val="Level4"/>
      </w:pPr>
      <w:bookmarkStart w:id="187"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 xml:space="preserve">de cumprir qualquer de suas obrigações nos </w:t>
      </w:r>
      <w:r w:rsidR="006F6D53" w:rsidRPr="00F6090E">
        <w:lastRenderedPageBreak/>
        <w:t>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xml:space="preserve">) qualquer controlada da Emissora e/ou </w:t>
      </w:r>
      <w:r w:rsidR="004546D1">
        <w:t>das Fiadoras 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xml:space="preserve">) qualquer sociedade ou veículo de investimento sob Controle direto comum da Emissora e/ou </w:t>
      </w:r>
      <w:r w:rsidR="004546D1">
        <w:t>das Fiadoras e/ou das SPEs</w:t>
      </w:r>
      <w:r w:rsidRPr="00F6090E">
        <w:t>; e (</w:t>
      </w:r>
      <w:r w:rsidR="004546D1">
        <w:t>g</w:t>
      </w:r>
      <w:r w:rsidRPr="00F6090E">
        <w:t>) quaisquer Partes Relacionadas e respectivos sócios;</w:t>
      </w:r>
      <w:bookmarkEnd w:id="187"/>
      <w:r w:rsidR="00C15E04" w:rsidRPr="008B2DCD">
        <w:rPr>
          <w:b/>
          <w:bCs/>
        </w:rPr>
        <w:t xml:space="preserve"> </w:t>
      </w:r>
    </w:p>
    <w:p w14:paraId="6031DCD6" w14:textId="389DCDB1" w:rsidR="00B55DF9" w:rsidRPr="00B55DF9" w:rsidRDefault="00C16715" w:rsidP="00E33E60">
      <w:pPr>
        <w:pStyle w:val="Level4"/>
      </w:pPr>
      <w:bookmarkStart w:id="188"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9824B9">
        <w:t>6.1.1(xi)</w:t>
      </w:r>
      <w:r w:rsidRPr="004F22B5">
        <w:fldChar w:fldCharType="end"/>
      </w:r>
      <w:r w:rsidRPr="004F22B5">
        <w:t xml:space="preserve"> abaixo</w:t>
      </w:r>
      <w:r w:rsidRPr="00B55DF9">
        <w:rPr>
          <w:rFonts w:eastAsia="Arial Unicode MS"/>
          <w:w w:val="0"/>
        </w:rPr>
        <w:t xml:space="preserve">, </w:t>
      </w:r>
      <w:r w:rsidRPr="004F22B5">
        <w:t>qualquer dos eventos a seguir em relação à Emissora</w:t>
      </w:r>
      <w:r w:rsidR="004F4651">
        <w:t>, o Grupo Rezek</w:t>
      </w:r>
      <w:r w:rsidR="004D3249">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89"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89"/>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188"/>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057386">
        <w:rPr>
          <w:rFonts w:eastAsia="Arial Unicode MS"/>
          <w:w w:val="0"/>
        </w:rPr>
        <w:t xml:space="preserve"> </w:t>
      </w:r>
    </w:p>
    <w:p w14:paraId="4CD6E40E" w14:textId="38E916DA"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9824B9">
        <w:t>(ii)</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9824B9">
        <w:t>6.1.1(iv)</w:t>
      </w:r>
      <w:r w:rsidRPr="00F6090E">
        <w:fldChar w:fldCharType="end"/>
      </w:r>
      <w:r w:rsidRPr="00F6090E">
        <w:t xml:space="preserve"> </w:t>
      </w:r>
      <w:r w:rsidR="00701829">
        <w:t>acima</w:t>
      </w:r>
      <w:r w:rsidRPr="00F6090E">
        <w:t>, desde que tenha legitimidade ativa para tanto e tal questionamento não seja afastado, de forma definitiva,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190" w:name="_Ref272931218"/>
      <w:bookmarkStart w:id="191" w:name="_Ref130283570"/>
      <w:bookmarkStart w:id="192" w:name="_Ref130301134"/>
      <w:bookmarkStart w:id="193" w:name="_Ref137104995"/>
      <w:bookmarkStart w:id="194"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 xml:space="preserve">ou o seu equivalente em outras moedas, seja no âmbito de apenas uma ou de diversas obrigações correlatas; em todos os casos, incluindo-se obrigações que derivem da condição de garantidora(s) e/ou coobrigada(s), em especial, sem </w:t>
      </w:r>
      <w:r w:rsidRPr="00F6090E">
        <w:lastRenderedPageBreak/>
        <w:t>limitação, aquelas obrigações oriundas de dívidas bancárias e operações de mercado de capitais, locais ou internacionais;</w:t>
      </w:r>
      <w:bookmarkEnd w:id="190"/>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7286E565"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1108876B" w:rsidR="00EB5DB7" w:rsidRPr="00F6090E" w:rsidRDefault="00EB5DB7" w:rsidP="00E915E0">
      <w:pPr>
        <w:pStyle w:val="Level4"/>
      </w:pPr>
      <w:bookmarkStart w:id="195"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exceto: (a) cuja contrapartida seja imediata e integralmente utilizada para o Resgate Antecipado Facultativo, conforme permitido nos termos da presente Escritura; (b) pela Emissora à</w:t>
      </w:r>
      <w:r w:rsidR="00580456" w:rsidRPr="00B176FF">
        <w:t>s</w:t>
      </w:r>
      <w:r w:rsidR="004546D1">
        <w:t xml:space="preserve"> Fiadoras e/ou às SPEs</w:t>
      </w:r>
      <w:r w:rsidRPr="00B176FF">
        <w:t>, a preço de custo, de ativos imobilizados destinados aos Empreendimentos Alvo que tenham sido adquiridos e/ou importados pela Emissora; e/ou (c) se previamente aprovada pela Debenturista</w:t>
      </w:r>
      <w:bookmarkEnd w:id="195"/>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lastRenderedPageBreak/>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196"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197" w:name="_Ref279344869"/>
      <w:bookmarkEnd w:id="191"/>
      <w:bookmarkEnd w:id="192"/>
      <w:bookmarkEnd w:id="193"/>
      <w:bookmarkEnd w:id="194"/>
      <w:bookmarkEnd w:id="196"/>
    </w:p>
    <w:p w14:paraId="47F51EF0" w14:textId="08809755" w:rsidR="009716BA" w:rsidRPr="00F6090E" w:rsidRDefault="009716BA" w:rsidP="009716BA">
      <w:pPr>
        <w:pStyle w:val="Level4"/>
      </w:pPr>
      <w:bookmarkStart w:id="198"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198"/>
      <w:r w:rsidR="006D5976" w:rsidRPr="00F6090E">
        <w:t>;</w:t>
      </w:r>
    </w:p>
    <w:bookmarkEnd w:id="197"/>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3CD42D52" w14:textId="77777777" w:rsidR="00A31EFB" w:rsidRPr="0087789B" w:rsidRDefault="002D0CBE" w:rsidP="001F4CBE">
      <w:pPr>
        <w:pStyle w:val="Level4"/>
        <w:rPr>
          <w:rFonts w:eastAsia="MS Mincho"/>
        </w:rPr>
      </w:pPr>
      <w:bookmarkStart w:id="199" w:name="_Ref72921857"/>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199"/>
      <w:r w:rsidR="00A31EFB">
        <w:t>; e</w:t>
      </w:r>
    </w:p>
    <w:p w14:paraId="633EE82A" w14:textId="1EBDDCC3" w:rsidR="00EB528A" w:rsidRPr="0087789B" w:rsidRDefault="00A31EFB" w:rsidP="00A31EFB">
      <w:pPr>
        <w:pStyle w:val="Level4"/>
      </w:pPr>
      <w:r>
        <w:t>troca de domicílio bancário dos Recebíveis para conta diferente das Contas Vinculadas sem a anuência da Debenturista,</w:t>
      </w:r>
      <w:r w:rsidRPr="00A31EFB">
        <w:rPr>
          <w:rFonts w:eastAsia="Arial Unicode MS"/>
          <w:w w:val="0"/>
        </w:rPr>
        <w:t xml:space="preserve"> </w:t>
      </w:r>
      <w:r w:rsidRPr="00B55DF9">
        <w:rPr>
          <w:rFonts w:eastAsia="Arial Unicode MS"/>
          <w:w w:val="0"/>
        </w:rPr>
        <w:t>conforme orientação deliberada pelos Titulares de CRI, após a realização de uma assembleia geral de Titulares de CRI</w:t>
      </w:r>
      <w:r>
        <w:t>.</w:t>
      </w:r>
    </w:p>
    <w:p w14:paraId="2EC3CF12" w14:textId="4EFB7DA0" w:rsidR="00003BB9" w:rsidRPr="00F6090E" w:rsidRDefault="00003BB9" w:rsidP="00944C9A">
      <w:pPr>
        <w:pStyle w:val="Level3"/>
      </w:pPr>
      <w:bookmarkStart w:id="200" w:name="_Ref4876044"/>
      <w:bookmarkStart w:id="201" w:name="_Ref111553363"/>
      <w:bookmarkStart w:id="202" w:name="_Hlk24451196"/>
      <w:bookmarkStart w:id="203" w:name="_Ref23529309"/>
      <w:bookmarkStart w:id="204" w:name="_Ref35829296"/>
      <w:bookmarkStart w:id="205" w:name="_Ref391996829"/>
      <w:bookmarkStart w:id="206" w:name="_Ref490825376"/>
      <w:bookmarkStart w:id="207" w:name="_Ref534176562"/>
      <w:bookmarkStart w:id="208" w:name="_Ref130283218"/>
      <w:bookmarkEnd w:id="181"/>
      <w:bookmarkEnd w:id="182"/>
      <w:bookmarkEnd w:id="183"/>
      <w:bookmarkEnd w:id="184"/>
      <w:bookmarkEnd w:id="185"/>
      <w:bookmarkEnd w:id="186"/>
      <w:r w:rsidRPr="00F6090E">
        <w:lastRenderedPageBreak/>
        <w:t xml:space="preserve">Na ocorrência de um Evento de Vencimento Antecipado Não Automático, a Debenturista deverá seguir o que vier a ser decidido pelos Titulares de CRI, em </w:t>
      </w:r>
      <w:bookmarkStart w:id="209"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0"/>
      <w:bookmarkEnd w:id="201"/>
      <w:bookmarkEnd w:id="209"/>
      <w:r w:rsidR="005C7DD5" w:rsidRPr="00F6090E">
        <w:t xml:space="preserve"> </w:t>
      </w:r>
    </w:p>
    <w:p w14:paraId="748D3B44" w14:textId="6A81A2D8" w:rsidR="00003BB9" w:rsidRPr="00F6090E" w:rsidRDefault="00003BB9" w:rsidP="00944C9A">
      <w:pPr>
        <w:pStyle w:val="Level3"/>
      </w:pPr>
      <w:bookmarkStart w:id="210"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9824B9">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haverá o vencimento antecipado das Debêntures, e consequentemente o resgate antecipado dos CRI. </w:t>
      </w:r>
      <w:bookmarkEnd w:id="210"/>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p>
    <w:p w14:paraId="3EF4DDD3" w14:textId="6779A1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9824B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1"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1"/>
    </w:p>
    <w:p w14:paraId="382D4A13" w14:textId="5268F0E3" w:rsidR="00003BB9" w:rsidRDefault="00003BB9" w:rsidP="00944C9A">
      <w:pPr>
        <w:pStyle w:val="Level3"/>
      </w:pPr>
      <w:bookmarkStart w:id="212" w:name="_Ref18861800"/>
      <w:r w:rsidRPr="00F6090E">
        <w:lastRenderedPageBreak/>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12"/>
    </w:p>
    <w:p w14:paraId="1BB71126" w14:textId="0D280BFF"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9824B9">
        <w:t>6.1.2(iii)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02"/>
    <w:bookmarkEnd w:id="203"/>
    <w:bookmarkEnd w:id="204"/>
    <w:bookmarkEnd w:id="205"/>
    <w:bookmarkEnd w:id="206"/>
    <w:bookmarkEnd w:id="207"/>
    <w:bookmarkEnd w:id="208"/>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13" w:name="_DV_C376"/>
      <w:r w:rsidRPr="00F6090E">
        <w:rPr>
          <w:szCs w:val="20"/>
        </w:rPr>
        <w:t xml:space="preserve"> de Emissão e nos demais Documentos da Operação, </w:t>
      </w:r>
      <w:bookmarkEnd w:id="213"/>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14" w:name="_Ref67956094"/>
      <w:r w:rsidRPr="00F6090E">
        <w:t xml:space="preserve">Fornecer </w:t>
      </w:r>
      <w:r w:rsidR="00F82654" w:rsidRPr="00F6090E">
        <w:t>à Securitizadora:</w:t>
      </w:r>
      <w:bookmarkEnd w:id="214"/>
    </w:p>
    <w:p w14:paraId="509E3B0F" w14:textId="3B83075B" w:rsidR="00F82654" w:rsidRDefault="00F82654" w:rsidP="007F62DB">
      <w:pPr>
        <w:pStyle w:val="Level5"/>
        <w:tabs>
          <w:tab w:val="clear" w:pos="2721"/>
          <w:tab w:val="num" w:pos="2041"/>
        </w:tabs>
        <w:ind w:left="2040"/>
      </w:pPr>
      <w:bookmarkStart w:id="215"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6C4363">
        <w:t>s</w:t>
      </w:r>
      <w:r w:rsidR="003D2840">
        <w:t xml:space="preserve"> Fiadora</w:t>
      </w:r>
      <w:r w:rsidR="006C4363">
        <w:t>s</w:t>
      </w:r>
      <w:r w:rsidR="003D2840">
        <w:t xml:space="preserve">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6C4363">
        <w:rPr>
          <w:bCs/>
          <w:iCs/>
        </w:rPr>
        <w:t>s</w:t>
      </w:r>
      <w:r w:rsidR="003D2840">
        <w:rPr>
          <w:bCs/>
          <w:iCs/>
        </w:rPr>
        <w:t xml:space="preserve"> Fiadora</w:t>
      </w:r>
      <w:r w:rsidR="006C4363">
        <w:rPr>
          <w:bCs/>
          <w:iCs/>
        </w:rPr>
        <w:t>s</w:t>
      </w:r>
      <w:r w:rsidR="003D2840">
        <w:rPr>
          <w:bCs/>
          <w:iCs/>
        </w:rPr>
        <w:t xml:space="preserve">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16" w:name="_Ref168844063"/>
      <w:bookmarkStart w:id="217" w:name="_Ref278277903"/>
      <w:bookmarkStart w:id="218" w:name="_Ref168844180"/>
      <w:bookmarkEnd w:id="215"/>
    </w:p>
    <w:p w14:paraId="44D99A33" w14:textId="1821D322" w:rsidR="006066A3" w:rsidRPr="00F6090E" w:rsidRDefault="006066A3" w:rsidP="007F62DB">
      <w:pPr>
        <w:pStyle w:val="Level5"/>
        <w:tabs>
          <w:tab w:val="clear" w:pos="2721"/>
          <w:tab w:val="num" w:pos="2041"/>
        </w:tabs>
        <w:ind w:left="2040"/>
      </w:pPr>
      <w:r w:rsidRPr="006066A3">
        <w:lastRenderedPageBreak/>
        <w:t xml:space="preserve">no prazo de até 45 (quarenta e cinco) dias contados do encerramento do </w:t>
      </w:r>
      <w:r>
        <w:t>semestre</w:t>
      </w:r>
      <w:r w:rsidRPr="006066A3">
        <w:t xml:space="preserve"> antecedente, cópia das informações financeiras </w:t>
      </w:r>
      <w:r>
        <w:t>semestrais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p>
    <w:bookmarkEnd w:id="216"/>
    <w:bookmarkEnd w:id="217"/>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19"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19"/>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18"/>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0"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21"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1"/>
    </w:p>
    <w:p w14:paraId="263A89B6" w14:textId="77777777" w:rsidR="00F82654" w:rsidRPr="00F6090E" w:rsidRDefault="00F82654" w:rsidP="007F62DB">
      <w:pPr>
        <w:pStyle w:val="Level4"/>
        <w:tabs>
          <w:tab w:val="clear" w:pos="2041"/>
          <w:tab w:val="num" w:pos="1361"/>
        </w:tabs>
        <w:ind w:left="1360"/>
      </w:pPr>
      <w:bookmarkStart w:id="222" w:name="_Ref168844079"/>
      <w:r w:rsidRPr="00F6090E">
        <w:lastRenderedPageBreak/>
        <w:t>manter sempre válidas, eficazes, em perfeita ordem e em pleno vigor todas as autorizações necessárias à celebração dos Documentos da Operação e ao cumprimento de todas as obrigações ali previstas, conforme aplicável;</w:t>
      </w:r>
      <w:bookmarkEnd w:id="222"/>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23" w:name="_Ref130390977"/>
      <w:bookmarkStart w:id="224" w:name="_Ref260239075"/>
      <w:bookmarkStart w:id="225" w:name="_Ref286438579"/>
    </w:p>
    <w:bookmarkEnd w:id="223"/>
    <w:bookmarkEnd w:id="224"/>
    <w:bookmarkEnd w:id="225"/>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0DB3CCED"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lastRenderedPageBreak/>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26"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w:t>
      </w:r>
      <w:r w:rsidRPr="00F6090E">
        <w:lastRenderedPageBreak/>
        <w:t>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26"/>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79257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9824B9">
        <w:t>5.11.3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D318F90" w:rsidR="00F82654" w:rsidRPr="00F6090E" w:rsidRDefault="00F82654" w:rsidP="007F62DB">
      <w:pPr>
        <w:pStyle w:val="Level4"/>
        <w:tabs>
          <w:tab w:val="clear" w:pos="2041"/>
          <w:tab w:val="num" w:pos="1361"/>
        </w:tabs>
        <w:ind w:left="1360"/>
      </w:pPr>
      <w:r w:rsidRPr="00F6090E">
        <w:lastRenderedPageBreak/>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9824B9">
        <w:rPr>
          <w:szCs w:val="20"/>
        </w:rPr>
        <w:t>5.11</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r w:rsidR="008904EE" w:rsidRPr="00F6090E">
        <w:t xml:space="preserve">e </w:t>
      </w:r>
    </w:p>
    <w:p w14:paraId="1C02C96C" w14:textId="29113AAD" w:rsidR="003912C1"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3912C1" w:rsidRPr="00F6090E">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27" w:name="_Ref272246430"/>
      <w:bookmarkEnd w:id="220"/>
      <w:r w:rsidRPr="00F6090E">
        <w:rPr>
          <w:caps/>
          <w:color w:val="auto"/>
        </w:rPr>
        <w:t>A</w:t>
      </w:r>
      <w:r w:rsidR="00973E47" w:rsidRPr="00F6090E">
        <w:rPr>
          <w:caps/>
          <w:color w:val="auto"/>
        </w:rPr>
        <w:t>ssembleia Geral de Debenturistas</w:t>
      </w:r>
      <w:bookmarkEnd w:id="227"/>
      <w:r w:rsidR="000726A7" w:rsidRPr="00F6090E">
        <w:rPr>
          <w:caps/>
          <w:color w:val="auto"/>
        </w:rPr>
        <w:t xml:space="preserve"> </w:t>
      </w:r>
    </w:p>
    <w:p w14:paraId="7E9B26A1" w14:textId="2E63D2F9" w:rsidR="001A62BA" w:rsidRPr="00F6090E" w:rsidRDefault="001A62BA" w:rsidP="001F0EE8">
      <w:pPr>
        <w:pStyle w:val="Level2"/>
      </w:pPr>
      <w:bookmarkStart w:id="228"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29" w:name="_DV_M259"/>
      <w:bookmarkEnd w:id="229"/>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F6090E" w:rsidRDefault="00DB672F" w:rsidP="00CB5276">
      <w:pPr>
        <w:pStyle w:val="Level2"/>
      </w:pPr>
      <w:r w:rsidRPr="00F6090E">
        <w:lastRenderedPageBreak/>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30" w:name="_Ref147910921"/>
      <w:bookmarkStart w:id="231" w:name="_Ref534176609"/>
      <w:bookmarkEnd w:id="228"/>
      <w:r w:rsidRPr="00F6090E">
        <w:rPr>
          <w:caps/>
          <w:color w:val="auto"/>
          <w:sz w:val="20"/>
        </w:rPr>
        <w:t xml:space="preserve">Declarações </w:t>
      </w:r>
      <w:bookmarkEnd w:id="230"/>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32" w:name="_Ref71792343"/>
      <w:bookmarkStart w:id="233" w:name="_Hlk80778923"/>
      <w:bookmarkStart w:id="234"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35" w:name="_DV_M398"/>
      <w:bookmarkStart w:id="236" w:name="_DV_M400"/>
      <w:bookmarkStart w:id="237" w:name="_DV_M401"/>
      <w:bookmarkStart w:id="238" w:name="_DV_M402"/>
      <w:bookmarkStart w:id="239" w:name="_DV_M403"/>
      <w:bookmarkStart w:id="240" w:name="_DV_M404"/>
      <w:bookmarkStart w:id="241" w:name="_DV_M405"/>
      <w:bookmarkStart w:id="242" w:name="_DV_M409"/>
      <w:bookmarkEnd w:id="232"/>
      <w:bookmarkEnd w:id="235"/>
      <w:bookmarkEnd w:id="236"/>
      <w:bookmarkEnd w:id="237"/>
      <w:bookmarkEnd w:id="238"/>
      <w:bookmarkEnd w:id="239"/>
      <w:bookmarkEnd w:id="240"/>
      <w:bookmarkEnd w:id="241"/>
      <w:bookmarkEnd w:id="242"/>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ECD6BB5" w:rsidR="00DB45BA" w:rsidRPr="00F6090E" w:rsidRDefault="00EE7D46" w:rsidP="00FC72C7">
      <w:pPr>
        <w:pStyle w:val="Level4"/>
        <w:tabs>
          <w:tab w:val="clear" w:pos="2041"/>
        </w:tabs>
        <w:ind w:left="1418" w:hanging="709"/>
        <w:rPr>
          <w:rStyle w:val="DeltaViewInsertion"/>
          <w:color w:val="auto"/>
          <w:u w:val="none"/>
        </w:rPr>
      </w:pPr>
      <w:bookmarkStart w:id="243"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dos Contratos dos Empreendimentos Alvo e dos demais Documentos da Operação, quanto à Emissão e ao cumprimento das obrigações previstas nestes documentos, no seu melhor conhecimento: (a) não infringem qualquer obrigação anteriormente assumida por ela, ou a que esteja sujeita</w:t>
      </w:r>
      <w:r w:rsidR="001C4965">
        <w:rPr>
          <w:rStyle w:val="DeltaViewInsertion"/>
          <w:color w:val="auto"/>
          <w:u w:val="none"/>
        </w:rPr>
        <w:t>[</w:t>
      </w:r>
      <w:r w:rsidR="00DB45BA" w:rsidRPr="00F6090E">
        <w:rPr>
          <w:rStyle w:val="DeltaViewInsertion"/>
          <w:color w:val="auto"/>
          <w:u w:val="none"/>
        </w:rPr>
        <w:t xml:space="preserve">, </w:t>
      </w:r>
      <w:bookmarkStart w:id="244" w:name="_Hlk74061021"/>
      <w:r w:rsidR="00DB45BA" w:rsidRPr="00F6090E">
        <w:rPr>
          <w:rStyle w:val="DeltaViewInsertion"/>
          <w:color w:val="auto"/>
          <w:u w:val="none"/>
        </w:rPr>
        <w:t>considerando que as autorizações necessárias serão tempestivamente obtidas, nos termos desta Escritura</w:t>
      </w:r>
      <w:bookmarkEnd w:id="244"/>
      <w:r w:rsidR="001C4965">
        <w:rPr>
          <w:rStyle w:val="DeltaViewInsertion"/>
          <w:color w:val="auto"/>
          <w:u w:val="none"/>
        </w:rPr>
        <w:t>]</w:t>
      </w:r>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w:t>
      </w:r>
      <w:r w:rsidR="00DB45BA" w:rsidRPr="00F6090E">
        <w:rPr>
          <w:rStyle w:val="DeltaViewInsertion"/>
          <w:color w:val="auto"/>
          <w:u w:val="none"/>
        </w:rPr>
        <w:lastRenderedPageBreak/>
        <w:t xml:space="preserve">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w:t>
      </w:r>
      <w:r w:rsidR="001C4965">
        <w:rPr>
          <w:rStyle w:val="DeltaViewInsertion"/>
          <w:color w:val="auto"/>
          <w:u w:val="none"/>
        </w:rPr>
        <w:t>[</w:t>
      </w:r>
      <w:r w:rsidR="00DB45BA" w:rsidRPr="00F6090E">
        <w:rPr>
          <w:rStyle w:val="DeltaViewInsertion"/>
          <w:color w:val="auto"/>
          <w:u w:val="none"/>
        </w:rPr>
        <w:t>, considerando que as autorizações necessárias serão tempestivamente obtidas, nos termos desta Escritura</w:t>
      </w:r>
      <w:r w:rsidR="001C4965">
        <w:rPr>
          <w:rStyle w:val="DeltaViewInsertion"/>
          <w:color w:val="auto"/>
          <w:u w:val="none"/>
        </w:rPr>
        <w:t>]</w:t>
      </w:r>
      <w:r w:rsidR="00DB45BA" w:rsidRPr="00F6090E">
        <w:rPr>
          <w:rStyle w:val="DeltaViewInsertion"/>
          <w:color w:val="auto"/>
          <w:u w:val="none"/>
        </w:rPr>
        <w:t>;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9824B9" w:rsidRPr="009824B9">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43"/>
      <w:r w:rsidR="00DB45BA" w:rsidRPr="00F6090E">
        <w:rPr>
          <w:rStyle w:val="DeltaViewInsertion"/>
          <w:color w:val="auto"/>
          <w:u w:val="none"/>
        </w:rPr>
        <w:t xml:space="preserve"> </w:t>
      </w:r>
      <w:bookmarkStart w:id="245" w:name="_DV_M222"/>
      <w:bookmarkEnd w:id="245"/>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BF51D44" w:rsidR="00DB45BA" w:rsidRPr="00F6090E" w:rsidRDefault="00DB45BA" w:rsidP="00FC72C7">
      <w:pPr>
        <w:pStyle w:val="Level4"/>
        <w:tabs>
          <w:tab w:val="clear" w:pos="2041"/>
        </w:tabs>
        <w:ind w:left="1418" w:hanging="709"/>
        <w:rPr>
          <w:rStyle w:val="DeltaViewInsertion"/>
          <w:color w:val="auto"/>
          <w:u w:val="none"/>
        </w:rPr>
      </w:pPr>
      <w:bookmarkStart w:id="246"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46"/>
      <w:r w:rsidRPr="00F6090E">
        <w:rPr>
          <w:rStyle w:val="DeltaViewInsertion"/>
          <w:color w:val="auto"/>
          <w:u w:val="none"/>
        </w:rPr>
        <w:t>;</w:t>
      </w:r>
    </w:p>
    <w:p w14:paraId="7DDD817A" w14:textId="3B140FCC" w:rsidR="00DB45BA" w:rsidRPr="00F6090E" w:rsidRDefault="00DB45BA" w:rsidP="00FC72C7">
      <w:pPr>
        <w:pStyle w:val="Level4"/>
        <w:tabs>
          <w:tab w:val="clear" w:pos="2041"/>
        </w:tabs>
        <w:ind w:left="1418" w:hanging="709"/>
        <w:rPr>
          <w:rStyle w:val="DeltaViewInsertion"/>
          <w:color w:val="auto"/>
          <w:u w:val="none"/>
        </w:rPr>
      </w:pPr>
      <w:bookmarkStart w:id="247"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47"/>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48"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48"/>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w:t>
      </w:r>
      <w:r w:rsidRPr="00F6090E">
        <w:rPr>
          <w:rStyle w:val="DeltaViewInsertion"/>
          <w:color w:val="auto"/>
          <w:u w:val="none"/>
        </w:rPr>
        <w:lastRenderedPageBreak/>
        <w:t>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49" w:name="_Hlk72790832"/>
      <w:r w:rsidRPr="00F6090E">
        <w:rPr>
          <w:rStyle w:val="DeltaViewInsertion"/>
          <w:color w:val="auto"/>
          <w:u w:val="none"/>
        </w:rPr>
        <w:t>exceto por aqueles questionados de boa-fé nas esferas administrativas e/ou judicial</w:t>
      </w:r>
      <w:bookmarkEnd w:id="249"/>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 xml:space="preserve">qualquer processo, judicial, administrativo ou arbitral, inquérito ou qualquer outro tipo de investigação governamental, em qualquer dos casos deste inciso, (1) que tenha um Efeito Adverso Relevante; ou (2) visando a anular, alterar, invalidar, questionar ou de qualquer forma afetar esta </w:t>
      </w:r>
      <w:r w:rsidRPr="00F6090E">
        <w:rPr>
          <w:rStyle w:val="DeltaViewInsertion"/>
          <w:color w:val="auto"/>
          <w:u w:val="none"/>
        </w:rPr>
        <w:lastRenderedPageBreak/>
        <w:t>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33"/>
      <w:r w:rsidRPr="00F6090E">
        <w:rPr>
          <w:rStyle w:val="DeltaViewInsertion"/>
          <w:color w:val="auto"/>
          <w:u w:val="none"/>
        </w:rPr>
        <w:t>.</w:t>
      </w:r>
    </w:p>
    <w:p w14:paraId="21EC8A35" w14:textId="31BC49DA"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9824B9">
        <w:t>9.1</w:t>
      </w:r>
      <w:r w:rsidRPr="00F6090E">
        <w:fldChar w:fldCharType="end"/>
      </w:r>
      <w:r w:rsidRPr="00F6090E">
        <w:t xml:space="preserve"> acima. </w:t>
      </w:r>
    </w:p>
    <w:p w14:paraId="0A7ECE87" w14:textId="4074BF6F"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9824B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0" w:name="_Ref130286824"/>
      <w:bookmarkEnd w:id="231"/>
      <w:bookmarkEnd w:id="234"/>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lastRenderedPageBreak/>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1"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0"/>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52" w:name="_Ref71051090"/>
      <w:bookmarkStart w:id="253" w:name="_Ref384312323"/>
      <w:r w:rsidRPr="00F6090E">
        <w:rPr>
          <w:bCs/>
          <w:caps/>
          <w:color w:val="auto"/>
        </w:rPr>
        <w:t>Despesas</w:t>
      </w:r>
      <w:bookmarkStart w:id="254" w:name="_Ref65096680"/>
      <w:bookmarkEnd w:id="252"/>
    </w:p>
    <w:p w14:paraId="72057BF2" w14:textId="44DC9698" w:rsidR="00A873F0" w:rsidRPr="00F6090E" w:rsidRDefault="00A873F0" w:rsidP="00AD68E8">
      <w:pPr>
        <w:pStyle w:val="Level2"/>
      </w:pPr>
      <w:bookmarkStart w:id="255" w:name="_Ref83821893"/>
      <w:bookmarkEnd w:id="254"/>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55"/>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w:t>
      </w:r>
      <w:r w:rsidRPr="00F6090E">
        <w:lastRenderedPageBreak/>
        <w:t>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FC970F5" w:rsidR="00C643EC" w:rsidRPr="00F6090E" w:rsidRDefault="00C643EC" w:rsidP="00C643EC">
      <w:pPr>
        <w:pStyle w:val="Level2"/>
      </w:pPr>
      <w:bookmarkStart w:id="256"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57" w:name="_Hlk78391938"/>
      <w:r w:rsidRPr="00F6090E">
        <w:t xml:space="preserve">R$ </w:t>
      </w:r>
      <w:bookmarkStart w:id="258"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257"/>
      <w:bookmarkEnd w:id="258"/>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56"/>
    </w:p>
    <w:p w14:paraId="484FDF8D" w14:textId="4A00508D" w:rsidR="00700867" w:rsidRPr="005316D1" w:rsidRDefault="00700867" w:rsidP="00700867">
      <w:pPr>
        <w:pStyle w:val="Level2"/>
      </w:pPr>
      <w:bookmarkStart w:id="259" w:name="_Ref71578721"/>
      <w:r w:rsidRPr="005316D1">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 xml:space="preserve">[Nota </w:t>
      </w:r>
      <w:r w:rsidR="00D72EA0">
        <w:rPr>
          <w:b/>
          <w:bCs/>
          <w:szCs w:val="20"/>
          <w:highlight w:val="yellow"/>
        </w:rPr>
        <w:t>Lefosse</w:t>
      </w:r>
      <w:r w:rsidR="00D72EA0" w:rsidRPr="00323334">
        <w:rPr>
          <w:b/>
          <w:bCs/>
          <w:szCs w:val="20"/>
          <w:highlight w:val="yellow"/>
        </w:rPr>
        <w:t xml:space="preserve">: </w:t>
      </w:r>
      <w:r w:rsidR="00D72EA0">
        <w:rPr>
          <w:b/>
          <w:bCs/>
          <w:szCs w:val="20"/>
          <w:highlight w:val="yellow"/>
        </w:rPr>
        <w:t>RZK/Securitizadora, favor indicar</w:t>
      </w:r>
      <w:r w:rsidR="00D72EA0" w:rsidRPr="00323334">
        <w:rPr>
          <w:b/>
          <w:bCs/>
          <w:szCs w:val="20"/>
          <w:highlight w:val="yellow"/>
        </w:rPr>
        <w:t>.]</w:t>
      </w:r>
    </w:p>
    <w:bookmarkEnd w:id="259"/>
    <w:p w14:paraId="7A557FCA" w14:textId="24E0A8C8"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9824B9">
        <w:t>6.1.2(xvii)</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w:t>
      </w:r>
      <w:r w:rsidRPr="00F6090E">
        <w:lastRenderedPageBreak/>
        <w:t xml:space="preserve">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53"/>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2CC84521" w:rsidR="002D36AB" w:rsidRDefault="00A86AA3" w:rsidP="002D36AB">
      <w:pPr>
        <w:pStyle w:val="Body"/>
        <w:tabs>
          <w:tab w:val="left" w:pos="680"/>
        </w:tabs>
        <w:ind w:left="680"/>
        <w:jc w:val="left"/>
      </w:pPr>
      <w:bookmarkStart w:id="260"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1" w:name="_Hlk99975921"/>
      <w:r w:rsidR="00DD28C5" w:rsidRPr="00EA134B">
        <w:t>São Paulo</w:t>
      </w:r>
      <w:r w:rsidR="00802D2E">
        <w:t xml:space="preserve">, </w:t>
      </w:r>
      <w:r w:rsidR="00DD28C5" w:rsidRPr="00EA134B">
        <w:t xml:space="preserve">SP, </w:t>
      </w:r>
      <w:bookmarkEnd w:id="261"/>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262" w:name="_Hlk70671536"/>
      <w:bookmarkEnd w:id="260"/>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1A10D4AA"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393CD0AE" w14:textId="12BB30C9"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6"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lastRenderedPageBreak/>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62"/>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51"/>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63"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63"/>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lastRenderedPageBreak/>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64" w:name="_Hlk32266664"/>
      <w:r w:rsidRPr="00F6090E">
        <w:rPr>
          <w:rFonts w:eastAsia="Arial Unicode MS"/>
          <w:w w:val="0"/>
        </w:rPr>
        <w:t>, sem prejuízo do direito de declarar o vencimento antecipado das Debêntures, nos termos desta Escritura</w:t>
      </w:r>
      <w:bookmarkEnd w:id="264"/>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65"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65"/>
      <w:r w:rsidRPr="00F6090E">
        <w:t>.</w:t>
      </w:r>
    </w:p>
    <w:p w14:paraId="15C187CB" w14:textId="2D263CDC" w:rsidR="00420289" w:rsidRPr="00F6090E" w:rsidRDefault="00420289" w:rsidP="00EA14D4">
      <w:pPr>
        <w:pStyle w:val="Level2"/>
      </w:pPr>
      <w:bookmarkStart w:id="266"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66"/>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lastRenderedPageBreak/>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4E6667E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2BA1749D"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[Nota Lefosse: A ser oportunamente preenchido.]</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267"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124A4AE9"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0442FD" w:rsidRPr="00085E41">
        <w:rPr>
          <w:b/>
          <w:bCs/>
          <w:color w:val="000000"/>
          <w:sz w:val="20"/>
          <w:szCs w:val="20"/>
          <w:highlight w:val="yellow"/>
          <w:lang w:val="pt-BR"/>
        </w:rPr>
        <w:t>[Nota Lefosse: A ser oportunamente preenchido</w:t>
      </w:r>
      <w:r w:rsidR="000442FD">
        <w:rPr>
          <w:b/>
          <w:bCs/>
          <w:color w:val="000000"/>
          <w:sz w:val="20"/>
          <w:szCs w:val="20"/>
          <w:highlight w:val="yellow"/>
          <w:lang w:val="pt-BR"/>
        </w:rPr>
        <w:t xml:space="preserve"> pela Companhia</w:t>
      </w:r>
      <w:r w:rsidR="000442FD" w:rsidRPr="00085E41">
        <w:rPr>
          <w:b/>
          <w:bCs/>
          <w:color w:val="000000"/>
          <w:sz w:val="20"/>
          <w:szCs w:val="20"/>
          <w:highlight w:val="yellow"/>
          <w:lang w:val="pt-BR"/>
        </w:rPr>
        <w:t>.]</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267"/>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77B3E901" w14:textId="108C05A0" w:rsidR="009E3F54" w:rsidRDefault="009E3F54"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 A ser oportunamente preenchido</w:t>
      </w:r>
      <w:r>
        <w:rPr>
          <w:b/>
          <w:bCs/>
          <w:color w:val="000000"/>
          <w:sz w:val="20"/>
          <w:szCs w:val="20"/>
          <w:highlight w:val="yellow"/>
          <w:lang w:val="pt-BR"/>
        </w:rPr>
        <w:t xml:space="preserve"> pela Companhia</w:t>
      </w:r>
      <w:r w:rsidRPr="00085E41">
        <w:rPr>
          <w:b/>
          <w:bCs/>
          <w:color w:val="000000"/>
          <w:sz w:val="20"/>
          <w:szCs w:val="20"/>
          <w:highlight w:val="yellow"/>
          <w:lang w:val="pt-BR"/>
        </w:rPr>
        <w:t>.]</w:t>
      </w:r>
    </w:p>
    <w:p w14:paraId="66C0845E" w14:textId="1F73EDAA"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48A05330" w:rsidR="009D6C53" w:rsidRPr="00F6090E" w:rsidRDefault="009824B9" w:rsidP="009D6C53">
            <w:pPr>
              <w:spacing w:after="0"/>
              <w:ind w:left="634"/>
              <w:rPr>
                <w:rFonts w:ascii="Arial" w:hAnsi="Arial" w:cs="Arial"/>
                <w:b/>
                <w:sz w:val="20"/>
              </w:rPr>
            </w:pPr>
            <w:bookmarkStart w:id="268" w:name="_Hlk71291574"/>
            <w:r>
              <w:rPr>
                <w:noProof/>
              </w:rPr>
              <w:pict w14:anchorId="5840CA5E">
                <v:shapetype id="_x0000_t202" coordsize="21600,21600" o:spt="202" path="m,l,21600r21600,l21600,xe">
                  <v:stroke joinstyle="miter"/>
                  <v:path gradientshapeok="t" o:connecttype="rect"/>
                </v:shapetype>
                <v:shape id="Caixa de texto 10" o:spid="_x0000_s2051"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style="mso-next-textbox:#Caixa de texto 10">
                    <w:txbxContent>
                      <w:p w14:paraId="1DA8A9B0" w14:textId="77777777" w:rsidR="00F06813" w:rsidRDefault="00F06813" w:rsidP="009D6C53"/>
                    </w:txbxContent>
                  </v:textbox>
                </v:shape>
              </w:pic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2F80C197" w:rsidR="009D6C53" w:rsidRPr="00F6090E" w:rsidRDefault="009824B9" w:rsidP="009D6C53">
            <w:pPr>
              <w:spacing w:after="0"/>
              <w:ind w:left="634"/>
              <w:rPr>
                <w:rFonts w:ascii="Arial" w:hAnsi="Arial" w:cs="Arial"/>
                <w:b/>
                <w:sz w:val="20"/>
              </w:rPr>
            </w:pPr>
            <w:r>
              <w:rPr>
                <w:noProof/>
              </w:rPr>
              <w:pict w14:anchorId="25A113C9">
                <v:shape id="Caixa de texto 8" o:spid="_x0000_s2050"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style="mso-next-textbox:#Caixa de texto 8">
                    <w:txbxContent>
                      <w:p w14:paraId="6A8277A9" w14:textId="77777777" w:rsidR="00F06813" w:rsidRDefault="00F06813" w:rsidP="009D6C53"/>
                    </w:txbxContent>
                  </v:textbox>
                </v:shape>
              </w:pic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401CE7B6"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[Nota Lefosse: A ser oportunamente refletida de acordo com as redações finais discutidas na Escritura de Emissão.]</w:t>
            </w:r>
          </w:p>
          <w:p w14:paraId="3DEC1804" w14:textId="2924BCBA" w:rsidR="009D6C53" w:rsidRPr="00F6090E" w:rsidRDefault="009D6C53" w:rsidP="00E732D1">
            <w:pPr>
              <w:contextualSpacing/>
              <w:rPr>
                <w:rFonts w:ascii="Arial" w:hAnsi="Arial" w:cs="Arial"/>
                <w:b/>
                <w:sz w:val="20"/>
              </w:rPr>
            </w:pPr>
          </w:p>
        </w:tc>
      </w:tr>
      <w:bookmarkEnd w:id="268"/>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6DD03859" w:rsidR="00B943C4" w:rsidRDefault="00B943C4"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57"/>
        <w:gridCol w:w="1576"/>
        <w:gridCol w:w="732"/>
        <w:gridCol w:w="938"/>
        <w:gridCol w:w="628"/>
        <w:gridCol w:w="1151"/>
        <w:gridCol w:w="1151"/>
        <w:gridCol w:w="938"/>
        <w:gridCol w:w="1167"/>
        <w:gridCol w:w="587"/>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FAD8A" w14:textId="77777777" w:rsidR="00870259" w:rsidRDefault="00870259" w:rsidP="00647865">
      <w:pPr>
        <w:spacing w:after="0"/>
      </w:pPr>
      <w:r>
        <w:separator/>
      </w:r>
    </w:p>
  </w:endnote>
  <w:endnote w:type="continuationSeparator" w:id="0">
    <w:p w14:paraId="6F8B2EAC" w14:textId="77777777" w:rsidR="00870259" w:rsidRDefault="00870259" w:rsidP="00647865">
      <w:pPr>
        <w:spacing w:after="0"/>
      </w:pPr>
      <w:r>
        <w:continuationSeparator/>
      </w:r>
    </w:p>
  </w:endnote>
  <w:endnote w:type="continuationNotice" w:id="1">
    <w:p w14:paraId="5D7744CB" w14:textId="77777777" w:rsidR="00870259" w:rsidRDefault="00870259"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5526C" w14:textId="77777777" w:rsidR="00870259" w:rsidRDefault="00870259" w:rsidP="001A1E4D">
      <w:pPr>
        <w:spacing w:after="0"/>
      </w:pPr>
      <w:r>
        <w:separator/>
      </w:r>
    </w:p>
  </w:footnote>
  <w:footnote w:type="continuationSeparator" w:id="0">
    <w:p w14:paraId="7E16CF2B" w14:textId="77777777" w:rsidR="00870259" w:rsidRDefault="00870259" w:rsidP="00647865">
      <w:pPr>
        <w:spacing w:after="0"/>
      </w:pPr>
      <w:r>
        <w:continuationSeparator/>
      </w:r>
    </w:p>
  </w:footnote>
  <w:footnote w:type="continuationNotice" w:id="1">
    <w:p w14:paraId="1D113524" w14:textId="77777777" w:rsidR="00870259" w:rsidRDefault="00870259"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515F5994"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A03B2E">
      <w:rPr>
        <w:b/>
        <w:bCs/>
        <w:i/>
        <w:iCs/>
      </w:rPr>
      <w:t>0</w:t>
    </w:r>
    <w:r w:rsidR="00A8255F">
      <w:rPr>
        <w:b/>
        <w:bCs/>
        <w:i/>
        <w:iCs/>
      </w:rPr>
      <w:t>8</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32306"/>
    <w:multiLevelType w:val="multilevel"/>
    <w:tmpl w:val="BDFAD96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5"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4"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7"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30"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9"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6"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4"/>
  </w:num>
  <w:num w:numId="2" w16cid:durableId="1961957383">
    <w:abstractNumId w:val="6"/>
  </w:num>
  <w:num w:numId="3" w16cid:durableId="1492482805">
    <w:abstractNumId w:val="26"/>
  </w:num>
  <w:num w:numId="4" w16cid:durableId="49815616">
    <w:abstractNumId w:val="45"/>
  </w:num>
  <w:num w:numId="5" w16cid:durableId="1795782549">
    <w:abstractNumId w:val="8"/>
  </w:num>
  <w:num w:numId="6" w16cid:durableId="1913731218">
    <w:abstractNumId w:val="23"/>
  </w:num>
  <w:num w:numId="7" w16cid:durableId="586234935">
    <w:abstractNumId w:val="18"/>
  </w:num>
  <w:num w:numId="8" w16cid:durableId="1920674280">
    <w:abstractNumId w:val="48"/>
  </w:num>
  <w:num w:numId="9" w16cid:durableId="110514043">
    <w:abstractNumId w:val="10"/>
  </w:num>
  <w:num w:numId="10" w16cid:durableId="1047489136">
    <w:abstractNumId w:val="22"/>
  </w:num>
  <w:num w:numId="11" w16cid:durableId="135267435">
    <w:abstractNumId w:val="27"/>
  </w:num>
  <w:num w:numId="12" w16cid:durableId="1768423740">
    <w:abstractNumId w:val="24"/>
  </w:num>
  <w:num w:numId="13" w16cid:durableId="28575949">
    <w:abstractNumId w:val="47"/>
  </w:num>
  <w:num w:numId="14" w16cid:durableId="527067032">
    <w:abstractNumId w:val="52"/>
  </w:num>
  <w:num w:numId="15" w16cid:durableId="382827643">
    <w:abstractNumId w:val="32"/>
  </w:num>
  <w:num w:numId="16" w16cid:durableId="1412005651">
    <w:abstractNumId w:val="20"/>
  </w:num>
  <w:num w:numId="17" w16cid:durableId="1769619453">
    <w:abstractNumId w:val="53"/>
  </w:num>
  <w:num w:numId="18" w16cid:durableId="1940142876">
    <w:abstractNumId w:val="44"/>
  </w:num>
  <w:num w:numId="19" w16cid:durableId="665745477">
    <w:abstractNumId w:val="41"/>
  </w:num>
  <w:num w:numId="20" w16cid:durableId="967008892">
    <w:abstractNumId w:val="37"/>
  </w:num>
  <w:num w:numId="21" w16cid:durableId="1953128236">
    <w:abstractNumId w:val="29"/>
  </w:num>
  <w:num w:numId="22" w16cid:durableId="1520894972">
    <w:abstractNumId w:val="43"/>
  </w:num>
  <w:num w:numId="23" w16cid:durableId="1972248847">
    <w:abstractNumId w:val="5"/>
  </w:num>
  <w:num w:numId="24" w16cid:durableId="228729967">
    <w:abstractNumId w:val="13"/>
  </w:num>
  <w:num w:numId="25" w16cid:durableId="253051033">
    <w:abstractNumId w:val="35"/>
  </w:num>
  <w:num w:numId="26" w16cid:durableId="193541574">
    <w:abstractNumId w:val="38"/>
  </w:num>
  <w:num w:numId="27" w16cid:durableId="1642543107">
    <w:abstractNumId w:val="2"/>
  </w:num>
  <w:num w:numId="28" w16cid:durableId="1811166405">
    <w:abstractNumId w:val="16"/>
  </w:num>
  <w:num w:numId="29" w16cid:durableId="1309436863">
    <w:abstractNumId w:val="40"/>
  </w:num>
  <w:num w:numId="30" w16cid:durableId="1675110813">
    <w:abstractNumId w:val="12"/>
  </w:num>
  <w:num w:numId="31" w16cid:durableId="777066690">
    <w:abstractNumId w:val="19"/>
  </w:num>
  <w:num w:numId="32" w16cid:durableId="405765908">
    <w:abstractNumId w:val="42"/>
  </w:num>
  <w:num w:numId="33" w16cid:durableId="880362513">
    <w:abstractNumId w:val="11"/>
  </w:num>
  <w:num w:numId="34" w16cid:durableId="302394638">
    <w:abstractNumId w:val="28"/>
  </w:num>
  <w:num w:numId="35" w16cid:durableId="1104349719">
    <w:abstractNumId w:val="51"/>
  </w:num>
  <w:num w:numId="36" w16cid:durableId="1660576773">
    <w:abstractNumId w:val="30"/>
  </w:num>
  <w:num w:numId="37" w16cid:durableId="1328481071">
    <w:abstractNumId w:val="9"/>
  </w:num>
  <w:num w:numId="38" w16cid:durableId="1200167225">
    <w:abstractNumId w:val="15"/>
  </w:num>
  <w:num w:numId="39" w16cid:durableId="1292250146">
    <w:abstractNumId w:val="17"/>
  </w:num>
  <w:num w:numId="40" w16cid:durableId="420952211">
    <w:abstractNumId w:val="1"/>
  </w:num>
  <w:num w:numId="41" w16cid:durableId="1493981495">
    <w:abstractNumId w:val="46"/>
  </w:num>
  <w:num w:numId="42" w16cid:durableId="52167747">
    <w:abstractNumId w:val="25"/>
  </w:num>
  <w:num w:numId="43" w16cid:durableId="1039277803">
    <w:abstractNumId w:val="14"/>
  </w:num>
  <w:num w:numId="44" w16cid:durableId="1696229966">
    <w:abstractNumId w:val="36"/>
  </w:num>
  <w:num w:numId="45" w16cid:durableId="1704094216">
    <w:abstractNumId w:val="50"/>
  </w:num>
  <w:num w:numId="46" w16cid:durableId="1232696465">
    <w:abstractNumId w:val="21"/>
  </w:num>
  <w:num w:numId="47" w16cid:durableId="7584536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90626906">
    <w:abstractNumId w:val="6"/>
  </w:num>
  <w:num w:numId="49" w16cid:durableId="1239704420">
    <w:abstractNumId w:val="7"/>
  </w:num>
  <w:num w:numId="50" w16cid:durableId="1044795758">
    <w:abstractNumId w:val="6"/>
  </w:num>
  <w:num w:numId="51" w16cid:durableId="1962376734">
    <w:abstractNumId w:val="6"/>
  </w:num>
  <w:num w:numId="52" w16cid:durableId="101926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380453">
    <w:abstractNumId w:val="6"/>
  </w:num>
  <w:num w:numId="54" w16cid:durableId="198319765">
    <w:abstractNumId w:val="3"/>
  </w:num>
  <w:num w:numId="55" w16cid:durableId="784812524">
    <w:abstractNumId w:val="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841"/>
    <w:rsid w:val="00013897"/>
    <w:rsid w:val="0001469C"/>
    <w:rsid w:val="00014902"/>
    <w:rsid w:val="0001492E"/>
    <w:rsid w:val="000152AC"/>
    <w:rsid w:val="000152E5"/>
    <w:rsid w:val="00015AFD"/>
    <w:rsid w:val="0001602E"/>
    <w:rsid w:val="0001611B"/>
    <w:rsid w:val="0001664D"/>
    <w:rsid w:val="00016B6E"/>
    <w:rsid w:val="00016EB0"/>
    <w:rsid w:val="00017007"/>
    <w:rsid w:val="0001714C"/>
    <w:rsid w:val="00017366"/>
    <w:rsid w:val="00017685"/>
    <w:rsid w:val="00017B22"/>
    <w:rsid w:val="00021995"/>
    <w:rsid w:val="00022275"/>
    <w:rsid w:val="0002247C"/>
    <w:rsid w:val="00022B4D"/>
    <w:rsid w:val="00022CB2"/>
    <w:rsid w:val="00022FDE"/>
    <w:rsid w:val="00023404"/>
    <w:rsid w:val="0002364B"/>
    <w:rsid w:val="000238C1"/>
    <w:rsid w:val="00023A35"/>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09D2"/>
    <w:rsid w:val="00040BB5"/>
    <w:rsid w:val="00041FC3"/>
    <w:rsid w:val="0004279B"/>
    <w:rsid w:val="0004285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610"/>
    <w:rsid w:val="000577D4"/>
    <w:rsid w:val="000578FF"/>
    <w:rsid w:val="0005790C"/>
    <w:rsid w:val="00057AE9"/>
    <w:rsid w:val="00057D8B"/>
    <w:rsid w:val="0006047E"/>
    <w:rsid w:val="000609B5"/>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4C6"/>
    <w:rsid w:val="00097AFB"/>
    <w:rsid w:val="000A0BBB"/>
    <w:rsid w:val="000A0CEF"/>
    <w:rsid w:val="000A0FB6"/>
    <w:rsid w:val="000A196B"/>
    <w:rsid w:val="000A1A4D"/>
    <w:rsid w:val="000A1FA5"/>
    <w:rsid w:val="000A208E"/>
    <w:rsid w:val="000A2651"/>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3664"/>
    <w:rsid w:val="000F48AD"/>
    <w:rsid w:val="000F4D33"/>
    <w:rsid w:val="000F4DDE"/>
    <w:rsid w:val="000F5338"/>
    <w:rsid w:val="000F542A"/>
    <w:rsid w:val="000F5558"/>
    <w:rsid w:val="000F5761"/>
    <w:rsid w:val="000F58C2"/>
    <w:rsid w:val="000F5C07"/>
    <w:rsid w:val="000F6225"/>
    <w:rsid w:val="000F6EAD"/>
    <w:rsid w:val="000F780D"/>
    <w:rsid w:val="000F79B8"/>
    <w:rsid w:val="000F7ABB"/>
    <w:rsid w:val="000F7CA6"/>
    <w:rsid w:val="00100F87"/>
    <w:rsid w:val="001010A3"/>
    <w:rsid w:val="001019F3"/>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917"/>
    <w:rsid w:val="00176FA5"/>
    <w:rsid w:val="0017743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FA"/>
    <w:rsid w:val="001A530C"/>
    <w:rsid w:val="001A5657"/>
    <w:rsid w:val="001A581A"/>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65F"/>
    <w:rsid w:val="0026270A"/>
    <w:rsid w:val="00262A60"/>
    <w:rsid w:val="00262AD5"/>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729C"/>
    <w:rsid w:val="002772A5"/>
    <w:rsid w:val="002772D2"/>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B01D7"/>
    <w:rsid w:val="002B0253"/>
    <w:rsid w:val="002B03DF"/>
    <w:rsid w:val="002B0910"/>
    <w:rsid w:val="002B0BB8"/>
    <w:rsid w:val="002B0FC6"/>
    <w:rsid w:val="002B1151"/>
    <w:rsid w:val="002B116F"/>
    <w:rsid w:val="002B1A75"/>
    <w:rsid w:val="002B1B77"/>
    <w:rsid w:val="002B216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865"/>
    <w:rsid w:val="003458D8"/>
    <w:rsid w:val="00345C48"/>
    <w:rsid w:val="00345C65"/>
    <w:rsid w:val="00346124"/>
    <w:rsid w:val="003462C3"/>
    <w:rsid w:val="003464C0"/>
    <w:rsid w:val="00346EBC"/>
    <w:rsid w:val="003474E1"/>
    <w:rsid w:val="00347851"/>
    <w:rsid w:val="00347E8D"/>
    <w:rsid w:val="00347E99"/>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6AE5"/>
    <w:rsid w:val="00397180"/>
    <w:rsid w:val="0039718C"/>
    <w:rsid w:val="003A088F"/>
    <w:rsid w:val="003A0B55"/>
    <w:rsid w:val="003A0C15"/>
    <w:rsid w:val="003A0FA4"/>
    <w:rsid w:val="003A11F0"/>
    <w:rsid w:val="003A16A3"/>
    <w:rsid w:val="003A1B02"/>
    <w:rsid w:val="003A20C2"/>
    <w:rsid w:val="003A2620"/>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0B4"/>
    <w:rsid w:val="003E443D"/>
    <w:rsid w:val="003E49A4"/>
    <w:rsid w:val="003E4E1D"/>
    <w:rsid w:val="003E54FD"/>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313D"/>
    <w:rsid w:val="00453482"/>
    <w:rsid w:val="00453A56"/>
    <w:rsid w:val="00453E5A"/>
    <w:rsid w:val="004546D1"/>
    <w:rsid w:val="0045509C"/>
    <w:rsid w:val="0045511D"/>
    <w:rsid w:val="00455543"/>
    <w:rsid w:val="00455BE0"/>
    <w:rsid w:val="004560AF"/>
    <w:rsid w:val="0045642D"/>
    <w:rsid w:val="0045667F"/>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912"/>
    <w:rsid w:val="00477088"/>
    <w:rsid w:val="004770DB"/>
    <w:rsid w:val="0047716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979"/>
    <w:rsid w:val="004A2C98"/>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43E"/>
    <w:rsid w:val="004B25E2"/>
    <w:rsid w:val="004B29CD"/>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313"/>
    <w:rsid w:val="004C55DA"/>
    <w:rsid w:val="004C5AB0"/>
    <w:rsid w:val="004C608F"/>
    <w:rsid w:val="004C60C3"/>
    <w:rsid w:val="004C60EA"/>
    <w:rsid w:val="004C6217"/>
    <w:rsid w:val="004C6551"/>
    <w:rsid w:val="004C65E7"/>
    <w:rsid w:val="004C6DA7"/>
    <w:rsid w:val="004C6E77"/>
    <w:rsid w:val="004C7098"/>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B6D"/>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345"/>
    <w:rsid w:val="00582353"/>
    <w:rsid w:val="005827AF"/>
    <w:rsid w:val="00582A0B"/>
    <w:rsid w:val="00582A69"/>
    <w:rsid w:val="00582AFB"/>
    <w:rsid w:val="00582B3D"/>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76A"/>
    <w:rsid w:val="005E19D7"/>
    <w:rsid w:val="005E1AA1"/>
    <w:rsid w:val="005E21BE"/>
    <w:rsid w:val="005E23C7"/>
    <w:rsid w:val="005E2A99"/>
    <w:rsid w:val="005E317B"/>
    <w:rsid w:val="005E3181"/>
    <w:rsid w:val="005E383B"/>
    <w:rsid w:val="005E431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300"/>
    <w:rsid w:val="00642791"/>
    <w:rsid w:val="006435B9"/>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B7"/>
    <w:rsid w:val="006519F7"/>
    <w:rsid w:val="00651A86"/>
    <w:rsid w:val="00651B6B"/>
    <w:rsid w:val="00651E3E"/>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2DE4"/>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1087"/>
    <w:rsid w:val="0073109B"/>
    <w:rsid w:val="0073178E"/>
    <w:rsid w:val="00731A99"/>
    <w:rsid w:val="00731AB8"/>
    <w:rsid w:val="007326C6"/>
    <w:rsid w:val="00732E3D"/>
    <w:rsid w:val="00732F06"/>
    <w:rsid w:val="00733151"/>
    <w:rsid w:val="00734156"/>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70B80"/>
    <w:rsid w:val="00770C0D"/>
    <w:rsid w:val="007712DB"/>
    <w:rsid w:val="00771911"/>
    <w:rsid w:val="00771CBE"/>
    <w:rsid w:val="00771F3D"/>
    <w:rsid w:val="007721ED"/>
    <w:rsid w:val="007729FD"/>
    <w:rsid w:val="00772BD2"/>
    <w:rsid w:val="00772DB9"/>
    <w:rsid w:val="00773179"/>
    <w:rsid w:val="007731E5"/>
    <w:rsid w:val="007732D1"/>
    <w:rsid w:val="00773414"/>
    <w:rsid w:val="00773646"/>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2B6"/>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345F"/>
    <w:rsid w:val="007934EB"/>
    <w:rsid w:val="00793B13"/>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FF7"/>
    <w:rsid w:val="008D027A"/>
    <w:rsid w:val="008D0622"/>
    <w:rsid w:val="008D0B80"/>
    <w:rsid w:val="008D0C14"/>
    <w:rsid w:val="008D11A4"/>
    <w:rsid w:val="008D1655"/>
    <w:rsid w:val="008D2561"/>
    <w:rsid w:val="008D264F"/>
    <w:rsid w:val="008D295D"/>
    <w:rsid w:val="008D2C48"/>
    <w:rsid w:val="008D3471"/>
    <w:rsid w:val="008D37A0"/>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5216"/>
    <w:rsid w:val="0092525B"/>
    <w:rsid w:val="009252BE"/>
    <w:rsid w:val="009254E6"/>
    <w:rsid w:val="00925710"/>
    <w:rsid w:val="00925A65"/>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579"/>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782"/>
    <w:rsid w:val="00A5185C"/>
    <w:rsid w:val="00A51ABB"/>
    <w:rsid w:val="00A51EA7"/>
    <w:rsid w:val="00A51FC7"/>
    <w:rsid w:val="00A52056"/>
    <w:rsid w:val="00A52514"/>
    <w:rsid w:val="00A52F05"/>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418"/>
    <w:rsid w:val="00B36539"/>
    <w:rsid w:val="00B3657D"/>
    <w:rsid w:val="00B3688A"/>
    <w:rsid w:val="00B36928"/>
    <w:rsid w:val="00B36A23"/>
    <w:rsid w:val="00B36B7B"/>
    <w:rsid w:val="00B37348"/>
    <w:rsid w:val="00B373D4"/>
    <w:rsid w:val="00B378E3"/>
    <w:rsid w:val="00B409DE"/>
    <w:rsid w:val="00B409F0"/>
    <w:rsid w:val="00B40BE8"/>
    <w:rsid w:val="00B40CEE"/>
    <w:rsid w:val="00B40D6D"/>
    <w:rsid w:val="00B40E45"/>
    <w:rsid w:val="00B41AC3"/>
    <w:rsid w:val="00B41B34"/>
    <w:rsid w:val="00B41BE8"/>
    <w:rsid w:val="00B41F3F"/>
    <w:rsid w:val="00B42F25"/>
    <w:rsid w:val="00B431EF"/>
    <w:rsid w:val="00B435A5"/>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D39"/>
    <w:rsid w:val="00BB5FAE"/>
    <w:rsid w:val="00BB6082"/>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B2B"/>
    <w:rsid w:val="00D1206B"/>
    <w:rsid w:val="00D12BC5"/>
    <w:rsid w:val="00D1313D"/>
    <w:rsid w:val="00D1315C"/>
    <w:rsid w:val="00D131A7"/>
    <w:rsid w:val="00D133E9"/>
    <w:rsid w:val="00D13F41"/>
    <w:rsid w:val="00D14830"/>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6DC"/>
    <w:rsid w:val="00D86710"/>
    <w:rsid w:val="00D87141"/>
    <w:rsid w:val="00D87821"/>
    <w:rsid w:val="00D90566"/>
    <w:rsid w:val="00D9064D"/>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A0"/>
    <w:rsid w:val="00E23AF2"/>
    <w:rsid w:val="00E23B28"/>
    <w:rsid w:val="00E240C3"/>
    <w:rsid w:val="00E24352"/>
    <w:rsid w:val="00E24CA9"/>
    <w:rsid w:val="00E24D82"/>
    <w:rsid w:val="00E24E4C"/>
    <w:rsid w:val="00E24FFE"/>
    <w:rsid w:val="00E2552B"/>
    <w:rsid w:val="00E25C78"/>
    <w:rsid w:val="00E2617A"/>
    <w:rsid w:val="00E262FB"/>
    <w:rsid w:val="00E26798"/>
    <w:rsid w:val="00E274BC"/>
    <w:rsid w:val="00E27980"/>
    <w:rsid w:val="00E27AC6"/>
    <w:rsid w:val="00E27D4E"/>
    <w:rsid w:val="00E27E12"/>
    <w:rsid w:val="00E27E95"/>
    <w:rsid w:val="00E27F6F"/>
    <w:rsid w:val="00E30218"/>
    <w:rsid w:val="00E3031D"/>
    <w:rsid w:val="00E30F15"/>
    <w:rsid w:val="00E3128C"/>
    <w:rsid w:val="00E319CB"/>
    <w:rsid w:val="00E3205A"/>
    <w:rsid w:val="00E32351"/>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4C62"/>
    <w:rsid w:val="00F254AF"/>
    <w:rsid w:val="00F25BC2"/>
    <w:rsid w:val="00F25D0D"/>
    <w:rsid w:val="00F2607E"/>
    <w:rsid w:val="00F268E2"/>
    <w:rsid w:val="00F26936"/>
    <w:rsid w:val="00F26965"/>
    <w:rsid w:val="00F26B44"/>
    <w:rsid w:val="00F26D96"/>
    <w:rsid w:val="00F272A2"/>
    <w:rsid w:val="00F2769E"/>
    <w:rsid w:val="00F27C34"/>
    <w:rsid w:val="00F27C6A"/>
    <w:rsid w:val="00F27E4F"/>
    <w:rsid w:val="00F300BE"/>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4D9"/>
    <w:rsid w:val="00F915EA"/>
    <w:rsid w:val="00F918FE"/>
    <w:rsid w:val="00F91926"/>
    <w:rsid w:val="00F924F6"/>
    <w:rsid w:val="00F928CF"/>
    <w:rsid w:val="00F9299D"/>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995"/>
    <w:rsid w:val="00FC0AF2"/>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362"/>
    <w:rsid w:val="00FE55C2"/>
    <w:rsid w:val="00FE57CD"/>
    <w:rsid w:val="00FE602C"/>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NoList"/>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serrano@rzkenergia.com.br" TargetMode="External" Id="rId14" /><Relationship Type="http://schemas.openxmlformats.org/officeDocument/2006/relationships/fontTable" Target="fontTable.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 L E F O S S E ! 3 7 4 8 6 1 6 . 1 < / d o c u m e n t i d >  
     < s e n d e r i d > C A I U B < / s e n d e r i d >  
     < s e n d e r e m a i l > C L A R I C E . A I U B @ L E F O S S E . C O M < / s e n d e r e m a i l >  
     < l a s t m o d i f i e d > 2 0 2 2 - 0 9 - 0 8 T 1 9 : 3 5 : 0 0 . 0 0 0 0 0 0 0 - 0 3 : 0 0 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67</Pages>
  <Words>26999</Words>
  <Characters>145796</Characters>
  <Application>Microsoft Office Word</Application>
  <DocSecurity>0</DocSecurity>
  <Lines>1214</Lines>
  <Paragraphs>344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172451</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Clarice</cp:lastModifiedBy>
  <cp:revision>46</cp:revision>
  <cp:lastPrinted>2021-09-20T00:49:00Z</cp:lastPrinted>
  <dcterms:created xsi:type="dcterms:W3CDTF">2022-08-24T21:32:00Z</dcterms:created>
  <dcterms:modified xsi:type="dcterms:W3CDTF">2022-09-08T22:35:00Z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- 3748616v1</vt:lpwstr>
  </property>
</Properties>
</file>