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7B722264" w:rsidR="0022118A" w:rsidRPr="00F57AC5" w:rsidRDefault="009B416A" w:rsidP="0022118A">
      <w:pPr>
        <w:pStyle w:val="NormalPlain"/>
        <w:widowControl w:val="0"/>
        <w:jc w:val="center"/>
        <w:rPr>
          <w:smallCaps/>
          <w:sz w:val="26"/>
          <w:szCs w:val="26"/>
          <w:lang w:val="pt-BR"/>
        </w:rPr>
      </w:pPr>
      <w:bookmarkStart w:id="0" w:name="_Hlk74319121"/>
      <w:r>
        <w:rPr>
          <w:smallCaps/>
          <w:sz w:val="26"/>
          <w:szCs w:val="26"/>
          <w:lang w:val="pt-BR"/>
        </w:rPr>
        <w:t>Primeiro</w:t>
      </w:r>
      <w:r w:rsidRPr="00F57AC5">
        <w:rPr>
          <w:smallCaps/>
          <w:sz w:val="26"/>
          <w:szCs w:val="26"/>
          <w:lang w:val="pt-BR"/>
        </w:rPr>
        <w:t xml:space="preserve">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272B8B05" w:rsidR="0022118A" w:rsidRPr="00F57AC5" w:rsidRDefault="009B416A" w:rsidP="0022118A">
      <w:pPr>
        <w:widowControl w:val="0"/>
        <w:jc w:val="both"/>
        <w:rPr>
          <w:sz w:val="26"/>
          <w:szCs w:val="26"/>
        </w:rPr>
      </w:pPr>
      <w:r>
        <w:rPr>
          <w:sz w:val="26"/>
          <w:szCs w:val="26"/>
        </w:rPr>
        <w:t>Primeiro</w:t>
      </w:r>
      <w:r w:rsidRPr="00F57AC5">
        <w:rPr>
          <w:sz w:val="26"/>
          <w:szCs w:val="26"/>
        </w:rPr>
        <w:t xml:space="preserve">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05AB7853"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34E89EE3"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1D5C824C"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77777777"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 xml:space="preserve">instituição autorizada a funcionar pelo Banco Central do Brasil, atuando por sua filial, na Cidade de São Paulo, Estado de São Paulo, na Rua Joaquim Floriano, nº 466, Bloco B, Sala 1.401, CEP 04534-002, inscrita no CNPJ sob o nº </w:t>
      </w:r>
      <w:r w:rsidRPr="002D488B">
        <w:rPr>
          <w:sz w:val="26"/>
          <w:szCs w:val="26"/>
        </w:rPr>
        <w:lastRenderedPageBreak/>
        <w:t>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311EFB9"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das Olimpíadas, nº 205, 4º andar, Vila Olímpia, CEP 04.551-000, </w:t>
      </w:r>
      <w:r w:rsidR="00AE4C4E" w:rsidRPr="00845EFC">
        <w:rPr>
          <w:sz w:val="26"/>
          <w:szCs w:val="26"/>
        </w:rPr>
        <w:t xml:space="preserve">Cidade de São Paulo, Estado de São Paulo, </w:t>
      </w:r>
      <w:r w:rsidRPr="00845EFC">
        <w:rPr>
          <w:sz w:val="26"/>
          <w:szCs w:val="26"/>
        </w:rPr>
        <w:t>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6678AF" w14:textId="77777777" w:rsidR="0022118A" w:rsidRPr="00F57AC5" w:rsidRDefault="0022118A" w:rsidP="0022118A">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6A309648" w14:textId="77777777" w:rsidR="0022118A" w:rsidRPr="00F57AC5" w:rsidRDefault="0022118A" w:rsidP="0022118A">
      <w:pPr>
        <w:widowControl w:val="0"/>
        <w:ind w:firstLine="706"/>
        <w:jc w:val="both"/>
        <w:rPr>
          <w:sz w:val="26"/>
          <w:szCs w:val="26"/>
          <w:lang w:eastAsia="en-US"/>
        </w:rPr>
      </w:pPr>
    </w:p>
    <w:p w14:paraId="650237A6" w14:textId="1404D716" w:rsidR="0022118A" w:rsidRPr="00F57AC5"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do capital social da Companhia, como condição para a Integralização das Debêntures da Segunda Série</w:t>
      </w:r>
      <w:r w:rsidR="007C6A12">
        <w:rPr>
          <w:sz w:val="26"/>
          <w:szCs w:val="26"/>
          <w:lang w:eastAsia="en-US"/>
        </w:rPr>
        <w:t>; e</w:t>
      </w:r>
    </w:p>
    <w:p w14:paraId="2C1AA82F" w14:textId="77777777" w:rsidR="0022118A" w:rsidRPr="00F57AC5" w:rsidRDefault="0022118A" w:rsidP="009909C7">
      <w:pPr>
        <w:widowControl w:val="0"/>
        <w:jc w:val="both"/>
        <w:rPr>
          <w:sz w:val="26"/>
          <w:szCs w:val="26"/>
          <w:lang w:eastAsia="en-US"/>
        </w:rPr>
      </w:pPr>
    </w:p>
    <w:p w14:paraId="15B2CA86" w14:textId="77777777" w:rsidR="0022118A" w:rsidRPr="00F57AC5"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07103A0B" w14:textId="77777777" w:rsidR="0022118A" w:rsidRPr="00F57AC5" w:rsidRDefault="0022118A" w:rsidP="0022118A">
      <w:pPr>
        <w:widowControl w:val="0"/>
        <w:ind w:firstLine="708"/>
        <w:jc w:val="both"/>
        <w:rPr>
          <w:sz w:val="26"/>
          <w:szCs w:val="26"/>
          <w:lang w:eastAsia="en-US"/>
        </w:rPr>
      </w:pPr>
    </w:p>
    <w:p w14:paraId="148F76CA" w14:textId="77777777"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7497B95D" w14:textId="19074B00" w:rsidR="0022118A" w:rsidRPr="00691FD9" w:rsidRDefault="0022118A" w:rsidP="0022118A">
      <w:pPr>
        <w:widowControl w:val="0"/>
        <w:jc w:val="both"/>
        <w:rPr>
          <w:sz w:val="26"/>
          <w:szCs w:val="26"/>
        </w:rPr>
      </w:pPr>
      <w:r w:rsidRPr="00F57AC5">
        <w:rPr>
          <w:sz w:val="26"/>
          <w:szCs w:val="26"/>
          <w:lang w:eastAsia="en-US"/>
        </w:rPr>
        <w:t>1.</w:t>
      </w:r>
      <w:r w:rsidRPr="00F57AC5">
        <w:rPr>
          <w:sz w:val="26"/>
          <w:szCs w:val="26"/>
          <w:lang w:eastAsia="en-US"/>
        </w:rPr>
        <w:tab/>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p>
    <w:p w14:paraId="7BAF2B94" w14:textId="77777777" w:rsidR="0022118A" w:rsidRPr="00F57AC5" w:rsidRDefault="0022118A" w:rsidP="0022118A">
      <w:pPr>
        <w:widowControl w:val="0"/>
        <w:jc w:val="both"/>
        <w:rPr>
          <w:sz w:val="26"/>
          <w:szCs w:val="26"/>
          <w:lang w:eastAsia="en-US"/>
        </w:rPr>
      </w:pPr>
    </w:p>
    <w:p w14:paraId="0A27C448" w14:textId="62003D91" w:rsidR="0022118A" w:rsidRPr="00F57AC5" w:rsidRDefault="0022118A" w:rsidP="0022118A">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w:t>
      </w:r>
      <w:r w:rsidRPr="00F57AC5">
        <w:rPr>
          <w:sz w:val="26"/>
          <w:szCs w:val="26"/>
          <w:lang w:eastAsia="en-US"/>
        </w:rPr>
        <w:lastRenderedPageBreak/>
        <w:t xml:space="preserve">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32A1A6D8" w14:textId="77777777" w:rsidR="0022118A" w:rsidRPr="00F57AC5" w:rsidRDefault="0022118A" w:rsidP="0022118A">
      <w:pPr>
        <w:widowControl w:val="0"/>
        <w:jc w:val="both"/>
        <w:rPr>
          <w:sz w:val="26"/>
          <w:szCs w:val="26"/>
          <w:lang w:eastAsia="en-US"/>
        </w:rPr>
      </w:pPr>
    </w:p>
    <w:p w14:paraId="7E8A7825" w14:textId="77777777" w:rsidR="0022118A" w:rsidRPr="00F57AC5" w:rsidRDefault="0022118A" w:rsidP="0022118A">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77777777" w:rsidR="0022118A" w:rsidRPr="00F57AC5" w:rsidRDefault="0022118A" w:rsidP="0022118A">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7F983CB0" w14:textId="77777777" w:rsidR="0022118A" w:rsidRPr="00F57AC5" w:rsidRDefault="0022118A" w:rsidP="0022118A">
      <w:pPr>
        <w:widowControl w:val="0"/>
        <w:jc w:val="both"/>
        <w:rPr>
          <w:sz w:val="26"/>
          <w:szCs w:val="26"/>
          <w:lang w:eastAsia="en-US"/>
        </w:rPr>
      </w:pPr>
    </w:p>
    <w:p w14:paraId="0E5D2759" w14:textId="77777777" w:rsidR="0022118A" w:rsidRPr="00F57AC5" w:rsidRDefault="0022118A" w:rsidP="0022118A">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26BB3B1B" w14:textId="77777777" w:rsidR="0022118A" w:rsidRPr="00F57AC5" w:rsidRDefault="0022118A" w:rsidP="0022118A">
      <w:pPr>
        <w:widowControl w:val="0"/>
        <w:jc w:val="both"/>
        <w:rPr>
          <w:sz w:val="26"/>
          <w:szCs w:val="26"/>
          <w:lang w:eastAsia="en-US"/>
        </w:rPr>
      </w:pPr>
    </w:p>
    <w:p w14:paraId="77D73001" w14:textId="77777777" w:rsidR="0022118A" w:rsidRPr="00F57AC5" w:rsidRDefault="0022118A" w:rsidP="0022118A">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15599538" w14:textId="77777777" w:rsidR="0022118A" w:rsidRPr="00F57AC5" w:rsidRDefault="0022118A" w:rsidP="0022118A">
      <w:pPr>
        <w:widowControl w:val="0"/>
        <w:jc w:val="both"/>
        <w:rPr>
          <w:sz w:val="26"/>
          <w:szCs w:val="26"/>
          <w:lang w:eastAsia="en-US"/>
        </w:rPr>
      </w:pPr>
    </w:p>
    <w:p w14:paraId="28BE4CC1" w14:textId="77777777" w:rsidR="0022118A" w:rsidRPr="00F57AC5" w:rsidRDefault="0022118A" w:rsidP="0022118A">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F57AC5" w:rsidRDefault="0022118A" w:rsidP="0022118A">
      <w:pPr>
        <w:widowControl w:val="0"/>
        <w:jc w:val="both"/>
        <w:rPr>
          <w:sz w:val="26"/>
          <w:szCs w:val="26"/>
          <w:lang w:eastAsia="en-US"/>
        </w:rPr>
      </w:pPr>
    </w:p>
    <w:p w14:paraId="56FA3AAC" w14:textId="77777777" w:rsidR="0022118A" w:rsidRDefault="0022118A" w:rsidP="0022118A">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58A9BDA3" w14:textId="77777777" w:rsidR="0022118A" w:rsidRDefault="0022118A" w:rsidP="0022118A">
      <w:pPr>
        <w:widowControl w:val="0"/>
        <w:jc w:val="both"/>
        <w:rPr>
          <w:sz w:val="26"/>
          <w:szCs w:val="26"/>
          <w:lang w:eastAsia="en-US"/>
        </w:rPr>
      </w:pPr>
    </w:p>
    <w:p w14:paraId="02DCF84D" w14:textId="77777777" w:rsidR="0022118A" w:rsidRPr="00F57AC5" w:rsidRDefault="0022118A" w:rsidP="0022118A">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F57AC5"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Pr>
          <w:sz w:val="26"/>
          <w:szCs w:val="26"/>
        </w:rPr>
        <w:t>identificadas</w:t>
      </w:r>
      <w:r w:rsidRPr="00F57AC5">
        <w:rPr>
          <w:sz w:val="26"/>
          <w:szCs w:val="26"/>
        </w:rPr>
        <w:t>.</w:t>
      </w:r>
    </w:p>
    <w:p w14:paraId="6E5D692E" w14:textId="77777777" w:rsidR="0022118A" w:rsidRPr="00F57AC5" w:rsidRDefault="0022118A" w:rsidP="0022118A">
      <w:pPr>
        <w:widowControl w:val="0"/>
        <w:jc w:val="center"/>
        <w:rPr>
          <w:rFonts w:eastAsia="Arial Unicode MS"/>
          <w:sz w:val="26"/>
          <w:szCs w:val="26"/>
        </w:rPr>
      </w:pPr>
    </w:p>
    <w:p w14:paraId="1098EF18" w14:textId="5C20267A" w:rsidR="0022118A" w:rsidRPr="00F57AC5" w:rsidRDefault="0022118A" w:rsidP="0022118A">
      <w:pPr>
        <w:widowControl w:val="0"/>
        <w:jc w:val="center"/>
        <w:rPr>
          <w:sz w:val="26"/>
          <w:szCs w:val="26"/>
        </w:rPr>
      </w:pPr>
      <w:r w:rsidRPr="00F57AC5">
        <w:rPr>
          <w:sz w:val="26"/>
          <w:szCs w:val="26"/>
        </w:rPr>
        <w:t xml:space="preserve">São Paulo, </w:t>
      </w:r>
      <w:r w:rsidR="001A10F7">
        <w:rPr>
          <w:sz w:val="26"/>
          <w:szCs w:val="26"/>
          <w:lang w:eastAsia="en-US"/>
        </w:rPr>
        <w:t>22</w:t>
      </w:r>
      <w:r w:rsidRPr="00F57AC5">
        <w:rPr>
          <w:sz w:val="26"/>
          <w:szCs w:val="26"/>
        </w:rPr>
        <w:t xml:space="preserve"> de </w:t>
      </w:r>
      <w:r w:rsidR="007C6A12">
        <w:rPr>
          <w:sz w:val="26"/>
          <w:szCs w:val="26"/>
          <w:lang w:eastAsia="en-US"/>
        </w:rPr>
        <w:t>junho</w:t>
      </w:r>
      <w:r w:rsidR="007C6A12" w:rsidRPr="00F57AC5">
        <w:rPr>
          <w:sz w:val="26"/>
          <w:szCs w:val="26"/>
        </w:rPr>
        <w:t xml:space="preserve"> </w:t>
      </w:r>
      <w:r w:rsidRPr="00F57AC5">
        <w:rPr>
          <w:sz w:val="26"/>
          <w:szCs w:val="26"/>
        </w:rPr>
        <w:t xml:space="preserve">de </w:t>
      </w:r>
      <w:r w:rsidR="007C6A12">
        <w:rPr>
          <w:sz w:val="26"/>
          <w:szCs w:val="26"/>
          <w:lang w:eastAsia="en-US"/>
        </w:rPr>
        <w:t>2021</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93D55A7" w:rsidR="007C6A12" w:rsidRPr="00845EFC" w:rsidRDefault="007C6A12">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w:t>
      </w:r>
      <w:r w:rsidR="009B416A">
        <w:rPr>
          <w:i/>
          <w:color w:val="000000"/>
          <w:sz w:val="26"/>
          <w:szCs w:val="26"/>
        </w:rPr>
        <w:t>Primeiro</w:t>
      </w:r>
      <w:r>
        <w:rPr>
          <w:i/>
          <w:color w:val="000000"/>
          <w:sz w:val="26"/>
          <w:szCs w:val="26"/>
        </w:rPr>
        <w:t xml:space="preserve"> 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38F075FD" w:rsidR="007C6A12" w:rsidRPr="00845EFC" w:rsidRDefault="007C6A12" w:rsidP="007C6A12">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080A75D8"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7FFA9095"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1ABA81ED"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Sprint Fundo de Investimento em Participações Multiestratégia</w:t>
      </w:r>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02A88663" w14:textId="77777777" w:rsidR="007C6A12" w:rsidRPr="00845EFC" w:rsidRDefault="007C6A12" w:rsidP="0046188A">
            <w:pPr>
              <w:spacing w:line="276" w:lineRule="auto"/>
              <w:rPr>
                <w:sz w:val="26"/>
                <w:szCs w:val="26"/>
                <w:lang w:val="en-US"/>
              </w:rPr>
            </w:pPr>
            <w:r w:rsidRPr="00896E31">
              <w:rPr>
                <w:sz w:val="26"/>
                <w:szCs w:val="26"/>
                <w:lang w:val="en-US"/>
              </w:rPr>
              <w:t>Nome:</w:t>
            </w:r>
          </w:p>
          <w:p w14:paraId="16382DC7"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0440EC69" w14:textId="77777777" w:rsidR="007C6A12" w:rsidRPr="00845EFC" w:rsidRDefault="007C6A12" w:rsidP="0046188A">
            <w:pPr>
              <w:spacing w:line="276" w:lineRule="auto"/>
              <w:rPr>
                <w:sz w:val="26"/>
                <w:szCs w:val="26"/>
                <w:lang w:val="en-US"/>
              </w:rPr>
            </w:pPr>
            <w:r w:rsidRPr="00845EFC">
              <w:rPr>
                <w:sz w:val="26"/>
                <w:szCs w:val="26"/>
                <w:lang w:val="en-US"/>
              </w:rPr>
              <w:t>Nome:</w:t>
            </w:r>
          </w:p>
          <w:p w14:paraId="49BA3CB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11717216"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60FEFF67" w14:textId="77777777" w:rsidR="007C6A12" w:rsidRPr="00845EFC" w:rsidRDefault="007C6A12" w:rsidP="0046188A">
            <w:pPr>
              <w:spacing w:line="276" w:lineRule="auto"/>
              <w:rPr>
                <w:sz w:val="26"/>
                <w:szCs w:val="26"/>
                <w:lang w:val="en-US"/>
              </w:rPr>
            </w:pPr>
            <w:r w:rsidRPr="00896E31">
              <w:rPr>
                <w:sz w:val="26"/>
                <w:szCs w:val="26"/>
                <w:lang w:val="en-US"/>
              </w:rPr>
              <w:t>Nome:</w:t>
            </w:r>
          </w:p>
          <w:p w14:paraId="3198F40D"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53D76433" w14:textId="77777777" w:rsidR="007C6A12" w:rsidRPr="00845EFC" w:rsidRDefault="007C6A12" w:rsidP="0046188A">
            <w:pPr>
              <w:spacing w:line="276" w:lineRule="auto"/>
              <w:rPr>
                <w:sz w:val="26"/>
                <w:szCs w:val="26"/>
                <w:lang w:val="en-US"/>
              </w:rPr>
            </w:pPr>
            <w:r w:rsidRPr="00845EFC">
              <w:rPr>
                <w:sz w:val="26"/>
                <w:szCs w:val="26"/>
                <w:lang w:val="en-US"/>
              </w:rPr>
              <w:t>Nome:</w:t>
            </w:r>
          </w:p>
          <w:p w14:paraId="092BCB5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5033295D"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0EA4DEEA" w14:textId="77777777" w:rsidTr="009909C7">
        <w:trPr>
          <w:jc w:val="center"/>
        </w:trPr>
        <w:tc>
          <w:tcPr>
            <w:tcW w:w="4178" w:type="dxa"/>
            <w:hideMark/>
          </w:tcPr>
          <w:p w14:paraId="3850CBBD"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r w:rsidR="007C6A12" w:rsidRPr="00845EFC" w14:paraId="67CD3309" w14:textId="77777777" w:rsidTr="009909C7">
        <w:trPr>
          <w:jc w:val="center"/>
        </w:trPr>
        <w:tc>
          <w:tcPr>
            <w:tcW w:w="4178" w:type="dxa"/>
            <w:hideMark/>
          </w:tcPr>
          <w:p w14:paraId="660874E6" w14:textId="77777777" w:rsidR="007C6A12" w:rsidRPr="00845EFC" w:rsidRDefault="007C6A12" w:rsidP="0046188A">
            <w:pPr>
              <w:spacing w:line="276" w:lineRule="auto"/>
              <w:rPr>
                <w:sz w:val="26"/>
                <w:szCs w:val="26"/>
                <w:lang w:val="en-US"/>
              </w:rPr>
            </w:pPr>
            <w:r w:rsidRPr="00896E31">
              <w:rPr>
                <w:sz w:val="26"/>
                <w:szCs w:val="26"/>
                <w:lang w:val="en-US"/>
              </w:rPr>
              <w:t>Nome:</w:t>
            </w:r>
          </w:p>
          <w:p w14:paraId="6D7976BD" w14:textId="77777777" w:rsidR="007C6A12" w:rsidRPr="00845EFC" w:rsidRDefault="007C6A12" w:rsidP="0046188A">
            <w:pPr>
              <w:spacing w:line="276" w:lineRule="auto"/>
              <w:rPr>
                <w:sz w:val="26"/>
                <w:szCs w:val="26"/>
                <w:lang w:val="en-US"/>
              </w:rPr>
            </w:pPr>
            <w:r w:rsidRPr="00845EFC">
              <w:rPr>
                <w:sz w:val="26"/>
                <w:szCs w:val="26"/>
                <w:lang w:val="en-US"/>
              </w:rPr>
              <w:t>Cargo:</w:t>
            </w: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405456BF"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p>
    <w:p w14:paraId="49E03FCB" w14:textId="77777777" w:rsidR="00BB22E6" w:rsidRPr="00ED4116" w:rsidRDefault="00BB22E6" w:rsidP="007C6A12">
      <w:pPr>
        <w:jc w:val="center"/>
        <w:rPr>
          <w:sz w:val="26"/>
          <w:szCs w:val="26"/>
        </w:rPr>
      </w:pPr>
    </w:p>
    <w:p w14:paraId="76BB2261" w14:textId="77777777" w:rsidR="007C6A12" w:rsidRPr="00845EFC" w:rsidRDefault="007C6A12" w:rsidP="007C6A12">
      <w:pPr>
        <w:jc w:val="both"/>
        <w:rPr>
          <w:sz w:val="26"/>
          <w:szCs w:val="26"/>
          <w:lang w:val="en-US"/>
        </w:rPr>
      </w:pPr>
      <w:r w:rsidRPr="00845EFC">
        <w:rPr>
          <w:sz w:val="26"/>
          <w:szCs w:val="26"/>
          <w:lang w:val="en-US"/>
        </w:rPr>
        <w:t>Testemunhas:</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77777777" w:rsidR="007C6A12" w:rsidRPr="00845EFC" w:rsidRDefault="007C6A12" w:rsidP="0046188A">
            <w:pPr>
              <w:spacing w:line="276" w:lineRule="auto"/>
              <w:rPr>
                <w:sz w:val="26"/>
                <w:szCs w:val="26"/>
                <w:lang w:val="en-US"/>
              </w:rPr>
            </w:pPr>
            <w:r w:rsidRPr="00845EFC">
              <w:rPr>
                <w:sz w:val="26"/>
                <w:szCs w:val="26"/>
                <w:lang w:val="en-US"/>
              </w:rPr>
              <w:t>RG:</w:t>
            </w: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77777777" w:rsidR="007C6A12" w:rsidRPr="00845EFC" w:rsidRDefault="007C6A12" w:rsidP="0046188A">
            <w:pPr>
              <w:spacing w:line="276" w:lineRule="auto"/>
              <w:rPr>
                <w:sz w:val="26"/>
                <w:szCs w:val="26"/>
                <w:lang w:val="en-US"/>
              </w:rPr>
            </w:pPr>
            <w:r w:rsidRPr="00845EFC">
              <w:rPr>
                <w:sz w:val="26"/>
                <w:szCs w:val="26"/>
                <w:lang w:val="en-US"/>
              </w:rPr>
              <w:t>RG:</w:t>
            </w: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r w:rsidR="0022118A" w:rsidRPr="00F57AC5">
        <w:rPr>
          <w:smallCaps/>
          <w:sz w:val="26"/>
          <w:szCs w:val="26"/>
        </w:rPr>
        <w:lastRenderedPageBreak/>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77777777" w:rsidR="0022118A" w:rsidRPr="00F57AC5" w:rsidRDefault="0022118A" w:rsidP="0022118A">
      <w:pPr>
        <w:widowControl w:val="0"/>
        <w:jc w:val="center"/>
        <w:rPr>
          <w:smallCaps/>
          <w:sz w:val="26"/>
          <w:szCs w:val="26"/>
        </w:rPr>
      </w:pPr>
      <w:r w:rsidRPr="00F57AC5">
        <w:rPr>
          <w:smallCaps/>
          <w:sz w:val="26"/>
          <w:szCs w:val="26"/>
        </w:rPr>
        <w:t>Anexo I</w:t>
      </w:r>
    </w:p>
    <w:p w14:paraId="591537FB" w14:textId="77777777" w:rsidR="0022118A" w:rsidRPr="00F57AC5" w:rsidRDefault="0022118A" w:rsidP="0022118A">
      <w:pPr>
        <w:pStyle w:val="Celso1"/>
        <w:jc w:val="center"/>
        <w:rPr>
          <w:rFonts w:ascii="Times New Roman" w:eastAsia="Arial Unicode MS" w:hAnsi="Times New Roman" w:cs="Times New Roman"/>
          <w:sz w:val="26"/>
          <w:szCs w:val="26"/>
        </w:rPr>
      </w:pPr>
    </w:p>
    <w:p w14:paraId="1E11802B" w14:textId="77777777" w:rsidR="0022118A" w:rsidRPr="00F57AC5" w:rsidRDefault="0022118A" w:rsidP="0022118A">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206EB176" w14:textId="77777777" w:rsidR="0022118A" w:rsidRPr="00F57AC5" w:rsidRDefault="0022118A" w:rsidP="0022118A">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E5F76" w14:paraId="455AFFDF" w14:textId="77777777" w:rsidTr="0046188A">
        <w:trPr>
          <w:trHeight w:val="315"/>
        </w:trPr>
        <w:tc>
          <w:tcPr>
            <w:tcW w:w="1885" w:type="dxa"/>
            <w:shd w:val="clear" w:color="auto" w:fill="D9D9D9"/>
            <w:noWrap/>
            <w:vAlign w:val="center"/>
            <w:hideMark/>
          </w:tcPr>
          <w:p w14:paraId="3C0B84E3" w14:textId="77777777" w:rsidR="00AE5F76" w:rsidRDefault="00AE5F76" w:rsidP="0046188A">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20F5B9CE" w14:textId="77777777" w:rsidR="00AE5F76" w:rsidRDefault="00AE5F76" w:rsidP="0046188A">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DE5D64D" w14:textId="77777777" w:rsidR="00AE5F76" w:rsidRDefault="00AE5F76" w:rsidP="0046188A">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E5F76" w14:paraId="51B87F5B" w14:textId="77777777" w:rsidTr="0046188A">
        <w:trPr>
          <w:trHeight w:val="315"/>
        </w:trPr>
        <w:tc>
          <w:tcPr>
            <w:tcW w:w="1885" w:type="dxa"/>
            <w:shd w:val="clear" w:color="auto" w:fill="FFFFFF"/>
            <w:noWrap/>
            <w:vAlign w:val="center"/>
            <w:hideMark/>
          </w:tcPr>
          <w:p w14:paraId="4F16D4D2" w14:textId="77777777" w:rsidR="00AE5F76" w:rsidRDefault="00AE5F76" w:rsidP="0046188A">
            <w:pPr>
              <w:jc w:val="center"/>
              <w:rPr>
                <w:sz w:val="22"/>
                <w:szCs w:val="22"/>
                <w:lang w:eastAsia="en-US"/>
              </w:rPr>
            </w:pPr>
            <w:r>
              <w:rPr>
                <w:sz w:val="22"/>
                <w:szCs w:val="22"/>
                <w:lang w:eastAsia="en-US"/>
              </w:rPr>
              <w:t>Robson</w:t>
            </w:r>
          </w:p>
        </w:tc>
        <w:tc>
          <w:tcPr>
            <w:tcW w:w="1886" w:type="dxa"/>
            <w:shd w:val="clear" w:color="auto" w:fill="FFFFFF"/>
            <w:noWrap/>
          </w:tcPr>
          <w:p w14:paraId="39EF48B7" w14:textId="688BF528" w:rsidR="00AE5F76" w:rsidRPr="00576447" w:rsidRDefault="004D5A52" w:rsidP="0046188A">
            <w:pPr>
              <w:jc w:val="center"/>
              <w:rPr>
                <w:sz w:val="22"/>
              </w:rPr>
            </w:pPr>
            <w:r>
              <w:rPr>
                <w:color w:val="0D0D0D"/>
              </w:rPr>
              <w:t>133.823</w:t>
            </w:r>
          </w:p>
        </w:tc>
        <w:tc>
          <w:tcPr>
            <w:tcW w:w="1886" w:type="dxa"/>
            <w:shd w:val="clear" w:color="auto" w:fill="FFFFFF"/>
            <w:noWrap/>
          </w:tcPr>
          <w:p w14:paraId="2BC578D0" w14:textId="5D7478A9" w:rsidR="00AE5F76" w:rsidRPr="00B6697A" w:rsidRDefault="004D5A52" w:rsidP="0046188A">
            <w:pPr>
              <w:jc w:val="center"/>
              <w:rPr>
                <w:sz w:val="22"/>
                <w:szCs w:val="22"/>
                <w:lang w:eastAsia="en-US"/>
              </w:rPr>
            </w:pPr>
            <w:r>
              <w:rPr>
                <w:color w:val="0D0D0D"/>
              </w:rPr>
              <w:t>5,54</w:t>
            </w:r>
            <w:r w:rsidR="00AE5F76" w:rsidRPr="00CF7DC2">
              <w:rPr>
                <w:color w:val="0D0D0D"/>
              </w:rPr>
              <w:t>%</w:t>
            </w:r>
          </w:p>
        </w:tc>
      </w:tr>
      <w:tr w:rsidR="00AE5F76" w14:paraId="45CFE5D3" w14:textId="77777777" w:rsidTr="0046188A">
        <w:trPr>
          <w:trHeight w:val="315"/>
        </w:trPr>
        <w:tc>
          <w:tcPr>
            <w:tcW w:w="1885" w:type="dxa"/>
            <w:shd w:val="clear" w:color="auto" w:fill="FFFFFF"/>
            <w:noWrap/>
            <w:vAlign w:val="center"/>
          </w:tcPr>
          <w:p w14:paraId="2DFA9DF3" w14:textId="77777777" w:rsidR="00AE5F76" w:rsidRDefault="00AE5F76" w:rsidP="0046188A">
            <w:pPr>
              <w:jc w:val="center"/>
              <w:rPr>
                <w:sz w:val="22"/>
                <w:szCs w:val="22"/>
                <w:lang w:eastAsia="en-US"/>
              </w:rPr>
            </w:pPr>
            <w:r>
              <w:rPr>
                <w:sz w:val="22"/>
                <w:szCs w:val="22"/>
                <w:lang w:eastAsia="en-US"/>
              </w:rPr>
              <w:t>Gustavo</w:t>
            </w:r>
          </w:p>
        </w:tc>
        <w:tc>
          <w:tcPr>
            <w:tcW w:w="1886" w:type="dxa"/>
            <w:shd w:val="clear" w:color="auto" w:fill="FFFFFF"/>
            <w:noWrap/>
          </w:tcPr>
          <w:p w14:paraId="028A4F98" w14:textId="4316615C" w:rsidR="00AE5F76" w:rsidRPr="00576447" w:rsidRDefault="004D5A52" w:rsidP="0046188A">
            <w:pPr>
              <w:jc w:val="center"/>
              <w:rPr>
                <w:sz w:val="22"/>
              </w:rPr>
            </w:pPr>
            <w:r>
              <w:rPr>
                <w:color w:val="0D0D0D"/>
              </w:rPr>
              <w:t>126.223</w:t>
            </w:r>
          </w:p>
        </w:tc>
        <w:tc>
          <w:tcPr>
            <w:tcW w:w="1886" w:type="dxa"/>
            <w:shd w:val="clear" w:color="auto" w:fill="FFFFFF"/>
            <w:noWrap/>
          </w:tcPr>
          <w:p w14:paraId="0F1C254E" w14:textId="349F152A" w:rsidR="00AE5F76" w:rsidRPr="00B6697A" w:rsidRDefault="004D5A52" w:rsidP="0046188A">
            <w:pPr>
              <w:jc w:val="center"/>
              <w:rPr>
                <w:sz w:val="22"/>
                <w:szCs w:val="22"/>
                <w:lang w:eastAsia="en-US"/>
              </w:rPr>
            </w:pPr>
            <w:r>
              <w:rPr>
                <w:color w:val="0D0D0D"/>
              </w:rPr>
              <w:t>5,23</w:t>
            </w:r>
            <w:r w:rsidR="00AE5F76" w:rsidRPr="00CF7DC2">
              <w:rPr>
                <w:color w:val="0D0D0D"/>
              </w:rPr>
              <w:t>%</w:t>
            </w:r>
          </w:p>
        </w:tc>
      </w:tr>
      <w:tr w:rsidR="00AE5F76" w14:paraId="14C3E386" w14:textId="77777777" w:rsidTr="0046188A">
        <w:trPr>
          <w:trHeight w:val="315"/>
        </w:trPr>
        <w:tc>
          <w:tcPr>
            <w:tcW w:w="1885" w:type="dxa"/>
            <w:shd w:val="clear" w:color="auto" w:fill="FFFFFF"/>
            <w:noWrap/>
            <w:vAlign w:val="center"/>
          </w:tcPr>
          <w:p w14:paraId="53B09AE1" w14:textId="77777777" w:rsidR="00AE5F76" w:rsidRDefault="00AE5F76" w:rsidP="0046188A">
            <w:pPr>
              <w:jc w:val="center"/>
              <w:rPr>
                <w:sz w:val="22"/>
                <w:szCs w:val="22"/>
                <w:lang w:eastAsia="en-US"/>
              </w:rPr>
            </w:pPr>
            <w:r>
              <w:rPr>
                <w:sz w:val="22"/>
                <w:szCs w:val="22"/>
                <w:lang w:eastAsia="en-US"/>
              </w:rPr>
              <w:t>Igor</w:t>
            </w:r>
          </w:p>
        </w:tc>
        <w:tc>
          <w:tcPr>
            <w:tcW w:w="1886" w:type="dxa"/>
            <w:shd w:val="clear" w:color="auto" w:fill="FFFFFF"/>
            <w:noWrap/>
          </w:tcPr>
          <w:p w14:paraId="393291AA" w14:textId="06226707" w:rsidR="00AE5F76" w:rsidRPr="00576447" w:rsidRDefault="004D5A52" w:rsidP="0046188A">
            <w:pPr>
              <w:jc w:val="center"/>
              <w:rPr>
                <w:sz w:val="22"/>
              </w:rPr>
            </w:pPr>
            <w:r>
              <w:rPr>
                <w:color w:val="0D0D0D"/>
              </w:rPr>
              <w:t>87.768</w:t>
            </w:r>
          </w:p>
        </w:tc>
        <w:tc>
          <w:tcPr>
            <w:tcW w:w="1886" w:type="dxa"/>
            <w:shd w:val="clear" w:color="auto" w:fill="FFFFFF"/>
            <w:noWrap/>
          </w:tcPr>
          <w:p w14:paraId="640AFE1F" w14:textId="6F573D4C" w:rsidR="00AE5F76" w:rsidRPr="00B6697A" w:rsidRDefault="004D5A52" w:rsidP="0046188A">
            <w:pPr>
              <w:jc w:val="center"/>
              <w:rPr>
                <w:sz w:val="22"/>
                <w:szCs w:val="22"/>
                <w:lang w:eastAsia="en-US"/>
              </w:rPr>
            </w:pPr>
            <w:r>
              <w:rPr>
                <w:color w:val="0D0D0D"/>
              </w:rPr>
              <w:t>3,63</w:t>
            </w:r>
            <w:r w:rsidR="00AE5F76" w:rsidRPr="00CF7DC2">
              <w:rPr>
                <w:color w:val="0D0D0D"/>
              </w:rPr>
              <w:t>%</w:t>
            </w:r>
          </w:p>
        </w:tc>
      </w:tr>
      <w:tr w:rsidR="00AE5F76" w14:paraId="7BCB3EBC" w14:textId="77777777" w:rsidTr="0046188A">
        <w:trPr>
          <w:trHeight w:val="315"/>
        </w:trPr>
        <w:tc>
          <w:tcPr>
            <w:tcW w:w="1885" w:type="dxa"/>
            <w:shd w:val="clear" w:color="auto" w:fill="FFFFFF"/>
            <w:noWrap/>
            <w:vAlign w:val="center"/>
          </w:tcPr>
          <w:p w14:paraId="39FC539D" w14:textId="77777777" w:rsidR="00AE5F76" w:rsidRDefault="00AE5F76" w:rsidP="0046188A">
            <w:pPr>
              <w:jc w:val="center"/>
              <w:rPr>
                <w:sz w:val="22"/>
                <w:szCs w:val="22"/>
                <w:lang w:eastAsia="en-US"/>
              </w:rPr>
            </w:pPr>
            <w:r>
              <w:rPr>
                <w:sz w:val="22"/>
                <w:szCs w:val="22"/>
                <w:lang w:eastAsia="en-US"/>
              </w:rPr>
              <w:t>Felipe</w:t>
            </w:r>
          </w:p>
        </w:tc>
        <w:tc>
          <w:tcPr>
            <w:tcW w:w="1886" w:type="dxa"/>
            <w:shd w:val="clear" w:color="auto" w:fill="FFFFFF"/>
            <w:noWrap/>
            <w:vAlign w:val="center"/>
          </w:tcPr>
          <w:p w14:paraId="20206FE6" w14:textId="6418CB6C" w:rsidR="00AE5F76" w:rsidRPr="00576447" w:rsidRDefault="004D5A52" w:rsidP="0046188A">
            <w:pPr>
              <w:jc w:val="center"/>
              <w:rPr>
                <w:sz w:val="22"/>
              </w:rPr>
            </w:pPr>
            <w:r>
              <w:rPr>
                <w:color w:val="0D0D0D"/>
              </w:rPr>
              <w:t>42.357</w:t>
            </w:r>
          </w:p>
        </w:tc>
        <w:tc>
          <w:tcPr>
            <w:tcW w:w="1886" w:type="dxa"/>
            <w:shd w:val="clear" w:color="auto" w:fill="FFFFFF"/>
            <w:noWrap/>
            <w:vAlign w:val="center"/>
          </w:tcPr>
          <w:p w14:paraId="1771976F" w14:textId="237D3466" w:rsidR="00AE5F76" w:rsidRPr="00B6697A" w:rsidRDefault="004D5A52" w:rsidP="0046188A">
            <w:pPr>
              <w:jc w:val="center"/>
              <w:rPr>
                <w:sz w:val="22"/>
                <w:szCs w:val="22"/>
                <w:lang w:eastAsia="en-US"/>
              </w:rPr>
            </w:pPr>
            <w:r>
              <w:rPr>
                <w:color w:val="0D0D0D"/>
              </w:rPr>
              <w:t>1,75</w:t>
            </w:r>
            <w:r w:rsidR="00AE5F76">
              <w:rPr>
                <w:color w:val="000000"/>
              </w:rPr>
              <w:t>%</w:t>
            </w:r>
          </w:p>
        </w:tc>
      </w:tr>
      <w:tr w:rsidR="00AE5F76" w14:paraId="7AD61BB1" w14:textId="77777777" w:rsidTr="0046188A">
        <w:trPr>
          <w:trHeight w:val="315"/>
        </w:trPr>
        <w:tc>
          <w:tcPr>
            <w:tcW w:w="1885" w:type="dxa"/>
            <w:shd w:val="clear" w:color="auto" w:fill="FFFFFF"/>
            <w:noWrap/>
            <w:vAlign w:val="center"/>
          </w:tcPr>
          <w:p w14:paraId="3F32A217" w14:textId="77777777" w:rsidR="00AE5F76" w:rsidRDefault="00AE5F76" w:rsidP="0046188A">
            <w:pPr>
              <w:jc w:val="center"/>
              <w:rPr>
                <w:sz w:val="22"/>
                <w:szCs w:val="22"/>
                <w:lang w:eastAsia="en-US"/>
              </w:rPr>
            </w:pPr>
            <w:r>
              <w:rPr>
                <w:sz w:val="22"/>
                <w:szCs w:val="22"/>
                <w:lang w:eastAsia="en-US"/>
              </w:rPr>
              <w:t>FIP</w:t>
            </w:r>
          </w:p>
        </w:tc>
        <w:tc>
          <w:tcPr>
            <w:tcW w:w="1886" w:type="dxa"/>
            <w:shd w:val="clear" w:color="auto" w:fill="FFFFFF"/>
            <w:noWrap/>
          </w:tcPr>
          <w:p w14:paraId="1481267F" w14:textId="11A9135D" w:rsidR="00AE5F76" w:rsidRPr="00576447" w:rsidRDefault="004D5A52" w:rsidP="0046188A">
            <w:pPr>
              <w:jc w:val="center"/>
              <w:rPr>
                <w:sz w:val="22"/>
              </w:rPr>
            </w:pPr>
            <w:r>
              <w:rPr>
                <w:color w:val="0D0D0D"/>
              </w:rPr>
              <w:t>624.090</w:t>
            </w:r>
          </w:p>
        </w:tc>
        <w:tc>
          <w:tcPr>
            <w:tcW w:w="1886" w:type="dxa"/>
            <w:shd w:val="clear" w:color="auto" w:fill="FFFFFF"/>
            <w:noWrap/>
          </w:tcPr>
          <w:p w14:paraId="39AE9D52" w14:textId="6A2AABC3" w:rsidR="00AE5F76" w:rsidRPr="00B6697A" w:rsidRDefault="004D5A52" w:rsidP="0046188A">
            <w:pPr>
              <w:jc w:val="center"/>
              <w:rPr>
                <w:sz w:val="22"/>
                <w:szCs w:val="22"/>
                <w:lang w:eastAsia="en-US"/>
              </w:rPr>
            </w:pPr>
            <w:r>
              <w:rPr>
                <w:color w:val="0D0D0D"/>
              </w:rPr>
              <w:t>25,84</w:t>
            </w:r>
            <w:r w:rsidR="00AE5F76">
              <w:rPr>
                <w:color w:val="0D0D0D"/>
              </w:rPr>
              <w:t>%</w:t>
            </w:r>
          </w:p>
        </w:tc>
      </w:tr>
      <w:tr w:rsidR="00AE5F76" w14:paraId="37C57AD3" w14:textId="77777777" w:rsidTr="0046188A">
        <w:trPr>
          <w:trHeight w:val="315"/>
        </w:trPr>
        <w:tc>
          <w:tcPr>
            <w:tcW w:w="1885" w:type="dxa"/>
            <w:shd w:val="clear" w:color="auto" w:fill="FFFFFF"/>
            <w:noWrap/>
            <w:vAlign w:val="center"/>
            <w:hideMark/>
          </w:tcPr>
          <w:p w14:paraId="02F14B64" w14:textId="77777777" w:rsidR="00AE5F76" w:rsidRDefault="00AE5F76" w:rsidP="0046188A">
            <w:pPr>
              <w:jc w:val="center"/>
              <w:rPr>
                <w:b/>
                <w:bCs/>
                <w:sz w:val="22"/>
                <w:szCs w:val="22"/>
                <w:lang w:eastAsia="en-US"/>
              </w:rPr>
            </w:pPr>
            <w:r>
              <w:rPr>
                <w:b/>
                <w:bCs/>
                <w:sz w:val="22"/>
                <w:szCs w:val="22"/>
                <w:lang w:eastAsia="en-US"/>
              </w:rPr>
              <w:t>Total</w:t>
            </w:r>
          </w:p>
        </w:tc>
        <w:tc>
          <w:tcPr>
            <w:tcW w:w="1886" w:type="dxa"/>
            <w:shd w:val="clear" w:color="auto" w:fill="FFFFFF"/>
            <w:noWrap/>
          </w:tcPr>
          <w:p w14:paraId="7DE5F8FE" w14:textId="2D12C5CA" w:rsidR="00AE5F76" w:rsidRPr="00BB22E6" w:rsidRDefault="004D5A52" w:rsidP="0046188A">
            <w:pPr>
              <w:jc w:val="center"/>
              <w:rPr>
                <w:b/>
                <w:bCs/>
                <w:sz w:val="22"/>
                <w:szCs w:val="22"/>
                <w:lang w:eastAsia="en-US"/>
              </w:rPr>
            </w:pPr>
            <w:r>
              <w:rPr>
                <w:b/>
                <w:bCs/>
                <w:color w:val="0D0D0D"/>
              </w:rPr>
              <w:t>1.</w:t>
            </w:r>
            <w:r w:rsidR="00DA0080">
              <w:rPr>
                <w:b/>
                <w:bCs/>
                <w:color w:val="0D0D0D"/>
              </w:rPr>
              <w:t>014</w:t>
            </w:r>
            <w:r>
              <w:rPr>
                <w:b/>
                <w:bCs/>
                <w:color w:val="0D0D0D"/>
              </w:rPr>
              <w:t>.261</w:t>
            </w:r>
          </w:p>
        </w:tc>
        <w:tc>
          <w:tcPr>
            <w:tcW w:w="1886" w:type="dxa"/>
            <w:shd w:val="clear" w:color="auto" w:fill="FFFFFF"/>
            <w:noWrap/>
          </w:tcPr>
          <w:p w14:paraId="7A8E14EB" w14:textId="1951A2D3" w:rsidR="00AE5F76" w:rsidRPr="000D5778" w:rsidRDefault="00BB22E6" w:rsidP="0046188A">
            <w:pPr>
              <w:jc w:val="center"/>
              <w:rPr>
                <w:b/>
                <w:bCs/>
                <w:sz w:val="22"/>
                <w:szCs w:val="22"/>
                <w:lang w:eastAsia="en-US"/>
              </w:rPr>
            </w:pPr>
            <w:r>
              <w:rPr>
                <w:b/>
                <w:color w:val="0D0D0D"/>
              </w:rPr>
              <w:t>42</w:t>
            </w:r>
            <w:r w:rsidR="00AE5F76" w:rsidRPr="00576447">
              <w:rPr>
                <w:b/>
                <w:color w:val="0D0D0D"/>
              </w:rPr>
              <w:t>,00%</w:t>
            </w:r>
          </w:p>
        </w:tc>
      </w:tr>
    </w:tbl>
    <w:p w14:paraId="519ACC6A" w14:textId="3DD2C3F7" w:rsidR="0022118A" w:rsidRPr="00F57AC5" w:rsidRDefault="0022118A" w:rsidP="0022118A">
      <w:pPr>
        <w:autoSpaceDE/>
        <w:autoSpaceDN/>
        <w:adjustRightInd/>
        <w:jc w:val="center"/>
        <w:rPr>
          <w:smallCaps/>
          <w:sz w:val="26"/>
          <w:szCs w:val="26"/>
        </w:rPr>
      </w:pPr>
    </w:p>
    <w:p w14:paraId="6C60F6FD" w14:textId="77777777" w:rsidR="0022118A" w:rsidRPr="00F57AC5" w:rsidRDefault="0022118A" w:rsidP="0022118A">
      <w:pPr>
        <w:widowControl w:val="0"/>
        <w:jc w:val="center"/>
        <w:rPr>
          <w:smallCaps/>
          <w:sz w:val="26"/>
          <w:szCs w:val="26"/>
        </w:rPr>
      </w:pPr>
    </w:p>
    <w:p w14:paraId="496E81A9" w14:textId="77777777" w:rsidR="00AE5F76" w:rsidRDefault="00AE5F76">
      <w:pPr>
        <w:autoSpaceDE/>
        <w:autoSpaceDN/>
        <w:adjustRightInd/>
        <w:spacing w:after="160" w:line="259" w:lineRule="auto"/>
        <w:rPr>
          <w:smallCaps/>
          <w:sz w:val="26"/>
          <w:szCs w:val="26"/>
        </w:rPr>
      </w:pPr>
      <w:r>
        <w:rPr>
          <w:smallCaps/>
          <w:sz w:val="26"/>
          <w:szCs w:val="26"/>
        </w:rPr>
        <w:br w:type="page"/>
      </w:r>
    </w:p>
    <w:p w14:paraId="5EF048B6" w14:textId="767F3286" w:rsidR="0022118A" w:rsidRPr="00F57AC5" w:rsidRDefault="0022118A" w:rsidP="0022118A">
      <w:pPr>
        <w:widowControl w:val="0"/>
        <w:jc w:val="center"/>
        <w:rPr>
          <w:smallCaps/>
          <w:sz w:val="26"/>
          <w:szCs w:val="26"/>
        </w:rPr>
      </w:pPr>
      <w:r w:rsidRPr="00F57AC5">
        <w:rPr>
          <w:smallCaps/>
          <w:sz w:val="26"/>
          <w:szCs w:val="26"/>
        </w:rPr>
        <w:lastRenderedPageBreak/>
        <w:t xml:space="preserve">Anexo B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01191DE7"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ões Emitidas em Nome das Alienantes</w:t>
      </w:r>
    </w:p>
    <w:p w14:paraId="3DC537AE" w14:textId="77777777" w:rsidR="0022118A" w:rsidRPr="00F57AC5" w:rsidRDefault="0022118A" w:rsidP="0022118A">
      <w:pPr>
        <w:autoSpaceDE/>
        <w:autoSpaceDN/>
        <w:adjustRightInd/>
        <w:rPr>
          <w:smallCaps/>
          <w:sz w:val="26"/>
          <w:szCs w:val="26"/>
        </w:rPr>
      </w:pPr>
    </w:p>
    <w:p w14:paraId="174402CF" w14:textId="08186E5A" w:rsidR="00AE5F76" w:rsidRDefault="00AE5F76" w:rsidP="00AE5F76">
      <w:pPr>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00921997" w:rsidRPr="00DA0080">
        <w:rPr>
          <w:rFonts w:eastAsia="SimSun"/>
          <w:sz w:val="26"/>
          <w:szCs w:val="26"/>
        </w:rPr>
        <w:t>F56D.0CE8.60E2.DF73</w:t>
      </w:r>
      <w:r w:rsidRPr="00CF7DC2">
        <w:rPr>
          <w:rFonts w:eastAsia="SimSun"/>
          <w:sz w:val="26"/>
          <w:szCs w:val="26"/>
        </w:rPr>
        <w:t xml:space="preserve">, emitida pela Secretaria da Receita Federal do Brasil em conjunto com a Procuradoria-Geral da Fazenda Nacional em </w:t>
      </w:r>
      <w:r w:rsidR="00BA357D">
        <w:rPr>
          <w:rFonts w:eastAsia="SimSun"/>
          <w:sz w:val="26"/>
          <w:szCs w:val="26"/>
        </w:rPr>
        <w:t>15 de junho de 2021</w:t>
      </w:r>
      <w:r w:rsidRPr="00CF7DC2">
        <w:rPr>
          <w:rFonts w:eastAsia="SimSun"/>
          <w:sz w:val="26"/>
          <w:szCs w:val="26"/>
        </w:rPr>
        <w:t xml:space="preserve">, válida até </w:t>
      </w:r>
      <w:r w:rsidR="00BA357D">
        <w:rPr>
          <w:rFonts w:eastAsia="SimSun"/>
          <w:sz w:val="26"/>
          <w:szCs w:val="26"/>
        </w:rPr>
        <w:t>12 de dezembro de 2021</w:t>
      </w:r>
      <w:r>
        <w:rPr>
          <w:rFonts w:eastAsia="SimSun"/>
          <w:sz w:val="26"/>
          <w:szCs w:val="26"/>
        </w:rPr>
        <w:t>, em relação ao alienante Felipe Valença de Sousa.</w:t>
      </w:r>
    </w:p>
    <w:p w14:paraId="28FC89D2" w14:textId="3BDF4CE6" w:rsidR="00AE5F76" w:rsidRDefault="00AE5F76" w:rsidP="00AE5F76">
      <w:pPr>
        <w:jc w:val="both"/>
        <w:rPr>
          <w:rFonts w:eastAsia="SimSun"/>
          <w:sz w:val="26"/>
          <w:szCs w:val="26"/>
        </w:rPr>
      </w:pPr>
    </w:p>
    <w:p w14:paraId="10B8C4C6" w14:textId="2C4E3AA1" w:rsidR="00BB22E6" w:rsidRDefault="00BA357D" w:rsidP="00BB22E6">
      <w:pPr>
        <w:jc w:val="center"/>
      </w:pPr>
      <w:r>
        <w:rPr>
          <w:noProof/>
        </w:rPr>
        <w:drawing>
          <wp:inline distT="0" distB="0" distL="0" distR="0" wp14:anchorId="667CFC73" wp14:editId="3CBBA657">
            <wp:extent cx="5400040" cy="5266690"/>
            <wp:effectExtent l="0" t="0" r="0" b="0"/>
            <wp:docPr id="3" name="Imagem 3" descr="Interface gráfica do usuário, 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Carta&#10;&#10;Descrição gerada automaticamente"/>
                    <pic:cNvPicPr/>
                  </pic:nvPicPr>
                  <pic:blipFill>
                    <a:blip r:embed="rId4"/>
                    <a:stretch>
                      <a:fillRect/>
                    </a:stretch>
                  </pic:blipFill>
                  <pic:spPr>
                    <a:xfrm>
                      <a:off x="0" y="0"/>
                      <a:ext cx="5400040" cy="5266690"/>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011FB270" w:rsidR="00AE5F76" w:rsidRDefault="00AE5F76" w:rsidP="00AE5F76">
      <w:pPr>
        <w:jc w:val="both"/>
        <w:rPr>
          <w:rFonts w:eastAsia="SimSun"/>
          <w:sz w:val="26"/>
          <w:szCs w:val="26"/>
        </w:rPr>
      </w:pPr>
      <w:r w:rsidRPr="00CF7DC2">
        <w:rPr>
          <w:rFonts w:eastAsia="SimSun"/>
          <w:sz w:val="26"/>
          <w:szCs w:val="26"/>
        </w:rPr>
        <w:lastRenderedPageBreak/>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00ED20A3" w:rsidRPr="004A11E6">
        <w:rPr>
          <w:rFonts w:eastAsia="SimSun"/>
          <w:sz w:val="26"/>
          <w:szCs w:val="26"/>
        </w:rPr>
        <w:t>DA3C.5342.ABE6.94F3</w:t>
      </w:r>
      <w:r w:rsidR="00ED20A3" w:rsidRPr="00CF7DC2">
        <w:rPr>
          <w:rFonts w:eastAsia="SimSun"/>
          <w:sz w:val="26"/>
          <w:szCs w:val="26"/>
        </w:rPr>
        <w:t xml:space="preserve">, </w:t>
      </w:r>
      <w:r w:rsidRPr="00CF7DC2">
        <w:rPr>
          <w:rFonts w:eastAsia="SimSun"/>
          <w:sz w:val="26"/>
          <w:szCs w:val="26"/>
        </w:rPr>
        <w:t xml:space="preserve">emitida pela Secretaria da Receita Federal do Brasil em conjunto com a Procuradoria-Geral da Fazenda Nacional em </w:t>
      </w:r>
      <w:r w:rsidR="00547628">
        <w:rPr>
          <w:rFonts w:eastAsia="SimSun"/>
          <w:sz w:val="26"/>
          <w:szCs w:val="26"/>
        </w:rPr>
        <w:t>15 de junho de 2021</w:t>
      </w:r>
      <w:r w:rsidR="00547628" w:rsidRPr="00CF7DC2">
        <w:rPr>
          <w:rFonts w:eastAsia="SimSun"/>
          <w:sz w:val="26"/>
          <w:szCs w:val="26"/>
        </w:rPr>
        <w:t xml:space="preserve">, </w:t>
      </w:r>
      <w:r w:rsidRPr="00CF7DC2">
        <w:rPr>
          <w:rFonts w:eastAsia="SimSun"/>
          <w:sz w:val="26"/>
          <w:szCs w:val="26"/>
        </w:rPr>
        <w:t xml:space="preserve">válida até </w:t>
      </w:r>
      <w:r w:rsidR="00547628">
        <w:rPr>
          <w:rFonts w:eastAsia="SimSun"/>
          <w:sz w:val="26"/>
          <w:szCs w:val="26"/>
        </w:rPr>
        <w:t xml:space="preserve">12 de dezembro de 2021, </w:t>
      </w:r>
      <w:r>
        <w:rPr>
          <w:rFonts w:eastAsia="SimSun"/>
          <w:sz w:val="26"/>
          <w:szCs w:val="26"/>
        </w:rPr>
        <w:t xml:space="preserve">em relação ao alienante </w:t>
      </w:r>
      <w:r w:rsidRPr="00892F87">
        <w:rPr>
          <w:rFonts w:eastAsia="SimSun"/>
          <w:sz w:val="26"/>
        </w:rPr>
        <w:t>Robson Campos dos Santos Cruz</w:t>
      </w:r>
      <w:r>
        <w:rPr>
          <w:rFonts w:eastAsia="SimSun"/>
          <w:sz w:val="26"/>
          <w:szCs w:val="26"/>
        </w:rPr>
        <w:t>.</w:t>
      </w:r>
    </w:p>
    <w:p w14:paraId="53F2C326" w14:textId="6AA4F00C" w:rsidR="00AE5F76" w:rsidRDefault="00AE5F76" w:rsidP="00AE5F76">
      <w:pPr>
        <w:jc w:val="both"/>
        <w:rPr>
          <w:rFonts w:eastAsia="SimSun"/>
          <w:sz w:val="26"/>
          <w:szCs w:val="26"/>
        </w:rPr>
      </w:pPr>
    </w:p>
    <w:p w14:paraId="301F4D25" w14:textId="380D202B" w:rsidR="00BB22E6" w:rsidRDefault="00547628" w:rsidP="00BB22E6">
      <w:pPr>
        <w:jc w:val="center"/>
      </w:pPr>
      <w:r>
        <w:rPr>
          <w:noProof/>
        </w:rPr>
        <w:drawing>
          <wp:inline distT="0" distB="0" distL="0" distR="0" wp14:anchorId="330E776A" wp14:editId="2B6B295B">
            <wp:extent cx="5400040" cy="5260975"/>
            <wp:effectExtent l="0" t="0" r="0" b="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pic:nvPicPr>
                  <pic:blipFill>
                    <a:blip r:embed="rId5"/>
                    <a:stretch>
                      <a:fillRect/>
                    </a:stretch>
                  </pic:blipFill>
                  <pic:spPr>
                    <a:xfrm>
                      <a:off x="0" y="0"/>
                      <a:ext cx="5400040" cy="5260975"/>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1ABC866A" w:rsidR="00AE5F76" w:rsidRDefault="00AE5F76" w:rsidP="00AE5F76">
      <w:pPr>
        <w:jc w:val="both"/>
        <w:rPr>
          <w:rFonts w:eastAsia="SimSun"/>
          <w:sz w:val="26"/>
        </w:rPr>
      </w:pPr>
      <w:r w:rsidRPr="00382C01">
        <w:rPr>
          <w:rFonts w:eastAsia="SimSun"/>
          <w:sz w:val="26"/>
        </w:rPr>
        <w:lastRenderedPageBreak/>
        <w:t xml:space="preserve">Certidão Conjunta Negativa de Débitos relativos a Tributos Federais e à Dívida Ativa da União nº </w:t>
      </w:r>
      <w:r w:rsidR="003605BA" w:rsidRPr="004A11E6">
        <w:rPr>
          <w:rFonts w:eastAsia="SimSun"/>
          <w:sz w:val="26"/>
        </w:rPr>
        <w:t>9FB3.6545.597C.328E</w:t>
      </w:r>
      <w:r w:rsidRPr="00382C01">
        <w:rPr>
          <w:rFonts w:eastAsia="SimSun"/>
          <w:sz w:val="26"/>
        </w:rPr>
        <w:t xml:space="preserve">, emitida pela Secretaria da Receita Federal do Brasil em conjunto com a Procuradoria-Geral da Fazenda Nacional em </w:t>
      </w:r>
      <w:r w:rsidR="000666D6">
        <w:rPr>
          <w:rFonts w:eastAsia="SimSun"/>
          <w:sz w:val="26"/>
        </w:rPr>
        <w:t>15 de junho de 2021</w:t>
      </w:r>
      <w:r w:rsidRPr="00382C01">
        <w:rPr>
          <w:rFonts w:eastAsia="SimSun"/>
          <w:sz w:val="26"/>
        </w:rPr>
        <w:t xml:space="preserve">, válida até </w:t>
      </w:r>
      <w:r w:rsidR="000666D6">
        <w:rPr>
          <w:rFonts w:eastAsia="SimSun"/>
          <w:sz w:val="26"/>
        </w:rPr>
        <w:t>12 de dezembro de 2021</w:t>
      </w:r>
      <w:r w:rsidRPr="00382C01">
        <w:rPr>
          <w:rFonts w:eastAsia="SimSun"/>
          <w:sz w:val="26"/>
        </w:rPr>
        <w:t>, em relação ao alienante Gustavo Danzi de Andrade.</w:t>
      </w:r>
    </w:p>
    <w:p w14:paraId="4912FCF9" w14:textId="194231E7" w:rsidR="00AE5F76" w:rsidRDefault="00AE5F76" w:rsidP="00AE5F76">
      <w:pPr>
        <w:jc w:val="both"/>
        <w:rPr>
          <w:rFonts w:eastAsia="SimSun"/>
          <w:sz w:val="26"/>
        </w:rPr>
      </w:pPr>
    </w:p>
    <w:p w14:paraId="43E23594" w14:textId="4D7D58BD" w:rsidR="00BB22E6" w:rsidRDefault="00C3575A" w:rsidP="00BB22E6">
      <w:pPr>
        <w:jc w:val="center"/>
      </w:pPr>
      <w:r>
        <w:rPr>
          <w:noProof/>
        </w:rPr>
        <w:drawing>
          <wp:inline distT="0" distB="0" distL="0" distR="0" wp14:anchorId="12965D0E" wp14:editId="30DCD001">
            <wp:extent cx="5400040" cy="4504055"/>
            <wp:effectExtent l="0" t="0" r="0" b="0"/>
            <wp:docPr id="2" name="Imagem 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pic:cNvPicPr/>
                  </pic:nvPicPr>
                  <pic:blipFill>
                    <a:blip r:embed="rId6"/>
                    <a:stretch>
                      <a:fillRect/>
                    </a:stretch>
                  </pic:blipFill>
                  <pic:spPr>
                    <a:xfrm>
                      <a:off x="0" y="0"/>
                      <a:ext cx="5400040" cy="4504055"/>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5B37DC3A" w14:textId="210337B1" w:rsidR="00AE5F76" w:rsidRDefault="00AE5F76" w:rsidP="009909C7">
      <w:pPr>
        <w:jc w:val="both"/>
        <w:rPr>
          <w:rFonts w:eastAsia="SimSun"/>
          <w:sz w:val="26"/>
          <w:szCs w:val="26"/>
        </w:rPr>
      </w:pPr>
      <w:r w:rsidRPr="009F183C">
        <w:rPr>
          <w:rFonts w:eastAsia="SimSun"/>
          <w:sz w:val="26"/>
        </w:rPr>
        <w:lastRenderedPageBreak/>
        <w:t xml:space="preserve">Certidão Conjunta Negativa de Débitos relativos a Tributos Federais e à Dívida Ativa da União nº </w:t>
      </w:r>
      <w:r w:rsidR="002A4A62" w:rsidRPr="002A4A62">
        <w:rPr>
          <w:rFonts w:eastAsia="SimSun"/>
          <w:sz w:val="26"/>
        </w:rPr>
        <w:t>89A6.F5B4.79F3.34EB</w:t>
      </w:r>
      <w:r w:rsidRPr="009F183C">
        <w:rPr>
          <w:rFonts w:eastAsia="SimSun"/>
          <w:sz w:val="26"/>
        </w:rPr>
        <w:t xml:space="preserve">, emitida pela Secretaria da Receita Federal do Brasil em conjunto com a Procuradoria-Geral da Fazenda Nacional em </w:t>
      </w:r>
      <w:r w:rsidR="002A4A62">
        <w:rPr>
          <w:rFonts w:eastAsia="SimSun"/>
          <w:sz w:val="26"/>
        </w:rPr>
        <w:t>15 de junho de 2021</w:t>
      </w:r>
      <w:r w:rsidRPr="009F183C">
        <w:rPr>
          <w:rFonts w:eastAsia="SimSun"/>
          <w:sz w:val="26"/>
        </w:rPr>
        <w:t xml:space="preserve">, válida até </w:t>
      </w:r>
      <w:r w:rsidR="002A4A62">
        <w:rPr>
          <w:rFonts w:eastAsia="SimSun"/>
          <w:sz w:val="26"/>
        </w:rPr>
        <w:t>12 de dezembro de 2021</w:t>
      </w:r>
      <w:r w:rsidRPr="009F183C">
        <w:rPr>
          <w:rFonts w:eastAsia="SimSun"/>
          <w:sz w:val="26"/>
        </w:rPr>
        <w:t>, em relação ao alienante Sprint Fundo de Investimento em Participações Multiestratégia.</w:t>
      </w:r>
    </w:p>
    <w:p w14:paraId="792C6763" w14:textId="2FCE58E1" w:rsidR="007C3648" w:rsidRDefault="007C3648" w:rsidP="00AE5F76">
      <w:pPr>
        <w:jc w:val="both"/>
      </w:pPr>
    </w:p>
    <w:p w14:paraId="1A348D67" w14:textId="5E4FCBE8" w:rsidR="00BB22E6" w:rsidRDefault="002A4A62" w:rsidP="009909C7">
      <w:pPr>
        <w:jc w:val="center"/>
      </w:pPr>
      <w:r>
        <w:rPr>
          <w:noProof/>
        </w:rPr>
        <w:drawing>
          <wp:inline distT="0" distB="0" distL="0" distR="0" wp14:anchorId="7A34668E" wp14:editId="474F55DD">
            <wp:extent cx="5400040" cy="4407535"/>
            <wp:effectExtent l="0" t="0" r="0" b="0"/>
            <wp:docPr id="4" name="Imagem 4"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 Carta&#10;&#10;Descrição gerada automaticamente"/>
                    <pic:cNvPicPr/>
                  </pic:nvPicPr>
                  <pic:blipFill>
                    <a:blip r:embed="rId7"/>
                    <a:stretch>
                      <a:fillRect/>
                    </a:stretch>
                  </pic:blipFill>
                  <pic:spPr>
                    <a:xfrm>
                      <a:off x="0" y="0"/>
                      <a:ext cx="5400040" cy="4407535"/>
                    </a:xfrm>
                    <a:prstGeom prst="rect">
                      <a:avLst/>
                    </a:prstGeom>
                  </pic:spPr>
                </pic:pic>
              </a:graphicData>
            </a:graphic>
          </wp:inline>
        </w:drawing>
      </w:r>
      <w:r w:rsidDel="002A4A62">
        <w:t xml:space="preserve"> </w:t>
      </w:r>
    </w:p>
    <w:sectPr w:rsidR="00BB22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666D6"/>
    <w:rsid w:val="001A10F7"/>
    <w:rsid w:val="0020258D"/>
    <w:rsid w:val="0022118A"/>
    <w:rsid w:val="002A4A62"/>
    <w:rsid w:val="002B5B96"/>
    <w:rsid w:val="003605BA"/>
    <w:rsid w:val="00376E73"/>
    <w:rsid w:val="004A11E6"/>
    <w:rsid w:val="004D5A52"/>
    <w:rsid w:val="00547628"/>
    <w:rsid w:val="0056573B"/>
    <w:rsid w:val="007C3648"/>
    <w:rsid w:val="007C4B52"/>
    <w:rsid w:val="007C6A12"/>
    <w:rsid w:val="008C3D5D"/>
    <w:rsid w:val="00921997"/>
    <w:rsid w:val="009909C7"/>
    <w:rsid w:val="009B416A"/>
    <w:rsid w:val="00AB7CBA"/>
    <w:rsid w:val="00AE4C4E"/>
    <w:rsid w:val="00AE5F76"/>
    <w:rsid w:val="00BA357D"/>
    <w:rsid w:val="00BB22E6"/>
    <w:rsid w:val="00C3575A"/>
    <w:rsid w:val="00D70D81"/>
    <w:rsid w:val="00DA0080"/>
    <w:rsid w:val="00DC641D"/>
    <w:rsid w:val="00E377EF"/>
    <w:rsid w:val="00ED2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2057</Words>
  <Characters>11109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2021-06-22T19:31:00Z</dcterms:created>
  <dcterms:modified xsi:type="dcterms:W3CDTF">2021-06-22T19:31:00Z</dcterms:modified>
</cp:coreProperties>
</file>