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77777777" w:rsidR="009469B5" w:rsidRPr="009469B5" w:rsidRDefault="00CB7D4A" w:rsidP="009469B5">
      <w:pPr>
        <w:jc w:val="center"/>
        <w:rPr>
          <w:bCs/>
          <w:smallCaps/>
          <w:sz w:val="24"/>
          <w:szCs w:val="24"/>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da Segunda Emissão de Acqio Holding Participações S.A.</w:t>
      </w:r>
    </w:p>
    <w:p w14:paraId="331E24AC" w14:textId="77777777" w:rsidR="008F59A2" w:rsidRPr="008F59A2" w:rsidRDefault="008F59A2" w:rsidP="008F59A2">
      <w:pPr>
        <w:rPr>
          <w:sz w:val="24"/>
          <w:szCs w:val="24"/>
        </w:rPr>
      </w:pPr>
    </w:p>
    <w:p w14:paraId="26719681" w14:textId="6A3F3201" w:rsidR="008F59A2" w:rsidRPr="008F59A2" w:rsidRDefault="008F59A2" w:rsidP="008F59A2">
      <w:pPr>
        <w:rPr>
          <w:sz w:val="24"/>
          <w:szCs w:val="24"/>
        </w:rPr>
      </w:pPr>
      <w:r w:rsidRPr="008F59A2">
        <w:rPr>
          <w:sz w:val="24"/>
          <w:szCs w:val="24"/>
        </w:rPr>
        <w:t xml:space="preserve">Celebram este "Primeiro Aditamento ao Instrumento Particular </w:t>
      </w:r>
      <w:r w:rsidR="009469B5">
        <w:rPr>
          <w:sz w:val="24"/>
          <w:szCs w:val="24"/>
        </w:rPr>
        <w:t>de Escritura de Emissão Privada de Debêntures Simples, Não Conversíveis em Ações, da Espécie com Garantia Real, em Série Única, da Segunda Emissão 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77777777"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4FFD2848" w:rsidR="00DC00C1" w:rsidRPr="00D419D5" w:rsidRDefault="00DC00C1" w:rsidP="00DC00C1">
      <w:pPr>
        <w:suppressAutoHyphens/>
        <w:spacing w:line="320" w:lineRule="exact"/>
        <w:rPr>
          <w:bCs/>
          <w:i/>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1A95B9F2"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A27FE2">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xml:space="preserve">”), a alteração </w:t>
      </w:r>
      <w:r w:rsidR="00D419D5">
        <w:rPr>
          <w:sz w:val="24"/>
          <w:szCs w:val="24"/>
        </w:rPr>
        <w:t xml:space="preserve">(i) </w:t>
      </w:r>
      <w:r w:rsidR="00B64051">
        <w:rPr>
          <w:sz w:val="24"/>
          <w:szCs w:val="24"/>
        </w:rPr>
        <w:t>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D419D5">
        <w:rPr>
          <w:sz w:val="24"/>
          <w:szCs w:val="24"/>
        </w:rPr>
        <w:t xml:space="preserve">; e (ii) </w:t>
      </w:r>
      <w:r w:rsidR="000C7CF7">
        <w:rPr>
          <w:sz w:val="24"/>
          <w:szCs w:val="24"/>
        </w:rPr>
        <w:t>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31D2E038"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46D327B1"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0C7CF7">
        <w:rPr>
          <w:sz w:val="24"/>
          <w:szCs w:val="24"/>
        </w:rPr>
        <w:t xml:space="preserve">AGD e </w:t>
      </w:r>
      <w:r w:rsidRPr="00CB7D4A">
        <w:rPr>
          <w:sz w:val="24"/>
          <w:szCs w:val="24"/>
        </w:rPr>
        <w:t xml:space="preserve">ata da </w:t>
      </w:r>
      <w:r w:rsidR="00CB7D4A">
        <w:rPr>
          <w:sz w:val="24"/>
          <w:szCs w:val="24"/>
        </w:rPr>
        <w:t xml:space="preserve">assembleia geral extraordinária da Emissora realizada em </w:t>
      </w:r>
      <w:r w:rsidR="0056273D" w:rsidRPr="00A66ACE">
        <w:rPr>
          <w:sz w:val="24"/>
          <w:szCs w:val="24"/>
          <w:highlight w:val="yellow"/>
        </w:rPr>
        <w:t>[18 de março de 2022]</w:t>
      </w:r>
      <w:r w:rsidR="0056273D"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4B28289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0" w:name="_Hlk87540662"/>
      <w:r w:rsidR="00C2001F">
        <w:rPr>
          <w:sz w:val="24"/>
          <w:szCs w:val="24"/>
        </w:rPr>
        <w:t>Em razão das deliberações e aprovações em sede da AGD, as Partes decidem realizar</w:t>
      </w:r>
      <w:r w:rsidR="000C7CF7">
        <w:rPr>
          <w:sz w:val="24"/>
          <w:szCs w:val="24"/>
        </w:rPr>
        <w:t xml:space="preserve"> </w:t>
      </w:r>
      <w:r w:rsidR="00B64051">
        <w:rPr>
          <w:sz w:val="24"/>
          <w:szCs w:val="24"/>
        </w:rPr>
        <w:t>(i) a alteração 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B64051">
        <w:rPr>
          <w:sz w:val="24"/>
          <w:szCs w:val="24"/>
          <w:lang w:val="pt-PT"/>
        </w:rPr>
        <w:t>”</w:t>
      </w:r>
      <w:r w:rsidR="00B64051">
        <w:rPr>
          <w:sz w:val="24"/>
          <w:szCs w:val="24"/>
        </w:rPr>
        <w:t>; e (ii) a alteração de determinados índices financeiros das Debêntures</w:t>
      </w:r>
      <w:bookmarkEnd w:id="0"/>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12ABB4A"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1.1</w:t>
      </w:r>
      <w:r w:rsidR="00B36128">
        <w:rPr>
          <w:sz w:val="24"/>
          <w:szCs w:val="24"/>
        </w:rPr>
        <w:t xml:space="preserve"> da Escritura de Emissão</w:t>
      </w:r>
      <w:r w:rsidR="00DC00C1" w:rsidRPr="00CB7D4A">
        <w:rPr>
          <w:sz w:val="24"/>
          <w:szCs w:val="24"/>
        </w:rPr>
        <w:t>,</w:t>
      </w:r>
      <w:r w:rsidR="00343D05">
        <w:rPr>
          <w:sz w:val="24"/>
          <w:szCs w:val="24"/>
        </w:rPr>
        <w:t xml:space="preserve"> de forma que as definições de “</w:t>
      </w:r>
      <w:r w:rsidR="00343D05" w:rsidRPr="00B64051">
        <w:rPr>
          <w:i/>
          <w:iCs/>
          <w:sz w:val="24"/>
          <w:szCs w:val="24"/>
        </w:rPr>
        <w:t>Equity Value SGA</w:t>
      </w:r>
      <w:r w:rsidR="00343D05">
        <w:rPr>
          <w:sz w:val="24"/>
          <w:szCs w:val="24"/>
        </w:rPr>
        <w:t>” e “</w:t>
      </w:r>
      <w:r w:rsidR="00343D05" w:rsidRPr="00B64051">
        <w:rPr>
          <w:sz w:val="24"/>
          <w:szCs w:val="24"/>
          <w:lang w:val="pt-PT"/>
        </w:rPr>
        <w:t>Percentual do Prêmio de Aquisição Mínimo</w:t>
      </w:r>
      <w:r w:rsidR="00343D05">
        <w:rPr>
          <w:sz w:val="24"/>
          <w:szCs w:val="24"/>
          <w:lang w:val="pt-PT"/>
        </w:rPr>
        <w:t>”</w:t>
      </w:r>
      <w:r w:rsidR="00DC00C1" w:rsidRPr="00CB7D4A">
        <w:rPr>
          <w:sz w:val="24"/>
          <w:szCs w:val="24"/>
        </w:rPr>
        <w:t xml:space="preserve"> passa</w:t>
      </w:r>
      <w:r w:rsidR="002A11FC">
        <w:rPr>
          <w:sz w:val="24"/>
          <w:szCs w:val="24"/>
        </w:rPr>
        <w:t>r</w:t>
      </w:r>
      <w:r w:rsidR="00343D05">
        <w:rPr>
          <w:sz w:val="24"/>
          <w:szCs w:val="24"/>
        </w:rPr>
        <w:t>ão</w:t>
      </w:r>
      <w:r w:rsidR="00DC00C1" w:rsidRPr="00CB7D4A">
        <w:rPr>
          <w:sz w:val="24"/>
          <w:szCs w:val="24"/>
        </w:rPr>
        <w:t xml:space="preserve"> a vigorar com a</w:t>
      </w:r>
      <w:r w:rsidR="00343D05">
        <w:rPr>
          <w:sz w:val="24"/>
          <w:szCs w:val="24"/>
        </w:rPr>
        <w:t>s</w:t>
      </w:r>
      <w:r w:rsidR="00DC00C1" w:rsidRPr="00CB7D4A">
        <w:rPr>
          <w:sz w:val="24"/>
          <w:szCs w:val="24"/>
        </w:rPr>
        <w:t xml:space="preserve"> seguinte</w:t>
      </w:r>
      <w:r w:rsidR="00343D05">
        <w:rPr>
          <w:sz w:val="24"/>
          <w:szCs w:val="24"/>
        </w:rPr>
        <w:t>s</w:t>
      </w:r>
      <w:r w:rsidR="00DC00C1" w:rsidRPr="00CB7D4A">
        <w:rPr>
          <w:sz w:val="24"/>
          <w:szCs w:val="24"/>
        </w:rPr>
        <w:t xml:space="preserve"> redaç</w:t>
      </w:r>
      <w:r w:rsidR="00343D05">
        <w:rPr>
          <w:sz w:val="24"/>
          <w:szCs w:val="24"/>
        </w:rPr>
        <w:t>ões</w:t>
      </w:r>
      <w:r w:rsidR="00DC00C1" w:rsidRPr="00CB7D4A">
        <w:rPr>
          <w:sz w:val="24"/>
          <w:szCs w:val="24"/>
        </w:rPr>
        <w:t>:</w:t>
      </w:r>
    </w:p>
    <w:p w14:paraId="1999E3CC" w14:textId="77777777" w:rsidR="00DC00C1" w:rsidRPr="00CB7D4A" w:rsidRDefault="00DC00C1" w:rsidP="00DC00C1">
      <w:pPr>
        <w:tabs>
          <w:tab w:val="left" w:pos="709"/>
        </w:tabs>
        <w:spacing w:line="320" w:lineRule="exact"/>
        <w:rPr>
          <w:b/>
          <w:sz w:val="24"/>
          <w:szCs w:val="24"/>
        </w:rPr>
      </w:pPr>
    </w:p>
    <w:p w14:paraId="62110A72" w14:textId="75641D62" w:rsidR="00B64051" w:rsidRPr="00BA37C6" w:rsidRDefault="00B64051" w:rsidP="00B64051">
      <w:pPr>
        <w:pStyle w:val="PargrafodaLista"/>
        <w:numPr>
          <w:ilvl w:val="1"/>
          <w:numId w:val="35"/>
        </w:numPr>
        <w:ind w:left="709" w:firstLine="0"/>
        <w:rPr>
          <w:i/>
          <w:iCs/>
          <w:sz w:val="24"/>
          <w:szCs w:val="24"/>
        </w:rPr>
      </w:pPr>
      <w:bookmarkStart w:id="1" w:name="_Ref53061074"/>
      <w:r w:rsidRPr="00BA37C6">
        <w:rPr>
          <w:i/>
          <w:iCs/>
          <w:sz w:val="24"/>
          <w:szCs w:val="24"/>
        </w:rPr>
        <w:t>São considerados termos definidos, para os fins desta Escritura de Emissão, no singular ou no plural, os termos a seguir:</w:t>
      </w:r>
    </w:p>
    <w:p w14:paraId="1CC837D5" w14:textId="4D8DDF38" w:rsidR="00B64051" w:rsidRPr="00BA37C6" w:rsidRDefault="00B64051" w:rsidP="00B64051">
      <w:pPr>
        <w:ind w:left="709"/>
        <w:rPr>
          <w:i/>
          <w:iCs/>
          <w:sz w:val="24"/>
          <w:szCs w:val="24"/>
        </w:rPr>
      </w:pPr>
      <w:r w:rsidRPr="00BA37C6">
        <w:rPr>
          <w:i/>
          <w:iCs/>
          <w:sz w:val="24"/>
          <w:szCs w:val="24"/>
        </w:rPr>
        <w:t>(...)</w:t>
      </w:r>
    </w:p>
    <w:p w14:paraId="3019FB1A" w14:textId="39CAE5D7" w:rsidR="00B64051" w:rsidRPr="00BA37C6" w:rsidRDefault="00B64051" w:rsidP="00B64051">
      <w:pPr>
        <w:ind w:left="709"/>
        <w:rPr>
          <w:i/>
          <w:iCs/>
          <w:sz w:val="24"/>
          <w:szCs w:val="24"/>
        </w:rPr>
      </w:pPr>
      <w:r w:rsidRPr="00BA37C6">
        <w:rPr>
          <w:i/>
          <w:iCs/>
          <w:sz w:val="24"/>
          <w:szCs w:val="24"/>
        </w:rPr>
        <w:t>"</w:t>
      </w:r>
      <w:r w:rsidRPr="00BA37C6">
        <w:rPr>
          <w:i/>
          <w:iCs/>
          <w:sz w:val="24"/>
          <w:szCs w:val="24"/>
          <w:u w:val="single"/>
        </w:rPr>
        <w:t>Equity Value SGA</w:t>
      </w:r>
      <w:r w:rsidRPr="00BA37C6">
        <w:rPr>
          <w:i/>
          <w:iCs/>
          <w:sz w:val="24"/>
          <w:szCs w:val="24"/>
        </w:rPr>
        <w:t>" significa o valor de R$</w:t>
      </w:r>
      <w:r w:rsidR="00343D05">
        <w:rPr>
          <w:i/>
          <w:iCs/>
          <w:sz w:val="24"/>
          <w:szCs w:val="24"/>
        </w:rPr>
        <w:t>300.000.000,00</w:t>
      </w:r>
      <w:r w:rsidRPr="00BA37C6">
        <w:rPr>
          <w:i/>
          <w:iCs/>
          <w:sz w:val="24"/>
          <w:szCs w:val="24"/>
        </w:rPr>
        <w:t xml:space="preserve"> (</w:t>
      </w:r>
      <w:r w:rsidR="00343D05">
        <w:rPr>
          <w:i/>
          <w:iCs/>
          <w:sz w:val="24"/>
          <w:szCs w:val="24"/>
        </w:rPr>
        <w:t>trezentos milhões de reais</w:t>
      </w:r>
      <w:r w:rsidRPr="00BA37C6">
        <w:rPr>
          <w:i/>
          <w:iCs/>
          <w:sz w:val="24"/>
          <w:szCs w:val="24"/>
        </w:rPr>
        <w:t>), equivalentes a 100% do capital social da Companhia, deduzidos eventuais distribuições de dividendos, pagamentos de juros sobre capital próprio e reduções de capital da Companhia desde a Data de Integralização até o pagamento do Prêmio de Aquisição.</w:t>
      </w:r>
    </w:p>
    <w:p w14:paraId="6F4949D0" w14:textId="49B596C3" w:rsidR="00BA37C6" w:rsidRPr="00BA37C6" w:rsidRDefault="00BA37C6" w:rsidP="00B64051">
      <w:pPr>
        <w:ind w:left="709"/>
        <w:rPr>
          <w:i/>
          <w:iCs/>
          <w:sz w:val="24"/>
          <w:szCs w:val="24"/>
        </w:rPr>
      </w:pPr>
      <w:r w:rsidRPr="00BA37C6">
        <w:rPr>
          <w:i/>
          <w:iCs/>
          <w:sz w:val="24"/>
          <w:szCs w:val="24"/>
        </w:rPr>
        <w:t>(…)</w:t>
      </w:r>
    </w:p>
    <w:p w14:paraId="552E45CD" w14:textId="4B4B134B" w:rsidR="00BA37C6" w:rsidRPr="00BA37C6" w:rsidRDefault="00BA37C6" w:rsidP="00BA37C6">
      <w:pPr>
        <w:ind w:left="709"/>
        <w:rPr>
          <w:i/>
          <w:iCs/>
          <w:sz w:val="24"/>
          <w:szCs w:val="24"/>
          <w:lang w:val="pt-PT"/>
        </w:rPr>
      </w:pPr>
      <w:r w:rsidRPr="00BA37C6">
        <w:rPr>
          <w:i/>
          <w:iCs/>
          <w:sz w:val="24"/>
          <w:szCs w:val="24"/>
          <w:lang w:val="pt-PT"/>
        </w:rPr>
        <w:t>"</w:t>
      </w:r>
      <w:r w:rsidRPr="00BA37C6">
        <w:rPr>
          <w:i/>
          <w:iCs/>
          <w:sz w:val="24"/>
          <w:szCs w:val="24"/>
          <w:u w:val="single"/>
          <w:lang w:val="pt-PT"/>
        </w:rPr>
        <w:t>Percentual do Prêmio de Aquisição Mínimo</w:t>
      </w:r>
      <w:r w:rsidRPr="00BA37C6">
        <w:rPr>
          <w:i/>
          <w:iCs/>
          <w:sz w:val="24"/>
          <w:szCs w:val="24"/>
          <w:lang w:val="pt-PT"/>
        </w:rPr>
        <w:t xml:space="preserve">" significa: </w:t>
      </w:r>
    </w:p>
    <w:p w14:paraId="6B38A4A8" w14:textId="0C124076" w:rsidR="00BA37C6" w:rsidRPr="00BA37C6" w:rsidRDefault="00BA37C6" w:rsidP="00BA37C6">
      <w:pPr>
        <w:ind w:left="709"/>
        <w:rPr>
          <w:i/>
          <w:iCs/>
          <w:sz w:val="24"/>
          <w:szCs w:val="24"/>
        </w:rPr>
      </w:pPr>
      <w:r w:rsidRPr="00BA37C6">
        <w:rPr>
          <w:i/>
          <w:iCs/>
          <w:sz w:val="24"/>
          <w:szCs w:val="24"/>
        </w:rPr>
        <w:lastRenderedPageBreak/>
        <w:t xml:space="preserve">(i) caso somente a totalidade das Debêntures Públicas da Primeira Série sejam integralizadas: </w:t>
      </w:r>
      <w:bookmarkStart w:id="2" w:name="_Hlk92299991"/>
      <w:r w:rsidR="00BA7FFA">
        <w:rPr>
          <w:i/>
          <w:iCs/>
          <w:sz w:val="24"/>
          <w:szCs w:val="24"/>
        </w:rPr>
        <w:t>8,0</w:t>
      </w:r>
      <w:r w:rsidR="00791E0E">
        <w:rPr>
          <w:i/>
          <w:iCs/>
          <w:sz w:val="24"/>
          <w:szCs w:val="24"/>
        </w:rPr>
        <w:t>0</w:t>
      </w:r>
      <w:r w:rsidR="00BA7FFA">
        <w:rPr>
          <w:i/>
          <w:iCs/>
          <w:sz w:val="24"/>
          <w:szCs w:val="24"/>
        </w:rPr>
        <w:t xml:space="preserve"> </w:t>
      </w:r>
      <w:r w:rsidRPr="00BA37C6">
        <w:rPr>
          <w:i/>
          <w:iCs/>
          <w:sz w:val="24"/>
          <w:szCs w:val="24"/>
        </w:rPr>
        <w:t>% (</w:t>
      </w:r>
      <w:r w:rsidR="00BA7FFA">
        <w:rPr>
          <w:i/>
          <w:iCs/>
          <w:sz w:val="24"/>
          <w:szCs w:val="24"/>
        </w:rPr>
        <w:t>oito por cento</w:t>
      </w:r>
      <w:r w:rsidRPr="00BA37C6">
        <w:rPr>
          <w:i/>
          <w:iCs/>
          <w:sz w:val="24"/>
          <w:szCs w:val="24"/>
        </w:rPr>
        <w:t>)</w:t>
      </w:r>
      <w:bookmarkEnd w:id="2"/>
      <w:r w:rsidRPr="00BA37C6">
        <w:rPr>
          <w:i/>
          <w:iCs/>
          <w:sz w:val="24"/>
          <w:szCs w:val="24"/>
        </w:rPr>
        <w:t xml:space="preserve">; </w:t>
      </w:r>
    </w:p>
    <w:p w14:paraId="7711C367" w14:textId="5F909BB7" w:rsidR="00BA37C6" w:rsidRPr="00BA37C6" w:rsidRDefault="00BA37C6" w:rsidP="00BA37C6">
      <w:pPr>
        <w:ind w:left="709"/>
        <w:rPr>
          <w:i/>
          <w:iCs/>
          <w:sz w:val="24"/>
          <w:szCs w:val="24"/>
        </w:rPr>
      </w:pPr>
      <w:r w:rsidRPr="00BA37C6">
        <w:rPr>
          <w:i/>
          <w:iCs/>
          <w:sz w:val="24"/>
          <w:szCs w:val="24"/>
        </w:rPr>
        <w:t xml:space="preserve">(ii) caso a totalidade das Debêntures Públicas da Segunda Série sejam integralizadas, porém a totalidade das Debêntures Públicas da Terceira Série não sejam integralizadas: </w:t>
      </w:r>
      <w:bookmarkStart w:id="3" w:name="_Hlk92300005"/>
      <w:r w:rsidR="00BA7FFA">
        <w:rPr>
          <w:i/>
          <w:iCs/>
          <w:sz w:val="24"/>
          <w:szCs w:val="24"/>
        </w:rPr>
        <w:t>10</w:t>
      </w:r>
      <w:r w:rsidR="00791E0E">
        <w:rPr>
          <w:i/>
          <w:iCs/>
          <w:sz w:val="24"/>
          <w:szCs w:val="24"/>
        </w:rPr>
        <w:t>,00</w:t>
      </w:r>
      <w:r w:rsidRPr="00BA37C6">
        <w:rPr>
          <w:i/>
          <w:iCs/>
          <w:sz w:val="24"/>
          <w:szCs w:val="24"/>
        </w:rPr>
        <w:t xml:space="preserve"> % (</w:t>
      </w:r>
      <w:r w:rsidR="00BA7FFA">
        <w:rPr>
          <w:i/>
          <w:iCs/>
          <w:sz w:val="24"/>
          <w:szCs w:val="24"/>
        </w:rPr>
        <w:t>dez por cento</w:t>
      </w:r>
      <w:r w:rsidRPr="00BA37C6">
        <w:rPr>
          <w:i/>
          <w:iCs/>
          <w:sz w:val="24"/>
          <w:szCs w:val="24"/>
        </w:rPr>
        <w:t>)</w:t>
      </w:r>
      <w:bookmarkEnd w:id="3"/>
      <w:r w:rsidRPr="00BA37C6">
        <w:rPr>
          <w:i/>
          <w:iCs/>
          <w:sz w:val="24"/>
          <w:szCs w:val="24"/>
        </w:rPr>
        <w:t xml:space="preserve">; e </w:t>
      </w:r>
    </w:p>
    <w:p w14:paraId="65995074" w14:textId="41B976BE" w:rsidR="00BA37C6" w:rsidRPr="00BA37C6" w:rsidRDefault="00BA37C6" w:rsidP="00BA37C6">
      <w:pPr>
        <w:ind w:left="709"/>
        <w:rPr>
          <w:i/>
          <w:iCs/>
          <w:sz w:val="24"/>
          <w:szCs w:val="24"/>
        </w:rPr>
      </w:pPr>
      <w:r w:rsidRPr="00BA37C6">
        <w:rPr>
          <w:i/>
          <w:iCs/>
          <w:sz w:val="24"/>
          <w:szCs w:val="24"/>
        </w:rPr>
        <w:t xml:space="preserve">(iii) caso a totalidade das Debêntures Públicas da Terceira Série sejam integralizadas: </w:t>
      </w:r>
      <w:bookmarkStart w:id="4" w:name="_Hlk92300017"/>
      <w:r w:rsidR="00BA7FFA">
        <w:rPr>
          <w:i/>
          <w:iCs/>
          <w:sz w:val="24"/>
          <w:szCs w:val="24"/>
        </w:rPr>
        <w:t>10</w:t>
      </w:r>
      <w:r w:rsidR="00791E0E">
        <w:rPr>
          <w:i/>
          <w:iCs/>
          <w:sz w:val="24"/>
          <w:szCs w:val="24"/>
        </w:rPr>
        <w:t>,00</w:t>
      </w:r>
      <w:r w:rsidRPr="00BA37C6">
        <w:rPr>
          <w:i/>
          <w:iCs/>
          <w:sz w:val="24"/>
          <w:szCs w:val="24"/>
        </w:rPr>
        <w:t xml:space="preserve"> % (</w:t>
      </w:r>
      <w:r w:rsidR="00BA7FFA">
        <w:rPr>
          <w:i/>
          <w:iCs/>
          <w:sz w:val="24"/>
          <w:szCs w:val="24"/>
        </w:rPr>
        <w:t>dez por cento</w:t>
      </w:r>
      <w:r w:rsidRPr="00BA37C6">
        <w:rPr>
          <w:i/>
          <w:iCs/>
          <w:sz w:val="24"/>
          <w:szCs w:val="24"/>
        </w:rPr>
        <w:t>)</w:t>
      </w:r>
      <w:bookmarkEnd w:id="4"/>
      <w:r w:rsidRPr="00BA37C6">
        <w:rPr>
          <w:i/>
          <w:iCs/>
          <w:sz w:val="24"/>
          <w:szCs w:val="24"/>
        </w:rPr>
        <w:t>.</w:t>
      </w:r>
    </w:p>
    <w:p w14:paraId="5764AAD7" w14:textId="4BFAEE05" w:rsidR="00BA37C6" w:rsidRDefault="00BA37C6" w:rsidP="00BA37C6">
      <w:pPr>
        <w:rPr>
          <w:i/>
          <w:iCs/>
          <w:sz w:val="24"/>
          <w:szCs w:val="24"/>
        </w:rPr>
      </w:pPr>
    </w:p>
    <w:p w14:paraId="748A0F94" w14:textId="6D234609" w:rsidR="00BA37C6" w:rsidRDefault="00BA37C6" w:rsidP="00BA37C6">
      <w:pPr>
        <w:rPr>
          <w:sz w:val="24"/>
          <w:szCs w:val="24"/>
        </w:rPr>
      </w:pPr>
      <w:r>
        <w:rPr>
          <w:sz w:val="24"/>
          <w:szCs w:val="24"/>
        </w:rPr>
        <w:t>2.3.</w:t>
      </w:r>
      <w:r>
        <w:rPr>
          <w:sz w:val="24"/>
          <w:szCs w:val="24"/>
        </w:rPr>
        <w:tab/>
        <w:t>Em razão das aprovações da cláusula 2.1 acima, r</w:t>
      </w:r>
      <w:r w:rsidRPr="00CB7D4A">
        <w:rPr>
          <w:sz w:val="24"/>
          <w:szCs w:val="24"/>
        </w:rPr>
        <w:t>esolve</w:t>
      </w:r>
      <w:r w:rsidR="00B36128">
        <w:rPr>
          <w:sz w:val="24"/>
          <w:szCs w:val="24"/>
        </w:rPr>
        <w:t>m</w:t>
      </w:r>
      <w:r w:rsidRPr="00CB7D4A">
        <w:rPr>
          <w:sz w:val="24"/>
          <w:szCs w:val="24"/>
        </w:rPr>
        <w:t xml:space="preserve"> </w:t>
      </w:r>
      <w:r>
        <w:rPr>
          <w:sz w:val="24"/>
          <w:szCs w:val="24"/>
        </w:rPr>
        <w:t>alterar a Cláusula 7.26.1(XXVII)</w:t>
      </w:r>
      <w:r w:rsidRPr="00CB7D4A">
        <w:rPr>
          <w:sz w:val="24"/>
          <w:szCs w:val="24"/>
        </w:rPr>
        <w:t xml:space="preserve"> da Escritura de Emissão, que passa</w:t>
      </w:r>
      <w:r>
        <w:rPr>
          <w:sz w:val="24"/>
          <w:szCs w:val="24"/>
        </w:rPr>
        <w:t>rá</w:t>
      </w:r>
      <w:r w:rsidRPr="00CB7D4A">
        <w:rPr>
          <w:sz w:val="24"/>
          <w:szCs w:val="24"/>
        </w:rPr>
        <w:t xml:space="preserve"> a vigorar com a seguinte redação</w:t>
      </w:r>
      <w:r>
        <w:rPr>
          <w:sz w:val="24"/>
          <w:szCs w:val="24"/>
        </w:rPr>
        <w:t>:</w:t>
      </w:r>
    </w:p>
    <w:p w14:paraId="56196875" w14:textId="77777777" w:rsidR="00BA37C6" w:rsidRPr="00BA37C6" w:rsidRDefault="00BA37C6" w:rsidP="00BA37C6">
      <w:pPr>
        <w:rPr>
          <w:sz w:val="24"/>
          <w:szCs w:val="24"/>
        </w:rPr>
      </w:pPr>
    </w:p>
    <w:p w14:paraId="3D487384" w14:textId="3BCD3A20" w:rsidR="00D53757" w:rsidRPr="009325DD" w:rsidRDefault="00D53757" w:rsidP="00BA37C6">
      <w:pPr>
        <w:ind w:left="708"/>
        <w:rPr>
          <w:i/>
          <w:iCs/>
          <w:sz w:val="24"/>
          <w:szCs w:val="24"/>
        </w:rPr>
      </w:pPr>
      <w:r w:rsidRPr="009325DD">
        <w:rPr>
          <w:i/>
          <w:iCs/>
          <w:sz w:val="24"/>
          <w:szCs w:val="24"/>
        </w:rPr>
        <w:t>7.2</w:t>
      </w:r>
      <w:r w:rsidR="00BA37C6" w:rsidRPr="009325DD">
        <w:rPr>
          <w:i/>
          <w:iCs/>
          <w:sz w:val="24"/>
          <w:szCs w:val="24"/>
        </w:rPr>
        <w:t>6</w:t>
      </w:r>
      <w:r w:rsidRPr="009325DD">
        <w:rPr>
          <w:i/>
          <w:iCs/>
          <w:sz w:val="24"/>
          <w:szCs w:val="24"/>
        </w:rPr>
        <w:t>.</w:t>
      </w:r>
      <w:r w:rsidR="00BA37C6" w:rsidRPr="009325DD">
        <w:rPr>
          <w:i/>
          <w:iCs/>
          <w:sz w:val="24"/>
          <w:szCs w:val="24"/>
        </w:rPr>
        <w:t>1</w:t>
      </w:r>
      <w:r w:rsidRPr="009325DD">
        <w:rPr>
          <w:i/>
          <w:iCs/>
          <w:sz w:val="24"/>
          <w:szCs w:val="24"/>
        </w:rPr>
        <w:t>.</w:t>
      </w:r>
      <w:r w:rsidR="00BA37C6" w:rsidRPr="009325DD">
        <w:rPr>
          <w:i/>
          <w:iCs/>
          <w:sz w:val="24"/>
          <w:szCs w:val="24"/>
        </w:rPr>
        <w:t xml:space="preserve"> Constituem Eventos de Inadimplemento que podem acarretar o vencimento antecipado das obrigações decorrentes das Debêntures, aplicando-se o disposto na Cláusula 7.26.2, qualquer dos eventos previstos em lei e/ou qualquer dos seguintes Eventos de Inadimplemento:</w:t>
      </w:r>
    </w:p>
    <w:p w14:paraId="1F8462BA" w14:textId="4B3BA7E1" w:rsidR="00D53757" w:rsidRPr="009325DD" w:rsidRDefault="00D53757" w:rsidP="00D53757">
      <w:pPr>
        <w:ind w:firstLine="708"/>
        <w:rPr>
          <w:i/>
          <w:iCs/>
          <w:sz w:val="24"/>
          <w:szCs w:val="24"/>
        </w:rPr>
      </w:pPr>
      <w:r w:rsidRPr="009325DD">
        <w:rPr>
          <w:i/>
          <w:iCs/>
          <w:sz w:val="24"/>
          <w:szCs w:val="24"/>
        </w:rPr>
        <w:t>(...)</w:t>
      </w:r>
    </w:p>
    <w:bookmarkEnd w:id="1"/>
    <w:p w14:paraId="28DECA70" w14:textId="5800A4E0" w:rsidR="00BA37C6" w:rsidRPr="00BA37C6" w:rsidRDefault="00BA37C6" w:rsidP="00BA37C6">
      <w:pPr>
        <w:pStyle w:val="PargrafodaLista"/>
        <w:numPr>
          <w:ilvl w:val="0"/>
          <w:numId w:val="36"/>
        </w:numPr>
        <w:spacing w:after="200" w:line="276" w:lineRule="auto"/>
        <w:ind w:left="709" w:firstLine="0"/>
        <w:contextualSpacing/>
        <w:rPr>
          <w:i/>
          <w:iCs/>
          <w:sz w:val="24"/>
          <w:szCs w:val="24"/>
        </w:rPr>
      </w:pPr>
      <w:r w:rsidRPr="00BA37C6">
        <w:rPr>
          <w:i/>
          <w:iCs/>
          <w:sz w:val="24"/>
          <w:szCs w:val="24"/>
        </w:rPr>
        <w:t>não observância, pela Companhia, do índice financeiro abaixo ("</w:t>
      </w:r>
      <w:r w:rsidRPr="00BA37C6">
        <w:rPr>
          <w:i/>
          <w:iCs/>
          <w:sz w:val="24"/>
          <w:szCs w:val="24"/>
          <w:u w:val="single"/>
        </w:rPr>
        <w:t>Índice Financeiro</w:t>
      </w:r>
      <w:r w:rsidRPr="00BA37C6">
        <w:rPr>
          <w:i/>
          <w:iCs/>
          <w:sz w:val="24"/>
          <w:szCs w:val="24"/>
        </w:rPr>
        <w:t xml:space="preserve">"), o qual será apurado pela Companhia anualmente, e acompanhado pelo Agente Fiduciário no prazo de até 10 (dez) Dias Úteis contados da data de recebimento, pelo Agente Fiduciário, das informações a que se refere a </w:t>
      </w:r>
      <w:r w:rsidR="009325DD">
        <w:rPr>
          <w:i/>
          <w:iCs/>
          <w:sz w:val="24"/>
          <w:szCs w:val="24"/>
        </w:rPr>
        <w:t>Cláusula 8.1 abaixo</w:t>
      </w:r>
      <w:r w:rsidRPr="00BA37C6">
        <w:rPr>
          <w:i/>
          <w:iCs/>
          <w:sz w:val="24"/>
          <w:szCs w:val="24"/>
        </w:rPr>
        <w:t xml:space="preserve">, </w:t>
      </w:r>
      <w:r w:rsidR="009325DD">
        <w:rPr>
          <w:i/>
          <w:iCs/>
          <w:sz w:val="24"/>
          <w:szCs w:val="24"/>
        </w:rPr>
        <w:t>inciso II,</w:t>
      </w:r>
      <w:r w:rsidR="009325DD" w:rsidRPr="00BA37C6">
        <w:rPr>
          <w:i/>
          <w:iCs/>
          <w:sz w:val="24"/>
          <w:szCs w:val="24"/>
        </w:rPr>
        <w:t xml:space="preserve"> </w:t>
      </w:r>
      <w:r w:rsidR="009325DD">
        <w:rPr>
          <w:i/>
          <w:iCs/>
          <w:sz w:val="24"/>
          <w:szCs w:val="24"/>
        </w:rPr>
        <w:t>alínea (a)</w:t>
      </w:r>
      <w:r w:rsidRPr="00BA37C6">
        <w:rPr>
          <w:i/>
          <w:iCs/>
          <w:sz w:val="24"/>
          <w:szCs w:val="24"/>
        </w:rPr>
        <w:t xml:space="preserve">, tendo por base as Demonstrações Financeiras Consolidadas Auditadas da Companhia, a partir, inclusive, das Demonstrações Financeiras Consolidadas Auditadas da Companhia relativas a 31 de dezembro de 2021: </w:t>
      </w:r>
      <w:bookmarkStart w:id="5" w:name="_Ref58883572"/>
      <w:r w:rsidRPr="00BA37C6">
        <w:rPr>
          <w:i/>
          <w:iCs/>
          <w:sz w:val="24"/>
          <w:szCs w:val="24"/>
        </w:rPr>
        <w:t>o quociente da divisão da Dívida Financeira Líquida Consolidada da Companhia pelo EBITDA da Companhia, que não poderá ser superior aos múltiplos abaixo; e da Receita Bruta Consolidada, que não poderá ser inferior aos valores abaixo, para os períodos indicados abaixo:</w:t>
      </w:r>
      <w:bookmarkEnd w:id="5"/>
      <w:r w:rsidRPr="00BA37C6">
        <w:rPr>
          <w:i/>
          <w:iCs/>
          <w:sz w:val="24"/>
          <w:szCs w:val="24"/>
        </w:rPr>
        <w:t xml:space="preserve"> </w:t>
      </w:r>
    </w:p>
    <w:tbl>
      <w:tblPr>
        <w:tblStyle w:val="Tabelacomgrade"/>
        <w:tblW w:w="0" w:type="auto"/>
        <w:tblInd w:w="708" w:type="dxa"/>
        <w:tblLook w:val="04A0" w:firstRow="1" w:lastRow="0" w:firstColumn="1" w:lastColumn="0" w:noHBand="0" w:noVBand="1"/>
      </w:tblPr>
      <w:tblGrid>
        <w:gridCol w:w="2686"/>
        <w:gridCol w:w="2733"/>
        <w:gridCol w:w="2703"/>
      </w:tblGrid>
      <w:tr w:rsidR="00D53757" w:rsidRPr="009325DD" w14:paraId="18CC6790" w14:textId="77777777" w:rsidTr="0067166A">
        <w:tc>
          <w:tcPr>
            <w:tcW w:w="2686" w:type="dxa"/>
            <w:vAlign w:val="center"/>
          </w:tcPr>
          <w:p w14:paraId="3DCD7F24" w14:textId="77777777" w:rsidR="00D53757" w:rsidRPr="009325DD" w:rsidRDefault="00D53757" w:rsidP="004402CC">
            <w:pPr>
              <w:jc w:val="center"/>
              <w:rPr>
                <w:i/>
                <w:iCs/>
                <w:sz w:val="24"/>
                <w:szCs w:val="24"/>
              </w:rPr>
            </w:pPr>
            <w:r w:rsidRPr="009325DD">
              <w:rPr>
                <w:i/>
                <w:iCs/>
                <w:sz w:val="24"/>
                <w:szCs w:val="24"/>
              </w:rPr>
              <w:t>Período</w:t>
            </w:r>
          </w:p>
        </w:tc>
        <w:tc>
          <w:tcPr>
            <w:tcW w:w="2733" w:type="dxa"/>
            <w:vAlign w:val="center"/>
          </w:tcPr>
          <w:p w14:paraId="0F93648B" w14:textId="77777777" w:rsidR="00D53757" w:rsidRPr="009325DD" w:rsidRDefault="00D53757" w:rsidP="004402CC">
            <w:pPr>
              <w:jc w:val="center"/>
              <w:rPr>
                <w:i/>
                <w:iCs/>
                <w:sz w:val="24"/>
                <w:szCs w:val="24"/>
              </w:rPr>
            </w:pPr>
            <w:r w:rsidRPr="009325DD">
              <w:rPr>
                <w:i/>
                <w:iCs/>
                <w:sz w:val="24"/>
                <w:szCs w:val="24"/>
              </w:rPr>
              <w:t>Dívida Financeira Líquida Consolidada da Companhia / EBITDA da Companhia</w:t>
            </w:r>
          </w:p>
        </w:tc>
        <w:tc>
          <w:tcPr>
            <w:tcW w:w="2703" w:type="dxa"/>
            <w:vAlign w:val="center"/>
          </w:tcPr>
          <w:p w14:paraId="2484E185" w14:textId="77777777" w:rsidR="00D53757" w:rsidRPr="009325DD" w:rsidRDefault="00D53757" w:rsidP="004402CC">
            <w:pPr>
              <w:jc w:val="center"/>
              <w:rPr>
                <w:i/>
                <w:iCs/>
                <w:sz w:val="24"/>
                <w:szCs w:val="24"/>
              </w:rPr>
            </w:pPr>
            <w:r w:rsidRPr="009325DD">
              <w:rPr>
                <w:i/>
                <w:iCs/>
                <w:sz w:val="24"/>
                <w:szCs w:val="24"/>
              </w:rPr>
              <w:t>Receita Bruta Consolidada</w:t>
            </w:r>
          </w:p>
        </w:tc>
      </w:tr>
      <w:tr w:rsidR="0067166A" w:rsidRPr="009325DD" w14:paraId="67B98D57" w14:textId="77777777" w:rsidTr="0067166A">
        <w:tc>
          <w:tcPr>
            <w:tcW w:w="2686" w:type="dxa"/>
            <w:vAlign w:val="center"/>
          </w:tcPr>
          <w:p w14:paraId="74ADB449" w14:textId="77777777" w:rsidR="0067166A" w:rsidRPr="009325DD" w:rsidRDefault="0067166A" w:rsidP="0067166A">
            <w:pPr>
              <w:jc w:val="center"/>
              <w:rPr>
                <w:i/>
                <w:iCs/>
                <w:sz w:val="24"/>
                <w:szCs w:val="24"/>
              </w:rPr>
            </w:pPr>
            <w:r w:rsidRPr="009325DD">
              <w:rPr>
                <w:i/>
                <w:iCs/>
                <w:sz w:val="24"/>
                <w:szCs w:val="24"/>
              </w:rPr>
              <w:t>01 de janeiro de 2021 (inclusive) até 01 de janeiro de 2022 (exclusive)</w:t>
            </w:r>
          </w:p>
        </w:tc>
        <w:tc>
          <w:tcPr>
            <w:tcW w:w="2733" w:type="dxa"/>
            <w:vAlign w:val="center"/>
          </w:tcPr>
          <w:p w14:paraId="46EA3E78" w14:textId="0EDC17DC" w:rsidR="0067166A" w:rsidRPr="009325DD" w:rsidRDefault="0067166A" w:rsidP="0067166A">
            <w:pPr>
              <w:jc w:val="center"/>
              <w:rPr>
                <w:i/>
                <w:iCs/>
                <w:sz w:val="24"/>
                <w:szCs w:val="24"/>
              </w:rPr>
            </w:pPr>
            <w:r>
              <w:rPr>
                <w:i/>
                <w:iCs/>
                <w:sz w:val="24"/>
                <w:szCs w:val="24"/>
              </w:rPr>
              <w:t>3,50x</w:t>
            </w:r>
          </w:p>
        </w:tc>
        <w:tc>
          <w:tcPr>
            <w:tcW w:w="2703" w:type="dxa"/>
            <w:vAlign w:val="center"/>
          </w:tcPr>
          <w:p w14:paraId="236B5571" w14:textId="1608E442" w:rsidR="0067166A" w:rsidRPr="009325DD" w:rsidRDefault="0067166A" w:rsidP="0067166A">
            <w:pPr>
              <w:jc w:val="center"/>
              <w:rPr>
                <w:i/>
                <w:iCs/>
                <w:sz w:val="24"/>
                <w:szCs w:val="24"/>
              </w:rPr>
            </w:pPr>
            <w:r w:rsidRPr="00111B00">
              <w:rPr>
                <w:i/>
                <w:iCs/>
                <w:sz w:val="24"/>
                <w:szCs w:val="24"/>
              </w:rPr>
              <w:t>R$</w:t>
            </w:r>
            <w:r>
              <w:rPr>
                <w:i/>
                <w:iCs/>
                <w:sz w:val="24"/>
                <w:szCs w:val="24"/>
              </w:rPr>
              <w:t>160.000.000,00</w:t>
            </w:r>
          </w:p>
        </w:tc>
      </w:tr>
      <w:tr w:rsidR="0067166A" w:rsidRPr="009325DD" w14:paraId="33623654" w14:textId="77777777" w:rsidTr="0067166A">
        <w:tc>
          <w:tcPr>
            <w:tcW w:w="2686" w:type="dxa"/>
            <w:vAlign w:val="center"/>
          </w:tcPr>
          <w:p w14:paraId="547032C6" w14:textId="77777777" w:rsidR="0067166A" w:rsidRPr="009325DD" w:rsidRDefault="0067166A" w:rsidP="0067166A">
            <w:pPr>
              <w:jc w:val="center"/>
              <w:rPr>
                <w:i/>
                <w:iCs/>
                <w:sz w:val="24"/>
                <w:szCs w:val="24"/>
              </w:rPr>
            </w:pPr>
            <w:r w:rsidRPr="009325DD">
              <w:rPr>
                <w:i/>
                <w:iCs/>
                <w:sz w:val="24"/>
                <w:szCs w:val="24"/>
              </w:rPr>
              <w:t>01 de janeiro de 2022 (inclusive) até 01 de janeiro de 2023 (exclusive)</w:t>
            </w:r>
          </w:p>
        </w:tc>
        <w:tc>
          <w:tcPr>
            <w:tcW w:w="2733" w:type="dxa"/>
            <w:vAlign w:val="center"/>
          </w:tcPr>
          <w:p w14:paraId="6F58AC8B" w14:textId="60DAC1BB" w:rsidR="0067166A" w:rsidRPr="009325DD" w:rsidRDefault="00867494" w:rsidP="0067166A">
            <w:pPr>
              <w:jc w:val="center"/>
              <w:rPr>
                <w:i/>
                <w:iCs/>
                <w:sz w:val="24"/>
                <w:szCs w:val="24"/>
              </w:rPr>
            </w:pPr>
            <w:r>
              <w:rPr>
                <w:i/>
                <w:iCs/>
                <w:sz w:val="24"/>
                <w:szCs w:val="24"/>
              </w:rPr>
              <w:t>3,0x</w:t>
            </w:r>
          </w:p>
        </w:tc>
        <w:tc>
          <w:tcPr>
            <w:tcW w:w="2703" w:type="dxa"/>
            <w:vAlign w:val="center"/>
          </w:tcPr>
          <w:p w14:paraId="37E04FCD" w14:textId="6FB03CCA" w:rsidR="0067166A" w:rsidRPr="009325DD" w:rsidRDefault="0067166A" w:rsidP="0067166A">
            <w:pPr>
              <w:jc w:val="center"/>
              <w:rPr>
                <w:i/>
                <w:iCs/>
                <w:sz w:val="24"/>
                <w:szCs w:val="24"/>
              </w:rPr>
            </w:pPr>
            <w:r w:rsidRPr="00111B00">
              <w:rPr>
                <w:i/>
                <w:iCs/>
                <w:sz w:val="24"/>
                <w:szCs w:val="24"/>
              </w:rPr>
              <w:t>R$</w:t>
            </w:r>
            <w:r>
              <w:rPr>
                <w:i/>
                <w:iCs/>
                <w:sz w:val="24"/>
                <w:szCs w:val="24"/>
              </w:rPr>
              <w:t>200.000.000,00</w:t>
            </w:r>
          </w:p>
        </w:tc>
      </w:tr>
      <w:tr w:rsidR="0067166A" w:rsidRPr="009325DD" w14:paraId="41C9D336" w14:textId="77777777" w:rsidTr="0067166A">
        <w:tc>
          <w:tcPr>
            <w:tcW w:w="2686" w:type="dxa"/>
            <w:vAlign w:val="center"/>
          </w:tcPr>
          <w:p w14:paraId="59CAF999" w14:textId="77777777" w:rsidR="0067166A" w:rsidRPr="009325DD" w:rsidRDefault="0067166A" w:rsidP="0067166A">
            <w:pPr>
              <w:jc w:val="center"/>
              <w:rPr>
                <w:i/>
                <w:iCs/>
                <w:sz w:val="24"/>
                <w:szCs w:val="24"/>
              </w:rPr>
            </w:pPr>
            <w:r w:rsidRPr="009325DD">
              <w:rPr>
                <w:i/>
                <w:iCs/>
                <w:sz w:val="24"/>
                <w:szCs w:val="24"/>
              </w:rPr>
              <w:t>01 de janeiro de 2023 (inclusive) até 01 de janeiro de 2024</w:t>
            </w:r>
          </w:p>
        </w:tc>
        <w:tc>
          <w:tcPr>
            <w:tcW w:w="2733" w:type="dxa"/>
            <w:vAlign w:val="center"/>
          </w:tcPr>
          <w:p w14:paraId="5AD64E8D" w14:textId="76434A91" w:rsidR="0067166A" w:rsidRPr="009325DD" w:rsidRDefault="0067166A" w:rsidP="0067166A">
            <w:pPr>
              <w:jc w:val="center"/>
              <w:rPr>
                <w:i/>
                <w:iCs/>
                <w:sz w:val="24"/>
                <w:szCs w:val="24"/>
              </w:rPr>
            </w:pPr>
            <w:r>
              <w:rPr>
                <w:i/>
                <w:iCs/>
                <w:sz w:val="24"/>
                <w:szCs w:val="24"/>
              </w:rPr>
              <w:t>2,5x</w:t>
            </w:r>
          </w:p>
        </w:tc>
        <w:tc>
          <w:tcPr>
            <w:tcW w:w="2703" w:type="dxa"/>
            <w:vAlign w:val="center"/>
          </w:tcPr>
          <w:p w14:paraId="6A906D9B" w14:textId="5A5E3240" w:rsidR="0067166A" w:rsidRPr="009325DD" w:rsidRDefault="0067166A" w:rsidP="0067166A">
            <w:pPr>
              <w:jc w:val="center"/>
              <w:rPr>
                <w:i/>
                <w:iCs/>
                <w:sz w:val="24"/>
                <w:szCs w:val="24"/>
              </w:rPr>
            </w:pPr>
            <w:r w:rsidRPr="00111B00">
              <w:rPr>
                <w:i/>
                <w:iCs/>
                <w:sz w:val="24"/>
                <w:szCs w:val="24"/>
              </w:rPr>
              <w:t>R$</w:t>
            </w:r>
            <w:r>
              <w:rPr>
                <w:i/>
                <w:iCs/>
                <w:sz w:val="24"/>
                <w:szCs w:val="24"/>
              </w:rPr>
              <w:t>290.000.000,00</w:t>
            </w:r>
          </w:p>
        </w:tc>
      </w:tr>
    </w:tbl>
    <w:p w14:paraId="76B89AC7" w14:textId="77777777" w:rsidR="00D53757" w:rsidRPr="009325DD" w:rsidRDefault="00D53757" w:rsidP="00D53757">
      <w:pPr>
        <w:pStyle w:val="PargrafodaLista"/>
        <w:rPr>
          <w:i/>
          <w:iCs/>
          <w:sz w:val="24"/>
          <w:szCs w:val="24"/>
        </w:rPr>
      </w:pPr>
    </w:p>
    <w:p w14:paraId="7CA2B435" w14:textId="77777777" w:rsidR="00DC00C1" w:rsidRPr="00CB7D4A" w:rsidRDefault="00DC00C1"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lastRenderedPageBreak/>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3243C5C1"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BB70362"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709AE01"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1AF02B87" w14:textId="61C19897" w:rsidR="00DC00C1" w:rsidRPr="00CB7D4A" w:rsidRDefault="00ED11F5" w:rsidP="00ED11F5">
      <w:pPr>
        <w:suppressAutoHyphens/>
        <w:spacing w:line="320" w:lineRule="exact"/>
        <w:rPr>
          <w:rFonts w:eastAsia="Arial Unicode MS"/>
          <w:sz w:val="24"/>
          <w:szCs w:val="24"/>
        </w:rPr>
      </w:pPr>
      <w:r w:rsidRPr="00ED11F5">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p>
    <w:p w14:paraId="0AC2A32D" w14:textId="77777777" w:rsidR="00762D77" w:rsidRPr="00CB7D4A" w:rsidRDefault="00762D77" w:rsidP="00DC00C1">
      <w:pPr>
        <w:pStyle w:val="PargrafodaLista"/>
        <w:rPr>
          <w:rFonts w:eastAsia="Arial Unicode MS"/>
          <w:sz w:val="24"/>
          <w:szCs w:val="24"/>
        </w:rPr>
      </w:pPr>
    </w:p>
    <w:p w14:paraId="67FAB39C" w14:textId="0C367372"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67166A">
        <w:rPr>
          <w:i/>
          <w:iCs/>
          <w:sz w:val="24"/>
          <w:szCs w:val="24"/>
          <w:highlight w:val="yellow"/>
        </w:rPr>
        <w:t>data</w:t>
      </w:r>
      <w:r>
        <w:rPr>
          <w:sz w:val="24"/>
          <w:szCs w:val="24"/>
        </w:rPr>
        <w:t>]</w:t>
      </w:r>
      <w:r w:rsidR="00EB509D">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p>
        </w:tc>
        <w:tc>
          <w:tcPr>
            <w:tcW w:w="4383" w:type="dxa"/>
          </w:tcPr>
          <w:p w14:paraId="1B3220D5" w14:textId="5118BDF8"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lastRenderedPageBreak/>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9"/>
      <w:footerReference w:type="default" r:id="rId10"/>
      <w:footerReference w:type="first" r:id="rId11"/>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A392" w14:textId="77777777" w:rsidR="00FA7ADD" w:rsidRDefault="00FA7ADD">
      <w:r>
        <w:separator/>
      </w:r>
    </w:p>
    <w:p w14:paraId="38C01386" w14:textId="77777777" w:rsidR="00FA7ADD" w:rsidRDefault="00FA7ADD"/>
  </w:endnote>
  <w:endnote w:type="continuationSeparator" w:id="0">
    <w:p w14:paraId="5F7B4C71" w14:textId="77777777" w:rsidR="00FA7ADD" w:rsidRDefault="00FA7ADD">
      <w:r>
        <w:continuationSeparator/>
      </w:r>
    </w:p>
    <w:p w14:paraId="1830680A" w14:textId="77777777" w:rsidR="00FA7ADD" w:rsidRDefault="00FA7ADD"/>
  </w:endnote>
  <w:endnote w:type="continuationNotice" w:id="1">
    <w:p w14:paraId="5FF9774C" w14:textId="77777777" w:rsidR="00FA7ADD" w:rsidRDefault="00FA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437E" w14:textId="77777777" w:rsidR="00FA7ADD" w:rsidRDefault="00FA7ADD">
      <w:r>
        <w:separator/>
      </w:r>
    </w:p>
    <w:p w14:paraId="2DD209EC" w14:textId="77777777" w:rsidR="00FA7ADD" w:rsidRDefault="00FA7ADD"/>
  </w:footnote>
  <w:footnote w:type="continuationSeparator" w:id="0">
    <w:p w14:paraId="63BE17D3" w14:textId="77777777" w:rsidR="00FA7ADD" w:rsidRDefault="00FA7ADD">
      <w:r>
        <w:continuationSeparator/>
      </w:r>
    </w:p>
    <w:p w14:paraId="0EA4E939" w14:textId="77777777" w:rsidR="00FA7ADD" w:rsidRDefault="00FA7ADD"/>
  </w:footnote>
  <w:footnote w:type="continuationNotice" w:id="1">
    <w:p w14:paraId="32289519" w14:textId="77777777" w:rsidR="00FA7ADD" w:rsidRDefault="00FA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0"/>
  </w:num>
  <w:num w:numId="2">
    <w:abstractNumId w:val="28"/>
  </w:num>
  <w:num w:numId="3">
    <w:abstractNumId w:val="34"/>
  </w:num>
  <w:num w:numId="4">
    <w:abstractNumId w:val="14"/>
  </w:num>
  <w:num w:numId="5">
    <w:abstractNumId w:val="25"/>
  </w:num>
  <w:num w:numId="6">
    <w:abstractNumId w:val="0"/>
  </w:num>
  <w:num w:numId="7">
    <w:abstractNumId w:val="6"/>
  </w:num>
  <w:num w:numId="8">
    <w:abstractNumId w:val="22"/>
  </w:num>
  <w:num w:numId="9">
    <w:abstractNumId w:val="17"/>
  </w:num>
  <w:num w:numId="10">
    <w:abstractNumId w:val="33"/>
  </w:num>
  <w:num w:numId="11">
    <w:abstractNumId w:val="7"/>
  </w:num>
  <w:num w:numId="12">
    <w:abstractNumId w:val="16"/>
  </w:num>
  <w:num w:numId="13">
    <w:abstractNumId w:val="18"/>
  </w:num>
  <w:num w:numId="14">
    <w:abstractNumId w:val="26"/>
  </w:num>
  <w:num w:numId="15">
    <w:abstractNumId w:val="35"/>
  </w:num>
  <w:num w:numId="16">
    <w:abstractNumId w:val="19"/>
  </w:num>
  <w:num w:numId="17">
    <w:abstractNumId w:val="23"/>
  </w:num>
  <w:num w:numId="18">
    <w:abstractNumId w:val="5"/>
  </w:num>
  <w:num w:numId="19">
    <w:abstractNumId w:val="30"/>
  </w:num>
  <w:num w:numId="20">
    <w:abstractNumId w:val="11"/>
  </w:num>
  <w:num w:numId="21">
    <w:abstractNumId w:val="4"/>
  </w:num>
  <w:num w:numId="22">
    <w:abstractNumId w:val="15"/>
  </w:num>
  <w:num w:numId="23">
    <w:abstractNumId w:val="27"/>
  </w:num>
  <w:num w:numId="24">
    <w:abstractNumId w:val="2"/>
  </w:num>
  <w:num w:numId="25">
    <w:abstractNumId w:val="24"/>
  </w:num>
  <w:num w:numId="26">
    <w:abstractNumId w:val="21"/>
  </w:num>
  <w:num w:numId="27">
    <w:abstractNumId w:val="31"/>
  </w:num>
  <w:num w:numId="28">
    <w:abstractNumId w:val="13"/>
  </w:num>
  <w:num w:numId="29">
    <w:abstractNumId w:val="9"/>
  </w:num>
  <w:num w:numId="30">
    <w:abstractNumId w:val="29"/>
  </w:num>
  <w:num w:numId="31">
    <w:abstractNumId w:val="3"/>
  </w:num>
  <w:num w:numId="32">
    <w:abstractNumId w:val="20"/>
  </w:num>
  <w:num w:numId="33">
    <w:abstractNumId w:val="32"/>
  </w:num>
  <w:num w:numId="34">
    <w:abstractNumId w:val="8"/>
  </w:num>
  <w:num w:numId="35">
    <w:abstractNumId w:val="12"/>
  </w:num>
  <w:num w:numId="3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1CEF"/>
    <w:rsid w:val="000421CD"/>
    <w:rsid w:val="000432D3"/>
    <w:rsid w:val="00043457"/>
    <w:rsid w:val="000434C2"/>
    <w:rsid w:val="00043F0F"/>
    <w:rsid w:val="00044385"/>
    <w:rsid w:val="00045D90"/>
    <w:rsid w:val="00045FD1"/>
    <w:rsid w:val="00046781"/>
    <w:rsid w:val="00046E1D"/>
    <w:rsid w:val="000515A7"/>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3D5C"/>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AF3"/>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73D"/>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ACE"/>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87AE8"/>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59B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11F5"/>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A7ADD"/>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imanage.xml"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 U Y M S P ! 6 8 2 6 5 6 8 . 1 < / d o c u m e n t i d >  
     < s e n d e r i d > J G J < / s e n d e r i d >  
     < s e n d e r e m a i l > J G J @ D I A S C A R N E I R O . C O M . B R < / s e n d e r e m a i l >  
     < l a s t m o d i f i e d > 2 0 2 2 - 0 3 - 1 5 T 1 2 : 2 7 : 0 0 . 0 0 0 0 0 0 0 - 0 3 : 0 0 < / l a s t m o d i f i e d >  
     < d a t a b a s e > U Y M S P 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2.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3.xml><?xml version="1.0" encoding="utf-8"?>
<ds:datastoreItem xmlns:ds="http://schemas.openxmlformats.org/officeDocument/2006/customXml" ds:itemID="{DE77E34A-F406-49BE-9B53-85DDF1DAF63A}"/>
</file>

<file path=customXml/itemProps4.xml><?xml version="1.0" encoding="utf-8"?>
<ds:datastoreItem xmlns:ds="http://schemas.openxmlformats.org/officeDocument/2006/customXml" ds:itemID="{B49E3B05-80BF-4AC5-B16A-73F59EDE79BA}"/>
</file>

<file path=customXml/itemProps5.xml><?xml version="1.0" encoding="utf-8"?>
<ds:datastoreItem xmlns:ds="http://schemas.openxmlformats.org/officeDocument/2006/customXml" ds:itemID="{FE103AB5-91DE-4288-B69D-56E1646A1E03}"/>
</file>

<file path=customXml/itemProps6.xml><?xml version="1.0" encoding="utf-8"?>
<ds:datastoreItem xmlns:ds="http://schemas.openxmlformats.org/officeDocument/2006/customXml" ds:itemID="{D22DB213-F1C1-40CD-8ABB-AC6EB97DBB96}"/>
</file>

<file path=docProps/app.xml><?xml version="1.0" encoding="utf-8"?>
<Properties xmlns="http://schemas.openxmlformats.org/officeDocument/2006/extended-properties" xmlns:vt="http://schemas.openxmlformats.org/officeDocument/2006/docPropsVTypes">
  <Template>Normal</Template>
  <TotalTime>2</TotalTime>
  <Pages>5</Pages>
  <Words>1174</Words>
  <Characters>6829</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7988</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 Advogados</cp:lastModifiedBy>
  <cp:revision>4</cp:revision>
  <cp:lastPrinted>2019-10-07T17:33:00Z</cp:lastPrinted>
  <dcterms:created xsi:type="dcterms:W3CDTF">2022-03-15T15:25:00Z</dcterms:created>
  <dcterms:modified xsi:type="dcterms:W3CDTF">2022-03-15T15:27:00Z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