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13EA7F3" w:rsidR="004F1013" w:rsidRPr="0088789B" w:rsidRDefault="004F1013" w:rsidP="00BB2AA7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>ATA DE ASSEMBLEIA GERAL D</w:t>
      </w:r>
      <w:r w:rsidR="0073743B" w:rsidRPr="0088789B">
        <w:rPr>
          <w:rFonts w:ascii="Verdana" w:hAnsi="Verdana" w:cs="Times New Roman"/>
          <w:b/>
          <w:sz w:val="20"/>
          <w:szCs w:val="20"/>
        </w:rPr>
        <w:t xml:space="preserve">OS TITULARES DAS DEBÊNTURES DA </w:t>
      </w:r>
      <w:r w:rsidR="00B4699D" w:rsidRPr="0088789B">
        <w:rPr>
          <w:rFonts w:ascii="Verdana" w:hAnsi="Verdana" w:cs="Times New Roman"/>
          <w:b/>
          <w:sz w:val="20"/>
          <w:szCs w:val="20"/>
        </w:rPr>
        <w:t>2</w:t>
      </w:r>
      <w:r w:rsidR="00994013" w:rsidRPr="0088789B">
        <w:rPr>
          <w:rFonts w:ascii="Verdana" w:hAnsi="Verdana" w:cs="Times New Roman"/>
          <w:b/>
          <w:sz w:val="20"/>
          <w:szCs w:val="20"/>
        </w:rPr>
        <w:t xml:space="preserve">ª </w:t>
      </w:r>
      <w:r w:rsidR="00BB2AA7" w:rsidRPr="0088789B">
        <w:rPr>
          <w:rFonts w:ascii="Verdana" w:hAnsi="Verdana" w:cs="Times New Roman"/>
          <w:b/>
          <w:color w:val="000000"/>
          <w:sz w:val="20"/>
          <w:szCs w:val="20"/>
        </w:rPr>
        <w:t>EMISSÃO DE DEBÊNTURES</w:t>
      </w:r>
      <w:r w:rsidR="00847FB8" w:rsidRPr="0088789B">
        <w:rPr>
          <w:rFonts w:ascii="Verdana" w:hAnsi="Verdana" w:cs="Times New Roman"/>
          <w:b/>
          <w:color w:val="000000"/>
          <w:sz w:val="20"/>
          <w:szCs w:val="20"/>
        </w:rPr>
        <w:t>, SIMPLES</w:t>
      </w:r>
      <w:r w:rsidR="00B4699D" w:rsidRPr="0088789B">
        <w:rPr>
          <w:rFonts w:ascii="Verdana" w:hAnsi="Verdana" w:cs="Times New Roman"/>
          <w:b/>
          <w:bCs/>
          <w:color w:val="000000"/>
          <w:sz w:val="20"/>
          <w:szCs w:val="20"/>
        </w:rPr>
        <w:t>, NÃO CONVERSÍVEIS EM AÇÕES, DA ESPÉCIE COM GARANTIA REAL, EM SÉRIE ÚNICA</w:t>
      </w:r>
      <w:r w:rsidR="00B4699D" w:rsidRPr="0088789B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BB2AA7" w:rsidRPr="0088789B">
        <w:rPr>
          <w:rFonts w:ascii="Verdana" w:hAnsi="Verdana" w:cs="Times New Roman"/>
          <w:b/>
          <w:color w:val="000000"/>
          <w:sz w:val="20"/>
          <w:szCs w:val="20"/>
        </w:rPr>
        <w:t xml:space="preserve">DA </w:t>
      </w:r>
      <w:r w:rsidR="00847FB8" w:rsidRPr="0088789B">
        <w:rPr>
          <w:rFonts w:ascii="Verdana" w:hAnsi="Verdana" w:cs="Times New Roman"/>
          <w:b/>
          <w:sz w:val="20"/>
          <w:szCs w:val="20"/>
        </w:rPr>
        <w:t>ACQIO HOLDING PARTICIPAÇÕES S.A.</w:t>
      </w:r>
    </w:p>
    <w:p w14:paraId="165B066D" w14:textId="0C9AECFE" w:rsidR="005E6B2C" w:rsidRPr="0088789B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D12477C" w14:textId="77777777" w:rsidR="000E3E47" w:rsidRPr="0088789B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>CNPJ/M</w:t>
      </w:r>
      <w:r w:rsidR="009D690E" w:rsidRPr="0088789B">
        <w:rPr>
          <w:rFonts w:ascii="Verdana" w:hAnsi="Verdana" w:cs="Times New Roman"/>
          <w:b/>
          <w:sz w:val="20"/>
          <w:szCs w:val="20"/>
        </w:rPr>
        <w:t>E</w:t>
      </w:r>
      <w:r w:rsidRPr="0088789B">
        <w:rPr>
          <w:rFonts w:ascii="Verdana" w:hAnsi="Verdana" w:cs="Times New Roman"/>
          <w:b/>
          <w:sz w:val="20"/>
          <w:szCs w:val="20"/>
        </w:rPr>
        <w:t xml:space="preserve"> </w:t>
      </w:r>
      <w:r w:rsidR="00847FB8" w:rsidRPr="0088789B">
        <w:rPr>
          <w:rFonts w:ascii="Verdana" w:hAnsi="Verdana" w:cs="Times New Roman"/>
          <w:b/>
          <w:sz w:val="20"/>
          <w:szCs w:val="20"/>
        </w:rPr>
        <w:t>31.446.280/0001-90</w:t>
      </w:r>
    </w:p>
    <w:p w14:paraId="014D2942" w14:textId="20B36F79" w:rsidR="000E3E47" w:rsidRPr="0088789B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8789B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="00DB31C9" w:rsidRPr="0088789B">
        <w:rPr>
          <w:rFonts w:ascii="Verdana" w:hAnsi="Verdana" w:cs="Times New Roman"/>
          <w:b/>
          <w:bCs/>
          <w:sz w:val="20"/>
          <w:szCs w:val="20"/>
        </w:rPr>
        <w:t>35300521692</w:t>
      </w:r>
    </w:p>
    <w:p w14:paraId="083467DA" w14:textId="6D78335B" w:rsidR="005E6B2C" w:rsidRPr="0088789B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 xml:space="preserve">REALIZADA EM </w:t>
      </w:r>
      <w:r w:rsidR="00E21FB3" w:rsidRPr="0088789B">
        <w:rPr>
          <w:rFonts w:ascii="Verdana" w:hAnsi="Verdana" w:cs="Times New Roman"/>
          <w:b/>
          <w:sz w:val="20"/>
          <w:szCs w:val="20"/>
        </w:rPr>
        <w:t>[20]</w:t>
      </w:r>
      <w:r w:rsidR="001509D4" w:rsidRPr="0088789B">
        <w:rPr>
          <w:rFonts w:ascii="Verdana" w:hAnsi="Verdana" w:cs="Times New Roman"/>
          <w:b/>
          <w:sz w:val="20"/>
          <w:szCs w:val="20"/>
        </w:rPr>
        <w:t xml:space="preserve"> DE </w:t>
      </w:r>
      <w:r w:rsidR="00E21FB3" w:rsidRPr="0088789B">
        <w:rPr>
          <w:rFonts w:ascii="Verdana" w:hAnsi="Verdana" w:cs="Times New Roman"/>
          <w:b/>
          <w:sz w:val="20"/>
          <w:szCs w:val="20"/>
        </w:rPr>
        <w:t>DEZEMBRO</w:t>
      </w:r>
      <w:r w:rsidR="001509D4" w:rsidRPr="0088789B">
        <w:rPr>
          <w:rFonts w:ascii="Verdana" w:hAnsi="Verdana" w:cs="Times New Roman"/>
          <w:b/>
          <w:sz w:val="20"/>
          <w:szCs w:val="20"/>
        </w:rPr>
        <w:t xml:space="preserve"> DE 2022</w:t>
      </w:r>
    </w:p>
    <w:p w14:paraId="5D80C360" w14:textId="77777777" w:rsidR="00BA0CD1" w:rsidRPr="0088789B" w:rsidRDefault="00BA0CD1" w:rsidP="004F101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FD43386" w14:textId="54775ECE" w:rsidR="004F1013" w:rsidRPr="0088789B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 xml:space="preserve">1. DATA, HORA E LOCAL: </w:t>
      </w:r>
      <w:r w:rsidRPr="0088789B">
        <w:rPr>
          <w:rFonts w:ascii="Verdana" w:hAnsi="Verdana" w:cs="Times New Roman"/>
          <w:sz w:val="20"/>
          <w:szCs w:val="20"/>
        </w:rPr>
        <w:t xml:space="preserve">Realizada aos </w:t>
      </w:r>
      <w:r w:rsidR="00E21FB3" w:rsidRPr="0088789B">
        <w:rPr>
          <w:rFonts w:ascii="Verdana" w:hAnsi="Verdana"/>
          <w:sz w:val="20"/>
          <w:szCs w:val="20"/>
        </w:rPr>
        <w:t>[20]</w:t>
      </w:r>
      <w:r w:rsidR="001509D4" w:rsidRPr="0088789B">
        <w:rPr>
          <w:rFonts w:ascii="Verdana" w:hAnsi="Verdana"/>
          <w:sz w:val="20"/>
          <w:szCs w:val="20"/>
        </w:rPr>
        <w:t xml:space="preserve"> de </w:t>
      </w:r>
      <w:r w:rsidR="00E21FB3" w:rsidRPr="0088789B">
        <w:rPr>
          <w:rFonts w:ascii="Verdana" w:hAnsi="Verdana"/>
          <w:sz w:val="20"/>
          <w:szCs w:val="20"/>
        </w:rPr>
        <w:t>dezembro</w:t>
      </w:r>
      <w:r w:rsidR="001509D4" w:rsidRPr="0088789B">
        <w:rPr>
          <w:rFonts w:ascii="Verdana" w:hAnsi="Verdana"/>
          <w:sz w:val="20"/>
          <w:szCs w:val="20"/>
        </w:rPr>
        <w:t xml:space="preserve"> de 2022</w:t>
      </w:r>
      <w:r w:rsidRPr="0088789B">
        <w:rPr>
          <w:rFonts w:ascii="Verdana" w:hAnsi="Verdana" w:cs="Times New Roman"/>
          <w:sz w:val="20"/>
          <w:szCs w:val="20"/>
        </w:rPr>
        <w:t xml:space="preserve">, às </w:t>
      </w:r>
      <w:r w:rsidR="00EA3D30" w:rsidRPr="0088789B">
        <w:rPr>
          <w:rFonts w:ascii="Verdana" w:hAnsi="Verdana"/>
          <w:sz w:val="20"/>
          <w:szCs w:val="20"/>
        </w:rPr>
        <w:t>10h00</w:t>
      </w:r>
      <w:r w:rsidRPr="0088789B">
        <w:rPr>
          <w:rFonts w:ascii="Verdana" w:hAnsi="Verdana" w:cs="Times New Roman"/>
          <w:sz w:val="20"/>
          <w:szCs w:val="20"/>
        </w:rPr>
        <w:t xml:space="preserve">, na </w:t>
      </w:r>
      <w:r w:rsidR="000E3E47" w:rsidRPr="0088789B">
        <w:rPr>
          <w:rFonts w:ascii="Verdana" w:hAnsi="Verdana" w:cs="Times New Roman"/>
          <w:sz w:val="20"/>
          <w:szCs w:val="20"/>
        </w:rPr>
        <w:t xml:space="preserve">sede social da </w:t>
      </w:r>
      <w:r w:rsidR="00847FB8" w:rsidRPr="0088789B">
        <w:rPr>
          <w:rFonts w:ascii="Verdana" w:hAnsi="Verdana" w:cs="Times New Roman"/>
          <w:sz w:val="20"/>
          <w:szCs w:val="20"/>
        </w:rPr>
        <w:t>ACQIO HOLDING PARTICIPAÇÕES S.A.</w:t>
      </w:r>
      <w:r w:rsidR="000E3E47" w:rsidRPr="0088789B">
        <w:rPr>
          <w:rFonts w:ascii="Verdana" w:hAnsi="Verdana" w:cs="Times New Roman"/>
          <w:bCs/>
          <w:sz w:val="20"/>
          <w:szCs w:val="20"/>
        </w:rPr>
        <w:t xml:space="preserve"> (“</w:t>
      </w:r>
      <w:r w:rsidR="000E3E47" w:rsidRPr="0088789B">
        <w:rPr>
          <w:rFonts w:ascii="Verdana" w:hAnsi="Verdana" w:cs="Times New Roman"/>
          <w:bCs/>
          <w:sz w:val="20"/>
          <w:szCs w:val="20"/>
          <w:u w:val="single"/>
        </w:rPr>
        <w:t>Companhia</w:t>
      </w:r>
      <w:r w:rsidR="000E3E47" w:rsidRPr="0088789B">
        <w:rPr>
          <w:rFonts w:ascii="Verdana" w:hAnsi="Verdana" w:cs="Times New Roman"/>
          <w:sz w:val="20"/>
          <w:szCs w:val="20"/>
        </w:rPr>
        <w:t>”</w:t>
      </w:r>
      <w:r w:rsidR="00E21FB3" w:rsidRPr="0088789B">
        <w:rPr>
          <w:rFonts w:ascii="Verdana" w:hAnsi="Verdana" w:cs="Times New Roman"/>
          <w:sz w:val="20"/>
          <w:szCs w:val="20"/>
        </w:rPr>
        <w:t xml:space="preserve"> ou “</w:t>
      </w:r>
      <w:r w:rsidR="00E21FB3" w:rsidRPr="0088789B">
        <w:rPr>
          <w:rFonts w:ascii="Verdana" w:hAnsi="Verdana" w:cs="Times New Roman"/>
          <w:sz w:val="20"/>
          <w:szCs w:val="20"/>
          <w:u w:val="single"/>
        </w:rPr>
        <w:t>Emissora</w:t>
      </w:r>
      <w:r w:rsidR="00E21FB3" w:rsidRPr="0088789B">
        <w:rPr>
          <w:rFonts w:ascii="Verdana" w:hAnsi="Verdana" w:cs="Times New Roman"/>
          <w:sz w:val="20"/>
          <w:szCs w:val="20"/>
        </w:rPr>
        <w:t>”</w:t>
      </w:r>
      <w:r w:rsidR="000E3E47" w:rsidRPr="0088789B">
        <w:rPr>
          <w:rFonts w:ascii="Verdana" w:hAnsi="Verdana" w:cs="Times New Roman"/>
          <w:sz w:val="20"/>
          <w:szCs w:val="20"/>
        </w:rPr>
        <w:t xml:space="preserve">), na </w:t>
      </w:r>
      <w:r w:rsidR="00847FB8" w:rsidRPr="0088789B">
        <w:rPr>
          <w:rFonts w:ascii="Verdana" w:hAnsi="Verdana" w:cs="Times New Roman"/>
          <w:sz w:val="20"/>
          <w:szCs w:val="20"/>
        </w:rPr>
        <w:t xml:space="preserve">Cidade de São Paulo, Estado de São Paulo, na </w:t>
      </w:r>
      <w:r w:rsidR="00CE41D4" w:rsidRPr="0088789B">
        <w:rPr>
          <w:rFonts w:ascii="Verdana" w:hAnsi="Verdana" w:cs="Times New Roman"/>
          <w:sz w:val="20"/>
          <w:szCs w:val="20"/>
        </w:rPr>
        <w:t xml:space="preserve">Avenida Luís Carlos Berrini, nº 105, Torre </w:t>
      </w:r>
      <w:r w:rsidR="00E21FB3" w:rsidRPr="0088789B">
        <w:rPr>
          <w:rFonts w:ascii="Verdana" w:hAnsi="Verdana" w:cs="Times New Roman"/>
          <w:sz w:val="20"/>
          <w:szCs w:val="20"/>
        </w:rPr>
        <w:t>4</w:t>
      </w:r>
      <w:r w:rsidR="00CE41D4" w:rsidRPr="0088789B">
        <w:rPr>
          <w:rFonts w:ascii="Verdana" w:hAnsi="Verdana" w:cs="Times New Roman"/>
          <w:sz w:val="20"/>
          <w:szCs w:val="20"/>
        </w:rPr>
        <w:t>, Itaim Bibi, CEP 04571-900</w:t>
      </w:r>
      <w:r w:rsidR="00994013" w:rsidRPr="0088789B">
        <w:rPr>
          <w:rFonts w:ascii="Verdana" w:hAnsi="Verdana" w:cs="Times New Roman"/>
          <w:sz w:val="20"/>
          <w:szCs w:val="20"/>
        </w:rPr>
        <w:t xml:space="preserve">. </w:t>
      </w:r>
    </w:p>
    <w:p w14:paraId="7AC95E36" w14:textId="77777777" w:rsidR="004F1013" w:rsidRPr="0088789B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304936" w14:textId="48C9C373" w:rsidR="004F1013" w:rsidRPr="0088789B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 xml:space="preserve">2. CONVOCAÇÃO: </w:t>
      </w:r>
      <w:r w:rsidRPr="0088789B">
        <w:rPr>
          <w:rFonts w:ascii="Verdana" w:hAnsi="Verdana" w:cs="Times New Roman"/>
          <w:sz w:val="20"/>
          <w:szCs w:val="20"/>
        </w:rPr>
        <w:t>Dispensada a convocação, tendo em vista que se verificou a presença de debenturista representando 100%</w:t>
      </w:r>
      <w:r w:rsidR="00994013" w:rsidRPr="0088789B">
        <w:rPr>
          <w:rFonts w:ascii="Verdana" w:hAnsi="Verdana" w:cs="Times New Roman"/>
          <w:sz w:val="20"/>
          <w:szCs w:val="20"/>
        </w:rPr>
        <w:t xml:space="preserve"> (cem por cento)</w:t>
      </w:r>
      <w:r w:rsidRPr="0088789B">
        <w:rPr>
          <w:rFonts w:ascii="Verdana" w:hAnsi="Verdana" w:cs="Times New Roman"/>
          <w:sz w:val="20"/>
          <w:szCs w:val="20"/>
        </w:rPr>
        <w:t xml:space="preserve"> das debêntures em circulação, </w:t>
      </w:r>
      <w:r w:rsidR="00EE2DCF" w:rsidRPr="0088789B">
        <w:rPr>
          <w:rFonts w:ascii="Verdana" w:hAnsi="Verdana" w:cs="Times New Roman"/>
          <w:sz w:val="20"/>
          <w:szCs w:val="20"/>
        </w:rPr>
        <w:t>da</w:t>
      </w:r>
      <w:r w:rsidR="00994013" w:rsidRPr="0088789B">
        <w:rPr>
          <w:rFonts w:ascii="Verdana" w:hAnsi="Verdana" w:cs="Times New Roman"/>
          <w:sz w:val="20"/>
          <w:szCs w:val="20"/>
        </w:rPr>
        <w:t xml:space="preserve"> </w:t>
      </w:r>
      <w:r w:rsidR="00B4699D" w:rsidRPr="0088789B">
        <w:rPr>
          <w:rFonts w:ascii="Verdana" w:hAnsi="Verdana" w:cs="Times New Roman"/>
          <w:i/>
          <w:iCs/>
          <w:sz w:val="20"/>
          <w:szCs w:val="20"/>
        </w:rPr>
        <w:t xml:space="preserve">Segunda </w:t>
      </w:r>
      <w:r w:rsidR="008276A9" w:rsidRPr="0088789B">
        <w:rPr>
          <w:rFonts w:ascii="Verdana" w:hAnsi="Verdana" w:cs="Times New Roman"/>
          <w:i/>
          <w:iCs/>
          <w:sz w:val="20"/>
          <w:szCs w:val="20"/>
        </w:rPr>
        <w:t>Emissão de Debêntures</w:t>
      </w:r>
      <w:r w:rsidR="00847FB8" w:rsidRPr="0088789B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847FB8" w:rsidRPr="0088789B">
        <w:rPr>
          <w:rFonts w:ascii="Verdana" w:hAnsi="Verdana" w:cs="Times New Roman"/>
          <w:bCs/>
          <w:i/>
          <w:iCs/>
          <w:sz w:val="20"/>
          <w:szCs w:val="20"/>
        </w:rPr>
        <w:t>Simples</w:t>
      </w:r>
      <w:r w:rsidR="00B4699D" w:rsidRPr="0088789B">
        <w:rPr>
          <w:rFonts w:ascii="Verdana" w:hAnsi="Verdana" w:cs="Times New Roman"/>
          <w:bCs/>
          <w:i/>
          <w:iCs/>
          <w:sz w:val="20"/>
          <w:szCs w:val="20"/>
        </w:rPr>
        <w:t>, Não Conversíveis em Ações, da Espécie com Garantia Real, em Série Única</w:t>
      </w:r>
      <w:r w:rsidR="00847FB8" w:rsidRPr="0088789B">
        <w:rPr>
          <w:rFonts w:ascii="Verdana" w:hAnsi="Verdana" w:cs="Times New Roman"/>
          <w:sz w:val="20"/>
          <w:szCs w:val="20"/>
        </w:rPr>
        <w:t xml:space="preserve"> </w:t>
      </w:r>
      <w:r w:rsidR="00525980" w:rsidRPr="0088789B">
        <w:rPr>
          <w:rFonts w:ascii="Verdana" w:hAnsi="Verdana" w:cs="Times New Roman"/>
          <w:sz w:val="20"/>
          <w:szCs w:val="20"/>
        </w:rPr>
        <w:t>(“</w:t>
      </w:r>
      <w:r w:rsidR="00525980" w:rsidRPr="0088789B">
        <w:rPr>
          <w:rFonts w:ascii="Verdana" w:hAnsi="Verdana" w:cs="Times New Roman"/>
          <w:sz w:val="20"/>
          <w:szCs w:val="20"/>
          <w:u w:val="single"/>
        </w:rPr>
        <w:t>Debêntures</w:t>
      </w:r>
      <w:r w:rsidR="00525980" w:rsidRPr="0088789B">
        <w:rPr>
          <w:rFonts w:ascii="Verdana" w:hAnsi="Verdana" w:cs="Times New Roman"/>
          <w:sz w:val="20"/>
          <w:szCs w:val="20"/>
        </w:rPr>
        <w:t>”</w:t>
      </w:r>
      <w:r w:rsidR="008276A9" w:rsidRPr="0088789B">
        <w:rPr>
          <w:rFonts w:ascii="Verdana" w:hAnsi="Verdana" w:cs="Times New Roman"/>
          <w:sz w:val="20"/>
          <w:szCs w:val="20"/>
        </w:rPr>
        <w:t xml:space="preserve"> </w:t>
      </w:r>
      <w:r w:rsidR="00EE2DCF" w:rsidRPr="0088789B">
        <w:rPr>
          <w:rFonts w:ascii="Verdana" w:hAnsi="Verdana" w:cs="Times New Roman"/>
          <w:sz w:val="20"/>
          <w:szCs w:val="20"/>
        </w:rPr>
        <w:t>e “</w:t>
      </w:r>
      <w:r w:rsidR="00EE2DCF" w:rsidRPr="0088789B">
        <w:rPr>
          <w:rFonts w:ascii="Verdana" w:hAnsi="Verdana" w:cs="Times New Roman"/>
          <w:sz w:val="20"/>
          <w:szCs w:val="20"/>
          <w:u w:val="single"/>
        </w:rPr>
        <w:t>Emissão</w:t>
      </w:r>
      <w:r w:rsidR="00EE2DCF" w:rsidRPr="0088789B">
        <w:rPr>
          <w:rFonts w:ascii="Verdana" w:hAnsi="Verdana" w:cs="Times New Roman"/>
          <w:sz w:val="20"/>
          <w:szCs w:val="20"/>
        </w:rPr>
        <w:t>”</w:t>
      </w:r>
      <w:r w:rsidR="00525980" w:rsidRPr="0088789B">
        <w:rPr>
          <w:rFonts w:ascii="Verdana" w:hAnsi="Verdana" w:cs="Times New Roman"/>
          <w:sz w:val="20"/>
          <w:szCs w:val="20"/>
        </w:rPr>
        <w:t>, respectivamente).</w:t>
      </w:r>
    </w:p>
    <w:p w14:paraId="49755F61" w14:textId="77777777" w:rsidR="00EE2CD2" w:rsidRPr="0088789B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D8E002" w14:textId="072EFCF1" w:rsidR="00EE2CD2" w:rsidRPr="0088789B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 xml:space="preserve">3. PRESENÇA: </w:t>
      </w:r>
      <w:r w:rsidRPr="0088789B">
        <w:rPr>
          <w:rFonts w:ascii="Verdana" w:hAnsi="Verdana" w:cs="Times New Roman"/>
          <w:sz w:val="20"/>
          <w:szCs w:val="20"/>
        </w:rPr>
        <w:t>Presente</w:t>
      </w:r>
      <w:r w:rsidR="00525980" w:rsidRPr="0088789B">
        <w:rPr>
          <w:rFonts w:ascii="Verdana" w:hAnsi="Verdana" w:cs="Times New Roman"/>
          <w:sz w:val="20"/>
          <w:szCs w:val="20"/>
        </w:rPr>
        <w:t xml:space="preserve"> o debenturista, representa</w:t>
      </w:r>
      <w:r w:rsidR="002A3240" w:rsidRPr="0088789B">
        <w:rPr>
          <w:rFonts w:ascii="Verdana" w:hAnsi="Verdana" w:cs="Times New Roman"/>
          <w:sz w:val="20"/>
          <w:szCs w:val="20"/>
        </w:rPr>
        <w:t>n</w:t>
      </w:r>
      <w:r w:rsidR="00525980" w:rsidRPr="0088789B">
        <w:rPr>
          <w:rFonts w:ascii="Verdana" w:hAnsi="Verdana" w:cs="Times New Roman"/>
          <w:sz w:val="20"/>
          <w:szCs w:val="20"/>
        </w:rPr>
        <w:t>do 100% (cem por cento) das Debêntures em circulação (“</w:t>
      </w:r>
      <w:r w:rsidR="00525980" w:rsidRPr="0088789B">
        <w:rPr>
          <w:rFonts w:ascii="Verdana" w:hAnsi="Verdana" w:cs="Times New Roman"/>
          <w:sz w:val="20"/>
          <w:szCs w:val="20"/>
          <w:u w:val="single"/>
        </w:rPr>
        <w:t>Debenturista</w:t>
      </w:r>
      <w:r w:rsidR="00525980" w:rsidRPr="0088789B">
        <w:rPr>
          <w:rFonts w:ascii="Verdana" w:hAnsi="Verdana" w:cs="Times New Roman"/>
          <w:sz w:val="20"/>
          <w:szCs w:val="20"/>
        </w:rPr>
        <w:t>”), conforme verificou-se da assinatura da Lista de Presença dos Debenturistas</w:t>
      </w:r>
      <w:r w:rsidR="00D75CE7" w:rsidRPr="0088789B">
        <w:rPr>
          <w:rFonts w:ascii="Verdana" w:hAnsi="Verdana" w:cs="Times New Roman"/>
          <w:sz w:val="20"/>
          <w:szCs w:val="20"/>
        </w:rPr>
        <w:t xml:space="preserve"> anexa à presente ata</w:t>
      </w:r>
      <w:r w:rsidR="008276A9" w:rsidRPr="0088789B">
        <w:rPr>
          <w:rFonts w:ascii="Verdana" w:hAnsi="Verdana" w:cs="Times New Roman"/>
          <w:sz w:val="20"/>
          <w:szCs w:val="20"/>
        </w:rPr>
        <w:t xml:space="preserve"> </w:t>
      </w:r>
      <w:r w:rsidR="00670D53" w:rsidRPr="0088789B">
        <w:rPr>
          <w:rFonts w:ascii="Verdana" w:hAnsi="Verdana" w:cs="Times New Roman"/>
          <w:sz w:val="20"/>
          <w:szCs w:val="20"/>
        </w:rPr>
        <w:t>presentes ainda, o representante da Simplific Pavarini Distribuidora de Títulos e Valores Mobiliários Ltda., na qualidade de agente fiduciário da Emissão (“</w:t>
      </w:r>
      <w:r w:rsidR="00670D53" w:rsidRPr="0088789B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670D53" w:rsidRPr="0088789B">
        <w:rPr>
          <w:rFonts w:ascii="Verdana" w:hAnsi="Verdana" w:cs="Times New Roman"/>
          <w:sz w:val="20"/>
          <w:szCs w:val="20"/>
        </w:rPr>
        <w:t xml:space="preserve">”) </w:t>
      </w:r>
      <w:r w:rsidR="00525980" w:rsidRPr="0088789B">
        <w:rPr>
          <w:rFonts w:ascii="Verdana" w:hAnsi="Verdana" w:cs="Times New Roman"/>
          <w:sz w:val="20"/>
          <w:szCs w:val="20"/>
        </w:rPr>
        <w:t>e os representantes da Companhia</w:t>
      </w:r>
      <w:r w:rsidR="00670D53" w:rsidRPr="0088789B">
        <w:rPr>
          <w:rFonts w:ascii="Verdana" w:hAnsi="Verdana" w:cs="Times New Roman"/>
          <w:sz w:val="20"/>
          <w:szCs w:val="20"/>
        </w:rPr>
        <w:t>, conforme assinaturas constantes ao final desta ata</w:t>
      </w:r>
      <w:r w:rsidRPr="0088789B">
        <w:rPr>
          <w:rFonts w:ascii="Verdana" w:hAnsi="Verdana" w:cs="Times New Roman"/>
          <w:sz w:val="20"/>
          <w:szCs w:val="20"/>
        </w:rPr>
        <w:t>.</w:t>
      </w:r>
    </w:p>
    <w:p w14:paraId="3916896A" w14:textId="77777777" w:rsidR="00EE2CD2" w:rsidRPr="0088789B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A2756F" w14:textId="4C9BCA30" w:rsidR="00EE2CD2" w:rsidRPr="0088789B" w:rsidRDefault="0076735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>4. MESA:</w:t>
      </w:r>
      <w:r w:rsidR="00643455" w:rsidRPr="0088789B">
        <w:rPr>
          <w:rFonts w:ascii="Verdana" w:hAnsi="Verdana" w:cs="Times New Roman"/>
          <w:sz w:val="20"/>
          <w:szCs w:val="20"/>
        </w:rPr>
        <w:t xml:space="preserve"> Presidida por </w:t>
      </w:r>
      <w:r w:rsidR="00E21FB3" w:rsidRPr="0088789B">
        <w:rPr>
          <w:rFonts w:ascii="Verdana" w:hAnsi="Verdana" w:cs="Times New Roman"/>
          <w:sz w:val="20"/>
          <w:szCs w:val="20"/>
        </w:rPr>
        <w:t>Gustavo Danzi de Andrade</w:t>
      </w:r>
      <w:r w:rsidR="00E61DD1" w:rsidRPr="0088789B">
        <w:rPr>
          <w:rFonts w:ascii="Verdana" w:hAnsi="Verdana" w:cs="Times New Roman"/>
          <w:sz w:val="20"/>
          <w:szCs w:val="20"/>
        </w:rPr>
        <w:t>, e secretariad</w:t>
      </w:r>
      <w:r w:rsidR="009D690E" w:rsidRPr="0088789B">
        <w:rPr>
          <w:rFonts w:ascii="Verdana" w:hAnsi="Verdana" w:cs="Times New Roman"/>
          <w:sz w:val="20"/>
          <w:szCs w:val="20"/>
        </w:rPr>
        <w:t>a</w:t>
      </w:r>
      <w:r w:rsidR="00643455" w:rsidRPr="0088789B">
        <w:rPr>
          <w:rFonts w:ascii="Verdana" w:hAnsi="Verdana" w:cs="Times New Roman"/>
          <w:sz w:val="20"/>
          <w:szCs w:val="20"/>
        </w:rPr>
        <w:t xml:space="preserve"> por </w:t>
      </w:r>
      <w:r w:rsidR="00B15F7F" w:rsidRPr="0088789B">
        <w:rPr>
          <w:rFonts w:ascii="Verdana" w:hAnsi="Verdana" w:cs="Times New Roman"/>
          <w:sz w:val="20"/>
          <w:szCs w:val="20"/>
        </w:rPr>
        <w:t>Felipe Maroni Picchetto</w:t>
      </w:r>
      <w:r w:rsidRPr="0088789B">
        <w:rPr>
          <w:rFonts w:ascii="Verdana" w:hAnsi="Verdana" w:cs="Times New Roman"/>
          <w:sz w:val="20"/>
          <w:szCs w:val="20"/>
        </w:rPr>
        <w:t>.</w:t>
      </w:r>
    </w:p>
    <w:p w14:paraId="637FF991" w14:textId="77777777" w:rsidR="00C71539" w:rsidRPr="0088789B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0B5AB0C" w14:textId="34DF7601" w:rsidR="00E80310" w:rsidRPr="0088789B" w:rsidRDefault="00C71539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>5. ORDEM DO DIA:</w:t>
      </w:r>
      <w:r w:rsidRPr="0088789B">
        <w:rPr>
          <w:rFonts w:ascii="Verdana" w:hAnsi="Verdana" w:cs="Times New Roman"/>
          <w:sz w:val="20"/>
          <w:szCs w:val="20"/>
        </w:rPr>
        <w:t xml:space="preserve"> </w:t>
      </w:r>
      <w:r w:rsidR="00963F66" w:rsidRPr="0088789B">
        <w:rPr>
          <w:rFonts w:ascii="Verdana" w:hAnsi="Verdana" w:cs="Times New Roman"/>
          <w:sz w:val="20"/>
          <w:szCs w:val="20"/>
        </w:rPr>
        <w:t>Deliberação sobre</w:t>
      </w:r>
      <w:r w:rsidR="003D0904" w:rsidRPr="0088789B">
        <w:rPr>
          <w:rFonts w:ascii="Verdana" w:hAnsi="Verdana" w:cs="Times New Roman"/>
          <w:sz w:val="20"/>
          <w:szCs w:val="20"/>
        </w:rPr>
        <w:t xml:space="preserve"> </w:t>
      </w:r>
      <w:r w:rsidR="00DA0941" w:rsidRPr="0088789B">
        <w:rPr>
          <w:rFonts w:ascii="Verdana" w:hAnsi="Verdana" w:cs="Times New Roman"/>
          <w:sz w:val="20"/>
          <w:szCs w:val="20"/>
        </w:rPr>
        <w:t xml:space="preserve">a </w:t>
      </w:r>
      <w:r w:rsidR="003D0904" w:rsidRPr="0088789B">
        <w:rPr>
          <w:rFonts w:ascii="Verdana" w:hAnsi="Verdana" w:cs="Times New Roman"/>
          <w:sz w:val="20"/>
          <w:szCs w:val="20"/>
        </w:rPr>
        <w:t xml:space="preserve">(i) </w:t>
      </w:r>
      <w:r w:rsidR="00DA0941" w:rsidRPr="0088789B">
        <w:rPr>
          <w:rFonts w:ascii="Verdana" w:hAnsi="Verdana" w:cs="Times New Roman"/>
          <w:sz w:val="20"/>
          <w:szCs w:val="20"/>
        </w:rPr>
        <w:t xml:space="preserve">alteração de determinados termos e condições </w:t>
      </w:r>
      <w:r w:rsidR="00DA0941" w:rsidRPr="0088789B">
        <w:rPr>
          <w:rFonts w:ascii="Verdana" w:hAnsi="Verdana" w:cs="Times New Roman"/>
          <w:bCs/>
          <w:iCs/>
          <w:sz w:val="20"/>
          <w:szCs w:val="20"/>
        </w:rPr>
        <w:t xml:space="preserve">do Instrumento Particular de Escritura de Emissão Privada de Debêntures Simples, Não Conversíveis em Ações, da Espécie com Garantia Real, em Série Única da Segunda Emissão da Acqio Holding Participações S.A. </w:t>
      </w:r>
      <w:r w:rsidR="00DA0941" w:rsidRPr="0088789B">
        <w:rPr>
          <w:rFonts w:ascii="Verdana" w:hAnsi="Verdana" w:cs="Times New Roman"/>
          <w:sz w:val="20"/>
          <w:szCs w:val="20"/>
        </w:rPr>
        <w:t>(“</w:t>
      </w:r>
      <w:r w:rsidR="00DA0941" w:rsidRPr="0088789B">
        <w:rPr>
          <w:rFonts w:ascii="Verdana" w:hAnsi="Verdana" w:cs="Times New Roman"/>
          <w:sz w:val="20"/>
          <w:szCs w:val="20"/>
          <w:u w:val="single"/>
        </w:rPr>
        <w:t>Escritura de Emissão Privada</w:t>
      </w:r>
      <w:r w:rsidR="00DA0941" w:rsidRPr="0088789B">
        <w:rPr>
          <w:rFonts w:ascii="Verdana" w:hAnsi="Verdana" w:cs="Times New Roman"/>
          <w:sz w:val="20"/>
          <w:szCs w:val="20"/>
        </w:rPr>
        <w:t>”) e a celebração do segundo aditamento à Escritura de Emissão Privada para a alteração d</w:t>
      </w:r>
      <w:r w:rsidR="00DA0941" w:rsidRPr="0088789B">
        <w:rPr>
          <w:rFonts w:ascii="Verdana" w:hAnsi="Verdana" w:cs="Times New Roman"/>
          <w:bCs/>
          <w:sz w:val="20"/>
          <w:szCs w:val="20"/>
        </w:rPr>
        <w:t xml:space="preserve">a Cláusula </w:t>
      </w:r>
      <w:r w:rsidR="00EF6BFF" w:rsidRPr="0088789B">
        <w:rPr>
          <w:rFonts w:ascii="Verdana" w:hAnsi="Verdana" w:cs="Times New Roman"/>
          <w:bCs/>
          <w:sz w:val="20"/>
          <w:szCs w:val="20"/>
        </w:rPr>
        <w:t xml:space="preserve">7.19 </w:t>
      </w:r>
      <w:r w:rsidR="00DA0941" w:rsidRPr="0088789B">
        <w:rPr>
          <w:rFonts w:ascii="Verdana" w:hAnsi="Verdana" w:cs="Times New Roman"/>
          <w:sz w:val="20"/>
          <w:szCs w:val="20"/>
        </w:rPr>
        <w:t xml:space="preserve">da Escritura de Emissão </w:t>
      </w:r>
      <w:r w:rsidR="00EF6BFF" w:rsidRPr="0088789B">
        <w:rPr>
          <w:rFonts w:ascii="Verdana" w:hAnsi="Verdana" w:cs="Times New Roman"/>
          <w:sz w:val="20"/>
          <w:szCs w:val="20"/>
        </w:rPr>
        <w:t>Privada com a finalidade de permitir a amortização extraordinária facultativa das Debêntures</w:t>
      </w:r>
      <w:r w:rsidR="00DA0941" w:rsidRPr="0088789B">
        <w:rPr>
          <w:rFonts w:ascii="Verdana" w:hAnsi="Verdana" w:cs="Times New Roman"/>
          <w:sz w:val="20"/>
          <w:szCs w:val="20"/>
        </w:rPr>
        <w:t xml:space="preserve"> (“</w:t>
      </w:r>
      <w:r w:rsidR="00DA0941" w:rsidRPr="0088789B">
        <w:rPr>
          <w:rFonts w:ascii="Verdana" w:hAnsi="Verdana" w:cs="Times New Roman"/>
          <w:sz w:val="20"/>
          <w:szCs w:val="20"/>
          <w:u w:val="single"/>
        </w:rPr>
        <w:t>Segundo Aditamento à Escritura de Emissão Privada</w:t>
      </w:r>
      <w:r w:rsidR="00DA0941" w:rsidRPr="0088789B">
        <w:rPr>
          <w:rFonts w:ascii="Verdana" w:hAnsi="Verdana" w:cs="Times New Roman"/>
          <w:sz w:val="20"/>
          <w:szCs w:val="20"/>
        </w:rPr>
        <w:t>”)</w:t>
      </w:r>
      <w:r w:rsidR="000D2794" w:rsidRPr="0088789B">
        <w:rPr>
          <w:rFonts w:ascii="Verdana" w:hAnsi="Verdana" w:cs="Times New Roman"/>
          <w:sz w:val="20"/>
          <w:szCs w:val="20"/>
        </w:rPr>
        <w:t>; e</w:t>
      </w:r>
      <w:r w:rsidR="004A0760" w:rsidRPr="0088789B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4A0760" w:rsidRPr="0088789B">
        <w:rPr>
          <w:rFonts w:ascii="Verdana" w:hAnsi="Verdana" w:cs="Times New Roman"/>
          <w:sz w:val="20"/>
          <w:szCs w:val="20"/>
        </w:rPr>
        <w:t>ii</w:t>
      </w:r>
      <w:proofErr w:type="spellEnd"/>
      <w:r w:rsidR="004A0760" w:rsidRPr="0088789B">
        <w:rPr>
          <w:rFonts w:ascii="Verdana" w:hAnsi="Verdana" w:cs="Times New Roman"/>
          <w:sz w:val="20"/>
          <w:szCs w:val="20"/>
        </w:rPr>
        <w:t>)</w:t>
      </w:r>
      <w:r w:rsidR="00DA0941" w:rsidRPr="0088789B">
        <w:rPr>
          <w:rFonts w:ascii="Verdana" w:hAnsi="Verdana" w:cs="Times New Roman"/>
          <w:sz w:val="20"/>
          <w:szCs w:val="20"/>
        </w:rPr>
        <w:t xml:space="preserve"> a</w:t>
      </w:r>
      <w:r w:rsidR="00E80310" w:rsidRPr="0088789B">
        <w:rPr>
          <w:rFonts w:ascii="Verdana" w:hAnsi="Verdana" w:cs="Times New Roman"/>
          <w:sz w:val="20"/>
          <w:szCs w:val="20"/>
        </w:rPr>
        <w:t xml:space="preserve">utorização expressa para que </w:t>
      </w:r>
      <w:r w:rsidR="004F4597" w:rsidRPr="0088789B">
        <w:rPr>
          <w:rFonts w:ascii="Verdana" w:hAnsi="Verdana" w:cs="Times New Roman"/>
          <w:sz w:val="20"/>
          <w:szCs w:val="20"/>
        </w:rPr>
        <w:t xml:space="preserve">o </w:t>
      </w:r>
      <w:r w:rsidR="00670D53" w:rsidRPr="0088789B">
        <w:rPr>
          <w:rFonts w:ascii="Verdana" w:hAnsi="Verdana" w:cs="Times New Roman"/>
          <w:sz w:val="20"/>
          <w:szCs w:val="20"/>
        </w:rPr>
        <w:t>A</w:t>
      </w:r>
      <w:r w:rsidR="004F4597" w:rsidRPr="0088789B">
        <w:rPr>
          <w:rFonts w:ascii="Verdana" w:hAnsi="Verdana" w:cs="Times New Roman"/>
          <w:sz w:val="20"/>
          <w:szCs w:val="20"/>
        </w:rPr>
        <w:t xml:space="preserve">gente </w:t>
      </w:r>
      <w:r w:rsidR="00670D53" w:rsidRPr="0088789B">
        <w:rPr>
          <w:rFonts w:ascii="Verdana" w:hAnsi="Verdana" w:cs="Times New Roman"/>
          <w:sz w:val="20"/>
          <w:szCs w:val="20"/>
        </w:rPr>
        <w:t>F</w:t>
      </w:r>
      <w:r w:rsidR="004F4597" w:rsidRPr="0088789B">
        <w:rPr>
          <w:rFonts w:ascii="Verdana" w:hAnsi="Verdana" w:cs="Times New Roman"/>
          <w:sz w:val="20"/>
          <w:szCs w:val="20"/>
        </w:rPr>
        <w:t>iduciário e a Companhia, conforme o caso, pratiquem todos os atos e tomem todas as providências necessárias para cumprir com o deliberado nessa assembleia.</w:t>
      </w:r>
    </w:p>
    <w:p w14:paraId="7A5C7A18" w14:textId="77777777" w:rsidR="00F365A1" w:rsidRPr="0088789B" w:rsidRDefault="00F365A1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8C4F3B0" w14:textId="03A4BEFD" w:rsidR="00C71539" w:rsidRPr="0088789B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>6. ABERTURA:</w:t>
      </w:r>
      <w:r w:rsidRPr="0088789B">
        <w:rPr>
          <w:rFonts w:ascii="Verdana" w:hAnsi="Verdana" w:cs="Times New Roman"/>
          <w:sz w:val="20"/>
          <w:szCs w:val="20"/>
        </w:rPr>
        <w:t xml:space="preserve"> </w:t>
      </w:r>
      <w:r w:rsidR="00D75CE7" w:rsidRPr="0088789B">
        <w:rPr>
          <w:rFonts w:ascii="Verdana" w:hAnsi="Verdana" w:cs="Times New Roman"/>
          <w:sz w:val="20"/>
          <w:szCs w:val="20"/>
        </w:rPr>
        <w:t>Foram eleitos</w:t>
      </w:r>
      <w:r w:rsidRPr="0088789B">
        <w:rPr>
          <w:rFonts w:ascii="Verdana" w:hAnsi="Verdana" w:cs="Times New Roman"/>
          <w:sz w:val="20"/>
          <w:szCs w:val="20"/>
        </w:rPr>
        <w:t xml:space="preserve"> o Presidente e Secretário da Assembleia para, dentre outras providências, lavrar a presente ata. </w:t>
      </w:r>
      <w:r w:rsidR="003F7ED2" w:rsidRPr="0088789B">
        <w:rPr>
          <w:rFonts w:ascii="Verdana" w:hAnsi="Verdana" w:cs="Times New Roman"/>
          <w:sz w:val="20"/>
          <w:szCs w:val="20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88789B">
        <w:rPr>
          <w:rFonts w:ascii="Verdana" w:hAnsi="Verdana" w:cs="Times New Roman"/>
          <w:sz w:val="20"/>
          <w:szCs w:val="20"/>
        </w:rPr>
        <w:t>da, foi realizada a leitura da ordem do d</w:t>
      </w:r>
      <w:r w:rsidR="003F7ED2" w:rsidRPr="0088789B">
        <w:rPr>
          <w:rFonts w:ascii="Verdana" w:hAnsi="Verdana" w:cs="Times New Roman"/>
          <w:sz w:val="20"/>
          <w:szCs w:val="20"/>
        </w:rPr>
        <w:t>ia.</w:t>
      </w:r>
    </w:p>
    <w:p w14:paraId="623F9C0B" w14:textId="3D522B50" w:rsidR="00366822" w:rsidRPr="0088789B" w:rsidRDefault="0036682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47310AB" w14:textId="774CEB55" w:rsidR="00366822" w:rsidRPr="0088789B" w:rsidRDefault="00366822" w:rsidP="0036682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 xml:space="preserve">O Agente Fiduciário questionou a Emissora e o Debenturista, acerca de qualquer hipótese que poderia ser caracterizada como conflito de interesses em relação as matérias da Ordem do Dia e os interesses das demais partes da operação, bem como entre partes relacionadas, </w:t>
      </w:r>
      <w:r w:rsidRPr="0088789B">
        <w:rPr>
          <w:rFonts w:ascii="Verdana" w:eastAsia="Times New Roman" w:hAnsi="Verdana" w:cs="Times New Roman"/>
          <w:color w:val="220939"/>
          <w:sz w:val="20"/>
          <w:szCs w:val="20"/>
        </w:rPr>
        <w:t xml:space="preserve">conforme definição prevista na Resolução CVM 94/2022, conforme </w:t>
      </w:r>
      <w:r w:rsidRPr="0088789B">
        <w:rPr>
          <w:rFonts w:ascii="Verdana" w:hAnsi="Verdana" w:cs="Times New Roman"/>
          <w:sz w:val="20"/>
          <w:szCs w:val="20"/>
        </w:rPr>
        <w:t>artigo 115 § 1º da Lei 6404/76, e outras hipóteses previstas em lei, conforme aplicável, sendo informado que a Emissora e o Debenturista presentes não possuem conhecimento de qualquer situação neste sentido.</w:t>
      </w:r>
    </w:p>
    <w:p w14:paraId="46C58246" w14:textId="77777777" w:rsidR="003F7ED2" w:rsidRPr="0088789B" w:rsidRDefault="003F7E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223A161" w14:textId="7F8F25FE" w:rsidR="00243890" w:rsidRPr="0088789B" w:rsidRDefault="003F7E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>7. DELIBERAÇÕES:</w:t>
      </w:r>
      <w:r w:rsidRPr="0088789B">
        <w:rPr>
          <w:rFonts w:ascii="Verdana" w:hAnsi="Verdana" w:cs="Times New Roman"/>
          <w:sz w:val="20"/>
          <w:szCs w:val="20"/>
        </w:rPr>
        <w:t xml:space="preserve"> </w:t>
      </w:r>
      <w:r w:rsidR="00963F66" w:rsidRPr="0088789B">
        <w:rPr>
          <w:rFonts w:ascii="Verdana" w:hAnsi="Verdana" w:cs="Times New Roman"/>
          <w:sz w:val="20"/>
          <w:szCs w:val="20"/>
        </w:rPr>
        <w:t>Examinada e debatida a matéria constante na Ordem do Dia, o Debenturista, representando 100% (cem por cento) das Debêntures em circulação, deliberou</w:t>
      </w:r>
      <w:r w:rsidR="00243890" w:rsidRPr="0088789B">
        <w:rPr>
          <w:rFonts w:ascii="Verdana" w:hAnsi="Verdana" w:cs="Times New Roman"/>
          <w:sz w:val="20"/>
          <w:szCs w:val="20"/>
        </w:rPr>
        <w:t xml:space="preserve"> e aprovou</w:t>
      </w:r>
      <w:r w:rsidR="00963F66" w:rsidRPr="0088789B">
        <w:rPr>
          <w:rFonts w:ascii="Verdana" w:hAnsi="Verdana" w:cs="Times New Roman"/>
          <w:sz w:val="20"/>
          <w:szCs w:val="20"/>
        </w:rPr>
        <w:t>, sem quaisquer ressalvas</w:t>
      </w:r>
      <w:r w:rsidR="00243890" w:rsidRPr="0088789B">
        <w:rPr>
          <w:rFonts w:ascii="Verdana" w:hAnsi="Verdana" w:cs="Times New Roman"/>
          <w:sz w:val="20"/>
          <w:szCs w:val="20"/>
        </w:rPr>
        <w:t>:</w:t>
      </w:r>
    </w:p>
    <w:p w14:paraId="4BF2D9EF" w14:textId="77777777" w:rsidR="00243890" w:rsidRPr="0088789B" w:rsidRDefault="0024389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061D2C1" w14:textId="7DB01DE7" w:rsidR="00744E5D" w:rsidRPr="0088789B" w:rsidRDefault="00EF6BFF" w:rsidP="00EF6BFF">
      <w:pPr>
        <w:pStyle w:val="PargrafodaLista"/>
        <w:numPr>
          <w:ilvl w:val="0"/>
          <w:numId w:val="6"/>
        </w:numPr>
        <w:spacing w:after="0" w:line="240" w:lineRule="auto"/>
        <w:ind w:left="0" w:hanging="10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>A alteração da Cláusula 7.19 da Escritura de Emissão Privada para permitir a amortização extraordinária facultativa das Debêntures, a qual passará a vigorar com a seguinte redação:</w:t>
      </w:r>
    </w:p>
    <w:p w14:paraId="42381349" w14:textId="051F0E5D" w:rsidR="00EF6BFF" w:rsidRPr="0088789B" w:rsidRDefault="00EF6BFF" w:rsidP="00EF6BFF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9C59282" w14:textId="4B8415CB" w:rsidR="00EF6BFF" w:rsidRPr="0088789B" w:rsidRDefault="00EF6BFF" w:rsidP="00EF6BFF">
      <w:pPr>
        <w:pStyle w:val="PargrafodaLista"/>
        <w:numPr>
          <w:ilvl w:val="1"/>
          <w:numId w:val="7"/>
        </w:numPr>
        <w:spacing w:after="120" w:line="240" w:lineRule="auto"/>
        <w:ind w:hanging="9"/>
        <w:jc w:val="both"/>
        <w:rPr>
          <w:rFonts w:ascii="Verdana" w:hAnsi="Verdana"/>
          <w:i/>
          <w:sz w:val="20"/>
          <w:szCs w:val="20"/>
        </w:rPr>
      </w:pPr>
      <w:bookmarkStart w:id="0" w:name="_Ref52820767"/>
      <w:r w:rsidRPr="0088789B">
        <w:rPr>
          <w:rFonts w:ascii="Verdana" w:hAnsi="Verdana"/>
          <w:i/>
          <w:sz w:val="20"/>
          <w:szCs w:val="20"/>
        </w:rPr>
        <w:t xml:space="preserve">“Amortização Extraordinária Facultativa. A Companhia poderá, a qualquer tempo, e com aviso prévio aos Debenturistas (por </w:t>
      </w:r>
      <w:r w:rsidRPr="006D1665">
        <w:rPr>
          <w:rFonts w:ascii="Verdana" w:hAnsi="Verdana"/>
          <w:i/>
          <w:sz w:val="20"/>
          <w:szCs w:val="20"/>
        </w:rPr>
        <w:t>meio de publicação de anúncio nos termos da Cláusula 7.27</w:t>
      </w:r>
      <w:r w:rsidRPr="006D1665">
        <w:rPr>
          <w:rFonts w:ascii="Verdana" w:hAnsi="Verdana"/>
          <w:i/>
          <w:sz w:val="20"/>
          <w:szCs w:val="20"/>
        </w:rPr>
        <w:fldChar w:fldCharType="begin"/>
      </w:r>
      <w:r w:rsidRPr="006D1665">
        <w:rPr>
          <w:rFonts w:ascii="Verdana" w:hAnsi="Verdana"/>
          <w:i/>
          <w:sz w:val="20"/>
          <w:szCs w:val="20"/>
        </w:rPr>
        <w:instrText xml:space="preserve"> REF _Ref284530595 \n \p \h  \* MERGEFORMAT </w:instrText>
      </w:r>
      <w:r w:rsidRPr="006D1665">
        <w:rPr>
          <w:rFonts w:ascii="Verdana" w:hAnsi="Verdana"/>
          <w:i/>
          <w:sz w:val="20"/>
          <w:szCs w:val="20"/>
        </w:rPr>
      </w:r>
      <w:r w:rsidR="001350C7" w:rsidRPr="006D1665">
        <w:rPr>
          <w:rFonts w:ascii="Verdana" w:hAnsi="Verdana"/>
          <w:i/>
          <w:sz w:val="20"/>
          <w:szCs w:val="20"/>
        </w:rPr>
        <w:fldChar w:fldCharType="separate"/>
      </w:r>
      <w:r w:rsidRPr="006D1665">
        <w:rPr>
          <w:rFonts w:ascii="Verdana" w:hAnsi="Verdana"/>
          <w:i/>
          <w:sz w:val="20"/>
          <w:szCs w:val="20"/>
        </w:rPr>
        <w:fldChar w:fldCharType="end"/>
      </w:r>
      <w:r w:rsidRPr="006D1665">
        <w:rPr>
          <w:rFonts w:ascii="Verdana" w:hAnsi="Verdana"/>
          <w:i/>
          <w:sz w:val="20"/>
          <w:szCs w:val="20"/>
        </w:rPr>
        <w:t xml:space="preserve"> ou de comunicação individual a todos os Debenturistas, com cópia ao Agente Fiduciário), ao Agente Fiduciário, ao </w:t>
      </w:r>
      <w:proofErr w:type="spellStart"/>
      <w:r w:rsidRPr="006D1665">
        <w:rPr>
          <w:rFonts w:ascii="Verdana" w:hAnsi="Verdana"/>
          <w:i/>
          <w:sz w:val="20"/>
          <w:szCs w:val="20"/>
        </w:rPr>
        <w:t>Escriturador</w:t>
      </w:r>
      <w:proofErr w:type="spellEnd"/>
      <w:r w:rsidRPr="006D1665">
        <w:rPr>
          <w:rFonts w:ascii="Verdana" w:hAnsi="Verdana"/>
          <w:i/>
          <w:sz w:val="20"/>
          <w:szCs w:val="20"/>
        </w:rPr>
        <w:t xml:space="preserve">, ao Agente de Liquidação </w:t>
      </w:r>
      <w:r w:rsidRPr="001350C7">
        <w:rPr>
          <w:rFonts w:ascii="Verdana" w:hAnsi="Verdana"/>
          <w:i/>
          <w:sz w:val="20"/>
          <w:szCs w:val="20"/>
        </w:rPr>
        <w:t>e à B3</w:t>
      </w:r>
      <w:r w:rsidRPr="006D1665">
        <w:rPr>
          <w:rFonts w:ascii="Verdana" w:hAnsi="Verdana"/>
          <w:i/>
          <w:sz w:val="20"/>
          <w:szCs w:val="20"/>
        </w:rPr>
        <w:t>,</w:t>
      </w:r>
      <w:r w:rsidR="006D1665" w:rsidRPr="006D1665">
        <w:rPr>
          <w:rFonts w:ascii="Verdana" w:hAnsi="Verdana"/>
          <w:i/>
          <w:sz w:val="20"/>
          <w:szCs w:val="20"/>
        </w:rPr>
        <w:t xml:space="preserve"> conforme aplicável,</w:t>
      </w:r>
      <w:r w:rsidRPr="006D1665">
        <w:rPr>
          <w:rFonts w:ascii="Verdana" w:hAnsi="Verdana"/>
          <w:i/>
          <w:sz w:val="20"/>
          <w:szCs w:val="20"/>
        </w:rPr>
        <w:t xml:space="preserve"> de no mínimo, 5 (cinco) Dias Úteis da data do evento, promover a amortização extraordinária sobre o Valor Nominal Unitário ou saldo do Valor Nominal Unitário das Debêntures, mediante o pagamento de parcela a ser amortizado do Valor Nominal Unitário ou saldo do Valor Nominal Unitário das Debêntures, </w:t>
      </w:r>
      <w:r w:rsidR="006D1665" w:rsidRPr="006D1665">
        <w:rPr>
          <w:rFonts w:ascii="Verdana" w:hAnsi="Verdana"/>
          <w:i/>
          <w:sz w:val="20"/>
          <w:szCs w:val="20"/>
        </w:rPr>
        <w:t xml:space="preserve">de </w:t>
      </w:r>
      <w:r w:rsidR="001A05F1" w:rsidRPr="006D1665">
        <w:rPr>
          <w:rFonts w:ascii="Verdana" w:hAnsi="Verdana"/>
          <w:i/>
          <w:sz w:val="20"/>
          <w:szCs w:val="20"/>
        </w:rPr>
        <w:t>até</w:t>
      </w:r>
      <w:r w:rsidRPr="006D1665">
        <w:rPr>
          <w:rFonts w:ascii="Verdana" w:hAnsi="Verdana"/>
          <w:i/>
          <w:sz w:val="20"/>
          <w:szCs w:val="20"/>
        </w:rPr>
        <w:t xml:space="preserve"> </w:t>
      </w:r>
      <w:r w:rsidR="001A05F1" w:rsidRPr="006D1665">
        <w:rPr>
          <w:rFonts w:ascii="Verdana" w:hAnsi="Verdana"/>
          <w:i/>
          <w:sz w:val="20"/>
          <w:szCs w:val="20"/>
        </w:rPr>
        <w:t>100</w:t>
      </w:r>
      <w:r w:rsidRPr="006D1665">
        <w:rPr>
          <w:rFonts w:ascii="Verdana" w:hAnsi="Verdana"/>
          <w:i/>
          <w:sz w:val="20"/>
          <w:szCs w:val="20"/>
        </w:rPr>
        <w:t>% (</w:t>
      </w:r>
      <w:r w:rsidR="001A05F1" w:rsidRPr="006D1665">
        <w:rPr>
          <w:rFonts w:ascii="Verdana" w:hAnsi="Verdana"/>
          <w:i/>
          <w:sz w:val="20"/>
          <w:szCs w:val="20"/>
        </w:rPr>
        <w:t>cem</w:t>
      </w:r>
      <w:r w:rsidRPr="006D1665">
        <w:rPr>
          <w:rFonts w:ascii="Verdana" w:hAnsi="Verdana"/>
          <w:i/>
          <w:sz w:val="20"/>
          <w:szCs w:val="20"/>
        </w:rPr>
        <w:t xml:space="preserve"> por cento) do saldo do Valor Nominal Unitário das Debêntures, acrescida da Remuneração, calculada pro rata </w:t>
      </w:r>
      <w:proofErr w:type="spellStart"/>
      <w:r w:rsidRPr="006D1665">
        <w:rPr>
          <w:rFonts w:ascii="Verdana" w:hAnsi="Verdana"/>
          <w:i/>
          <w:sz w:val="20"/>
          <w:szCs w:val="20"/>
        </w:rPr>
        <w:t>temporis</w:t>
      </w:r>
      <w:proofErr w:type="spellEnd"/>
      <w:r w:rsidRPr="006D1665">
        <w:rPr>
          <w:rFonts w:ascii="Verdana" w:hAnsi="Verdana"/>
          <w:i/>
          <w:sz w:val="20"/>
          <w:szCs w:val="20"/>
        </w:rPr>
        <w:t>, desde a primeira Data de Integralização das Debêntures, ou desde a data de pagamento da Remuneração imediatamente anterior, conforme o caso, até a data do efetivo pagamento, sem qualquer prêmio ou penalidade (</w:t>
      </w:r>
      <w:r w:rsidRPr="0088789B">
        <w:rPr>
          <w:rFonts w:ascii="Verdana" w:hAnsi="Verdana"/>
          <w:i/>
          <w:sz w:val="20"/>
          <w:szCs w:val="20"/>
        </w:rPr>
        <w:t>observado que, caso a amortização extraordinária facultativa aconteça em qualquer data de pagamento da Remuneração, deverá ser desconsiderada a Remuneração devida até tal data).</w:t>
      </w:r>
      <w:bookmarkEnd w:id="0"/>
    </w:p>
    <w:p w14:paraId="346A80DB" w14:textId="77777777" w:rsidR="00EF6BFF" w:rsidRPr="0088789B" w:rsidRDefault="00EF6BFF" w:rsidP="00EF6BFF">
      <w:pPr>
        <w:pStyle w:val="PargrafodaLista"/>
        <w:spacing w:after="120" w:line="240" w:lineRule="auto"/>
        <w:ind w:left="435"/>
        <w:jc w:val="both"/>
        <w:rPr>
          <w:rFonts w:ascii="Verdana" w:hAnsi="Verdana"/>
          <w:i/>
          <w:sz w:val="20"/>
          <w:szCs w:val="20"/>
        </w:rPr>
      </w:pPr>
    </w:p>
    <w:p w14:paraId="0DC69A81" w14:textId="5E32DDF2" w:rsidR="00EF6BFF" w:rsidRPr="0088789B" w:rsidRDefault="00EF6BFF" w:rsidP="00EF6BFF">
      <w:pPr>
        <w:pStyle w:val="PargrafodaLista"/>
        <w:numPr>
          <w:ilvl w:val="2"/>
          <w:numId w:val="7"/>
        </w:numPr>
        <w:spacing w:after="120" w:line="240" w:lineRule="auto"/>
        <w:ind w:hanging="11"/>
        <w:jc w:val="both"/>
        <w:rPr>
          <w:rFonts w:ascii="Verdana" w:hAnsi="Verdana"/>
          <w:i/>
          <w:sz w:val="20"/>
          <w:szCs w:val="20"/>
        </w:rPr>
      </w:pPr>
      <w:r w:rsidRPr="0088789B">
        <w:rPr>
          <w:rFonts w:ascii="Verdana" w:hAnsi="Verdana"/>
          <w:i/>
          <w:sz w:val="20"/>
          <w:szCs w:val="20"/>
        </w:rPr>
        <w:t>Os valores pagos a título de amortização extraordinária facultativa do Valor Nominal Unitário nos termos da Cláusula 7.1</w:t>
      </w:r>
      <w:r w:rsidR="00366822" w:rsidRPr="0088789B">
        <w:rPr>
          <w:rFonts w:ascii="Verdana" w:hAnsi="Verdana"/>
          <w:i/>
          <w:sz w:val="20"/>
          <w:szCs w:val="20"/>
        </w:rPr>
        <w:t>9</w:t>
      </w:r>
      <w:r w:rsidRPr="0088789B">
        <w:rPr>
          <w:rFonts w:ascii="Verdana" w:hAnsi="Verdana"/>
          <w:i/>
          <w:sz w:val="20"/>
          <w:szCs w:val="20"/>
        </w:rPr>
        <w:t xml:space="preserve"> acima, serão sempre imputados de forma proporcional ao valor das parcelas vincendas de amortização do Valor Nominal Unitário constantes da Cláusula 7.1</w:t>
      </w:r>
      <w:r w:rsidR="00366822" w:rsidRPr="0088789B">
        <w:rPr>
          <w:rFonts w:ascii="Verdana" w:hAnsi="Verdana"/>
          <w:i/>
          <w:sz w:val="20"/>
          <w:szCs w:val="20"/>
        </w:rPr>
        <w:t>3</w:t>
      </w:r>
      <w:r w:rsidRPr="0088789B">
        <w:rPr>
          <w:rFonts w:ascii="Verdana" w:hAnsi="Verdana"/>
          <w:i/>
          <w:sz w:val="20"/>
          <w:szCs w:val="20"/>
        </w:rPr>
        <w:t xml:space="preserve"> acima</w:t>
      </w:r>
      <w:r w:rsidRPr="0088789B">
        <w:rPr>
          <w:rFonts w:ascii="Verdana" w:hAnsi="Verdana"/>
          <w:i/>
          <w:sz w:val="20"/>
          <w:szCs w:val="20"/>
        </w:rPr>
        <w:fldChar w:fldCharType="begin"/>
      </w:r>
      <w:r w:rsidRPr="0088789B">
        <w:rPr>
          <w:rFonts w:ascii="Verdana" w:hAnsi="Verdana"/>
          <w:i/>
          <w:sz w:val="20"/>
          <w:szCs w:val="20"/>
        </w:rPr>
        <w:instrText xml:space="preserve"> REF _Ref507069533 \n \p \h  \* MERGEFORMAT </w:instrText>
      </w:r>
      <w:r w:rsidRPr="0088789B">
        <w:rPr>
          <w:rFonts w:ascii="Verdana" w:hAnsi="Verdana"/>
          <w:i/>
          <w:sz w:val="20"/>
          <w:szCs w:val="20"/>
        </w:rPr>
      </w:r>
      <w:r w:rsidR="001350C7">
        <w:rPr>
          <w:rFonts w:ascii="Verdana" w:hAnsi="Verdana"/>
          <w:i/>
          <w:sz w:val="20"/>
          <w:szCs w:val="20"/>
        </w:rPr>
        <w:fldChar w:fldCharType="separate"/>
      </w:r>
      <w:r w:rsidRPr="0088789B">
        <w:rPr>
          <w:rFonts w:ascii="Verdana" w:hAnsi="Verdana"/>
          <w:i/>
          <w:sz w:val="20"/>
          <w:szCs w:val="20"/>
        </w:rPr>
        <w:fldChar w:fldCharType="end"/>
      </w:r>
      <w:r w:rsidRPr="0088789B">
        <w:rPr>
          <w:rFonts w:ascii="Verdana" w:hAnsi="Verdana"/>
          <w:i/>
          <w:sz w:val="20"/>
          <w:szCs w:val="20"/>
        </w:rPr>
        <w:t>, de forma automática e independentemente de qualquer formalidade adicional (inclusive independentemente de qualquer aditamento a esta Escritura de Emissão), mantendo-se inalteradas as datas de pagamento de amortização do Valor Nominal Unitário</w:t>
      </w:r>
      <w:r w:rsidRPr="0088789B">
        <w:rPr>
          <w:rFonts w:ascii="Verdana" w:hAnsi="Verdana"/>
          <w:bCs/>
          <w:i/>
          <w:sz w:val="20"/>
          <w:szCs w:val="20"/>
        </w:rPr>
        <w:t>.</w:t>
      </w:r>
    </w:p>
    <w:p w14:paraId="101D0FCB" w14:textId="77777777" w:rsidR="00EF6BFF" w:rsidRPr="0088789B" w:rsidRDefault="00EF6BFF" w:rsidP="00EF6BFF">
      <w:pPr>
        <w:pStyle w:val="PargrafodaLista"/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</w:p>
    <w:p w14:paraId="783F0D64" w14:textId="30709216" w:rsidR="00EF6BFF" w:rsidRPr="0088789B" w:rsidRDefault="00EF6BFF" w:rsidP="00EF6BFF">
      <w:pPr>
        <w:pStyle w:val="PargrafodaLista"/>
        <w:numPr>
          <w:ilvl w:val="2"/>
          <w:numId w:val="7"/>
        </w:numPr>
        <w:spacing w:after="120" w:line="240" w:lineRule="auto"/>
        <w:ind w:hanging="11"/>
        <w:jc w:val="both"/>
        <w:rPr>
          <w:rFonts w:ascii="Verdana" w:hAnsi="Verdana"/>
          <w:i/>
          <w:sz w:val="20"/>
          <w:szCs w:val="20"/>
        </w:rPr>
      </w:pPr>
      <w:r w:rsidRPr="0088789B">
        <w:rPr>
          <w:rFonts w:ascii="Verdana" w:hAnsi="Verdana"/>
          <w:i/>
          <w:sz w:val="20"/>
          <w:szCs w:val="20"/>
        </w:rPr>
        <w:t>A amortização extraordinária facultativa ocorrerá, conforme o caso, de acordo com: (i) os procedimentos estabelecidos pela B3, para as Debêntures que estiverem custodiadas eletronicamente na B3; ou (</w:t>
      </w:r>
      <w:proofErr w:type="spellStart"/>
      <w:r w:rsidRPr="0088789B">
        <w:rPr>
          <w:rFonts w:ascii="Verdana" w:hAnsi="Verdana"/>
          <w:i/>
          <w:sz w:val="20"/>
          <w:szCs w:val="20"/>
        </w:rPr>
        <w:t>ii</w:t>
      </w:r>
      <w:proofErr w:type="spellEnd"/>
      <w:r w:rsidRPr="0088789B">
        <w:rPr>
          <w:rFonts w:ascii="Verdana" w:hAnsi="Verdana"/>
          <w:i/>
          <w:sz w:val="20"/>
          <w:szCs w:val="20"/>
        </w:rPr>
        <w:t>) os procedimentos adotados pelo Agente de Liquidação, para as Debêntures que não estiverem custodiadas eletronicamente na B3.”</w:t>
      </w:r>
    </w:p>
    <w:p w14:paraId="73DF3317" w14:textId="77777777" w:rsidR="00243890" w:rsidRPr="0088789B" w:rsidRDefault="00243890" w:rsidP="00EF6BFF">
      <w:pPr>
        <w:spacing w:after="0" w:line="240" w:lineRule="auto"/>
        <w:ind w:hanging="10"/>
        <w:jc w:val="both"/>
        <w:rPr>
          <w:rFonts w:ascii="Verdana" w:hAnsi="Verdana" w:cs="Times New Roman"/>
          <w:sz w:val="20"/>
          <w:szCs w:val="20"/>
        </w:rPr>
      </w:pPr>
    </w:p>
    <w:p w14:paraId="54B7F8A8" w14:textId="56C65265" w:rsidR="003F7ED2" w:rsidRPr="0088789B" w:rsidRDefault="00FD3855" w:rsidP="00EF6BFF">
      <w:pPr>
        <w:pStyle w:val="PargrafodaLista"/>
        <w:numPr>
          <w:ilvl w:val="0"/>
          <w:numId w:val="6"/>
        </w:numPr>
        <w:spacing w:after="0" w:line="240" w:lineRule="auto"/>
        <w:ind w:left="0" w:hanging="10"/>
        <w:jc w:val="both"/>
        <w:rPr>
          <w:rFonts w:ascii="Verdana" w:hAnsi="Verdana" w:cs="Times New Roman"/>
          <w:sz w:val="20"/>
          <w:szCs w:val="20"/>
        </w:rPr>
      </w:pPr>
      <w:bookmarkStart w:id="1" w:name="_Hlk94816662"/>
      <w:bookmarkStart w:id="2" w:name="_Hlk94174205"/>
      <w:r w:rsidRPr="0088789B">
        <w:rPr>
          <w:rFonts w:ascii="Verdana" w:hAnsi="Verdana" w:cs="Times New Roman"/>
          <w:sz w:val="20"/>
          <w:szCs w:val="20"/>
        </w:rPr>
        <w:t xml:space="preserve">A autorização </w:t>
      </w:r>
      <w:r w:rsidR="004B18ED" w:rsidRPr="0088789B">
        <w:rPr>
          <w:rFonts w:ascii="Verdana" w:hAnsi="Verdana" w:cs="Times New Roman"/>
          <w:sz w:val="20"/>
          <w:szCs w:val="20"/>
        </w:rPr>
        <w:t>expressa</w:t>
      </w:r>
      <w:r w:rsidRPr="0088789B">
        <w:rPr>
          <w:rFonts w:ascii="Verdana" w:hAnsi="Verdana" w:cs="Times New Roman"/>
          <w:sz w:val="20"/>
          <w:szCs w:val="20"/>
        </w:rPr>
        <w:t xml:space="preserve"> para que</w:t>
      </w:r>
      <w:r w:rsidR="004B18ED" w:rsidRPr="0088789B">
        <w:rPr>
          <w:rFonts w:ascii="Verdana" w:hAnsi="Verdana" w:cs="Times New Roman"/>
          <w:sz w:val="20"/>
          <w:szCs w:val="20"/>
        </w:rPr>
        <w:t xml:space="preserve"> </w:t>
      </w:r>
      <w:bookmarkEnd w:id="1"/>
      <w:r w:rsidR="004B18ED" w:rsidRPr="0088789B">
        <w:rPr>
          <w:rFonts w:ascii="Verdana" w:hAnsi="Verdana" w:cs="Times New Roman"/>
          <w:sz w:val="20"/>
          <w:szCs w:val="20"/>
        </w:rPr>
        <w:t>o Agente Fiduciário e a Companhia</w:t>
      </w:r>
      <w:r w:rsidR="00670D53" w:rsidRPr="0088789B">
        <w:rPr>
          <w:rFonts w:ascii="Verdana" w:hAnsi="Verdana" w:cs="Times New Roman"/>
          <w:sz w:val="20"/>
          <w:szCs w:val="20"/>
        </w:rPr>
        <w:t>, conforme o caso, pratiquem todos os atos e tomem todas as providências necessárias para cumprir com o deliberado nessa assembleia.</w:t>
      </w:r>
      <w:bookmarkEnd w:id="2"/>
    </w:p>
    <w:p w14:paraId="1153DFEF" w14:textId="6F726D8A" w:rsidR="00366822" w:rsidRPr="0088789B" w:rsidRDefault="00366822" w:rsidP="0036682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529D806" w14:textId="47AA8414" w:rsidR="00366822" w:rsidRPr="0088789B" w:rsidRDefault="00366822" w:rsidP="0036682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>7.1. Em virtude das deliberações acima e independentemente de quaisquer outras disposições indicadas na Escritura de Emissão Privada, o Debenturista, neste ato, exime o Agente Fiduciário de qualquer responsabilidade relacionada as matérias aprovadas, exceto as obrigações do Agente Fiduciário dispostas na Escritura de Emissão Privada.</w:t>
      </w:r>
    </w:p>
    <w:p w14:paraId="715148BA" w14:textId="77777777" w:rsidR="00366822" w:rsidRPr="0088789B" w:rsidRDefault="00366822" w:rsidP="0036682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65FECA6" w14:textId="72C642D6" w:rsidR="00366822" w:rsidRPr="0088789B" w:rsidRDefault="00366822" w:rsidP="0036682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>7.2. Todo e qualquer termo que não fora definido na presente ata, terá o mesmo significado que lhe fora atribuído na Escritura de Emissão Privada.</w:t>
      </w:r>
    </w:p>
    <w:p w14:paraId="3906777E" w14:textId="77777777" w:rsidR="00366822" w:rsidRPr="0088789B" w:rsidRDefault="00366822" w:rsidP="0036682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822F8C9" w14:textId="5FE60983" w:rsidR="00366822" w:rsidRPr="0088789B" w:rsidRDefault="00366822" w:rsidP="0036682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>7.3. O Agente Fiduciário informa ao Debenturista que as deliberações da presente assembleia podem ensejar riscos não mensuráveis no presente momento às Debêntures, incluindo, mas não se limitando a impossibilidade de pagamento das parcelas devidas. Consigna, ainda, que não é responsável por verificar se o gestor ou procurador do Debenturista, ao tomar a decisão no âmbito desta assembleia, age de acordo com as instruções de seu investidor final, observando seu regulamento ou contrato de gestão, conforme aplicável.</w:t>
      </w:r>
    </w:p>
    <w:p w14:paraId="00AF12F6" w14:textId="77777777" w:rsidR="00366822" w:rsidRPr="0088789B" w:rsidRDefault="00366822" w:rsidP="0036682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77715F9" w14:textId="77777777" w:rsidR="00366822" w:rsidRPr="0088789B" w:rsidRDefault="00366822" w:rsidP="0036682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>7.4.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ICP-Brasil, conforme o disposto no art. 10 da Medida Provisória nº 2.220-2.</w:t>
      </w:r>
    </w:p>
    <w:p w14:paraId="68E0C056" w14:textId="77777777" w:rsidR="00F365A1" w:rsidRPr="0088789B" w:rsidRDefault="00F365A1" w:rsidP="000430C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13F8A7F" w14:textId="77777777" w:rsidR="008B4897" w:rsidRPr="0088789B" w:rsidRDefault="0007005E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>8. ENCERRAMENTO:</w:t>
      </w:r>
      <w:r w:rsidRPr="0088789B">
        <w:rPr>
          <w:rFonts w:ascii="Verdana" w:hAnsi="Verdana" w:cs="Times New Roman"/>
          <w:sz w:val="20"/>
          <w:szCs w:val="20"/>
        </w:rPr>
        <w:t xml:space="preserve"> Oferecida a palavra a quem dela quisesse fazer uso, não houve qualquer manifestação. Assim sendo, nada mais havendo a ser tratado, foi encerrada</w:t>
      </w:r>
      <w:r w:rsidR="00FD528B" w:rsidRPr="0088789B">
        <w:rPr>
          <w:rFonts w:ascii="Verdana" w:hAnsi="Verdana" w:cs="Times New Roman"/>
          <w:sz w:val="20"/>
          <w:szCs w:val="20"/>
        </w:rPr>
        <w:t xml:space="preserve"> a sessão e lavrada a presente a</w:t>
      </w:r>
      <w:r w:rsidRPr="0088789B">
        <w:rPr>
          <w:rFonts w:ascii="Verdana" w:hAnsi="Verdana" w:cs="Times New Roman"/>
          <w:sz w:val="20"/>
          <w:szCs w:val="20"/>
        </w:rPr>
        <w:t>ta, que lida e achada conforme, foi assinada pelos presentes.</w:t>
      </w:r>
    </w:p>
    <w:p w14:paraId="4DB0E927" w14:textId="77777777" w:rsidR="004F1013" w:rsidRPr="0088789B" w:rsidRDefault="004F1013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6ED4DCB" w14:textId="77777777" w:rsidR="002B49AB" w:rsidRPr="0088789B" w:rsidRDefault="002B49AB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28CE294F" w14:textId="33F03300" w:rsidR="004B36FF" w:rsidRPr="0088789B" w:rsidRDefault="00E21FB3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/>
          <w:sz w:val="20"/>
          <w:szCs w:val="20"/>
        </w:rPr>
        <w:t>[</w:t>
      </w:r>
      <w:r w:rsidR="000E7C3C" w:rsidRPr="0088789B">
        <w:rPr>
          <w:rFonts w:ascii="Verdana" w:hAnsi="Verdana"/>
          <w:sz w:val="20"/>
          <w:szCs w:val="20"/>
        </w:rPr>
        <w:t>2</w:t>
      </w:r>
      <w:r w:rsidRPr="0088789B">
        <w:rPr>
          <w:rFonts w:ascii="Verdana" w:hAnsi="Verdana"/>
          <w:sz w:val="20"/>
          <w:szCs w:val="20"/>
        </w:rPr>
        <w:t>0]</w:t>
      </w:r>
      <w:r w:rsidR="000E7C3C" w:rsidRPr="0088789B">
        <w:rPr>
          <w:rFonts w:ascii="Verdana" w:hAnsi="Verdana"/>
          <w:sz w:val="20"/>
          <w:szCs w:val="20"/>
        </w:rPr>
        <w:t xml:space="preserve"> de </w:t>
      </w:r>
      <w:r w:rsidRPr="0088789B">
        <w:rPr>
          <w:rFonts w:ascii="Verdana" w:hAnsi="Verdana"/>
          <w:sz w:val="20"/>
          <w:szCs w:val="20"/>
        </w:rPr>
        <w:t>dezembro</w:t>
      </w:r>
      <w:r w:rsidR="000E7C3C" w:rsidRPr="0088789B">
        <w:rPr>
          <w:rFonts w:ascii="Verdana" w:hAnsi="Verdana"/>
          <w:sz w:val="20"/>
          <w:szCs w:val="20"/>
        </w:rPr>
        <w:t xml:space="preserve"> de 2022</w:t>
      </w:r>
      <w:r w:rsidR="00E87DDF" w:rsidRPr="0088789B">
        <w:rPr>
          <w:rFonts w:ascii="Verdana" w:hAnsi="Verdana" w:cs="Times New Roman"/>
          <w:sz w:val="20"/>
          <w:szCs w:val="20"/>
        </w:rPr>
        <w:t>.</w:t>
      </w:r>
    </w:p>
    <w:p w14:paraId="081376E5" w14:textId="77777777" w:rsidR="004B36FF" w:rsidRPr="0088789B" w:rsidRDefault="004B36FF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DC4F5B2" w14:textId="5DF0D254" w:rsidR="00F365A1" w:rsidRPr="0088789B" w:rsidRDefault="004B36FF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>(</w:t>
      </w:r>
      <w:r w:rsidRPr="0088789B">
        <w:rPr>
          <w:rFonts w:ascii="Verdana" w:hAnsi="Verdana" w:cs="Times New Roman"/>
          <w:i/>
          <w:iCs/>
          <w:sz w:val="20"/>
          <w:szCs w:val="20"/>
        </w:rPr>
        <w:t>restante da página intencionalmente em branco</w:t>
      </w:r>
      <w:r w:rsidRPr="0088789B">
        <w:rPr>
          <w:rFonts w:ascii="Verdana" w:hAnsi="Verdana" w:cs="Times New Roman"/>
          <w:sz w:val="20"/>
          <w:szCs w:val="20"/>
        </w:rPr>
        <w:t>)</w:t>
      </w:r>
      <w:r w:rsidR="00EE2DCF" w:rsidRPr="0088789B">
        <w:rPr>
          <w:rFonts w:ascii="Verdana" w:hAnsi="Verdana" w:cs="Times New Roman"/>
          <w:sz w:val="20"/>
          <w:szCs w:val="20"/>
        </w:rPr>
        <w:br w:type="page"/>
      </w:r>
      <w:r w:rsidR="00F365A1" w:rsidRPr="0088789B">
        <w:rPr>
          <w:rFonts w:ascii="Verdana" w:hAnsi="Verdana" w:cs="Times New Roman"/>
          <w:sz w:val="20"/>
          <w:szCs w:val="20"/>
        </w:rPr>
        <w:lastRenderedPageBreak/>
        <w:t>[Página de assinaturas da Ata de Assembleia Geral dos Titulares d</w:t>
      </w:r>
      <w:r w:rsidR="00391012" w:rsidRPr="0088789B">
        <w:rPr>
          <w:rFonts w:ascii="Verdana" w:hAnsi="Verdana" w:cs="Times New Roman"/>
          <w:sz w:val="20"/>
          <w:szCs w:val="20"/>
        </w:rPr>
        <w:t>as</w:t>
      </w:r>
      <w:r w:rsidR="00F365A1" w:rsidRPr="0088789B">
        <w:rPr>
          <w:rFonts w:ascii="Verdana" w:hAnsi="Verdana" w:cs="Times New Roman"/>
          <w:sz w:val="20"/>
          <w:szCs w:val="20"/>
        </w:rPr>
        <w:t xml:space="preserve"> </w:t>
      </w:r>
      <w:r w:rsidR="00391012" w:rsidRPr="0088789B">
        <w:rPr>
          <w:rFonts w:ascii="Verdana" w:hAnsi="Verdana" w:cs="Times New Roman"/>
          <w:sz w:val="20"/>
          <w:szCs w:val="20"/>
        </w:rPr>
        <w:t>Debêntures</w:t>
      </w:r>
      <w:r w:rsidR="00391012" w:rsidRPr="0088789B">
        <w:rPr>
          <w:rFonts w:ascii="Verdana" w:hAnsi="Verdana"/>
          <w:color w:val="000000"/>
          <w:sz w:val="20"/>
          <w:szCs w:val="20"/>
        </w:rPr>
        <w:t xml:space="preserve"> </w:t>
      </w:r>
      <w:r w:rsidR="008F6736" w:rsidRPr="0088789B">
        <w:rPr>
          <w:rFonts w:ascii="Verdana" w:hAnsi="Verdana" w:cs="Times New Roman"/>
          <w:bCs/>
          <w:color w:val="000000"/>
          <w:sz w:val="20"/>
          <w:szCs w:val="20"/>
        </w:rPr>
        <w:t>da 2</w:t>
      </w:r>
      <w:r w:rsidR="008F6736" w:rsidRPr="0088789B">
        <w:rPr>
          <w:rFonts w:ascii="Verdana" w:hAnsi="Verdana" w:cs="Times New Roman"/>
          <w:bCs/>
          <w:sz w:val="20"/>
          <w:szCs w:val="20"/>
        </w:rPr>
        <w:t xml:space="preserve">ª Emissão de Debêntures, </w:t>
      </w:r>
      <w:r w:rsidR="00391012" w:rsidRPr="0088789B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Em </w:t>
      </w:r>
      <w:r w:rsidR="008F6736" w:rsidRPr="0088789B">
        <w:rPr>
          <w:rFonts w:ascii="Verdana" w:hAnsi="Verdana" w:cs="Times New Roman"/>
          <w:bCs/>
          <w:sz w:val="20"/>
          <w:szCs w:val="20"/>
        </w:rPr>
        <w:t>Série Única</w:t>
      </w:r>
      <w:r w:rsidR="00391012" w:rsidRPr="0088789B">
        <w:rPr>
          <w:rFonts w:ascii="Verdana" w:hAnsi="Verdana" w:cs="Times New Roman"/>
          <w:bCs/>
          <w:sz w:val="20"/>
          <w:szCs w:val="20"/>
        </w:rPr>
        <w:t xml:space="preserve"> da Acqio Holding Participações S.A.</w:t>
      </w:r>
      <w:r w:rsidR="00F365A1" w:rsidRPr="0088789B">
        <w:rPr>
          <w:rFonts w:ascii="Verdana" w:hAnsi="Verdana" w:cs="Times New Roman"/>
          <w:sz w:val="20"/>
          <w:szCs w:val="20"/>
        </w:rPr>
        <w:t>]</w:t>
      </w:r>
    </w:p>
    <w:p w14:paraId="3812AAF2" w14:textId="77777777" w:rsidR="00910472" w:rsidRPr="0088789B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34D45D" w14:textId="77777777" w:rsidR="00910472" w:rsidRPr="0088789B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C3D471" w14:textId="77777777" w:rsidR="00910472" w:rsidRPr="0088789B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B9D907" w14:textId="77777777" w:rsidR="00910472" w:rsidRPr="0088789B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C7C38C" w14:textId="77777777" w:rsidR="00910472" w:rsidRPr="0088789B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A5C22E" w14:textId="77777777" w:rsidR="00910472" w:rsidRPr="0088789B" w:rsidRDefault="00910472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E87DDF" w:rsidRPr="0088789B" w14:paraId="0D85BC6D" w14:textId="77777777" w:rsidTr="0063456C">
        <w:tc>
          <w:tcPr>
            <w:tcW w:w="4605" w:type="dxa"/>
          </w:tcPr>
          <w:p w14:paraId="4F171CE7" w14:textId="77777777" w:rsidR="00E87DDF" w:rsidRPr="0088789B" w:rsidRDefault="00E87DDF" w:rsidP="004F101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789B"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14:paraId="17DF6447" w14:textId="7016C75D" w:rsidR="00E21FB3" w:rsidRPr="0088789B" w:rsidRDefault="00E21FB3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789B">
              <w:rPr>
                <w:rFonts w:ascii="Verdana" w:hAnsi="Verdana" w:cs="Times New Roman"/>
                <w:sz w:val="20"/>
                <w:szCs w:val="20"/>
              </w:rPr>
              <w:t>Gustavo Danzi de Andrade</w:t>
            </w:r>
          </w:p>
          <w:p w14:paraId="12847665" w14:textId="5ADAD30C" w:rsidR="00E87DDF" w:rsidRPr="0088789B" w:rsidRDefault="002E4472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789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E87DDF" w:rsidRPr="0088789B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88789B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789B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8FF5769" w14:textId="77777777" w:rsidR="00B15F7F" w:rsidRPr="0088789B" w:rsidRDefault="00B15F7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789B">
              <w:rPr>
                <w:rFonts w:ascii="Verdana" w:hAnsi="Verdana" w:cs="Times New Roman"/>
                <w:sz w:val="20"/>
                <w:szCs w:val="20"/>
              </w:rPr>
              <w:t>Felipe Maroni Picchetto</w:t>
            </w:r>
          </w:p>
          <w:p w14:paraId="7D6E5A28" w14:textId="0721DBF1" w:rsidR="00E87DDF" w:rsidRPr="0088789B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789B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E9A59DE" w14:textId="77777777" w:rsidR="00E87DDF" w:rsidRPr="0088789B" w:rsidRDefault="00E87DDF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276834C" w14:textId="77777777" w:rsidR="004F1013" w:rsidRPr="0088789B" w:rsidRDefault="004F1013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97D8CB" w14:textId="77777777" w:rsidR="00FD528B" w:rsidRPr="0088789B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4C9F3" w14:textId="77777777" w:rsidR="00FD528B" w:rsidRPr="0088789B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0A43FD4" w14:textId="77777777" w:rsidR="00FD528B" w:rsidRPr="0088789B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831659C" w14:textId="77777777" w:rsidR="00391012" w:rsidRPr="0088789B" w:rsidRDefault="00391012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8789B">
        <w:rPr>
          <w:rFonts w:ascii="Verdana" w:hAnsi="Verdana" w:cs="Times New Roman"/>
          <w:b/>
          <w:bCs/>
          <w:sz w:val="20"/>
          <w:szCs w:val="20"/>
        </w:rPr>
        <w:t>ACQIO HOLDING PARTICIPAÇÕES S.A.</w:t>
      </w:r>
      <w:r w:rsidRPr="0088789B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A13D0FC" w14:textId="77777777" w:rsidR="00FD528B" w:rsidRPr="0088789B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>(EMISSORA)</w:t>
      </w:r>
    </w:p>
    <w:p w14:paraId="1545400C" w14:textId="0DBC6F25" w:rsidR="00FD528B" w:rsidRPr="0088789B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1008422" w14:textId="5A44C1C7" w:rsidR="008F6736" w:rsidRPr="0088789B" w:rsidRDefault="008F6736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4B90F303" w14:textId="77777777" w:rsidR="008F6736" w:rsidRPr="0088789B" w:rsidRDefault="008F6736" w:rsidP="000430C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C79428" w14:textId="77777777" w:rsidR="008F6736" w:rsidRPr="0088789B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D8B82C0" w14:textId="34BDF7BF" w:rsidR="008F6736" w:rsidRPr="0088789B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8789B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3C23A66A" w14:textId="3E3CC525" w:rsidR="008F6736" w:rsidRPr="0088789B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>(AGENTE FIDUCIÁRIO)</w:t>
      </w:r>
    </w:p>
    <w:p w14:paraId="1ACAE4EF" w14:textId="77777777" w:rsidR="008F6736" w:rsidRPr="0088789B" w:rsidRDefault="008F6736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B6C070" w14:textId="77777777" w:rsidR="00FD528B" w:rsidRPr="0088789B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A014562" w14:textId="77777777" w:rsidR="00FD528B" w:rsidRPr="0088789B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DCF7907" w14:textId="77777777" w:rsidR="00EE2DCF" w:rsidRPr="0088789B" w:rsidRDefault="00EE2DCF">
      <w:pPr>
        <w:rPr>
          <w:rFonts w:ascii="Verdana" w:hAnsi="Verdana" w:cs="Times New Roman"/>
          <w:b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br w:type="page"/>
      </w:r>
    </w:p>
    <w:p w14:paraId="6B62AC66" w14:textId="3367631A" w:rsidR="00BC7C25" w:rsidRPr="0088789B" w:rsidRDefault="00910472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lastRenderedPageBreak/>
        <w:t>[</w:t>
      </w:r>
      <w:r w:rsidR="00451A0B" w:rsidRPr="0088789B">
        <w:rPr>
          <w:rFonts w:ascii="Verdana" w:hAnsi="Verdana" w:cs="Times New Roman"/>
          <w:sz w:val="20"/>
          <w:szCs w:val="20"/>
        </w:rPr>
        <w:t>Lista de Presença</w:t>
      </w:r>
      <w:r w:rsidRPr="0088789B">
        <w:rPr>
          <w:rFonts w:ascii="Verdana" w:hAnsi="Verdana" w:cs="Times New Roman"/>
          <w:sz w:val="20"/>
          <w:szCs w:val="20"/>
        </w:rPr>
        <w:t xml:space="preserve"> da Assembleia Geral dos Titulares </w:t>
      </w:r>
      <w:r w:rsidR="00391012" w:rsidRPr="0088789B">
        <w:rPr>
          <w:rFonts w:ascii="Verdana" w:hAnsi="Verdana" w:cs="Times New Roman"/>
          <w:sz w:val="20"/>
          <w:szCs w:val="20"/>
        </w:rPr>
        <w:t>das Debêntures</w:t>
      </w:r>
      <w:r w:rsidR="00391012" w:rsidRPr="0088789B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8F6736" w:rsidRPr="0088789B">
        <w:rPr>
          <w:rFonts w:ascii="Verdana" w:hAnsi="Verdana" w:cs="Times New Roman"/>
          <w:bCs/>
          <w:color w:val="000000"/>
          <w:sz w:val="20"/>
          <w:szCs w:val="20"/>
        </w:rPr>
        <w:t xml:space="preserve">da 2ª Emissão de Debêntures, </w:t>
      </w:r>
      <w:r w:rsidR="00391012" w:rsidRPr="0088789B">
        <w:rPr>
          <w:rFonts w:ascii="Verdana" w:hAnsi="Verdana" w:cs="Times New Roman"/>
          <w:bCs/>
          <w:sz w:val="20"/>
          <w:szCs w:val="20"/>
        </w:rPr>
        <w:t>Simples</w:t>
      </w:r>
      <w:r w:rsidR="00DF5A5B" w:rsidRPr="0088789B">
        <w:rPr>
          <w:rFonts w:ascii="Verdana" w:hAnsi="Verdana" w:cs="Times New Roman"/>
          <w:bCs/>
          <w:sz w:val="20"/>
          <w:szCs w:val="20"/>
        </w:rPr>
        <w:t xml:space="preserve">, Não Conversíveis em Ações, da Espécie com Garantia Real, em Série Única </w:t>
      </w:r>
      <w:proofErr w:type="gramStart"/>
      <w:r w:rsidR="00391012" w:rsidRPr="0088789B">
        <w:rPr>
          <w:rFonts w:ascii="Verdana" w:hAnsi="Verdana" w:cs="Times New Roman"/>
          <w:bCs/>
          <w:sz w:val="20"/>
          <w:szCs w:val="20"/>
        </w:rPr>
        <w:t>da  Acqio</w:t>
      </w:r>
      <w:proofErr w:type="gramEnd"/>
      <w:r w:rsidR="00391012" w:rsidRPr="0088789B">
        <w:rPr>
          <w:rFonts w:ascii="Verdana" w:hAnsi="Verdana" w:cs="Times New Roman"/>
          <w:bCs/>
          <w:sz w:val="20"/>
          <w:szCs w:val="20"/>
        </w:rPr>
        <w:t xml:space="preserve"> Holding Participações S.A.</w:t>
      </w:r>
      <w:r w:rsidR="00BC7C25" w:rsidRPr="0088789B">
        <w:rPr>
          <w:rFonts w:ascii="Verdana" w:hAnsi="Verdana" w:cs="Times New Roman"/>
          <w:sz w:val="20"/>
          <w:szCs w:val="20"/>
        </w:rPr>
        <w:t>]</w:t>
      </w:r>
    </w:p>
    <w:p w14:paraId="437CC15C" w14:textId="77777777" w:rsidR="00910472" w:rsidRPr="0088789B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12CD73" w14:textId="77777777" w:rsidR="00910472" w:rsidRPr="0088789B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608541" w14:textId="77777777" w:rsidR="00910472" w:rsidRPr="0088789B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1E4C53D" w14:textId="77777777" w:rsidR="00910472" w:rsidRPr="0088789B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06F789A" w14:textId="77777777" w:rsidR="00910472" w:rsidRPr="0088789B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7259B6" w14:textId="77777777" w:rsidR="00910472" w:rsidRPr="0088789B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71783E3" w14:textId="77777777" w:rsidR="00B15F7F" w:rsidRPr="0088789B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C2B76EB" w14:textId="77777777" w:rsidR="00B15F7F" w:rsidRPr="0088789B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>Acquirer Fundo de Investimento Multimercado Crédito Privado</w:t>
      </w:r>
    </w:p>
    <w:p w14:paraId="7A7DD043" w14:textId="77777777" w:rsidR="00B15F7F" w:rsidRPr="0088789B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>(DEBENTURISTA)</w:t>
      </w:r>
    </w:p>
    <w:p w14:paraId="47AB91B3" w14:textId="77777777" w:rsidR="00B15F7F" w:rsidRPr="0088789B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016781" w14:textId="77777777" w:rsidR="00B15F7F" w:rsidRPr="0088789B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CEC93C8" w14:textId="77777777" w:rsidR="00B15F7F" w:rsidRPr="0088789B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AEE4A48" w14:textId="77777777" w:rsidR="00B15F7F" w:rsidRPr="0088789B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2A471EA" w14:textId="77777777" w:rsidR="00B15F7F" w:rsidRPr="0088789B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>Fundo de Investimento em Direitos Creditórios XPCE IV</w:t>
      </w:r>
    </w:p>
    <w:p w14:paraId="39B2FBF8" w14:textId="77777777" w:rsidR="00B15F7F" w:rsidRPr="0088789B" w:rsidRDefault="00B15F7F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b/>
          <w:sz w:val="20"/>
          <w:szCs w:val="20"/>
        </w:rPr>
        <w:t>(DEBENTURISTA)</w:t>
      </w:r>
    </w:p>
    <w:p w14:paraId="6C2F2A86" w14:textId="22207E27" w:rsidR="002E4472" w:rsidRPr="0088789B" w:rsidRDefault="00F21B62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ab/>
      </w:r>
    </w:p>
    <w:sectPr w:rsidR="002E4472" w:rsidRPr="0088789B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D79D" w14:textId="77777777" w:rsidR="008A26BD" w:rsidRDefault="008A26BD" w:rsidP="004C1824">
      <w:pPr>
        <w:spacing w:after="0" w:line="240" w:lineRule="auto"/>
      </w:pPr>
      <w:r>
        <w:separator/>
      </w:r>
    </w:p>
  </w:endnote>
  <w:endnote w:type="continuationSeparator" w:id="0">
    <w:p w14:paraId="108F0ED5" w14:textId="77777777" w:rsidR="008A26BD" w:rsidRDefault="008A26BD" w:rsidP="004C1824">
      <w:pPr>
        <w:spacing w:after="0" w:line="240" w:lineRule="auto"/>
      </w:pPr>
      <w:r>
        <w:continuationSeparator/>
      </w:r>
    </w:p>
  </w:endnote>
  <w:endnote w:type="continuationNotice" w:id="1">
    <w:p w14:paraId="315EFE06" w14:textId="77777777" w:rsidR="008A26BD" w:rsidRDefault="008A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BA47" w14:textId="77777777" w:rsidR="00FD3855" w:rsidRDefault="00FD38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1299" w14:textId="77777777" w:rsidR="00FD3855" w:rsidRDefault="00FD38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E618" w14:textId="77777777" w:rsidR="008A26BD" w:rsidRDefault="008A26BD" w:rsidP="004C1824">
      <w:pPr>
        <w:spacing w:after="0" w:line="240" w:lineRule="auto"/>
      </w:pPr>
      <w:r>
        <w:separator/>
      </w:r>
    </w:p>
  </w:footnote>
  <w:footnote w:type="continuationSeparator" w:id="0">
    <w:p w14:paraId="46C57ED8" w14:textId="77777777" w:rsidR="008A26BD" w:rsidRDefault="008A26BD" w:rsidP="004C1824">
      <w:pPr>
        <w:spacing w:after="0" w:line="240" w:lineRule="auto"/>
      </w:pPr>
      <w:r>
        <w:continuationSeparator/>
      </w:r>
    </w:p>
  </w:footnote>
  <w:footnote w:type="continuationNotice" w:id="1">
    <w:p w14:paraId="6511CD4B" w14:textId="77777777" w:rsidR="008A26BD" w:rsidRDefault="008A2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00E" w14:textId="77777777" w:rsidR="00FD3855" w:rsidRDefault="00FD38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8A9" w14:textId="77777777" w:rsidR="00FD3855" w:rsidRDefault="00FD3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420497D"/>
    <w:multiLevelType w:val="multilevel"/>
    <w:tmpl w:val="1C3A213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i/>
      </w:rPr>
    </w:lvl>
    <w:lvl w:ilvl="1">
      <w:start w:val="19"/>
      <w:numFmt w:val="decimal"/>
      <w:lvlText w:val="%1.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214465104">
    <w:abstractNumId w:val="5"/>
  </w:num>
  <w:num w:numId="2" w16cid:durableId="81950062">
    <w:abstractNumId w:val="0"/>
  </w:num>
  <w:num w:numId="3" w16cid:durableId="1121730512">
    <w:abstractNumId w:val="3"/>
  </w:num>
  <w:num w:numId="4" w16cid:durableId="1784883252">
    <w:abstractNumId w:val="6"/>
  </w:num>
  <w:num w:numId="5" w16cid:durableId="1619483167">
    <w:abstractNumId w:val="4"/>
  </w:num>
  <w:num w:numId="6" w16cid:durableId="24406323">
    <w:abstractNumId w:val="2"/>
  </w:num>
  <w:num w:numId="7" w16cid:durableId="26692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4369"/>
    <w:rsid w:val="000430CF"/>
    <w:rsid w:val="000623DD"/>
    <w:rsid w:val="0007005E"/>
    <w:rsid w:val="000D2794"/>
    <w:rsid w:val="000E26EB"/>
    <w:rsid w:val="000E3E47"/>
    <w:rsid w:val="000E7C3C"/>
    <w:rsid w:val="001350C7"/>
    <w:rsid w:val="001509D4"/>
    <w:rsid w:val="0015511F"/>
    <w:rsid w:val="00156AF7"/>
    <w:rsid w:val="001600E5"/>
    <w:rsid w:val="00173BED"/>
    <w:rsid w:val="00174975"/>
    <w:rsid w:val="001848AB"/>
    <w:rsid w:val="001856F8"/>
    <w:rsid w:val="00193C0C"/>
    <w:rsid w:val="001A05F1"/>
    <w:rsid w:val="001A40EA"/>
    <w:rsid w:val="001A5FCC"/>
    <w:rsid w:val="001B10A1"/>
    <w:rsid w:val="001E0F95"/>
    <w:rsid w:val="00215932"/>
    <w:rsid w:val="00217F19"/>
    <w:rsid w:val="00237580"/>
    <w:rsid w:val="00241B7A"/>
    <w:rsid w:val="00243890"/>
    <w:rsid w:val="00293820"/>
    <w:rsid w:val="002A3240"/>
    <w:rsid w:val="002A40D2"/>
    <w:rsid w:val="002A5250"/>
    <w:rsid w:val="002B49AB"/>
    <w:rsid w:val="002D1158"/>
    <w:rsid w:val="002E4472"/>
    <w:rsid w:val="0032713D"/>
    <w:rsid w:val="00366822"/>
    <w:rsid w:val="00391012"/>
    <w:rsid w:val="003B4A0C"/>
    <w:rsid w:val="003D0904"/>
    <w:rsid w:val="003E207F"/>
    <w:rsid w:val="003F7ED2"/>
    <w:rsid w:val="0040055E"/>
    <w:rsid w:val="00416FDC"/>
    <w:rsid w:val="00433E89"/>
    <w:rsid w:val="00451A0B"/>
    <w:rsid w:val="004552EB"/>
    <w:rsid w:val="00472BBD"/>
    <w:rsid w:val="0048245C"/>
    <w:rsid w:val="00485E1E"/>
    <w:rsid w:val="004A0760"/>
    <w:rsid w:val="004B1427"/>
    <w:rsid w:val="004B18ED"/>
    <w:rsid w:val="004B36FF"/>
    <w:rsid w:val="004C1824"/>
    <w:rsid w:val="004C6A53"/>
    <w:rsid w:val="004F1013"/>
    <w:rsid w:val="004F4597"/>
    <w:rsid w:val="005140E1"/>
    <w:rsid w:val="00520E5C"/>
    <w:rsid w:val="00523E66"/>
    <w:rsid w:val="00525980"/>
    <w:rsid w:val="005575D6"/>
    <w:rsid w:val="00567E4F"/>
    <w:rsid w:val="00572E4A"/>
    <w:rsid w:val="005D2949"/>
    <w:rsid w:val="005E0E56"/>
    <w:rsid w:val="005E6B2C"/>
    <w:rsid w:val="005F168F"/>
    <w:rsid w:val="00601686"/>
    <w:rsid w:val="0063456C"/>
    <w:rsid w:val="00643455"/>
    <w:rsid w:val="006536BE"/>
    <w:rsid w:val="00670738"/>
    <w:rsid w:val="00670D53"/>
    <w:rsid w:val="00686B33"/>
    <w:rsid w:val="006D0247"/>
    <w:rsid w:val="006D1665"/>
    <w:rsid w:val="006E4AA6"/>
    <w:rsid w:val="006F2074"/>
    <w:rsid w:val="006F4A82"/>
    <w:rsid w:val="007102E8"/>
    <w:rsid w:val="0073743B"/>
    <w:rsid w:val="00743ACE"/>
    <w:rsid w:val="00744E5D"/>
    <w:rsid w:val="00767350"/>
    <w:rsid w:val="0077042D"/>
    <w:rsid w:val="00774F95"/>
    <w:rsid w:val="007822B3"/>
    <w:rsid w:val="007A1300"/>
    <w:rsid w:val="007A278D"/>
    <w:rsid w:val="007B3AF2"/>
    <w:rsid w:val="007B5B2D"/>
    <w:rsid w:val="00802CFE"/>
    <w:rsid w:val="008125F2"/>
    <w:rsid w:val="0081629E"/>
    <w:rsid w:val="008276A9"/>
    <w:rsid w:val="00844744"/>
    <w:rsid w:val="00847FB8"/>
    <w:rsid w:val="0088789B"/>
    <w:rsid w:val="008A26BD"/>
    <w:rsid w:val="008B4897"/>
    <w:rsid w:val="008D0D14"/>
    <w:rsid w:val="008D6DB9"/>
    <w:rsid w:val="008E467A"/>
    <w:rsid w:val="008F0350"/>
    <w:rsid w:val="008F6736"/>
    <w:rsid w:val="00910472"/>
    <w:rsid w:val="00913501"/>
    <w:rsid w:val="00923C81"/>
    <w:rsid w:val="00951BC2"/>
    <w:rsid w:val="00952C99"/>
    <w:rsid w:val="00963F66"/>
    <w:rsid w:val="00981AD9"/>
    <w:rsid w:val="00994013"/>
    <w:rsid w:val="00997A0B"/>
    <w:rsid w:val="009B0312"/>
    <w:rsid w:val="009B3CAF"/>
    <w:rsid w:val="009D690E"/>
    <w:rsid w:val="00A25DE3"/>
    <w:rsid w:val="00A268A9"/>
    <w:rsid w:val="00A31655"/>
    <w:rsid w:val="00A443BF"/>
    <w:rsid w:val="00A769FD"/>
    <w:rsid w:val="00AA6B9B"/>
    <w:rsid w:val="00AC2093"/>
    <w:rsid w:val="00AC5DB2"/>
    <w:rsid w:val="00AF12F1"/>
    <w:rsid w:val="00B15F7F"/>
    <w:rsid w:val="00B4699D"/>
    <w:rsid w:val="00B51440"/>
    <w:rsid w:val="00B8703C"/>
    <w:rsid w:val="00B94E1C"/>
    <w:rsid w:val="00BA0CD1"/>
    <w:rsid w:val="00BA635C"/>
    <w:rsid w:val="00BB2AA7"/>
    <w:rsid w:val="00BB446C"/>
    <w:rsid w:val="00BC7C25"/>
    <w:rsid w:val="00BD33EF"/>
    <w:rsid w:val="00BF63C0"/>
    <w:rsid w:val="00C011A2"/>
    <w:rsid w:val="00C23DB2"/>
    <w:rsid w:val="00C340C1"/>
    <w:rsid w:val="00C65456"/>
    <w:rsid w:val="00C71539"/>
    <w:rsid w:val="00C96343"/>
    <w:rsid w:val="00CA611B"/>
    <w:rsid w:val="00CA7ED3"/>
    <w:rsid w:val="00CD65F4"/>
    <w:rsid w:val="00CE41D4"/>
    <w:rsid w:val="00D00F0E"/>
    <w:rsid w:val="00D318B6"/>
    <w:rsid w:val="00D668F7"/>
    <w:rsid w:val="00D75CE7"/>
    <w:rsid w:val="00D838BE"/>
    <w:rsid w:val="00D91D1E"/>
    <w:rsid w:val="00DA0941"/>
    <w:rsid w:val="00DB31C9"/>
    <w:rsid w:val="00DD2545"/>
    <w:rsid w:val="00DD5A9B"/>
    <w:rsid w:val="00DE748A"/>
    <w:rsid w:val="00DF5A5B"/>
    <w:rsid w:val="00E02022"/>
    <w:rsid w:val="00E0474E"/>
    <w:rsid w:val="00E1211A"/>
    <w:rsid w:val="00E21FB3"/>
    <w:rsid w:val="00E478AC"/>
    <w:rsid w:val="00E61DD1"/>
    <w:rsid w:val="00E80310"/>
    <w:rsid w:val="00E82AD2"/>
    <w:rsid w:val="00E856E3"/>
    <w:rsid w:val="00E87DDF"/>
    <w:rsid w:val="00EA3D30"/>
    <w:rsid w:val="00EB7FE3"/>
    <w:rsid w:val="00EC0630"/>
    <w:rsid w:val="00EC360B"/>
    <w:rsid w:val="00ED33C1"/>
    <w:rsid w:val="00EE2CD2"/>
    <w:rsid w:val="00EE2DCF"/>
    <w:rsid w:val="00EE2FAC"/>
    <w:rsid w:val="00EF015F"/>
    <w:rsid w:val="00EF6BFF"/>
    <w:rsid w:val="00F21B62"/>
    <w:rsid w:val="00F365A1"/>
    <w:rsid w:val="00F44854"/>
    <w:rsid w:val="00F5172D"/>
    <w:rsid w:val="00F9105B"/>
    <w:rsid w:val="00FA7128"/>
    <w:rsid w:val="00FC70DB"/>
    <w:rsid w:val="00FD3855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  <w:style w:type="character" w:styleId="Refdecomentrio">
    <w:name w:val="annotation reference"/>
    <w:basedOn w:val="Fontepargpadro"/>
    <w:uiPriority w:val="99"/>
    <w:semiHidden/>
    <w:unhideWhenUsed/>
    <w:rsid w:val="00567E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7E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7E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E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6.xml>��< ? x m l   v e r s i o n = " 1 . 0 "   e n c o d i n g = " u t f - 1 6 " ? >  
 < p r o p e r t i e s   x m l n s = " h t t p : / / w w w . i m a n a g e . c o m / w o r k / x m l s c h e m a " >  
     < d o c u m e n t i d > U y m s p ! 8 1 3 3 7 3 1 . 2 < / d o c u m e n t i d >  
     < s e n d e r i d > F S A < / s e n d e r i d >  
     < s e n d e r e m a i l > F S A @ D I A S C A R N E I R O . C O M . B R < / s e n d e r e m a i l >  
     < l a s t m o d i f i e d > 2 0 2 2 - 1 2 - 2 0 T 1 6 : 2 5 : 0 0 . 0 0 0 0 0 0 0 - 0 3 : 0 0 < / l a s t m o d i f i e d >  
     < d a t a b a s e > U y m s p < / d a t a b a s e >  
 < / p r o p e r t i e s > 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40C3BA-0981-4A75-99E1-B1B687E2E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BF75BD-C2D3-4D74-9783-9D1043CB05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31F236-5E76-41CF-B3BD-9E14F32D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7261</Characters>
  <Application>Microsoft Office Word</Application>
  <DocSecurity>0</DocSecurity>
  <Lines>213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Mariane Loewen</dc:creator>
  <cp:lastModifiedBy>Dias Carneiro</cp:lastModifiedBy>
  <cp:revision>4</cp:revision>
  <cp:lastPrinted>2020-03-04T18:19:00Z</cp:lastPrinted>
  <dcterms:created xsi:type="dcterms:W3CDTF">2022-12-20T19:25:00Z</dcterms:created>
  <dcterms:modified xsi:type="dcterms:W3CDTF">2022-12-20T19:25:00Z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