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COM GARANTIA ADICIONAL REAL, EM SÉRIE ÚNICA, PARA DISTRIBUIÇÃO PÚBLICA, COM ESFORÇOS RESTRITOS DE DISTRIBUIÇÃO, DA ALIANÇA GERAÇÃO DE ENERGIA S.A.</w:t>
      </w:r>
      <w:bookmarkStart w:id="0" w:name="_GoBack"/>
      <w:bookmarkEnd w:id="0"/>
    </w:p>
    <w:p>
      <w:pPr>
        <w:spacing w:line="276" w:lineRule="auto"/>
        <w:rPr>
          <w:rFonts w:ascii="Verdana" w:hAnsi="Verdana" w:cs="Tahoma"/>
          <w:smallCaps/>
          <w:sz w:val="20"/>
          <w:szCs w:val="20"/>
          <w:u w:val="single"/>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entre</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ALIANÇA GERAÇÃO ENERGIA S.A.</w:t>
      </w:r>
    </w:p>
    <w:p>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III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IV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GARROTE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e</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SÃO RAIMUNDO S.A.</w:t>
      </w:r>
    </w:p>
    <w:p>
      <w:pPr>
        <w:spacing w:line="276" w:lineRule="auto"/>
        <w:jc w:val="center"/>
        <w:rPr>
          <w:rFonts w:ascii="Verdana" w:hAnsi="Verdana" w:cs="Tahoma"/>
          <w:i/>
          <w:sz w:val="20"/>
          <w:szCs w:val="20"/>
        </w:rPr>
      </w:pPr>
      <w:r>
        <w:rPr>
          <w:rFonts w:ascii="Verdana" w:hAnsi="Verdana" w:cs="Tahoma"/>
          <w:i/>
          <w:sz w:val="20"/>
          <w:szCs w:val="20"/>
        </w:rPr>
        <w:t>como Intervenientes Garantidoras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__________________</w:t>
      </w:r>
    </w:p>
    <w:p>
      <w:pPr>
        <w:spacing w:line="276" w:lineRule="auto"/>
        <w:jc w:val="center"/>
        <w:rPr>
          <w:rFonts w:ascii="Verdana" w:hAnsi="Verdana" w:cs="Tahoma"/>
          <w:sz w:val="20"/>
          <w:szCs w:val="20"/>
        </w:rPr>
      </w:pPr>
      <w:r>
        <w:rPr>
          <w:rFonts w:ascii="Verdana" w:hAnsi="Verdana" w:cs="Tahoma"/>
          <w:sz w:val="20"/>
          <w:szCs w:val="20"/>
        </w:rPr>
        <w:t>Datado de</w:t>
      </w:r>
    </w:p>
    <w:p>
      <w:pPr>
        <w:spacing w:line="276" w:lineRule="auto"/>
        <w:jc w:val="center"/>
        <w:rPr>
          <w:rFonts w:ascii="Verdana" w:hAnsi="Verdana" w:cs="Tahoma"/>
          <w:sz w:val="20"/>
          <w:szCs w:val="20"/>
        </w:rPr>
      </w:pPr>
      <w:r>
        <w:rPr>
          <w:rFonts w:ascii="Verdana" w:hAnsi="Verdana" w:cs="Tahoma"/>
          <w:sz w:val="20"/>
          <w:szCs w:val="20"/>
        </w:rPr>
        <w:t>[●] de [●] de 2019</w:t>
      </w:r>
    </w:p>
    <w:p>
      <w:pPr>
        <w:spacing w:line="276" w:lineRule="auto"/>
        <w:jc w:val="center"/>
        <w:rPr>
          <w:rFonts w:ascii="Verdana" w:hAnsi="Verdana" w:cs="Tahoma"/>
          <w:sz w:val="20"/>
          <w:szCs w:val="20"/>
        </w:rPr>
      </w:pPr>
      <w:r>
        <w:rPr>
          <w:rFonts w:ascii="Verdana" w:hAnsi="Verdana" w:cs="Tahoma"/>
          <w:sz w:val="20"/>
          <w:szCs w:val="20"/>
        </w:rPr>
        <w:t>___________________</w:t>
      </w:r>
    </w:p>
    <w:p>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COM GARANTIA ADICIONAL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bookmarkStart w:id="1" w:name="_DV_M28"/>
      <w:bookmarkEnd w:id="1"/>
      <w:r>
        <w:rPr>
          <w:rFonts w:ascii="Verdana" w:hAnsi="Verdana" w:cs="Arial"/>
          <w:sz w:val="20"/>
          <w:szCs w:val="20"/>
          <w:lang w:val="pt-BR"/>
        </w:rPr>
        <w:t xml:space="preserve">Pelo presente instrumento, </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2" w:name="_DV_M29"/>
      <w:bookmarkEnd w:id="2"/>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bookmarkStart w:id="3" w:name="_DV_M30"/>
      <w:bookmarkEnd w:id="3"/>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sem registro de companhia aberta,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sem registro de companhia aberta,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w:t>
      </w:r>
      <w:r>
        <w:rPr>
          <w:rFonts w:ascii="Verdana" w:hAnsi="Verdana" w:cs="Tahoma"/>
          <w:sz w:val="20"/>
          <w:szCs w:val="20"/>
        </w:rPr>
        <w:lastRenderedPageBreak/>
        <w:t>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sem registro de companhia aberta,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xml:space="preserve">”); </w:t>
      </w:r>
    </w:p>
    <w:p>
      <w:pPr>
        <w:spacing w:line="320" w:lineRule="exact"/>
        <w:contextualSpacing/>
        <w:jc w:val="both"/>
        <w:rPr>
          <w:rFonts w:ascii="Verdana" w:hAnsi="Verdana" w:cs="Arial"/>
          <w:b/>
          <w:sz w:val="20"/>
          <w:szCs w:val="20"/>
        </w:rPr>
      </w:pPr>
    </w:p>
    <w:p>
      <w:pPr>
        <w:pStyle w:val="Corpodetexto"/>
        <w:spacing w:line="320" w:lineRule="exact"/>
        <w:contextualSpacing/>
        <w:jc w:val="both"/>
        <w:rPr>
          <w:rFonts w:ascii="Verdana" w:hAnsi="Verdana" w:cs="Arial"/>
          <w:sz w:val="20"/>
          <w:szCs w:val="20"/>
          <w:lang w:val="pt-BR"/>
        </w:rPr>
      </w:pPr>
      <w:bookmarkStart w:id="4" w:name="_DV_M31"/>
      <w:bookmarkStart w:id="5" w:name="_DV_M32"/>
      <w:bookmarkStart w:id="6" w:name="_DV_M33"/>
      <w:bookmarkStart w:id="7" w:name="_DV_M35"/>
      <w:bookmarkEnd w:id="4"/>
      <w:bookmarkEnd w:id="5"/>
      <w:bookmarkEnd w:id="6"/>
      <w:bookmarkEnd w:id="7"/>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pStyle w:val="Lista2"/>
        <w:spacing w:line="320" w:lineRule="exact"/>
        <w:rPr>
          <w:rFonts w:ascii="Verdana" w:hAnsi="Verdana"/>
          <w:sz w:val="20"/>
          <w:szCs w:val="20"/>
        </w:rPr>
      </w:pPr>
    </w:p>
    <w:p>
      <w:pPr>
        <w:pStyle w:val="Corpodetexto"/>
        <w:spacing w:line="320" w:lineRule="exact"/>
        <w:contextualSpacing/>
        <w:jc w:val="both"/>
        <w:rPr>
          <w:rFonts w:ascii="Verdana" w:hAnsi="Verdana"/>
          <w:sz w:val="20"/>
          <w:szCs w:val="20"/>
          <w:lang w:val="pt-BR"/>
        </w:rPr>
      </w:pPr>
      <w:bookmarkStart w:id="8" w:name="_DV_M36"/>
      <w:bookmarkEnd w:id="8"/>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com Garantia Adicional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9" w:name="_DV_M37"/>
      <w:bookmarkEnd w:id="9"/>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pPr>
        <w:spacing w:line="320" w:lineRule="exact"/>
        <w:contextualSpacing/>
        <w:jc w:val="both"/>
        <w:rPr>
          <w:rFonts w:ascii="Verdana" w:hAnsi="Verdana" w:cs="Arial"/>
          <w:sz w:val="20"/>
          <w:szCs w:val="20"/>
        </w:rPr>
      </w:pPr>
    </w:p>
    <w:p>
      <w:pPr>
        <w:pStyle w:val="Ttulo1"/>
        <w:rPr>
          <w:rFonts w:ascii="Verdana" w:hAnsi="Verdana"/>
          <w:sz w:val="20"/>
          <w:szCs w:val="20"/>
          <w:lang w:val="pt-BR"/>
        </w:rPr>
      </w:pPr>
      <w:bookmarkStart w:id="10" w:name="_DV_M38"/>
      <w:bookmarkStart w:id="11" w:name="_Toc499990313"/>
      <w:bookmarkStart w:id="12" w:name="_Toc280370534"/>
      <w:bookmarkStart w:id="13" w:name="_Toc349040590"/>
      <w:bookmarkStart w:id="14" w:name="_Toc351469175"/>
      <w:bookmarkStart w:id="15" w:name="_Toc352767477"/>
      <w:bookmarkStart w:id="16" w:name="_Toc355626564"/>
      <w:bookmarkEnd w:id="10"/>
      <w:r>
        <w:rPr>
          <w:rFonts w:ascii="Verdana" w:hAnsi="Verdana"/>
          <w:sz w:val="20"/>
          <w:szCs w:val="20"/>
          <w:lang w:val="pt-BR"/>
        </w:rPr>
        <w:t>CLÁUSULA I</w:t>
      </w:r>
      <w:r>
        <w:rPr>
          <w:rFonts w:ascii="Verdana" w:hAnsi="Verdana"/>
          <w:sz w:val="20"/>
          <w:szCs w:val="20"/>
          <w:lang w:val="pt-BR"/>
        </w:rPr>
        <w:br/>
        <w:t>AUTORIZAÇÕES</w:t>
      </w:r>
      <w:bookmarkEnd w:id="11"/>
      <w:bookmarkEnd w:id="12"/>
      <w:bookmarkEnd w:id="13"/>
      <w:bookmarkEnd w:id="14"/>
      <w:bookmarkEnd w:id="15"/>
      <w:bookmarkEnd w:id="16"/>
    </w:p>
    <w:p>
      <w:pPr>
        <w:keepNext/>
        <w:keepLines/>
        <w:spacing w:line="320" w:lineRule="exact"/>
        <w:contextualSpacing/>
        <w:rPr>
          <w:rFonts w:ascii="Verdana" w:hAnsi="Verdana" w:cs="Arial"/>
          <w:sz w:val="20"/>
          <w:szCs w:val="20"/>
        </w:rPr>
      </w:pPr>
    </w:p>
    <w:p>
      <w:pPr>
        <w:keepNext/>
        <w:keepLines/>
        <w:numPr>
          <w:ilvl w:val="1"/>
          <w:numId w:val="13"/>
        </w:numPr>
        <w:spacing w:line="320" w:lineRule="exact"/>
        <w:ind w:left="709" w:hanging="709"/>
        <w:contextualSpacing/>
        <w:jc w:val="both"/>
        <w:rPr>
          <w:rFonts w:ascii="Verdana" w:hAnsi="Verdana" w:cs="Arial"/>
          <w:b/>
          <w:sz w:val="20"/>
          <w:szCs w:val="20"/>
        </w:rPr>
      </w:pPr>
      <w:bookmarkStart w:id="17" w:name="_DV_M39"/>
      <w:bookmarkEnd w:id="17"/>
      <w:r>
        <w:rPr>
          <w:rFonts w:ascii="Verdana" w:hAnsi="Verdana" w:cs="Arial"/>
          <w:b/>
          <w:sz w:val="20"/>
          <w:szCs w:val="20"/>
        </w:rPr>
        <w:t>Autorização da Emissão, da Constituição, da Outorga e do Compartilhamento das Garantias pela Emissora</w:t>
      </w:r>
    </w:p>
    <w:p>
      <w:pPr>
        <w:keepNext/>
        <w:keepLines/>
        <w:spacing w:line="320" w:lineRule="exact"/>
        <w:ind w:left="709"/>
        <w:contextualSpacing/>
        <w:jc w:val="both"/>
        <w:rPr>
          <w:rFonts w:ascii="Verdana" w:hAnsi="Verdana"/>
          <w:b/>
          <w:sz w:val="20"/>
          <w:szCs w:val="20"/>
        </w:rPr>
      </w:pPr>
    </w:p>
    <w:p>
      <w:pPr>
        <w:pStyle w:val="PargrafodaLista"/>
        <w:numPr>
          <w:ilvl w:val="2"/>
          <w:numId w:val="13"/>
        </w:numPr>
        <w:spacing w:line="320" w:lineRule="exact"/>
        <w:contextualSpacing/>
        <w:jc w:val="both"/>
        <w:rPr>
          <w:rFonts w:ascii="Verdana" w:hAnsi="Verdana"/>
          <w:sz w:val="20"/>
          <w:szCs w:val="20"/>
        </w:rPr>
      </w:pPr>
      <w:bookmarkStart w:id="18" w:name="_DV_M40"/>
      <w:bookmarkEnd w:id="18"/>
      <w:r>
        <w:rPr>
          <w:rFonts w:ascii="Verdana" w:hAnsi="Verdana"/>
          <w:sz w:val="20"/>
          <w:szCs w:val="20"/>
        </w:rPr>
        <w:t xml:space="preserve">A presente Escritura de Emissão é firmada com base nas deliberações da Assembleia Geral Extraordinária de acionistas da Emissora, realizada em </w:t>
      </w:r>
      <w:bookmarkStart w:id="19" w:name="_DV_M41"/>
      <w:bookmarkStart w:id="20" w:name="_DV_M42"/>
      <w:bookmarkEnd w:id="19"/>
      <w:bookmarkEnd w:id="20"/>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xml:space="preserve">”), na qual foram deliberadas: (i) a aprovação da Emissão e da Oferta Restrita (conforme definidos na Cláusula II abaixo), bem como seus termos e condições; (ii) a outorga, na forma compartilhada descrita na Cláusula 4.18 abaixo, das garantias a serem constituídas por meio do (a) Aditamento e Consolidação ao </w:t>
      </w:r>
      <w:r>
        <w:rPr>
          <w:rFonts w:ascii="Verdana" w:hAnsi="Verdana" w:cs="Arial"/>
          <w:bCs/>
          <w:sz w:val="20"/>
          <w:szCs w:val="20"/>
        </w:rPr>
        <w:t>Contrato de Financiamento com o BNDES</w:t>
      </w:r>
      <w:r>
        <w:rPr>
          <w:rFonts w:ascii="Verdana" w:hAnsi="Verdana"/>
          <w:sz w:val="20"/>
          <w:szCs w:val="20"/>
        </w:rPr>
        <w:t xml:space="preserve"> (conforme definido abaixo); (b) Aditamento e Consolidação ao Contrato de Cessão Fiduciária Holding (conforme definidos na Cláusula 4.16.1, item (iv) abaixo); e (c) </w:t>
      </w:r>
      <w:r>
        <w:rPr>
          <w:rFonts w:ascii="Verdana" w:eastAsia="Arial Unicode MS" w:hAnsi="Verdana"/>
          <w:sz w:val="20"/>
        </w:rPr>
        <w:t>Aditamento e Consolidação ao</w:t>
      </w:r>
      <w:r>
        <w:rPr>
          <w:rFonts w:ascii="Verdana" w:hAnsi="Verdana"/>
          <w:sz w:val="20"/>
        </w:rPr>
        <w:t xml:space="preserve"> </w:t>
      </w:r>
      <w:r>
        <w:rPr>
          <w:rFonts w:ascii="Verdana" w:hAnsi="Verdana" w:cs="Arial"/>
          <w:bCs/>
          <w:sz w:val="20"/>
          <w:szCs w:val="20"/>
        </w:rPr>
        <w:t>Contrato de Financiamento com o BNDES</w:t>
      </w:r>
      <w:r>
        <w:rPr>
          <w:rFonts w:ascii="Verdana" w:hAnsi="Verdana"/>
          <w:sz w:val="20"/>
        </w:rPr>
        <w:t xml:space="preserve"> (conforme definido abaixo)</w:t>
      </w:r>
      <w:r>
        <w:rPr>
          <w:rFonts w:ascii="Verdana" w:hAnsi="Verdana"/>
          <w:sz w:val="20"/>
          <w:szCs w:val="20"/>
        </w:rPr>
        <w:t xml:space="preserve">; (iii) a autorização à Diretoria da Emissora para praticar todos e quaisquer atos e assinar todos e quaisquer documentos necessários à implementação e </w:t>
      </w:r>
      <w:r>
        <w:rPr>
          <w:rFonts w:ascii="Verdana" w:hAnsi="Verdana"/>
          <w:sz w:val="20"/>
          <w:szCs w:val="20"/>
        </w:rPr>
        <w:lastRenderedPageBreak/>
        <w:t>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 instrumentos contratuais, até então assinados pela Diretoria da Emissora para a implementação da Oferta Restrita, da Emissão e da constituição das garantias necessárias.</w:t>
      </w:r>
    </w:p>
    <w:p>
      <w:pPr>
        <w:spacing w:line="320" w:lineRule="exact"/>
        <w:ind w:left="709"/>
        <w:contextualSpacing/>
        <w:jc w:val="both"/>
        <w:rPr>
          <w:rFonts w:ascii="Verdana" w:hAnsi="Verdana" w:cs="Arial"/>
          <w:sz w:val="20"/>
          <w:szCs w:val="20"/>
        </w:rPr>
      </w:pPr>
    </w:p>
    <w:p>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Autorização da Constituição, da Outorga e do Compartilhamento das Garantias pelas SPEs</w:t>
      </w:r>
    </w:p>
    <w:p>
      <w:pPr>
        <w:spacing w:line="320" w:lineRule="exact"/>
        <w:ind w:left="709"/>
        <w:contextualSpacing/>
        <w:rPr>
          <w:rFonts w:ascii="Verdana" w:hAnsi="Verdana" w:cs="Arial"/>
          <w:b/>
          <w:sz w:val="20"/>
          <w:szCs w:val="20"/>
        </w:rPr>
      </w:pPr>
    </w:p>
    <w:p>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Atos Societários das SPEs</w:t>
      </w:r>
      <w:r>
        <w:rPr>
          <w:rFonts w:ascii="Verdana" w:hAnsi="Verdana" w:cs="Arial"/>
          <w:bCs/>
          <w:sz w:val="20"/>
          <w:szCs w:val="20"/>
        </w:rPr>
        <w:t>”), foram aprovadas: (i) a outorga</w:t>
      </w:r>
      <w:r>
        <w:rPr>
          <w:rFonts w:ascii="Verdana" w:hAnsi="Verdana" w:cs="Arial"/>
          <w:sz w:val="20"/>
          <w:szCs w:val="20"/>
        </w:rPr>
        <w:t>, em regime de compartilhamento, conforme previsto na Cláusula 4.18 abaixo,</w:t>
      </w:r>
      <w:r>
        <w:rPr>
          <w:rFonts w:ascii="Verdana" w:hAnsi="Verdana"/>
          <w:sz w:val="20"/>
          <w:szCs w:val="20"/>
        </w:rPr>
        <w:t xml:space="preserve"> das garantias a serem constituídas por meio do Aditamento e Consolidação ao Contrato de Financiamento com o BNDES e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abaixo); </w:t>
      </w:r>
      <w:r>
        <w:rPr>
          <w:rFonts w:ascii="Verdana" w:hAnsi="Verdana" w:cs="Arial"/>
          <w:sz w:val="20"/>
          <w:szCs w:val="20"/>
        </w:rPr>
        <w:t xml:space="preserve">(ii) a assunção das obrigações previstas na presente Escritura de Emissão, descritas na Cláusula 6.2 abaixo; e (iii) a </w:t>
      </w:r>
      <w:r>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e do Contrato de Cessão Fiduciária de Direitos Creditórios e Outras Avenças </w:t>
      </w:r>
      <w:r>
        <w:rPr>
          <w:rFonts w:ascii="Verdana" w:hAnsi="Verdana"/>
          <w:sz w:val="20"/>
          <w:szCs w:val="20"/>
        </w:rPr>
        <w:t>(conforme definido na Cláusula 4.16.1, item (iii) abaixo)</w:t>
      </w:r>
      <w:r>
        <w:rPr>
          <w:rFonts w:ascii="Verdana" w:hAnsi="Verdana" w:cs="Arial"/>
          <w:sz w:val="20"/>
          <w:szCs w:val="20"/>
        </w:rPr>
        <w:t>.</w:t>
      </w:r>
    </w:p>
    <w:p>
      <w:pPr>
        <w:spacing w:line="320" w:lineRule="exact"/>
        <w:contextualSpacing/>
        <w:rPr>
          <w:rFonts w:ascii="Verdana" w:hAnsi="Verdana" w:cs="Arial"/>
          <w:sz w:val="20"/>
          <w:szCs w:val="20"/>
        </w:rPr>
      </w:pPr>
    </w:p>
    <w:p>
      <w:pPr>
        <w:pStyle w:val="Ttulo1"/>
        <w:rPr>
          <w:rFonts w:ascii="Verdana" w:hAnsi="Verdana"/>
          <w:sz w:val="20"/>
          <w:szCs w:val="20"/>
          <w:lang w:val="pt-BR"/>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Pr>
          <w:rFonts w:ascii="Verdana" w:hAnsi="Verdana"/>
          <w:sz w:val="20"/>
          <w:szCs w:val="20"/>
          <w:lang w:val="pt-BR"/>
        </w:rPr>
        <w:t>CLÁUSULA II</w:t>
      </w:r>
      <w:r>
        <w:rPr>
          <w:rFonts w:ascii="Verdana" w:hAnsi="Verdana"/>
          <w:sz w:val="20"/>
          <w:szCs w:val="20"/>
          <w:lang w:val="pt-BR"/>
        </w:rPr>
        <w:br/>
        <w:t>REQUISITOS</w:t>
      </w:r>
      <w:bookmarkEnd w:id="22"/>
      <w:bookmarkEnd w:id="23"/>
      <w:bookmarkEnd w:id="24"/>
      <w:bookmarkEnd w:id="25"/>
      <w:bookmarkEnd w:id="26"/>
      <w:bookmarkEnd w:id="27"/>
    </w:p>
    <w:p>
      <w:pPr>
        <w:spacing w:line="320" w:lineRule="exact"/>
        <w:contextualSpacing/>
        <w:rPr>
          <w:rFonts w:ascii="Verdana" w:hAnsi="Verdana" w:cs="Arial"/>
          <w:sz w:val="20"/>
          <w:szCs w:val="20"/>
        </w:rPr>
      </w:pPr>
    </w:p>
    <w:p>
      <w:pPr>
        <w:spacing w:line="320" w:lineRule="exact"/>
        <w:contextualSpacing/>
        <w:jc w:val="both"/>
        <w:rPr>
          <w:rFonts w:ascii="Verdana" w:hAnsi="Verdana" w:cs="Arial"/>
          <w:sz w:val="20"/>
          <w:szCs w:val="20"/>
        </w:rPr>
      </w:pPr>
      <w:bookmarkStart w:id="28" w:name="_DV_M46"/>
      <w:bookmarkEnd w:id="28"/>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com garantia adicional real,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Instrução da CVM nº 476, de 16 de janeiro de 2009, conforme alterada (“</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pPr>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9" w:name="_DV_M47"/>
      <w:bookmarkStart w:id="30" w:name="_Toc499990315"/>
      <w:bookmarkEnd w:id="29"/>
      <w:r>
        <w:rPr>
          <w:rFonts w:ascii="Verdana" w:hAnsi="Verdana" w:cs="Arial"/>
          <w:b/>
          <w:sz w:val="20"/>
          <w:szCs w:val="20"/>
        </w:rPr>
        <w:lastRenderedPageBreak/>
        <w:t>Arquivamento na Junta Comercial e Publicação da AGE</w:t>
      </w:r>
      <w:bookmarkEnd w:id="30"/>
      <w:r>
        <w:rPr>
          <w:rFonts w:ascii="Verdana" w:hAnsi="Verdana" w:cs="Arial"/>
          <w:b/>
          <w:sz w:val="20"/>
          <w:szCs w:val="20"/>
        </w:rPr>
        <w:t xml:space="preserve"> da Emissora </w:t>
      </w:r>
    </w:p>
    <w:p>
      <w:pPr>
        <w:keepNext/>
        <w:spacing w:line="320" w:lineRule="exact"/>
        <w:contextualSpacing/>
        <w:jc w:val="both"/>
        <w:rPr>
          <w:rFonts w:ascii="Verdana" w:hAnsi="Verdana" w:cs="Arial"/>
          <w:sz w:val="20"/>
          <w:szCs w:val="20"/>
        </w:rPr>
      </w:pPr>
    </w:p>
    <w:p>
      <w:pPr>
        <w:keepNext/>
        <w:numPr>
          <w:ilvl w:val="0"/>
          <w:numId w:val="17"/>
        </w:numPr>
        <w:spacing w:line="320" w:lineRule="exact"/>
        <w:ind w:left="709" w:hanging="709"/>
        <w:contextualSpacing/>
        <w:jc w:val="both"/>
        <w:rPr>
          <w:rFonts w:ascii="Verdana" w:hAnsi="Verdana" w:cs="Arial"/>
          <w:sz w:val="20"/>
          <w:szCs w:val="20"/>
        </w:rPr>
      </w:pPr>
      <w:bookmarkStart w:id="31" w:name="_DV_M48"/>
      <w:bookmarkEnd w:id="31"/>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Mingas Gerais e no “Diário do Comércio” (estes ou outros que venham a ser designados para tanto pela assembleia geral de acionistas da Emissora, em conjunto, “</w:t>
      </w:r>
      <w:r>
        <w:rPr>
          <w:rFonts w:ascii="Verdana" w:hAnsi="Verdana" w:cs="Arial"/>
          <w:sz w:val="20"/>
          <w:szCs w:val="20"/>
          <w:u w:val="single"/>
        </w:rPr>
        <w:t>Jornais de Publicação da Emissora</w:t>
      </w:r>
      <w:r>
        <w:rPr>
          <w:rFonts w:ascii="Verdana" w:hAnsi="Verdana" w:cs="Arial"/>
          <w:sz w:val="20"/>
          <w:szCs w:val="20"/>
        </w:rPr>
        <w:t>”).</w:t>
      </w:r>
    </w:p>
    <w:p>
      <w:pPr>
        <w:spacing w:line="320" w:lineRule="exact"/>
        <w:contextualSpacing/>
        <w:jc w:val="both"/>
        <w:rPr>
          <w:rFonts w:ascii="Verdana" w:hAnsi="Verdana" w:cs="Arial"/>
          <w:sz w:val="20"/>
          <w:szCs w:val="20"/>
        </w:rPr>
      </w:pPr>
    </w:p>
    <w:p>
      <w:pPr>
        <w:numPr>
          <w:ilvl w:val="0"/>
          <w:numId w:val="17"/>
        </w:numPr>
        <w:spacing w:line="320" w:lineRule="exact"/>
        <w:ind w:left="709" w:hanging="709"/>
        <w:contextualSpacing/>
        <w:jc w:val="both"/>
        <w:rPr>
          <w:rFonts w:ascii="Verdana" w:hAnsi="Verdana" w:cs="Arial"/>
          <w:sz w:val="20"/>
          <w:szCs w:val="20"/>
        </w:rPr>
      </w:pPr>
      <w:bookmarkStart w:id="32" w:name="_DV_M49"/>
      <w:bookmarkEnd w:id="32"/>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pPr>
        <w:spacing w:line="320" w:lineRule="exact"/>
        <w:ind w:left="709"/>
        <w:contextualSpacing/>
        <w:jc w:val="both"/>
        <w:rPr>
          <w:rFonts w:ascii="Verdana" w:hAnsi="Verdana" w:cs="Arial"/>
          <w:sz w:val="20"/>
          <w:szCs w:val="20"/>
        </w:rPr>
      </w:pPr>
    </w:p>
    <w:p>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Arquivamento na Junta Comercial e Publicação dos Atos Societários das SPEs.</w:t>
      </w:r>
    </w:p>
    <w:p>
      <w:pPr>
        <w:tabs>
          <w:tab w:val="left" w:pos="720"/>
        </w:tabs>
        <w:spacing w:line="320" w:lineRule="exact"/>
        <w:contextualSpacing/>
        <w:jc w:val="both"/>
        <w:rPr>
          <w:rFonts w:ascii="Verdana" w:hAnsi="Verdana" w:cs="Arial"/>
          <w:b/>
          <w:sz w:val="20"/>
          <w:szCs w:val="20"/>
        </w:rPr>
      </w:pPr>
    </w:p>
    <w:p>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Os Atos Societários das SPEs</w:t>
      </w:r>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e no jornal “O Estado do Ceará” (estes ou outros que venham a ser designados para tanto pela assembleia geral de acionistas  das SPEs “</w:t>
      </w:r>
      <w:r>
        <w:rPr>
          <w:rFonts w:ascii="Verdana" w:hAnsi="Verdana" w:cs="Arial"/>
          <w:sz w:val="20"/>
          <w:szCs w:val="20"/>
          <w:u w:val="single"/>
        </w:rPr>
        <w:t>Jornais de Publicação das SPEs</w:t>
      </w:r>
      <w:r>
        <w:rPr>
          <w:rFonts w:ascii="Verdana" w:hAnsi="Verdana" w:cs="Arial"/>
          <w:sz w:val="20"/>
          <w:szCs w:val="20"/>
        </w:rPr>
        <w:t>”).</w:t>
      </w:r>
    </w:p>
    <w:p>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3" w:name="_DV_M50"/>
      <w:bookmarkEnd w:id="33"/>
      <w:r>
        <w:rPr>
          <w:rFonts w:ascii="Verdana" w:hAnsi="Verdana" w:cs="Arial"/>
          <w:b/>
          <w:sz w:val="20"/>
          <w:szCs w:val="20"/>
        </w:rPr>
        <w:t>Inscrição da Escritura de Emissão e averbação de seus eventuais aditamentos na Junta Comercial</w:t>
      </w:r>
    </w:p>
    <w:p>
      <w:pPr>
        <w:keepNext/>
        <w:tabs>
          <w:tab w:val="left" w:pos="720"/>
        </w:tabs>
        <w:spacing w:line="320" w:lineRule="exact"/>
        <w:contextualSpacing/>
        <w:jc w:val="both"/>
        <w:rPr>
          <w:rFonts w:ascii="Verdana" w:hAnsi="Verdana" w:cs="Arial"/>
          <w:sz w:val="20"/>
          <w:szCs w:val="20"/>
        </w:rPr>
      </w:pPr>
    </w:p>
    <w:p>
      <w:pPr>
        <w:keepNext/>
        <w:numPr>
          <w:ilvl w:val="0"/>
          <w:numId w:val="18"/>
        </w:numPr>
        <w:tabs>
          <w:tab w:val="left" w:pos="709"/>
        </w:tabs>
        <w:spacing w:line="320" w:lineRule="exact"/>
        <w:ind w:hanging="720"/>
        <w:contextualSpacing/>
        <w:jc w:val="both"/>
        <w:rPr>
          <w:rFonts w:ascii="Verdana" w:hAnsi="Verdana" w:cs="Arial"/>
          <w:sz w:val="20"/>
          <w:szCs w:val="20"/>
        </w:rPr>
      </w:pPr>
      <w:bookmarkStart w:id="34" w:name="_DV_M51"/>
      <w:bookmarkEnd w:id="34"/>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5" w:name="_DV_M52"/>
      <w:bookmarkEnd w:id="35"/>
      <w:r>
        <w:rPr>
          <w:rFonts w:ascii="Verdana" w:hAnsi="Verdana" w:cs="Arial"/>
          <w:b/>
          <w:sz w:val="20"/>
          <w:szCs w:val="20"/>
        </w:rPr>
        <w:t>Dispensa de Registro na CVM e Registro na ANBIMA – Associação Brasileira das Entidades dos Mercados Financeiro e de Capitais</w:t>
      </w:r>
    </w:p>
    <w:p>
      <w:pPr>
        <w:pStyle w:val="CorpodetextobtBT"/>
        <w:keepNext/>
        <w:tabs>
          <w:tab w:val="left" w:pos="720"/>
        </w:tabs>
        <w:spacing w:line="320" w:lineRule="exact"/>
        <w:contextualSpacing/>
        <w:rPr>
          <w:rFonts w:ascii="Verdana" w:hAnsi="Verdana" w:cs="Arial"/>
          <w:sz w:val="20"/>
        </w:rPr>
      </w:pPr>
    </w:p>
    <w:p>
      <w:pPr>
        <w:numPr>
          <w:ilvl w:val="0"/>
          <w:numId w:val="19"/>
        </w:numPr>
        <w:tabs>
          <w:tab w:val="left" w:pos="720"/>
        </w:tabs>
        <w:spacing w:line="320" w:lineRule="exact"/>
        <w:ind w:hanging="720"/>
        <w:contextualSpacing/>
        <w:jc w:val="both"/>
        <w:rPr>
          <w:rFonts w:ascii="Verdana" w:hAnsi="Verdana" w:cs="Arial"/>
          <w:sz w:val="20"/>
          <w:szCs w:val="20"/>
        </w:rPr>
      </w:pPr>
      <w:bookmarkStart w:id="36" w:name="_DV_M53"/>
      <w:bookmarkEnd w:id="36"/>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 xml:space="preserve">objeto de protocolo, registro e arquivamento perante a CVM, exceto pelo envio da </w:t>
      </w:r>
      <w:r>
        <w:rPr>
          <w:rFonts w:ascii="Verdana" w:hAnsi="Verdana"/>
          <w:sz w:val="20"/>
          <w:szCs w:val="20"/>
        </w:rPr>
        <w:lastRenderedPageBreak/>
        <w:t>comunicação sobre o início da Oferta Restrita e a comunicação de seu encerramento à CVM, nos termos dos artigos 7º-A e 8º, respectivamente, da Instrução CVM 476</w:t>
      </w:r>
      <w:r>
        <w:rPr>
          <w:rFonts w:ascii="Verdana" w:hAnsi="Verdana" w:cs="Arial"/>
          <w:sz w:val="20"/>
          <w:szCs w:val="20"/>
        </w:rPr>
        <w:t>.</w:t>
      </w:r>
    </w:p>
    <w:p>
      <w:pPr>
        <w:pStyle w:val="PargrafodaLista"/>
        <w:spacing w:line="320" w:lineRule="exact"/>
        <w:contextualSpacing/>
        <w:rPr>
          <w:rFonts w:ascii="Verdana" w:hAnsi="Verdana" w:cs="Arial"/>
          <w:sz w:val="20"/>
          <w:szCs w:val="20"/>
        </w:rPr>
      </w:pPr>
      <w:bookmarkStart w:id="37" w:name="_DV_M54"/>
      <w:bookmarkStart w:id="38" w:name="_DV_M56"/>
      <w:bookmarkEnd w:id="37"/>
      <w:bookmarkEnd w:id="38"/>
    </w:p>
    <w:p>
      <w:pPr>
        <w:numPr>
          <w:ilvl w:val="0"/>
          <w:numId w:val="19"/>
        </w:numPr>
        <w:tabs>
          <w:tab w:val="left" w:pos="720"/>
        </w:tabs>
        <w:spacing w:line="320" w:lineRule="exact"/>
        <w:contextualSpacing/>
        <w:jc w:val="both"/>
        <w:rPr>
          <w:rFonts w:ascii="Verdana" w:hAnsi="Verdana" w:cs="Arial"/>
          <w:sz w:val="20"/>
          <w:szCs w:val="20"/>
        </w:rPr>
      </w:pPr>
      <w:bookmarkStart w:id="39"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39"/>
      <w:r>
        <w:rPr>
          <w:rFonts w:ascii="Verdana" w:hAnsi="Verdana" w:cs="Arial"/>
          <w:sz w:val="20"/>
          <w:szCs w:val="20"/>
        </w:rPr>
        <w:t xml:space="preserve"> [</w:t>
      </w:r>
      <w:r>
        <w:rPr>
          <w:rFonts w:ascii="Verdana" w:hAnsi="Verdana" w:cs="Arial"/>
          <w:b/>
          <w:i/>
          <w:sz w:val="20"/>
          <w:szCs w:val="20"/>
          <w:highlight w:val="yellow"/>
        </w:rPr>
        <w:t>Nota PNA</w:t>
      </w:r>
      <w:r>
        <w:rPr>
          <w:rFonts w:ascii="Verdana" w:hAnsi="Verdana" w:cs="Arial"/>
          <w:i/>
          <w:sz w:val="20"/>
          <w:szCs w:val="20"/>
          <w:highlight w:val="yellow"/>
        </w:rPr>
        <w:t>: Caso o comunicado de início da Oferta seja enviado à CVM após 3 de junho de 2019, a redação deste item precisará ser ajustada de forma a refletir as novas disposições do Código ANBIMA</w:t>
      </w:r>
      <w:r>
        <w:rPr>
          <w:rFonts w:ascii="Verdana" w:hAnsi="Verdana" w:cs="Arial"/>
          <w:sz w:val="20"/>
          <w:szCs w:val="20"/>
          <w:highlight w:val="yellow"/>
        </w:rPr>
        <w:t>.</w:t>
      </w:r>
      <w:r>
        <w:rPr>
          <w:rFonts w:ascii="Verdana" w:hAnsi="Verdana"/>
          <w:sz w:val="20"/>
        </w:rPr>
        <w:t>]</w:t>
      </w:r>
      <w:r>
        <w:rPr>
          <w:rFonts w:ascii="Verdana" w:hAnsi="Verdana" w:cs="Arial"/>
          <w:sz w:val="20"/>
          <w:szCs w:val="20"/>
        </w:rPr>
        <w:t xml:space="preserve">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pPr>
        <w:tabs>
          <w:tab w:val="left" w:pos="720"/>
        </w:tabs>
        <w:spacing w:line="320" w:lineRule="exact"/>
        <w:contextualSpacing/>
        <w:jc w:val="both"/>
        <w:rPr>
          <w:rFonts w:ascii="Verdana" w:hAnsi="Verdana" w:cs="Arial"/>
          <w:sz w:val="20"/>
          <w:szCs w:val="20"/>
        </w:rPr>
      </w:pPr>
    </w:p>
    <w:p>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4.18.1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pPr>
        <w:tabs>
          <w:tab w:val="left" w:pos="720"/>
        </w:tabs>
        <w:spacing w:line="320" w:lineRule="exact"/>
        <w:contextualSpacing/>
        <w:jc w:val="both"/>
        <w:rPr>
          <w:rFonts w:ascii="Verdana" w:hAnsi="Verdana"/>
          <w:sz w:val="20"/>
          <w:szCs w:val="20"/>
        </w:rPr>
      </w:pPr>
    </w:p>
    <w:p>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Os penhores de ações descritos na Cláusula 4.16.1, item (i) serão averbados nos respectivos livros de registro de ações nominativas da das SPEs</w:t>
      </w:r>
      <w:r>
        <w:rPr>
          <w:rFonts w:ascii="Verdana" w:hAnsi="Verdana" w:cs="Arial"/>
          <w:sz w:val="20"/>
          <w:szCs w:val="20"/>
        </w:rPr>
        <w:t>, e/ou nos respectivos livros e/ou sistemas da instituição financeira responsável pela prestação de serviços de escrituração das ações das SPEs, caso as ações das SPEs venham a se tornar escriturais, devendo ser anotados no extrato da conta de depósito fornecido às respectivas acionistas, nos termos do artigo 39, e de seu parágrafo 1°, da Lei das 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w:t>
      </w:r>
      <w:r>
        <w:rPr>
          <w:rFonts w:ascii="Verdana" w:hAnsi="Verdana" w:cs="Arial"/>
          <w:sz w:val="20"/>
          <w:szCs w:val="20"/>
        </w:rPr>
        <w:lastRenderedPageBreak/>
        <w:t xml:space="preserve">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SPEs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SPEs, ou </w:t>
      </w:r>
      <w:r>
        <w:rPr>
          <w:rFonts w:ascii="Verdana" w:hAnsi="Verdana" w:cs="Arial"/>
          <w:sz w:val="20"/>
          <w:szCs w:val="20"/>
        </w:rPr>
        <w:t xml:space="preserve">(ii) caso as ações da das SPEs venham a se tornar escriturais (ii.a) dos livros e/ou sistemas da instituição financeira responsável pela prestação de serviços de escrituração das ações das SPEs ou do extrato da conta de depósito fornecido às respectivas acionistas e (ii.b) de declaração da instituição financeira responsável pela prestação de serviços de escrituração das ações das SPEs,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 xml:space="preserve">Contrato de Penhor de Ações, em até 5 (cinco) Dias Úteis após as respectivas averbações. </w:t>
      </w:r>
    </w:p>
    <w:p>
      <w:pPr>
        <w:pStyle w:val="PargrafodaLista"/>
        <w:spacing w:line="320" w:lineRule="exact"/>
        <w:contextualSpacing/>
        <w:rPr>
          <w:rFonts w:ascii="Verdana" w:hAnsi="Verdana" w:cs="Arial"/>
          <w:sz w:val="20"/>
          <w:szCs w:val="20"/>
        </w:rPr>
      </w:pPr>
    </w:p>
    <w:p>
      <w:pPr>
        <w:numPr>
          <w:ilvl w:val="0"/>
          <w:numId w:val="2"/>
        </w:numPr>
        <w:tabs>
          <w:tab w:val="clear" w:pos="2160"/>
          <w:tab w:val="left" w:pos="720"/>
        </w:tabs>
        <w:spacing w:line="320" w:lineRule="exact"/>
        <w:contextualSpacing/>
        <w:jc w:val="both"/>
        <w:rPr>
          <w:rFonts w:ascii="Verdana" w:hAnsi="Verdana" w:cs="Arial"/>
          <w:sz w:val="20"/>
          <w:szCs w:val="20"/>
        </w:rPr>
      </w:pPr>
      <w:bookmarkStart w:id="40" w:name="_DV_M57"/>
      <w:bookmarkEnd w:id="40"/>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pPr>
        <w:tabs>
          <w:tab w:val="left" w:pos="720"/>
        </w:tabs>
        <w:spacing w:line="320" w:lineRule="exact"/>
        <w:contextualSpacing/>
        <w:jc w:val="both"/>
        <w:rPr>
          <w:rFonts w:ascii="Verdana" w:hAnsi="Verdana" w:cs="Arial"/>
          <w:sz w:val="20"/>
          <w:szCs w:val="20"/>
        </w:rPr>
      </w:pPr>
      <w:bookmarkStart w:id="41" w:name="_Toc499990318"/>
    </w:p>
    <w:p>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2" w:name="_DV_M58"/>
      <w:bookmarkEnd w:id="42"/>
      <w:r>
        <w:rPr>
          <w:rFonts w:ascii="Verdana" w:hAnsi="Verdana" w:cs="Arial"/>
          <w:sz w:val="20"/>
          <w:szCs w:val="20"/>
        </w:rPr>
        <w:t>As Debêntures serão depositadas para:</w:t>
      </w:r>
    </w:p>
    <w:p>
      <w:pPr>
        <w:keepNext/>
        <w:keepLines/>
        <w:tabs>
          <w:tab w:val="left" w:pos="720"/>
        </w:tabs>
        <w:spacing w:line="320" w:lineRule="exact"/>
        <w:contextualSpacing/>
        <w:jc w:val="both"/>
        <w:rPr>
          <w:rFonts w:ascii="Verdana" w:hAnsi="Verdana" w:cs="Arial"/>
          <w:sz w:val="20"/>
          <w:szCs w:val="20"/>
        </w:rPr>
      </w:pPr>
    </w:p>
    <w:p>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3" w:name="_DV_M59"/>
      <w:bookmarkEnd w:id="43"/>
      <w:r>
        <w:rPr>
          <w:rFonts w:ascii="Verdana" w:hAnsi="Verdana" w:cs="Arial"/>
          <w:sz w:val="20"/>
          <w:szCs w:val="20"/>
        </w:rPr>
        <w:t>distribuição no mercado primário por meio do MDA – Módulo de Distribuição de Ativos, administrado e operacionalizado pela B3 S.A. – Brasil, Bolsa, Balcão – Segmento Cetip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pPr>
        <w:tabs>
          <w:tab w:val="left" w:pos="720"/>
          <w:tab w:val="left" w:pos="900"/>
        </w:tabs>
        <w:spacing w:line="320" w:lineRule="exact"/>
        <w:ind w:left="709" w:hanging="709"/>
        <w:contextualSpacing/>
        <w:jc w:val="both"/>
        <w:rPr>
          <w:rFonts w:ascii="Verdana" w:hAnsi="Verdana" w:cs="Arial"/>
          <w:sz w:val="20"/>
          <w:szCs w:val="20"/>
        </w:rPr>
      </w:pPr>
    </w:p>
    <w:p>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4" w:name="_DV_M60"/>
      <w:bookmarkEnd w:id="44"/>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pPr>
        <w:tabs>
          <w:tab w:val="left" w:pos="720"/>
          <w:tab w:val="left" w:pos="900"/>
        </w:tabs>
        <w:spacing w:line="320" w:lineRule="exact"/>
        <w:contextualSpacing/>
        <w:jc w:val="both"/>
        <w:rPr>
          <w:rFonts w:ascii="Verdana" w:hAnsi="Verdana" w:cs="Arial"/>
          <w:sz w:val="20"/>
          <w:szCs w:val="20"/>
        </w:rPr>
      </w:pPr>
    </w:p>
    <w:p>
      <w:pPr>
        <w:numPr>
          <w:ilvl w:val="0"/>
          <w:numId w:val="24"/>
        </w:numPr>
        <w:tabs>
          <w:tab w:val="left" w:pos="720"/>
        </w:tabs>
        <w:spacing w:line="320" w:lineRule="exact"/>
        <w:ind w:hanging="720"/>
        <w:contextualSpacing/>
        <w:jc w:val="both"/>
        <w:rPr>
          <w:rFonts w:ascii="Verdana" w:hAnsi="Verdana" w:cs="Arial"/>
          <w:sz w:val="20"/>
          <w:szCs w:val="20"/>
        </w:rPr>
      </w:pPr>
      <w:bookmarkStart w:id="45" w:name="_DV_M61"/>
      <w:bookmarkEnd w:id="45"/>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pPr>
        <w:spacing w:line="320" w:lineRule="exact"/>
        <w:contextualSpacing/>
        <w:rPr>
          <w:rFonts w:ascii="Verdana" w:hAnsi="Verdana" w:cs="Arial"/>
          <w:sz w:val="20"/>
          <w:szCs w:val="20"/>
        </w:rPr>
      </w:pPr>
    </w:p>
    <w:p>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6" w:name="_DV_M62"/>
      <w:bookmarkEnd w:id="46"/>
      <w:r>
        <w:rPr>
          <w:rFonts w:ascii="Verdana" w:hAnsi="Verdana" w:cs="Arial"/>
          <w:b/>
          <w:sz w:val="20"/>
          <w:szCs w:val="20"/>
        </w:rPr>
        <w:lastRenderedPageBreak/>
        <w:t>Enquadramento do Projeto</w:t>
      </w:r>
    </w:p>
    <w:p>
      <w:pPr>
        <w:keepNext/>
        <w:keepLines/>
        <w:spacing w:line="320" w:lineRule="exact"/>
        <w:contextualSpacing/>
        <w:rPr>
          <w:rFonts w:ascii="Verdana" w:hAnsi="Verdana" w:cs="Arial"/>
          <w:sz w:val="20"/>
          <w:szCs w:val="20"/>
        </w:rPr>
      </w:pPr>
    </w:p>
    <w:p>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7" w:name="_DV_M63"/>
      <w:bookmarkEnd w:id="47"/>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(ii) nº 284, de 04 de outubro de 2017; (iii) nº 285, de 04 de outubro de 2017; e (iv)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pPr>
        <w:widowControl w:val="0"/>
        <w:spacing w:line="320" w:lineRule="exact"/>
        <w:ind w:left="709" w:hanging="709"/>
        <w:contextualSpacing/>
        <w:jc w:val="both"/>
        <w:rPr>
          <w:rFonts w:ascii="Verdana" w:hAnsi="Verdana" w:cs="Arial"/>
          <w:sz w:val="20"/>
          <w:szCs w:val="20"/>
        </w:rPr>
      </w:pPr>
    </w:p>
    <w:p>
      <w:pPr>
        <w:pStyle w:val="Ttulo1"/>
        <w:rPr>
          <w:rFonts w:ascii="Verdana" w:hAnsi="Verdana"/>
          <w:sz w:val="20"/>
          <w:szCs w:val="20"/>
          <w:lang w:val="pt-BR"/>
        </w:rPr>
      </w:pPr>
      <w:bookmarkStart w:id="48" w:name="_DV_M64"/>
      <w:bookmarkStart w:id="49" w:name="_Toc280370536"/>
      <w:bookmarkStart w:id="50" w:name="_Toc349040592"/>
      <w:bookmarkStart w:id="51" w:name="_Toc351469177"/>
      <w:bookmarkStart w:id="52" w:name="_Toc352767479"/>
      <w:bookmarkStart w:id="53" w:name="_Toc355626566"/>
      <w:bookmarkEnd w:id="48"/>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1"/>
      <w:bookmarkEnd w:id="49"/>
      <w:bookmarkEnd w:id="50"/>
      <w:bookmarkEnd w:id="51"/>
      <w:bookmarkEnd w:id="52"/>
      <w:bookmarkEnd w:id="53"/>
    </w:p>
    <w:p>
      <w:pPr>
        <w:keepNext/>
        <w:spacing w:line="320" w:lineRule="exact"/>
        <w:contextualSpacing/>
        <w:rPr>
          <w:rFonts w:ascii="Verdana" w:hAnsi="Verdana" w:cs="Arial"/>
          <w:sz w:val="20"/>
          <w:szCs w:val="20"/>
        </w:rPr>
      </w:pPr>
      <w:r>
        <w:rPr>
          <w:rFonts w:ascii="Verdana" w:hAnsi="Verdana" w:cs="Arial"/>
          <w:sz w:val="20"/>
          <w:szCs w:val="20"/>
        </w:rPr>
        <w:t xml:space="preserve"> </w:t>
      </w: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4" w:name="_DV_M65"/>
      <w:bookmarkEnd w:id="54"/>
      <w:r>
        <w:rPr>
          <w:rFonts w:ascii="Verdana" w:hAnsi="Verdana" w:cs="Arial"/>
          <w:b/>
          <w:sz w:val="20"/>
          <w:szCs w:val="20"/>
        </w:rPr>
        <w:t>Objeto Social da Emissora</w:t>
      </w:r>
    </w:p>
    <w:p>
      <w:pPr>
        <w:keepNext/>
        <w:spacing w:line="320" w:lineRule="exact"/>
        <w:contextualSpacing/>
        <w:rPr>
          <w:rFonts w:ascii="Verdana" w:hAnsi="Verdana" w:cs="Arial"/>
          <w:sz w:val="20"/>
          <w:szCs w:val="20"/>
        </w:rPr>
      </w:pPr>
    </w:p>
    <w:p>
      <w:pPr>
        <w:keepNext/>
        <w:numPr>
          <w:ilvl w:val="0"/>
          <w:numId w:val="20"/>
        </w:numPr>
        <w:spacing w:line="320" w:lineRule="exact"/>
        <w:ind w:hanging="720"/>
        <w:contextualSpacing/>
        <w:jc w:val="both"/>
        <w:rPr>
          <w:rFonts w:ascii="Verdana" w:hAnsi="Verdana" w:cs="Arial"/>
          <w:b/>
          <w:i/>
          <w:sz w:val="20"/>
          <w:szCs w:val="20"/>
        </w:rPr>
      </w:pPr>
      <w:bookmarkStart w:id="55" w:name="_DV_M66"/>
      <w:bookmarkEnd w:id="55"/>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Pr>
          <w:rFonts w:ascii="Verdana" w:hAnsi="Verdana"/>
          <w:sz w:val="20"/>
          <w:szCs w:val="20"/>
        </w:rPr>
        <w:t>.</w:t>
      </w:r>
    </w:p>
    <w:p>
      <w:pPr>
        <w:tabs>
          <w:tab w:val="left" w:pos="720"/>
        </w:tabs>
        <w:spacing w:line="320" w:lineRule="exact"/>
        <w:contextualSpacing/>
        <w:jc w:val="both"/>
        <w:rPr>
          <w:rFonts w:ascii="Verdana" w:hAnsi="Verdana" w:cs="Arial"/>
          <w:sz w:val="20"/>
          <w:szCs w:val="20"/>
        </w:rPr>
      </w:pPr>
    </w:p>
    <w:p>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6" w:name="_DV_M67"/>
      <w:bookmarkEnd w:id="56"/>
      <w:r>
        <w:rPr>
          <w:rFonts w:ascii="Verdana" w:hAnsi="Verdana" w:cs="Arial"/>
          <w:b/>
          <w:sz w:val="20"/>
          <w:szCs w:val="20"/>
        </w:rPr>
        <w:t>Número da Emissão</w:t>
      </w:r>
    </w:p>
    <w:p>
      <w:pPr>
        <w:keepNext/>
        <w:keepLines/>
        <w:tabs>
          <w:tab w:val="left" w:pos="720"/>
        </w:tabs>
        <w:spacing w:line="320" w:lineRule="exact"/>
        <w:contextualSpacing/>
        <w:jc w:val="both"/>
        <w:rPr>
          <w:rFonts w:ascii="Verdana" w:hAnsi="Verdana" w:cs="Arial"/>
          <w:sz w:val="20"/>
          <w:szCs w:val="20"/>
        </w:rPr>
      </w:pPr>
    </w:p>
    <w:p>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7" w:name="_DV_M68"/>
      <w:bookmarkEnd w:id="57"/>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pPr>
        <w:pStyle w:val="Corpodetexto3"/>
        <w:tabs>
          <w:tab w:val="left" w:pos="720"/>
        </w:tabs>
        <w:spacing w:line="320" w:lineRule="exact"/>
        <w:contextualSpacing/>
        <w:rPr>
          <w:rFonts w:ascii="Verdana" w:hAnsi="Verdana" w:cs="Arial"/>
          <w:sz w:val="20"/>
          <w:szCs w:val="20"/>
          <w:lang w:val="pt-BR"/>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8" w:name="_DV_M69"/>
      <w:bookmarkStart w:id="59" w:name="_DV_M70"/>
      <w:bookmarkStart w:id="60" w:name="_DV_M72"/>
      <w:bookmarkEnd w:id="58"/>
      <w:bookmarkEnd w:id="59"/>
      <w:bookmarkEnd w:id="60"/>
      <w:r>
        <w:rPr>
          <w:rFonts w:ascii="Verdana" w:hAnsi="Verdana" w:cs="Arial"/>
          <w:b/>
          <w:sz w:val="20"/>
          <w:szCs w:val="20"/>
        </w:rPr>
        <w:t>Data de Emissão</w:t>
      </w:r>
    </w:p>
    <w:p>
      <w:pPr>
        <w:keepNext/>
        <w:tabs>
          <w:tab w:val="left" w:pos="720"/>
        </w:tabs>
        <w:spacing w:line="320" w:lineRule="exact"/>
        <w:ind w:left="720"/>
        <w:contextualSpacing/>
        <w:jc w:val="both"/>
        <w:rPr>
          <w:rFonts w:ascii="Verdana" w:hAnsi="Verdana" w:cs="Arial"/>
          <w:b/>
          <w:sz w:val="20"/>
          <w:szCs w:val="20"/>
        </w:rPr>
      </w:pPr>
    </w:p>
    <w:p>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b/>
          <w:sz w:val="20"/>
          <w:szCs w:val="20"/>
          <w:lang w:val="pt-BR"/>
        </w:rPr>
      </w:pPr>
    </w:p>
    <w:p>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pPr>
        <w:tabs>
          <w:tab w:val="left" w:pos="720"/>
        </w:tabs>
        <w:spacing w:line="320" w:lineRule="exact"/>
        <w:contextualSpacing/>
        <w:jc w:val="both"/>
        <w:rPr>
          <w:rFonts w:ascii="Verdana" w:hAnsi="Verdana" w:cs="Arial"/>
          <w:sz w:val="20"/>
          <w:szCs w:val="20"/>
        </w:rPr>
      </w:pPr>
    </w:p>
    <w:p>
      <w:pPr>
        <w:tabs>
          <w:tab w:val="left" w:pos="720"/>
        </w:tabs>
        <w:spacing w:line="320" w:lineRule="exact"/>
        <w:ind w:left="709" w:hanging="709"/>
        <w:contextualSpacing/>
        <w:jc w:val="both"/>
        <w:rPr>
          <w:rFonts w:ascii="Verdana" w:hAnsi="Verdana" w:cs="Arial"/>
          <w:sz w:val="20"/>
          <w:szCs w:val="20"/>
        </w:rPr>
      </w:pPr>
      <w:bookmarkStart w:id="61" w:name="_DV_M73"/>
      <w:bookmarkEnd w:id="61"/>
      <w:r>
        <w:rPr>
          <w:rFonts w:ascii="Verdana" w:hAnsi="Verdana" w:cs="Arial"/>
          <w:sz w:val="20"/>
          <w:szCs w:val="20"/>
        </w:rPr>
        <w:t>3.4.1.</w:t>
      </w:r>
      <w:r>
        <w:rPr>
          <w:rFonts w:ascii="Verdana" w:hAnsi="Verdana" w:cs="Arial"/>
          <w:sz w:val="20"/>
          <w:szCs w:val="20"/>
        </w:rPr>
        <w:tab/>
      </w:r>
      <w:bookmarkStart w:id="62" w:name="_Toc367387544"/>
      <w:r>
        <w:rPr>
          <w:rFonts w:ascii="Verdana" w:hAnsi="Verdana" w:cs="Arial"/>
          <w:sz w:val="20"/>
          <w:szCs w:val="20"/>
        </w:rPr>
        <w:t xml:space="preserve">A Emissão será realizada em </w:t>
      </w:r>
      <w:bookmarkStart w:id="63" w:name="_Toc367218052"/>
      <w:bookmarkStart w:id="64" w:name="_Ref367358330"/>
      <w:bookmarkStart w:id="65" w:name="_Ref367358548"/>
      <w:bookmarkStart w:id="66" w:name="_Ref367358588"/>
      <w:bookmarkStart w:id="67" w:name="_Ref367358602"/>
      <w:bookmarkStart w:id="68" w:name="_Ref367358744"/>
      <w:bookmarkStart w:id="69" w:name="_Toc367387545"/>
      <w:bookmarkEnd w:id="62"/>
      <w:r>
        <w:rPr>
          <w:rFonts w:ascii="Verdana" w:hAnsi="Verdana" w:cs="Arial"/>
          <w:sz w:val="20"/>
          <w:szCs w:val="20"/>
        </w:rPr>
        <w:t>série única.</w:t>
      </w:r>
      <w:bookmarkEnd w:id="63"/>
      <w:bookmarkEnd w:id="64"/>
      <w:bookmarkEnd w:id="65"/>
      <w:bookmarkEnd w:id="66"/>
      <w:bookmarkEnd w:id="67"/>
      <w:bookmarkEnd w:id="68"/>
      <w:bookmarkEnd w:id="69"/>
    </w:p>
    <w:p>
      <w:pPr>
        <w:autoSpaceDE/>
        <w:autoSpaceDN/>
        <w:adjustRightInd/>
        <w:spacing w:line="320" w:lineRule="exact"/>
        <w:rPr>
          <w:rFonts w:ascii="Verdana" w:hAnsi="Verdana"/>
          <w:b/>
          <w:sz w:val="20"/>
          <w:szCs w:val="20"/>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pPr>
        <w:widowControl w:val="0"/>
        <w:tabs>
          <w:tab w:val="left" w:pos="720"/>
        </w:tabs>
        <w:spacing w:line="320" w:lineRule="exact"/>
        <w:contextualSpacing/>
        <w:jc w:val="both"/>
        <w:rPr>
          <w:rFonts w:ascii="Verdana" w:hAnsi="Verdana" w:cs="Arial"/>
          <w:sz w:val="20"/>
          <w:szCs w:val="20"/>
        </w:rPr>
      </w:pPr>
    </w:p>
    <w:p>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pPr>
        <w:pStyle w:val="Corpodetexto3"/>
        <w:tabs>
          <w:tab w:val="left" w:pos="720"/>
        </w:tabs>
        <w:spacing w:line="320" w:lineRule="exact"/>
        <w:ind w:left="720" w:hanging="720"/>
        <w:contextualSpacing/>
        <w:rPr>
          <w:rFonts w:ascii="Verdana" w:hAnsi="Verdana" w:cs="Arial"/>
          <w:sz w:val="20"/>
          <w:szCs w:val="20"/>
          <w:lang w:val="pt-BR"/>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70" w:name="_DV_M74"/>
      <w:bookmarkEnd w:id="70"/>
      <w:r>
        <w:rPr>
          <w:rFonts w:ascii="Verdana" w:hAnsi="Verdana" w:cs="Arial"/>
          <w:b/>
          <w:sz w:val="20"/>
          <w:szCs w:val="20"/>
        </w:rPr>
        <w:t>Colocação e Procedimento de Distribuição</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1" w:name="_DV_M75"/>
      <w:bookmarkEnd w:id="71"/>
      <w:r>
        <w:rPr>
          <w:rFonts w:ascii="Verdana" w:hAnsi="Verdana" w:cs="Arial"/>
          <w:sz w:val="20"/>
          <w:szCs w:val="20"/>
          <w:lang w:val="pt-BR"/>
        </w:rPr>
        <w:t xml:space="preserve">As Debêntures serão objeto de distribuição pública, com esforços restritos, em regime </w:t>
      </w:r>
      <w:bookmarkStart w:id="72" w:name="_DV_M76"/>
      <w:bookmarkEnd w:id="72"/>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Pr>
          <w:rFonts w:ascii="Verdana" w:hAnsi="Verdana"/>
          <w:i/>
          <w:sz w:val="20"/>
          <w:lang w:val="pt-BR"/>
        </w:rPr>
        <w:t>Contrato de Distribuição Pública, com Esforços Restritos, de Debêntures Simples, Não Conversíveis em Ações, da Espécie com Garantia Real, com Garantia Adicional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r>
        <w:rPr>
          <w:rFonts w:ascii="Verdana" w:hAnsi="Verdana" w:cs="Arial"/>
          <w:i/>
          <w:sz w:val="20"/>
          <w:szCs w:val="20"/>
          <w:u w:val="single"/>
          <w:lang w:val="pt-BR"/>
        </w:rPr>
        <w:t>Bookbuilding</w:t>
      </w:r>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r>
        <w:rPr>
          <w:rFonts w:ascii="Verdana" w:hAnsi="Verdana" w:cs="Arial"/>
          <w:i/>
          <w:sz w:val="20"/>
          <w:szCs w:val="20"/>
          <w:lang w:val="pt-BR"/>
        </w:rPr>
        <w:t>Bookbuilding</w:t>
      </w:r>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SPEs</w:t>
      </w:r>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SPEs</w:t>
      </w:r>
      <w:r>
        <w:rPr>
          <w:rStyle w:val="DeltaViewInsertion"/>
          <w:rFonts w:ascii="Verdana" w:hAnsi="Verdana" w:cs="Arial"/>
          <w:color w:val="auto"/>
          <w:sz w:val="20"/>
          <w:szCs w:val="20"/>
          <w:u w:val="none"/>
        </w:rPr>
        <w:t>.</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3" w:name="_DV_M79"/>
      <w:bookmarkEnd w:id="73"/>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pPr>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4" w:name="_DV_M80"/>
      <w:bookmarkEnd w:id="74"/>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pPr>
        <w:pStyle w:val="Corpodetexto3"/>
        <w:tabs>
          <w:tab w:val="left" w:pos="720"/>
        </w:tabs>
        <w:spacing w:line="320" w:lineRule="exact"/>
        <w:ind w:left="720"/>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(ii)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Verdana" w:hAnsi="Verdana" w:cs="Tahoma"/>
          <w:sz w:val="20"/>
          <w:szCs w:val="20"/>
          <w:lang w:val="pt-BR"/>
        </w:rPr>
        <w:t xml:space="preserve"> </w:t>
      </w:r>
    </w:p>
    <w:p>
      <w:pPr>
        <w:pStyle w:val="Corpodetexto3"/>
        <w:tabs>
          <w:tab w:val="left" w:pos="720"/>
        </w:tabs>
        <w:spacing w:line="320" w:lineRule="exact"/>
        <w:ind w:left="720"/>
        <w:contextualSpacing/>
        <w:rPr>
          <w:rFonts w:ascii="Verdana" w:hAnsi="Verdana" w:cs="Tahoma"/>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pPr>
        <w:tabs>
          <w:tab w:val="left" w:pos="1418"/>
        </w:tabs>
        <w:spacing w:line="320" w:lineRule="exact"/>
        <w:jc w:val="both"/>
        <w:rPr>
          <w:rFonts w:ascii="Verdana" w:hAnsi="Verdana"/>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5" w:name="_DV_M81"/>
      <w:bookmarkEnd w:id="75"/>
      <w:r>
        <w:rPr>
          <w:rFonts w:ascii="Verdana" w:hAnsi="Verdana" w:cs="Arial"/>
          <w:sz w:val="20"/>
          <w:szCs w:val="20"/>
          <w:lang w:val="pt-BR"/>
        </w:rPr>
        <w:t>No ato de subscrição e integralização das Debêntures, cada Investidor Profissional assinará declaração atestando</w:t>
      </w:r>
      <w:bookmarkStart w:id="76"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Pr>
          <w:rFonts w:ascii="Verdana" w:hAnsi="Verdana" w:cs="Arial"/>
          <w:sz w:val="20"/>
          <w:szCs w:val="20"/>
          <w:lang w:val="pt-BR"/>
        </w:rPr>
        <w:t xml:space="preserve">); (iv) que a Oferta Restrita não foi registrada perante a CVM; (v) que as Debêntures estão sujeitas a restrições de negociação previstas na Instrução CVM 476 e nesta </w:t>
      </w:r>
      <w:r>
        <w:rPr>
          <w:rFonts w:ascii="Verdana" w:hAnsi="Verdana" w:cs="Arial"/>
          <w:sz w:val="20"/>
          <w:szCs w:val="20"/>
          <w:lang w:val="pt-BR"/>
        </w:rPr>
        <w:lastRenderedPageBreak/>
        <w:t>Escritura de Emissão; e (vi) efetuou sua própria análise com relação à capacidade de pagamento da Emissora e sobre a constituição, suficiência e exequibilidade das Garantias (conforme definido na Cláusula 4.16.1 abaixo)</w:t>
      </w:r>
      <w:bookmarkStart w:id="77" w:name="_DV_M82"/>
      <w:bookmarkStart w:id="78" w:name="_DV_M83"/>
      <w:bookmarkEnd w:id="76"/>
      <w:bookmarkEnd w:id="77"/>
      <w:bookmarkEnd w:id="78"/>
      <w:r>
        <w:rPr>
          <w:rFonts w:ascii="Verdana" w:hAnsi="Verdana" w:cs="Arial"/>
          <w:sz w:val="20"/>
          <w:szCs w:val="20"/>
          <w:lang w:val="pt-BR"/>
        </w:rPr>
        <w:t>.</w:t>
      </w:r>
    </w:p>
    <w:p>
      <w:pPr>
        <w:pStyle w:val="Corpodetexto3"/>
        <w:tabs>
          <w:tab w:val="left" w:pos="720"/>
        </w:tabs>
        <w:spacing w:line="320" w:lineRule="exact"/>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9" w:name="_Toc367218064"/>
      <w:bookmarkStart w:id="80"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79"/>
      <w:bookmarkEnd w:id="80"/>
      <w:r>
        <w:rPr>
          <w:rFonts w:ascii="Verdana" w:hAnsi="Verdana" w:cs="Arial"/>
          <w:sz w:val="20"/>
          <w:szCs w:val="20"/>
          <w:lang w:val="pt-BR"/>
        </w:rPr>
        <w:t xml:space="preserve"> </w:t>
      </w:r>
    </w:p>
    <w:p>
      <w:pPr>
        <w:pStyle w:val="Corpodetexto3"/>
        <w:tabs>
          <w:tab w:val="left" w:pos="720"/>
        </w:tabs>
        <w:spacing w:line="320" w:lineRule="exact"/>
        <w:contextualSpacing/>
        <w:jc w:val="left"/>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1" w:name="_Toc367218065"/>
      <w:bookmarkStart w:id="82" w:name="_Toc367387560"/>
      <w:r>
        <w:rPr>
          <w:rFonts w:ascii="Verdana" w:hAnsi="Verdana" w:cs="Arial"/>
          <w:sz w:val="20"/>
          <w:szCs w:val="20"/>
          <w:lang w:val="pt-BR"/>
        </w:rPr>
        <w:t>Não haverá preferência para subscrição das Debêntures pela(s) atual(is) acionista(s) da Emissora.</w:t>
      </w:r>
      <w:bookmarkEnd w:id="81"/>
      <w:bookmarkEnd w:id="82"/>
      <w:r>
        <w:rPr>
          <w:rFonts w:ascii="Verdana" w:hAnsi="Verdana" w:cs="Arial"/>
          <w:sz w:val="20"/>
          <w:szCs w:val="20"/>
          <w:lang w:val="pt-BR"/>
        </w:rPr>
        <w:t xml:space="preserve"> </w:t>
      </w:r>
    </w:p>
    <w:p>
      <w:pPr>
        <w:pStyle w:val="PargrafodaLista"/>
        <w:spacing w:line="320" w:lineRule="exact"/>
        <w:contextualSpacing/>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pPr>
        <w:pStyle w:val="PargrafodaLista"/>
        <w:rPr>
          <w:rFonts w:ascii="Verdana" w:hAnsi="Verdana" w:cs="Tahoma"/>
          <w:sz w:val="20"/>
          <w:szCs w:val="20"/>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pPr>
        <w:spacing w:line="320" w:lineRule="exact"/>
        <w:contextualSpacing/>
        <w:jc w:val="both"/>
        <w:rPr>
          <w:rFonts w:ascii="Verdana" w:hAnsi="Verdana" w:cs="Arial"/>
          <w:sz w:val="20"/>
          <w:szCs w:val="20"/>
        </w:rPr>
      </w:pPr>
      <w:bookmarkStart w:id="83" w:name="_DV_M84"/>
      <w:bookmarkStart w:id="84" w:name="_DV_M85"/>
      <w:bookmarkStart w:id="85" w:name="_DV_M87"/>
      <w:bookmarkStart w:id="86" w:name="_DV_M91"/>
      <w:bookmarkStart w:id="87" w:name="_DV_M93"/>
      <w:bookmarkStart w:id="88" w:name="_DV_M94"/>
      <w:bookmarkEnd w:id="83"/>
      <w:bookmarkEnd w:id="84"/>
      <w:bookmarkEnd w:id="85"/>
      <w:bookmarkEnd w:id="86"/>
      <w:bookmarkEnd w:id="87"/>
      <w:bookmarkEnd w:id="88"/>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89" w:name="_DV_M95"/>
      <w:bookmarkEnd w:id="89"/>
      <w:r>
        <w:rPr>
          <w:rFonts w:ascii="Verdana" w:hAnsi="Verdana" w:cs="Arial"/>
          <w:b/>
          <w:sz w:val="20"/>
          <w:szCs w:val="20"/>
        </w:rPr>
        <w:t xml:space="preserve">Agente de Liquidação e Escriturador </w:t>
      </w:r>
    </w:p>
    <w:p>
      <w:pPr>
        <w:keepNext/>
        <w:spacing w:line="320" w:lineRule="exact"/>
        <w:contextualSpacing/>
        <w:jc w:val="both"/>
        <w:rPr>
          <w:rFonts w:ascii="Verdana" w:hAnsi="Verdana" w:cs="Arial"/>
          <w:sz w:val="20"/>
          <w:szCs w:val="20"/>
        </w:rPr>
      </w:pPr>
    </w:p>
    <w:p>
      <w:pPr>
        <w:keepNext/>
        <w:tabs>
          <w:tab w:val="left" w:pos="720"/>
        </w:tabs>
        <w:spacing w:line="320" w:lineRule="exact"/>
        <w:ind w:left="709" w:hanging="709"/>
        <w:contextualSpacing/>
        <w:jc w:val="both"/>
        <w:rPr>
          <w:rFonts w:ascii="Verdana" w:hAnsi="Verdana" w:cs="Arial"/>
          <w:sz w:val="20"/>
          <w:szCs w:val="20"/>
        </w:rPr>
      </w:pPr>
      <w:bookmarkStart w:id="90" w:name="_DV_M96"/>
      <w:bookmarkEnd w:id="90"/>
      <w:r>
        <w:rPr>
          <w:rFonts w:ascii="Verdana" w:hAnsi="Verdana" w:cs="Arial"/>
          <w:sz w:val="20"/>
          <w:szCs w:val="20"/>
        </w:rPr>
        <w:t>3.7.1.</w:t>
      </w:r>
      <w:r>
        <w:rPr>
          <w:rFonts w:ascii="Verdana" w:hAnsi="Verdana" w:cs="Arial"/>
          <w:sz w:val="20"/>
          <w:szCs w:val="20"/>
        </w:rPr>
        <w:tab/>
        <w:t xml:space="preserve">O agente de liquidação da Emissão </w:t>
      </w:r>
      <w:r>
        <w:rPr>
          <w:rFonts w:ascii="Verdana" w:hAnsi="Verdana"/>
          <w:sz w:val="20"/>
          <w:szCs w:val="20"/>
        </w:rPr>
        <w:t xml:space="preserve">e o escriturador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Agente de Liquidação</w:t>
      </w:r>
      <w:r>
        <w:rPr>
          <w:rFonts w:ascii="Verdana" w:hAnsi="Verdana"/>
          <w:sz w:val="20"/>
          <w:szCs w:val="20"/>
        </w:rPr>
        <w:t>” e “</w:t>
      </w:r>
      <w:r>
        <w:rPr>
          <w:rFonts w:ascii="Verdana" w:hAnsi="Verdana"/>
          <w:sz w:val="20"/>
          <w:szCs w:val="20"/>
          <w:u w:val="single"/>
        </w:rPr>
        <w:t>Escriturador</w:t>
      </w:r>
      <w:r>
        <w:rPr>
          <w:rFonts w:ascii="Verdana" w:hAnsi="Verdana"/>
          <w:sz w:val="20"/>
          <w:szCs w:val="20"/>
        </w:rPr>
        <w:t xml:space="preserve">”). </w:t>
      </w:r>
      <w:r>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Agente de Liquidação e o Escriturador poderão ser substituídos a qualquer tempo, mediante aprovação pelos Debenturistas reunidos em Assembleia Geral de Debenturistas (conforme definido na Cláusula 8.1.1 abaixo). </w:t>
      </w:r>
    </w:p>
    <w:p>
      <w:pPr>
        <w:spacing w:line="320" w:lineRule="exact"/>
        <w:contextualSpacing/>
        <w:jc w:val="both"/>
        <w:rPr>
          <w:rFonts w:ascii="Verdana" w:hAnsi="Verdana" w:cs="Arial"/>
          <w:sz w:val="20"/>
          <w:szCs w:val="20"/>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91" w:name="_DV_M97"/>
      <w:bookmarkEnd w:id="91"/>
      <w:r>
        <w:rPr>
          <w:rFonts w:ascii="Verdana" w:hAnsi="Verdana" w:cs="Arial"/>
          <w:b/>
          <w:sz w:val="20"/>
          <w:szCs w:val="20"/>
        </w:rPr>
        <w:lastRenderedPageBreak/>
        <w:t>Destinação dos Recursos</w:t>
      </w:r>
    </w:p>
    <w:p>
      <w:pPr>
        <w:keepNext/>
        <w:spacing w:line="320" w:lineRule="exact"/>
        <w:contextualSpacing/>
        <w:jc w:val="both"/>
        <w:rPr>
          <w:rFonts w:ascii="Verdana" w:hAnsi="Verdana" w:cs="Arial"/>
          <w:sz w:val="20"/>
          <w:szCs w:val="20"/>
        </w:rPr>
      </w:pPr>
    </w:p>
    <w:p>
      <w:pPr>
        <w:keepNext/>
        <w:tabs>
          <w:tab w:val="left" w:pos="0"/>
        </w:tabs>
        <w:spacing w:line="320" w:lineRule="exact"/>
        <w:ind w:left="705" w:hanging="705"/>
        <w:contextualSpacing/>
        <w:jc w:val="both"/>
        <w:rPr>
          <w:rFonts w:ascii="Verdana" w:hAnsi="Verdana" w:cs="Arial"/>
          <w:sz w:val="20"/>
          <w:szCs w:val="20"/>
        </w:rPr>
      </w:pPr>
      <w:bookmarkStart w:id="92" w:name="_DV_M98"/>
      <w:bookmarkEnd w:id="92"/>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3" w:name="_DV_C50"/>
      <w:r>
        <w:rPr>
          <w:rFonts w:ascii="Verdana" w:hAnsi="Verdana" w:cs="Arial"/>
          <w:sz w:val="20"/>
          <w:szCs w:val="20"/>
        </w:rPr>
        <w:t xml:space="preserve"> por meio </w:t>
      </w:r>
      <w:bookmarkEnd w:id="93"/>
      <w:r>
        <w:rPr>
          <w:rFonts w:ascii="Verdana" w:hAnsi="Verdana" w:cs="Arial"/>
          <w:sz w:val="20"/>
          <w:szCs w:val="20"/>
        </w:rPr>
        <w:t>da Emissão das Debêntures</w:t>
      </w:r>
      <w:bookmarkStart w:id="94" w:name="_DV_C55"/>
      <w:r>
        <w:rPr>
          <w:rFonts w:ascii="Verdana" w:hAnsi="Verdana" w:cs="Arial"/>
          <w:sz w:val="20"/>
          <w:szCs w:val="20"/>
        </w:rPr>
        <w:t xml:space="preserve"> serão utilizados </w:t>
      </w:r>
      <w:bookmarkEnd w:id="94"/>
      <w:r>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w:t>
      </w:r>
    </w:p>
    <w:p>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pPr>
              <w:pStyle w:val="BNDES"/>
              <w:spacing w:after="0" w:line="320" w:lineRule="exact"/>
              <w:contextualSpacing/>
              <w:rPr>
                <w:rFonts w:ascii="Verdana" w:hAnsi="Verdana"/>
                <w:sz w:val="20"/>
              </w:rPr>
            </w:pPr>
            <w:r>
              <w:rPr>
                <w:rFonts w:ascii="Verdana" w:hAnsi="Verdana"/>
                <w:sz w:val="20"/>
              </w:rPr>
              <w:t xml:space="preserve">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Janeiro de 2018</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Em operação</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R$599.000.000,00 (quinhentos e noventa e nove milhões de reais).</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aos Projetos.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
          <w:p>
            <w:pPr>
              <w:spacing w:line="252" w:lineRule="auto"/>
              <w:jc w:val="both"/>
              <w:rPr>
                <w:rFonts w:ascii="Verdana" w:hAnsi="Verdana"/>
                <w:sz w:val="20"/>
                <w:szCs w:val="20"/>
              </w:rPr>
            </w:pPr>
            <w:r>
              <w:rPr>
                <w:rFonts w:ascii="Verdana" w:hAnsi="Verdana"/>
                <w:sz w:val="20"/>
                <w:szCs w:val="20"/>
              </w:rPr>
              <w:t>Aproximadamente 13%.</w:t>
            </w:r>
          </w:p>
          <w:p>
            <w:pPr>
              <w:jc w:val="both"/>
              <w:rPr>
                <w:rFonts w:ascii="Verdana" w:hAnsi="Verdana"/>
                <w:sz w:val="20"/>
                <w:szCs w:val="20"/>
              </w:rPr>
            </w:pPr>
          </w:p>
        </w:tc>
      </w:tr>
    </w:tbl>
    <w:p>
      <w:pPr>
        <w:tabs>
          <w:tab w:val="left" w:pos="0"/>
        </w:tabs>
        <w:spacing w:line="320" w:lineRule="exact"/>
        <w:ind w:left="705" w:hanging="705"/>
        <w:contextualSpacing/>
        <w:jc w:val="both"/>
        <w:rPr>
          <w:rFonts w:ascii="Verdana" w:hAnsi="Verdana"/>
          <w:i/>
          <w:sz w:val="20"/>
          <w:szCs w:val="20"/>
          <w:highlight w:val="yellow"/>
        </w:rPr>
      </w:pPr>
    </w:p>
    <w:p>
      <w:pPr>
        <w:pStyle w:val="Ttulo1"/>
        <w:rPr>
          <w:rFonts w:ascii="Verdana" w:hAnsi="Verdana"/>
          <w:sz w:val="20"/>
          <w:szCs w:val="20"/>
          <w:lang w:val="pt-BR"/>
        </w:rPr>
      </w:pPr>
      <w:bookmarkStart w:id="95" w:name="_DV_M106"/>
      <w:bookmarkStart w:id="96" w:name="_DV_M113"/>
      <w:bookmarkStart w:id="97" w:name="_Toc499990325"/>
      <w:bookmarkStart w:id="98" w:name="_Toc280370537"/>
      <w:bookmarkStart w:id="99" w:name="_Toc349040593"/>
      <w:bookmarkStart w:id="100" w:name="_Toc351469178"/>
      <w:bookmarkStart w:id="101" w:name="_Toc352767480"/>
      <w:bookmarkStart w:id="102" w:name="_Toc355626567"/>
      <w:bookmarkEnd w:id="95"/>
      <w:bookmarkEnd w:id="96"/>
    </w:p>
    <w:p>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pPr>
        <w:spacing w:line="320" w:lineRule="exact"/>
        <w:ind w:left="703" w:hanging="703"/>
        <w:jc w:val="both"/>
        <w:rPr>
          <w:rFonts w:ascii="Verdana" w:hAnsi="Verdana" w:cs="Arial"/>
          <w:sz w:val="20"/>
          <w:szCs w:val="20"/>
        </w:rPr>
      </w:pPr>
    </w:p>
    <w:p>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97"/>
      <w:bookmarkEnd w:id="98"/>
      <w:bookmarkEnd w:id="99"/>
      <w:bookmarkEnd w:id="100"/>
      <w:bookmarkEnd w:id="101"/>
      <w:bookmarkEnd w:id="102"/>
      <w:r>
        <w:rPr>
          <w:rFonts w:ascii="Verdana" w:hAnsi="Verdana"/>
          <w:sz w:val="20"/>
          <w:szCs w:val="20"/>
          <w:lang w:val="pt-BR"/>
        </w:rPr>
        <w:t xml:space="preserve"> </w:t>
      </w:r>
    </w:p>
    <w:p>
      <w:pPr>
        <w:keepNext/>
        <w:tabs>
          <w:tab w:val="left" w:pos="0"/>
        </w:tabs>
        <w:spacing w:line="320" w:lineRule="exact"/>
        <w:contextualSpacing/>
        <w:jc w:val="both"/>
        <w:rPr>
          <w:rFonts w:ascii="Verdana" w:hAnsi="Verdana" w:cs="Arial"/>
          <w:sz w:val="20"/>
          <w:szCs w:val="20"/>
        </w:rPr>
      </w:pPr>
      <w:bookmarkStart w:id="103" w:name="_Toc499990326"/>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04" w:name="_DV_M114"/>
      <w:bookmarkEnd w:id="104"/>
      <w:r>
        <w:rPr>
          <w:rFonts w:ascii="Verdana" w:hAnsi="Verdana" w:cs="Arial"/>
          <w:b/>
          <w:sz w:val="20"/>
          <w:szCs w:val="20"/>
        </w:rPr>
        <w:t>Características Básicas</w:t>
      </w:r>
    </w:p>
    <w:p>
      <w:pPr>
        <w:keepNext/>
        <w:tabs>
          <w:tab w:val="left" w:pos="0"/>
        </w:tabs>
        <w:spacing w:line="320" w:lineRule="exact"/>
        <w:contextualSpacing/>
        <w:jc w:val="both"/>
        <w:rPr>
          <w:rFonts w:ascii="Verdana" w:hAnsi="Verdana" w:cs="Arial"/>
          <w:b/>
          <w:sz w:val="20"/>
          <w:szCs w:val="20"/>
        </w:rPr>
      </w:pPr>
    </w:p>
    <w:p>
      <w:pPr>
        <w:keepNext/>
        <w:spacing w:line="320" w:lineRule="exact"/>
        <w:ind w:left="705" w:hanging="705"/>
        <w:contextualSpacing/>
        <w:jc w:val="both"/>
        <w:rPr>
          <w:rFonts w:ascii="Verdana" w:hAnsi="Verdana" w:cs="Arial"/>
          <w:sz w:val="20"/>
          <w:szCs w:val="20"/>
        </w:rPr>
      </w:pPr>
      <w:bookmarkStart w:id="105" w:name="_DV_M115"/>
      <w:bookmarkEnd w:id="105"/>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06" w:name="_DV_M117"/>
      <w:bookmarkEnd w:id="106"/>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9" w:hanging="709"/>
        <w:contextualSpacing/>
        <w:jc w:val="both"/>
        <w:rPr>
          <w:rFonts w:ascii="Verdana" w:hAnsi="Verdana" w:cs="Arial"/>
          <w:sz w:val="20"/>
          <w:szCs w:val="20"/>
        </w:rPr>
      </w:pPr>
      <w:bookmarkStart w:id="107" w:name="_DV_M118"/>
      <w:bookmarkEnd w:id="107"/>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 com garantia adicional real</w:t>
      </w:r>
      <w:r>
        <w:rPr>
          <w:rFonts w:ascii="Verdana" w:hAnsi="Verdana" w:cs="Arial"/>
          <w:caps/>
          <w:sz w:val="20"/>
          <w:szCs w:val="20"/>
        </w:rPr>
        <w:t>.</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09"/>
      <w:bookmarkEnd w:id="110"/>
      <w:bookmarkEnd w:id="111"/>
      <w:bookmarkEnd w:id="112"/>
      <w:bookmarkEnd w:id="113"/>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pro rata temporis</w:t>
      </w:r>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14"/>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5" w:name="_Toc367387464"/>
      <w:bookmarkStart w:id="116" w:name="_Toc367387578"/>
      <w:bookmarkStart w:id="117" w:name="_Toc367389044"/>
      <w:bookmarkStart w:id="118" w:name="_Toc375090253"/>
      <w:bookmarkStart w:id="119" w:name="_Toc368667903"/>
    </w:p>
    <w:p>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15"/>
      <w:bookmarkEnd w:id="116"/>
      <w:bookmarkEnd w:id="117"/>
      <w:bookmarkEnd w:id="118"/>
      <w:bookmarkEnd w:id="119"/>
      <w:r>
        <w:rPr>
          <w:rStyle w:val="DeltaViewInsertion"/>
          <w:rFonts w:ascii="Verdana" w:hAnsi="Verdana" w:cs="Arial"/>
          <w:b/>
          <w:color w:val="auto"/>
          <w:sz w:val="20"/>
          <w:szCs w:val="20"/>
          <w:u w:val="none"/>
        </w:rPr>
        <w:t>:</w:t>
      </w:r>
      <w:bookmarkStart w:id="120"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w:t>
      </w:r>
      <w:r>
        <w:rPr>
          <w:rStyle w:val="DeltaViewInsertion"/>
          <w:rFonts w:ascii="Verdana" w:hAnsi="Verdana" w:cs="Arial"/>
          <w:color w:val="auto"/>
          <w:sz w:val="20"/>
          <w:szCs w:val="20"/>
          <w:u w:val="none"/>
        </w:rPr>
        <w:lastRenderedPageBreak/>
        <w:t xml:space="preserve">vencimento de 10 (dez) anos e 6 (seis) meses, vencendo-se, portanto, em </w:t>
      </w:r>
      <w:r>
        <w:rPr>
          <w:rFonts w:ascii="Verdana" w:hAnsi="Verdana"/>
          <w:sz w:val="20"/>
        </w:rPr>
        <w:t>[●]</w:t>
      </w:r>
      <w:r>
        <w:rPr>
          <w:rStyle w:val="DeltaViewInsertion"/>
          <w:rFonts w:ascii="Verdana" w:hAnsi="Verdana" w:cs="Arial"/>
          <w:color w:val="auto"/>
          <w:sz w:val="20"/>
          <w:szCs w:val="20"/>
          <w:u w:val="none"/>
        </w:rPr>
        <w:t xml:space="preserve"> de </w:t>
      </w:r>
      <w:r>
        <w:rPr>
          <w:rFonts w:ascii="Verdana" w:hAnsi="Verdana"/>
          <w:sz w:val="20"/>
        </w:rPr>
        <w:t>[●]</w:t>
      </w:r>
      <w:r>
        <w:rPr>
          <w:rStyle w:val="DeltaViewInsertion"/>
          <w:rFonts w:ascii="Verdana" w:hAnsi="Verdana" w:cs="Arial"/>
          <w:color w:val="auto"/>
          <w:sz w:val="20"/>
          <w:szCs w:val="20"/>
          <w:u w:val="none"/>
        </w:rPr>
        <w:t xml:space="preserve"> de 2030 (“</w:t>
      </w:r>
      <w:r>
        <w:rPr>
          <w:rStyle w:val="DeltaViewInsertion"/>
          <w:rFonts w:ascii="Verdana" w:hAnsi="Verdana" w:cs="Arial"/>
          <w:color w:val="auto"/>
          <w:sz w:val="20"/>
          <w:szCs w:val="20"/>
          <w:u w:val="single"/>
        </w:rPr>
        <w:t>Data de Vencimento das Debêntures</w:t>
      </w:r>
      <w:bookmarkEnd w:id="120"/>
      <w:r>
        <w:rPr>
          <w:rStyle w:val="DeltaViewInsertion"/>
          <w:rFonts w:ascii="Verdana" w:hAnsi="Verdana" w:cs="Arial"/>
          <w:color w:val="auto"/>
          <w:sz w:val="20"/>
          <w:szCs w:val="20"/>
          <w:u w:val="none"/>
        </w:rPr>
        <w:t xml:space="preserve">”). </w:t>
      </w:r>
    </w:p>
    <w:p>
      <w:pPr>
        <w:spacing w:line="320" w:lineRule="exact"/>
        <w:contextualSpacing/>
        <w:jc w:val="both"/>
        <w:rPr>
          <w:rFonts w:ascii="Verdana" w:hAnsi="Verdana" w:cs="Arial"/>
          <w:sz w:val="20"/>
          <w:szCs w:val="20"/>
        </w:rPr>
      </w:pPr>
      <w:bookmarkStart w:id="121" w:name="_DV_M121"/>
      <w:bookmarkEnd w:id="121"/>
    </w:p>
    <w:p>
      <w:pPr>
        <w:spacing w:line="320" w:lineRule="exact"/>
        <w:ind w:left="705" w:hanging="705"/>
        <w:contextualSpacing/>
        <w:jc w:val="both"/>
        <w:rPr>
          <w:rStyle w:val="DeltaViewInsertion"/>
          <w:rFonts w:ascii="Verdana" w:hAnsi="Verdana" w:cs="Arial"/>
          <w:color w:val="auto"/>
          <w:sz w:val="20"/>
          <w:szCs w:val="20"/>
          <w:u w:val="none"/>
        </w:rPr>
      </w:pPr>
      <w:bookmarkStart w:id="122" w:name="_DV_M122"/>
      <w:bookmarkEnd w:id="122"/>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23"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24" w:name="_DV_M123"/>
      <w:bookmarkEnd w:id="123"/>
      <w:bookmarkEnd w:id="124"/>
      <w:r>
        <w:rPr>
          <w:rFonts w:ascii="Verdana" w:hAnsi="Verdana" w:cs="Arial"/>
          <w:sz w:val="20"/>
          <w:szCs w:val="20"/>
        </w:rPr>
        <w:t xml:space="preserve"> </w:t>
      </w:r>
      <w:bookmarkStart w:id="125" w:name="_DV_M124"/>
      <w:bookmarkEnd w:id="125"/>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Pr>
          <w:rStyle w:val="DeltaViewInsertion"/>
          <w:rFonts w:ascii="Verdana" w:hAnsi="Verdana" w:cs="Arial"/>
          <w:color w:val="auto"/>
          <w:sz w:val="20"/>
          <w:szCs w:val="20"/>
          <w:u w:val="none"/>
        </w:rPr>
        <w:t xml:space="preserve">. </w:t>
      </w:r>
    </w:p>
    <w:p>
      <w:pPr>
        <w:numPr>
          <w:ilvl w:val="12"/>
          <w:numId w:val="0"/>
        </w:numPr>
        <w:tabs>
          <w:tab w:val="left" w:pos="720"/>
        </w:tabs>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hAnsi="Verdana" w:cs="Arial"/>
          <w:sz w:val="20"/>
          <w:szCs w:val="20"/>
        </w:rPr>
      </w:pPr>
      <w:bookmarkStart w:id="126" w:name="_DV_M125"/>
      <w:bookmarkStart w:id="127" w:name="_Toc499990343"/>
      <w:bookmarkEnd w:id="103"/>
      <w:bookmarkEnd w:id="126"/>
      <w:r>
        <w:rPr>
          <w:rFonts w:ascii="Verdana" w:hAnsi="Verdana" w:cs="Arial"/>
          <w:b/>
          <w:sz w:val="20"/>
          <w:szCs w:val="20"/>
        </w:rPr>
        <w:t>Atualização Monetária e Juros Remuneratórios</w:t>
      </w:r>
      <w:r>
        <w:rPr>
          <w:rFonts w:ascii="Verdana" w:hAnsi="Verdana" w:cs="Arial"/>
          <w:sz w:val="20"/>
          <w:szCs w:val="20"/>
        </w:rPr>
        <w:t xml:space="preserve"> </w:t>
      </w:r>
      <w:bookmarkStart w:id="128" w:name="_DV_M126"/>
      <w:bookmarkEnd w:id="128"/>
    </w:p>
    <w:p>
      <w:pPr>
        <w:keepNext/>
        <w:tabs>
          <w:tab w:val="left" w:pos="720"/>
        </w:tabs>
        <w:spacing w:line="320" w:lineRule="exact"/>
        <w:ind w:left="720"/>
        <w:contextualSpacing/>
        <w:jc w:val="both"/>
        <w:rPr>
          <w:rFonts w:ascii="Verdana" w:hAnsi="Verdana" w:cs="Arial"/>
          <w:sz w:val="20"/>
          <w:szCs w:val="20"/>
        </w:rPr>
      </w:pPr>
    </w:p>
    <w:p>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pPr>
        <w:spacing w:line="320" w:lineRule="exact"/>
        <w:contextualSpacing/>
        <w:jc w:val="both"/>
        <w:rPr>
          <w:rStyle w:val="DeltaViewInsertion"/>
          <w:rFonts w:ascii="Verdana" w:hAnsi="Verdana"/>
          <w:color w:val="auto"/>
          <w:sz w:val="20"/>
          <w:szCs w:val="20"/>
          <w:u w:val="none"/>
        </w:rPr>
      </w:pPr>
    </w:p>
    <w:p>
      <w:pPr>
        <w:spacing w:line="320" w:lineRule="exact"/>
        <w:contextualSpacing/>
        <w:jc w:val="both"/>
        <w:rPr>
          <w:rStyle w:val="DeltaViewInsertion"/>
          <w:rFonts w:ascii="Verdana" w:hAnsi="Verdana" w:cs="Arial"/>
          <w:color w:val="auto"/>
          <w:sz w:val="20"/>
          <w:szCs w:val="20"/>
          <w:u w:val="none"/>
        </w:rPr>
      </w:pPr>
      <w:bookmarkStart w:id="129" w:name="_DV_M127"/>
      <w:bookmarkEnd w:id="129"/>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30" w:name="_Ref367359153"/>
      <w:bookmarkStart w:id="131" w:name="_Toc367387582"/>
      <w:r>
        <w:rPr>
          <w:rStyle w:val="DeltaViewInsertion"/>
          <w:rFonts w:ascii="Verdana" w:hAnsi="Verdana" w:cs="Arial"/>
          <w:b/>
          <w:color w:val="auto"/>
          <w:sz w:val="20"/>
          <w:szCs w:val="20"/>
          <w:u w:val="none"/>
        </w:rPr>
        <w:t xml:space="preserve">Atualização Monetária das Debêntures: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por Dias Úteis conforme a fórmula abaixo:</w:t>
      </w:r>
      <w:bookmarkEnd w:id="130"/>
      <w:bookmarkEnd w:id="131"/>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VNa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C = Fator acumulado das variações mensais do IPCA calculado com 8 (oito) casas decimais, sem arredondamento, apurado da seguinte forma:</w:t>
      </w:r>
    </w:p>
    <w:p>
      <w:pPr>
        <w:spacing w:line="320" w:lineRule="exact"/>
        <w:contextualSpacing/>
        <w:jc w:val="both"/>
        <w:rPr>
          <w:rStyle w:val="DeltaViewInsertion"/>
          <w:rFonts w:ascii="Verdana" w:hAnsi="Verdana" w:cs="Arial"/>
          <w:color w:val="auto"/>
          <w:sz w:val="20"/>
          <w:szCs w:val="20"/>
          <w:u w:val="none"/>
        </w:rPr>
      </w:pPr>
    </w:p>
    <w:p>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dup = número de Dias Úteis entre a Data de Subscrição ou a última Data de Aniversário (conforme abaixo definido) das Debêntures e a data de cálculo, limitado ao número total de Dias Úteis de vigência do índice utilizado, sendo “dup”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dut = número de Dias Úteis entre a última e a próxima Data de Aniversário das Debêntures, sendo “dut”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 = valor do número-índice do IPCA do mês anterior ao mês de atualização, caso a atualização seja em data anterior ou na própria Data de Aniversário das Debêntures. Após a Data de Aniversário, valor do número-índice do IPCA do mês de atualização; 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NIk-1 = valor do número-índice do ICPA do mês anterior ao mês “k”.</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pPr>
        <w:spacing w:line="320" w:lineRule="atLeast"/>
        <w:contextualSpacing/>
        <w:jc w:val="center"/>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produtório final é executado a partir do fator mais recente, acrescentando-se, em seguida, os mais remotos. Os resultados intermediários são calculados com 16 (dezesseis)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A aplicação do IPCA incidirá no menor período permitido pela legislação em vigor, sem necessidade de ajuste à Escritura de Emissão ou qualquer outra formalidade.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O IPCA deverá ser utilizado considerando idêntico número de casas decimais divulgado pelo IBGE.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Se até a Data de Aniversário das Debêntures o NIk não houver sido divulgado, deverá ser utilizado em substituição a NIk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pPr>
        <w:spacing w:line="320" w:lineRule="exact"/>
        <w:contextualSpacing/>
        <w:jc w:val="both"/>
        <w:rPr>
          <w:rStyle w:val="DeltaViewInsertion"/>
          <w:rFonts w:ascii="Verdana" w:hAnsi="Verdana" w:cs="Arial"/>
          <w:color w:val="auto"/>
          <w:sz w:val="20"/>
          <w:szCs w:val="20"/>
          <w:u w:val="none"/>
        </w:rPr>
      </w:pPr>
    </w:p>
    <w:p>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pPr>
        <w:keepNext/>
        <w:spacing w:line="320" w:lineRule="exact"/>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keepNext/>
        <w:spacing w:line="320" w:lineRule="exact"/>
        <w:ind w:left="1843"/>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NIkp = Número Índice Projetado do IPCA para o mês de atualização, calculado com 2 (duas) casas decimais, com arredondamento;</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2" w:name="_Ref367359435"/>
      <w:bookmarkStart w:id="133" w:name="_Toc367387583"/>
      <w:r>
        <w:rPr>
          <w:rStyle w:val="DeltaViewInsertion"/>
          <w:rFonts w:ascii="Verdana" w:hAnsi="Verdana" w:cs="Arial"/>
          <w:color w:val="auto"/>
          <w:sz w:val="20"/>
          <w:szCs w:val="20"/>
          <w:u w:val="none"/>
        </w:rPr>
        <w:t xml:space="preserve">4.2.1.2. Na ausência de apuração e/ou divulgação do IPCA por prazo superior a 10 (dez) Dias Úteis contados da data esperada para sua apuração e/ou divulgação ou, ainda, </w:t>
      </w:r>
      <w:r>
        <w:rPr>
          <w:rStyle w:val="DeltaViewInsertion"/>
          <w:rFonts w:ascii="Verdana" w:hAnsi="Verdana" w:cs="Arial"/>
          <w:color w:val="auto"/>
          <w:sz w:val="20"/>
          <w:szCs w:val="20"/>
          <w:u w:val="none"/>
        </w:rPr>
        <w:lastRenderedPageBreak/>
        <w:t>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2"/>
      <w:bookmarkEnd w:id="133"/>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4"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4"/>
    </w:p>
    <w:p>
      <w:pPr>
        <w:spacing w:line="320" w:lineRule="exact"/>
        <w:ind w:left="709" w:hanging="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Fonts w:ascii="Verdana" w:hAnsi="Verdana"/>
          <w:sz w:val="20"/>
          <w:szCs w:val="20"/>
        </w:rPr>
      </w:pPr>
      <w:bookmarkStart w:id="135"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a partir da Data de Subscrição ou da Data de Pagamento dos Juros Remuneratórios (conforme definido abaixo) imediatamente anterior. Nesta alternativa, para cálculo da Atualização Monetária será utilizada para cálculo do fator “C” a última variação disponível do IPCA </w:t>
      </w:r>
      <w:r>
        <w:rPr>
          <w:rStyle w:val="DeltaViewInsertion"/>
          <w:rFonts w:ascii="Verdana" w:hAnsi="Verdana" w:cs="Arial"/>
          <w:color w:val="auto"/>
          <w:sz w:val="20"/>
          <w:szCs w:val="20"/>
          <w:u w:val="none"/>
        </w:rPr>
        <w:lastRenderedPageBreak/>
        <w:t>divulgada oficialmente; ou (ii) </w:t>
      </w:r>
      <w:r>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35"/>
      <w:r>
        <w:rPr>
          <w:rStyle w:val="DeltaViewInsertion"/>
          <w:rFonts w:ascii="Verdana" w:hAnsi="Verdana" w:cs="Arial"/>
          <w:color w:val="auto"/>
          <w:sz w:val="20"/>
          <w:szCs w:val="20"/>
          <w:u w:val="none"/>
        </w:rPr>
        <w:t xml:space="preserve"> </w:t>
      </w:r>
    </w:p>
    <w:p>
      <w:pPr>
        <w:spacing w:line="320" w:lineRule="exact"/>
        <w:ind w:left="709" w:hanging="709"/>
        <w:contextualSpacing/>
        <w:jc w:val="both"/>
        <w:rPr>
          <w:rFonts w:ascii="Verdana" w:hAnsi="Verdana"/>
          <w:sz w:val="20"/>
          <w:szCs w:val="20"/>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pPr>
        <w:spacing w:line="320" w:lineRule="exact"/>
        <w:ind w:left="709" w:hanging="709"/>
        <w:contextualSpacing/>
        <w:jc w:val="both"/>
        <w:rPr>
          <w:rStyle w:val="DeltaViewInsertion"/>
          <w:rFonts w:ascii="Verdana" w:hAnsi="Verdana" w:cs="Arial"/>
          <w:color w:val="auto"/>
          <w:sz w:val="20"/>
          <w:szCs w:val="20"/>
          <w:u w:val="none"/>
        </w:rPr>
      </w:pPr>
    </w:p>
    <w:p>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pPr>
        <w:keepNext/>
        <w:spacing w:line="320" w:lineRule="exact"/>
        <w:ind w:left="709" w:hanging="709"/>
        <w:contextualSpacing/>
        <w:jc w:val="both"/>
        <w:rPr>
          <w:rStyle w:val="DeltaViewInsertion"/>
          <w:rFonts w:ascii="Verdana" w:hAnsi="Verdana"/>
          <w:color w:val="auto"/>
          <w:sz w:val="20"/>
          <w:szCs w:val="20"/>
          <w:u w:val="none"/>
        </w:rPr>
      </w:pPr>
    </w:p>
    <w:p>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limitados à maior taxa, a ser verificada no Dia Útil imediatamente anterior à data do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1"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xml:space="preserve">; e (ii)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Tesouro IPCA</w:t>
      </w:r>
      <w:r>
        <w:rPr>
          <w:rStyle w:val="DeltaViewInsertion"/>
          <w:rFonts w:ascii="Verdana" w:hAnsi="Verdana"/>
          <w:color w:val="auto"/>
          <w:sz w:val="20"/>
          <w:szCs w:val="20"/>
          <w:u w:val="none"/>
        </w:rPr>
        <w:t>, conforme as taxas indicativas divulgadas pela ANBIMA em sua página na internet (</w:t>
      </w:r>
      <w:hyperlink r:id="rId12"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pPr>
        <w:spacing w:line="320" w:lineRule="exact"/>
        <w:ind w:left="709" w:hanging="709"/>
        <w:contextualSpacing/>
        <w:jc w:val="both"/>
        <w:rPr>
          <w:rStyle w:val="DeltaViewInsertion"/>
          <w:rFonts w:ascii="Verdana" w:hAnsi="Verdana"/>
          <w:color w:val="auto"/>
          <w:sz w:val="20"/>
          <w:szCs w:val="20"/>
          <w:u w:val="none"/>
        </w:rPr>
      </w:pPr>
    </w:p>
    <w:p>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w:t>
      </w:r>
      <w:r>
        <w:rPr>
          <w:rStyle w:val="DeltaViewInsertion"/>
          <w:rFonts w:ascii="Verdana" w:hAnsi="Verdana" w:cs="Arial"/>
          <w:b w:val="0"/>
          <w:bCs w:val="0"/>
          <w:color w:val="auto"/>
          <w:sz w:val="20"/>
          <w:szCs w:val="20"/>
          <w:u w:val="none"/>
          <w:lang w:val="pt-BR" w:eastAsia="pt-BR"/>
        </w:rPr>
        <w:lastRenderedPageBreak/>
        <w:t xml:space="preserve">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pro rata temporis</w:t>
      </w:r>
      <w:r>
        <w:rPr>
          <w:rStyle w:val="DeltaViewInsertion"/>
          <w:rFonts w:ascii="Verdana" w:hAnsi="Verdana" w:cs="Arial"/>
          <w:b w:val="0"/>
          <w:bCs w:val="0"/>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pPr>
        <w:spacing w:line="320" w:lineRule="exact"/>
        <w:contextualSpacing/>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VNa = Valor Nominal Unitário Atualizado calculado com 8 (oito) casas decimais, sem arredondamento;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
    <w:p>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r>
        <w:rPr>
          <w:rFonts w:ascii="Verdana" w:hAnsi="Verdana" w:cs="Arial"/>
          <w:bCs/>
          <w:i/>
          <w:sz w:val="20"/>
          <w:szCs w:val="20"/>
        </w:rPr>
        <w:t xml:space="preserve">Bookbuilding </w:t>
      </w:r>
      <w:r>
        <w:rPr>
          <w:rFonts w:ascii="Verdana" w:hAnsi="Verdana" w:cs="Arial"/>
          <w:bCs/>
          <w:sz w:val="20"/>
          <w:szCs w:val="20"/>
        </w:rPr>
        <w:t>e definida por meio de aditamento à presente Escritura de Emissão</w:t>
      </w:r>
      <w:r>
        <w:rPr>
          <w:rFonts w:ascii="Verdana" w:hAnsi="Verdana" w:cs="Arial"/>
          <w:sz w:val="20"/>
          <w:szCs w:val="20"/>
        </w:rPr>
        <w:t>;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pPr>
        <w:spacing w:line="320" w:lineRule="exact"/>
        <w:contextualSpacing/>
        <w:jc w:val="both"/>
        <w:rPr>
          <w:rFonts w:ascii="Verdana" w:hAnsi="Verdana" w:cs="Arial"/>
          <w:sz w:val="20"/>
          <w:szCs w:val="20"/>
        </w:rPr>
      </w:pPr>
    </w:p>
    <w:p>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pPr>
        <w:spacing w:line="320" w:lineRule="exact"/>
        <w:ind w:left="709" w:hanging="709"/>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sz w:val="20"/>
          <w:szCs w:val="20"/>
        </w:rPr>
        <w:lastRenderedPageBreak/>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r>
        <w:rPr>
          <w:rFonts w:ascii="Verdana" w:hAnsi="Verdana"/>
          <w:i/>
          <w:sz w:val="20"/>
          <w:szCs w:val="20"/>
        </w:rPr>
        <w:t>Bookbuilding</w:t>
      </w:r>
      <w:r>
        <w:rPr>
          <w:rFonts w:ascii="Verdana" w:hAnsi="Verdana" w:cs="Arial"/>
          <w:sz w:val="20"/>
          <w:szCs w:val="20"/>
        </w:rPr>
        <w:t>.</w:t>
      </w:r>
      <w:bookmarkStart w:id="136" w:name="_DV_M146"/>
      <w:bookmarkStart w:id="137" w:name="_DV_M158"/>
      <w:bookmarkStart w:id="138" w:name="_DV_M160"/>
      <w:bookmarkStart w:id="139" w:name="_DV_M161"/>
      <w:bookmarkStart w:id="140" w:name="_DV_C87"/>
      <w:bookmarkStart w:id="141" w:name="_Ref263874908"/>
      <w:bookmarkStart w:id="142" w:name="_Ref297575384"/>
      <w:bookmarkStart w:id="143" w:name="_Ref297645315"/>
      <w:bookmarkStart w:id="144" w:name="_Ref331092039"/>
      <w:bookmarkStart w:id="145" w:name="_Ref332120930"/>
      <w:bookmarkStart w:id="146" w:name="_Ref332139437"/>
      <w:bookmarkStart w:id="147" w:name="_Ref333827088"/>
      <w:bookmarkStart w:id="148" w:name="_Ref333231006"/>
      <w:bookmarkEnd w:id="136"/>
      <w:bookmarkEnd w:id="137"/>
      <w:bookmarkEnd w:id="138"/>
      <w:bookmarkEnd w:id="139"/>
    </w:p>
    <w:p>
      <w:pPr>
        <w:spacing w:line="320" w:lineRule="exact"/>
        <w:ind w:left="709" w:hanging="709"/>
        <w:contextualSpacing/>
        <w:jc w:val="both"/>
        <w:rPr>
          <w:rFonts w:ascii="Verdana" w:hAnsi="Verdana" w:cs="Arial"/>
          <w:sz w:val="20"/>
          <w:szCs w:val="20"/>
        </w:rPr>
      </w:pPr>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9" w:name="_Toc375090256"/>
      <w:bookmarkStart w:id="150" w:name="_Toc375090257"/>
      <w:bookmarkStart w:id="151" w:name="_Toc375090258"/>
      <w:bookmarkStart w:id="152" w:name="_Toc367387467"/>
      <w:bookmarkStart w:id="153" w:name="_Toc367387592"/>
      <w:bookmarkStart w:id="154" w:name="_Toc367389047"/>
      <w:bookmarkStart w:id="155" w:name="_Toc375090259"/>
      <w:bookmarkEnd w:id="149"/>
      <w:bookmarkEnd w:id="150"/>
      <w:bookmarkEnd w:id="151"/>
      <w:r>
        <w:rPr>
          <w:rFonts w:ascii="Verdana" w:hAnsi="Verdana" w:cs="Arial"/>
          <w:bCs w:val="0"/>
          <w:i w:val="0"/>
          <w:iCs w:val="0"/>
          <w:sz w:val="20"/>
          <w:szCs w:val="20"/>
          <w:lang w:val="pt-BR" w:eastAsia="pt-BR"/>
        </w:rPr>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52"/>
      <w:bookmarkEnd w:id="153"/>
      <w:bookmarkEnd w:id="154"/>
      <w:bookmarkEnd w:id="155"/>
      <w:r>
        <w:rPr>
          <w:rFonts w:ascii="Verdana" w:hAnsi="Verdana" w:cs="Arial"/>
          <w:bCs w:val="0"/>
          <w:i w:val="0"/>
          <w:iCs w:val="0"/>
          <w:sz w:val="20"/>
          <w:szCs w:val="20"/>
          <w:lang w:val="pt-BR" w:eastAsia="pt-BR"/>
        </w:rPr>
        <w:t>agamento dos Juros Remuneratórios:</w:t>
      </w:r>
      <w:bookmarkStart w:id="156" w:name="_Toc367387593"/>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56"/>
      <w:r>
        <w:rPr>
          <w:rFonts w:ascii="Verdana" w:hAnsi="Verdana"/>
          <w:b w:val="0"/>
          <w:bCs w:val="0"/>
          <w:i w:val="0"/>
          <w:iCs w:val="0"/>
          <w:sz w:val="20"/>
          <w:szCs w:val="20"/>
          <w:lang w:val="pt-BR" w:eastAsia="pt-BR"/>
        </w:rPr>
        <w:t>O primeiro pagamento de Juros Remuneratórios será realizado em [●] de julho de 2020 e os demais pagamentos de Juros Remuneratórios serão realizados semestralmente, sempre no dia [●] ([●]) dos meses de janeiro e julho de cada ano, sucessivamente até o último pagamento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r>
        <w:rPr>
          <w:rFonts w:ascii="Verdana" w:hAnsi="Verdana"/>
          <w:b w:val="0"/>
          <w:sz w:val="20"/>
          <w:szCs w:val="20"/>
        </w:rPr>
        <w:t>[</w:t>
      </w:r>
      <w:r>
        <w:rPr>
          <w:rFonts w:ascii="Verdana" w:hAnsi="Verdana"/>
          <w:sz w:val="20"/>
          <w:szCs w:val="20"/>
          <w:highlight w:val="yellow"/>
        </w:rPr>
        <w:t>Nota ABC</w:t>
      </w:r>
      <w:r>
        <w:rPr>
          <w:rFonts w:ascii="Verdana" w:hAnsi="Verdana"/>
          <w:b w:val="0"/>
          <w:sz w:val="20"/>
          <w:szCs w:val="20"/>
          <w:highlight w:val="yellow"/>
        </w:rPr>
        <w:t>: os juros dos primeiros 6 meses serão capitalizados no VNU</w:t>
      </w:r>
      <w:r>
        <w:rPr>
          <w:rFonts w:ascii="Verdana" w:hAnsi="Verdana"/>
          <w:b w:val="0"/>
          <w:sz w:val="20"/>
          <w:szCs w:val="20"/>
          <w:highlight w:val="yellow"/>
          <w:lang w:val="pt-BR"/>
        </w:rPr>
        <w:t>.</w:t>
      </w:r>
      <w:r>
        <w:rPr>
          <w:rFonts w:ascii="Verdana" w:hAnsi="Verdana"/>
          <w:b w:val="0"/>
          <w:sz w:val="20"/>
          <w:szCs w:val="20"/>
        </w:rPr>
        <w:t>]</w:t>
      </w:r>
    </w:p>
    <w:p>
      <w:pPr>
        <w:rPr>
          <w:rFonts w:ascii="Verdana" w:hAnsi="Verdana"/>
          <w:b/>
          <w:bCs/>
          <w:i/>
          <w:iCs/>
          <w:sz w:val="20"/>
          <w:szCs w:val="20"/>
        </w:rPr>
      </w:pPr>
    </w:p>
    <w:p>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pPr>
        <w:spacing w:line="320" w:lineRule="exact"/>
        <w:rPr>
          <w:rFonts w:ascii="Verdana" w:hAnsi="Verdana"/>
          <w:b/>
          <w:sz w:val="20"/>
          <w:szCs w:val="20"/>
        </w:rPr>
      </w:pPr>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57" w:name="_DV_M159"/>
      <w:bookmarkStart w:id="158" w:name="_DV_M162"/>
      <w:bookmarkStart w:id="159" w:name="_DV_M163"/>
      <w:bookmarkStart w:id="160" w:name="_DV_M168"/>
      <w:bookmarkStart w:id="161" w:name="_DV_M184"/>
      <w:bookmarkEnd w:id="140"/>
      <w:bookmarkEnd w:id="141"/>
      <w:bookmarkEnd w:id="142"/>
      <w:bookmarkEnd w:id="143"/>
      <w:bookmarkEnd w:id="144"/>
      <w:bookmarkEnd w:id="145"/>
      <w:bookmarkEnd w:id="146"/>
      <w:bookmarkEnd w:id="147"/>
      <w:bookmarkEnd w:id="148"/>
      <w:bookmarkEnd w:id="157"/>
      <w:bookmarkEnd w:id="158"/>
      <w:bookmarkEnd w:id="159"/>
      <w:bookmarkEnd w:id="160"/>
      <w:bookmarkEnd w:id="161"/>
      <w:r>
        <w:rPr>
          <w:rFonts w:ascii="Verdana" w:hAnsi="Verdana" w:cs="Arial"/>
          <w:b/>
          <w:sz w:val="20"/>
          <w:szCs w:val="20"/>
        </w:rPr>
        <w:t xml:space="preserve">Amortização do Valor Nominal Unitário Atualizado </w:t>
      </w:r>
    </w:p>
    <w:p>
      <w:pPr>
        <w:pStyle w:val="CorpodetextobtBT"/>
        <w:keepNext/>
        <w:spacing w:line="320" w:lineRule="exact"/>
        <w:contextualSpacing/>
        <w:rPr>
          <w:rFonts w:ascii="Verdana" w:hAnsi="Verdana" w:cs="Arial"/>
          <w:sz w:val="20"/>
        </w:rPr>
      </w:pPr>
    </w:p>
    <w:p>
      <w:pPr>
        <w:keepNext/>
        <w:spacing w:line="320" w:lineRule="exact"/>
        <w:ind w:left="705" w:hanging="705"/>
        <w:contextualSpacing/>
        <w:jc w:val="both"/>
        <w:rPr>
          <w:rFonts w:ascii="Verdana" w:hAnsi="Verdana"/>
          <w:sz w:val="20"/>
          <w:szCs w:val="20"/>
        </w:rPr>
      </w:pPr>
      <w:bookmarkStart w:id="162" w:name="_DV_M185"/>
      <w:bookmarkEnd w:id="162"/>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Pr>
          <w:rFonts w:ascii="Verdana" w:hAnsi="Verdana"/>
          <w:sz w:val="20"/>
          <w:szCs w:val="20"/>
          <w:highlight w:val="yellow"/>
        </w:rPr>
        <w:t>[</w:t>
      </w:r>
      <w:r>
        <w:rPr>
          <w:rFonts w:ascii="Verdana" w:hAnsi="Verdana"/>
          <w:sz w:val="20"/>
          <w:highlight w:val="yellow"/>
        </w:rPr>
        <w:t>20</w:t>
      </w:r>
      <w:r>
        <w:rPr>
          <w:rFonts w:ascii="Verdana" w:hAnsi="Verdana"/>
          <w:sz w:val="20"/>
          <w:szCs w:val="20"/>
          <w:highlight w:val="yellow"/>
        </w:rPr>
        <w:t>]</w:t>
      </w:r>
      <w:r>
        <w:rPr>
          <w:rFonts w:ascii="Verdana" w:hAnsi="Verdana"/>
          <w:sz w:val="20"/>
          <w:szCs w:val="20"/>
        </w:rPr>
        <w:t xml:space="preserve"> de julho de 2020 e as demais parcelas serão devidas de forma semestral e consecutiva,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
      <w:tr>
        <w:trPr>
          <w:jc w:val="center"/>
        </w:trPr>
        <w:tc>
          <w:tcPr>
            <w:tcW w:w="1478" w:type="pct"/>
            <w:vAlign w:val="center"/>
          </w:tcPr>
          <w:p>
            <w:pPr>
              <w:spacing w:line="320" w:lineRule="exact"/>
              <w:contextualSpacing/>
              <w:jc w:val="center"/>
              <w:rPr>
                <w:rFonts w:ascii="Verdana" w:hAnsi="Verdana"/>
                <w:b/>
                <w:sz w:val="20"/>
              </w:rPr>
            </w:pPr>
            <w:r>
              <w:rPr>
                <w:rFonts w:ascii="Verdana" w:hAnsi="Verdana"/>
                <w:b/>
                <w:sz w:val="20"/>
              </w:rPr>
              <w:t>Data de Amortização</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Proporção do Valor Nominal Unitário Atualizado a ser Amortizado*</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Percentual do Valor Nominal Unitário Atualizado a ser Amortizado**</w:t>
            </w:r>
          </w:p>
        </w:tc>
      </w:tr>
      <w:tr>
        <w:trPr>
          <w:jc w:val="center"/>
        </w:trPr>
        <w:tc>
          <w:tcPr>
            <w:tcW w:w="1478" w:type="pct"/>
            <w:vAlign w:val="center"/>
          </w:tcPr>
          <w:p>
            <w:pPr>
              <w:autoSpaceDE/>
              <w:autoSpaceDN/>
              <w:adjustRightInd/>
              <w:jc w:val="center"/>
              <w:rPr>
                <w:rFonts w:ascii="Verdana" w:hAnsi="Verdana"/>
                <w:sz w:val="20"/>
                <w:szCs w:val="20"/>
              </w:rPr>
            </w:pPr>
            <w:r>
              <w:rPr>
                <w:rFonts w:ascii="Verdana" w:hAnsi="Verdana"/>
                <w:sz w:val="20"/>
                <w:szCs w:val="20"/>
              </w:rPr>
              <w:t>[●]/07/2020</w:t>
            </w:r>
          </w:p>
        </w:tc>
        <w:tc>
          <w:tcPr>
            <w:tcW w:w="1761" w:type="pct"/>
            <w:vAlign w:val="center"/>
          </w:tcPr>
          <w:p>
            <w:pPr>
              <w:autoSpaceDE/>
              <w:autoSpaceDN/>
              <w:adjustRightInd/>
              <w:jc w:val="center"/>
              <w:rPr>
                <w:rFonts w:ascii="Verdana" w:hAnsi="Verdana"/>
                <w:sz w:val="20"/>
                <w:szCs w:val="20"/>
              </w:rPr>
            </w:pPr>
            <w:r>
              <w:rPr>
                <w:rFonts w:ascii="Verdana" w:hAnsi="Verdana"/>
                <w:sz w:val="20"/>
                <w:szCs w:val="20"/>
              </w:rPr>
              <w:t>8,00%</w:t>
            </w:r>
          </w:p>
        </w:tc>
        <w:tc>
          <w:tcPr>
            <w:tcW w:w="1761" w:type="pct"/>
          </w:tcPr>
          <w:p>
            <w:pPr>
              <w:autoSpaceDE/>
              <w:autoSpaceDN/>
              <w:adjustRightInd/>
              <w:jc w:val="center"/>
              <w:rPr>
                <w:rFonts w:ascii="Verdana" w:hAnsi="Verdana"/>
                <w:sz w:val="20"/>
                <w:szCs w:val="20"/>
              </w:rPr>
            </w:pPr>
            <w:r>
              <w:rPr>
                <w:rFonts w:ascii="Verdana" w:hAnsi="Verdana"/>
                <w:sz w:val="20"/>
                <w:szCs w:val="20"/>
                <w:lang w:eastAsia="en-US"/>
              </w:rPr>
              <w:t>8,00%</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[●]/01/2021</w:t>
            </w:r>
          </w:p>
        </w:tc>
        <w:tc>
          <w:tcPr>
            <w:tcW w:w="1761" w:type="pct"/>
            <w:vAlign w:val="center"/>
          </w:tcPr>
          <w:p>
            <w:pPr>
              <w:jc w:val="center"/>
              <w:rPr>
                <w:rFonts w:ascii="Verdana" w:hAnsi="Verdana"/>
                <w:sz w:val="20"/>
                <w:szCs w:val="20"/>
              </w:rPr>
            </w:pPr>
            <w:r>
              <w:rPr>
                <w:rFonts w:ascii="Verdana" w:hAnsi="Verdana"/>
                <w:sz w:val="20"/>
                <w:szCs w:val="20"/>
              </w:rPr>
              <w:t>0,50%</w:t>
            </w:r>
          </w:p>
        </w:tc>
        <w:tc>
          <w:tcPr>
            <w:tcW w:w="1761" w:type="pct"/>
          </w:tcPr>
          <w:p>
            <w:pPr>
              <w:jc w:val="center"/>
              <w:rPr>
                <w:rFonts w:ascii="Verdana" w:hAnsi="Verdana"/>
                <w:sz w:val="20"/>
                <w:szCs w:val="20"/>
              </w:rPr>
            </w:pPr>
            <w:r>
              <w:rPr>
                <w:rFonts w:ascii="Verdana" w:hAnsi="Verdana"/>
                <w:sz w:val="20"/>
                <w:szCs w:val="20"/>
                <w:lang w:eastAsia="en-US"/>
              </w:rPr>
              <w:t>0,54%</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[●]/07/2021</w:t>
            </w:r>
          </w:p>
        </w:tc>
        <w:tc>
          <w:tcPr>
            <w:tcW w:w="1761" w:type="pct"/>
            <w:vAlign w:val="center"/>
          </w:tcPr>
          <w:p>
            <w:pPr>
              <w:jc w:val="center"/>
              <w:rPr>
                <w:rFonts w:ascii="Verdana" w:hAnsi="Verdana"/>
                <w:sz w:val="20"/>
                <w:szCs w:val="20"/>
              </w:rPr>
            </w:pPr>
            <w:r>
              <w:rPr>
                <w:rFonts w:ascii="Verdana" w:hAnsi="Verdana"/>
                <w:sz w:val="20"/>
                <w:szCs w:val="20"/>
              </w:rPr>
              <w:t>0,80%</w:t>
            </w:r>
          </w:p>
        </w:tc>
        <w:tc>
          <w:tcPr>
            <w:tcW w:w="1761" w:type="pct"/>
          </w:tcPr>
          <w:p>
            <w:pPr>
              <w:jc w:val="center"/>
              <w:rPr>
                <w:rFonts w:ascii="Verdana" w:hAnsi="Verdana"/>
                <w:sz w:val="20"/>
                <w:szCs w:val="20"/>
              </w:rPr>
            </w:pPr>
            <w:r>
              <w:rPr>
                <w:rFonts w:ascii="Verdana" w:hAnsi="Verdana"/>
                <w:sz w:val="20"/>
                <w:szCs w:val="20"/>
                <w:lang w:eastAsia="en-US"/>
              </w:rPr>
              <w:t>0,87%</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[●]/01/2022</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lang w:eastAsia="en-US"/>
              </w:rPr>
              <w:t>3,31%</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[●]/07/2022</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lang w:eastAsia="en-US"/>
              </w:rPr>
              <w:t>3,42%</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[●]/01/2023</w:t>
            </w:r>
          </w:p>
        </w:tc>
        <w:tc>
          <w:tcPr>
            <w:tcW w:w="1761" w:type="pct"/>
            <w:vAlign w:val="center"/>
          </w:tcPr>
          <w:p>
            <w:pPr>
              <w:jc w:val="center"/>
              <w:rPr>
                <w:rFonts w:ascii="Verdana" w:hAnsi="Verdana"/>
                <w:sz w:val="20"/>
                <w:szCs w:val="20"/>
              </w:rPr>
            </w:pPr>
            <w:r>
              <w:rPr>
                <w:rFonts w:ascii="Verdana" w:hAnsi="Verdana"/>
                <w:sz w:val="20"/>
                <w:szCs w:val="20"/>
              </w:rPr>
              <w:t>2,50%</w:t>
            </w:r>
          </w:p>
        </w:tc>
        <w:tc>
          <w:tcPr>
            <w:tcW w:w="1761" w:type="pct"/>
          </w:tcPr>
          <w:p>
            <w:pPr>
              <w:jc w:val="center"/>
              <w:rPr>
                <w:rFonts w:ascii="Verdana" w:hAnsi="Verdana"/>
                <w:sz w:val="20"/>
                <w:szCs w:val="20"/>
              </w:rPr>
            </w:pPr>
            <w:r>
              <w:rPr>
                <w:rFonts w:ascii="Verdana" w:hAnsi="Verdana"/>
                <w:sz w:val="20"/>
                <w:szCs w:val="20"/>
                <w:lang w:eastAsia="en-US"/>
              </w:rPr>
              <w:t>2,95%</w:t>
            </w:r>
          </w:p>
        </w:tc>
      </w:tr>
      <w:tr>
        <w:trPr>
          <w:jc w:val="center"/>
        </w:trPr>
        <w:tc>
          <w:tcPr>
            <w:tcW w:w="1478" w:type="pct"/>
            <w:vAlign w:val="center"/>
          </w:tcPr>
          <w:p>
            <w:pPr>
              <w:jc w:val="center"/>
              <w:rPr>
                <w:rFonts w:ascii="Verdana" w:hAnsi="Verdana"/>
                <w:sz w:val="20"/>
                <w:szCs w:val="20"/>
              </w:rPr>
            </w:pPr>
            <w:r>
              <w:rPr>
                <w:rFonts w:ascii="Verdana" w:hAnsi="Verdana"/>
                <w:sz w:val="20"/>
                <w:szCs w:val="20"/>
              </w:rPr>
              <w:lastRenderedPageBreak/>
              <w:t>[●]/07/2023</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lang w:eastAsia="en-US"/>
              </w:rPr>
              <w:t>3,65%</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[●]/01/2024</w:t>
            </w:r>
          </w:p>
        </w:tc>
        <w:tc>
          <w:tcPr>
            <w:tcW w:w="1761" w:type="pct"/>
            <w:vAlign w:val="center"/>
          </w:tcPr>
          <w:p>
            <w:pPr>
              <w:jc w:val="center"/>
              <w:rPr>
                <w:rFonts w:ascii="Verdana" w:hAnsi="Verdana"/>
                <w:sz w:val="20"/>
                <w:szCs w:val="20"/>
              </w:rPr>
            </w:pPr>
            <w:r>
              <w:rPr>
                <w:rFonts w:ascii="Verdana" w:hAnsi="Verdana"/>
                <w:sz w:val="20"/>
                <w:szCs w:val="20"/>
              </w:rPr>
              <w:t>3,50%</w:t>
            </w:r>
          </w:p>
        </w:tc>
        <w:tc>
          <w:tcPr>
            <w:tcW w:w="1761" w:type="pct"/>
          </w:tcPr>
          <w:p>
            <w:pPr>
              <w:jc w:val="center"/>
              <w:rPr>
                <w:rFonts w:ascii="Verdana" w:hAnsi="Verdana"/>
                <w:sz w:val="20"/>
                <w:szCs w:val="20"/>
              </w:rPr>
            </w:pPr>
            <w:r>
              <w:rPr>
                <w:rFonts w:ascii="Verdana" w:hAnsi="Verdana"/>
                <w:sz w:val="20"/>
                <w:szCs w:val="20"/>
                <w:lang w:eastAsia="en-US"/>
              </w:rPr>
              <w:t>4,42%</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[●]/07/2024</w:t>
            </w:r>
          </w:p>
        </w:tc>
        <w:tc>
          <w:tcPr>
            <w:tcW w:w="1761" w:type="pct"/>
            <w:vAlign w:val="center"/>
          </w:tcPr>
          <w:p>
            <w:pPr>
              <w:jc w:val="center"/>
              <w:rPr>
                <w:rFonts w:ascii="Verdana" w:hAnsi="Verdana"/>
                <w:sz w:val="20"/>
                <w:szCs w:val="20"/>
              </w:rPr>
            </w:pPr>
            <w:r>
              <w:rPr>
                <w:rFonts w:ascii="Verdana" w:hAnsi="Verdana"/>
                <w:sz w:val="20"/>
                <w:szCs w:val="20"/>
              </w:rPr>
              <w:t>4,50%</w:t>
            </w:r>
          </w:p>
        </w:tc>
        <w:tc>
          <w:tcPr>
            <w:tcW w:w="1761" w:type="pct"/>
          </w:tcPr>
          <w:p>
            <w:pPr>
              <w:jc w:val="center"/>
              <w:rPr>
                <w:rFonts w:ascii="Verdana" w:hAnsi="Verdana"/>
                <w:sz w:val="20"/>
                <w:szCs w:val="20"/>
              </w:rPr>
            </w:pPr>
            <w:r>
              <w:rPr>
                <w:rFonts w:ascii="Verdana" w:hAnsi="Verdana"/>
                <w:sz w:val="20"/>
                <w:szCs w:val="20"/>
                <w:lang w:eastAsia="en-US"/>
              </w:rPr>
              <w:t>5,94%</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[●]/01/2025</w:t>
            </w:r>
          </w:p>
        </w:tc>
        <w:tc>
          <w:tcPr>
            <w:tcW w:w="1761" w:type="pct"/>
            <w:vAlign w:val="center"/>
          </w:tcPr>
          <w:p>
            <w:pPr>
              <w:jc w:val="center"/>
              <w:rPr>
                <w:rFonts w:ascii="Verdana" w:hAnsi="Verdana"/>
                <w:sz w:val="20"/>
                <w:szCs w:val="20"/>
              </w:rPr>
            </w:pPr>
            <w:r>
              <w:rPr>
                <w:rFonts w:ascii="Verdana" w:hAnsi="Verdana"/>
                <w:sz w:val="20"/>
                <w:szCs w:val="20"/>
              </w:rPr>
              <w:t>5,50%</w:t>
            </w:r>
          </w:p>
        </w:tc>
        <w:tc>
          <w:tcPr>
            <w:tcW w:w="1761" w:type="pct"/>
          </w:tcPr>
          <w:p>
            <w:pPr>
              <w:jc w:val="center"/>
              <w:rPr>
                <w:rFonts w:ascii="Verdana" w:hAnsi="Verdana"/>
                <w:sz w:val="20"/>
                <w:szCs w:val="20"/>
              </w:rPr>
            </w:pPr>
            <w:r>
              <w:rPr>
                <w:rFonts w:ascii="Verdana" w:hAnsi="Verdana"/>
                <w:sz w:val="20"/>
                <w:szCs w:val="20"/>
                <w:lang w:eastAsia="en-US"/>
              </w:rPr>
              <w:t>7,72%</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[●]/07/2025</w:t>
            </w:r>
          </w:p>
        </w:tc>
        <w:tc>
          <w:tcPr>
            <w:tcW w:w="1761" w:type="pct"/>
            <w:vAlign w:val="center"/>
          </w:tcPr>
          <w:p>
            <w:pPr>
              <w:jc w:val="center"/>
              <w:rPr>
                <w:rFonts w:ascii="Verdana" w:hAnsi="Verdana"/>
                <w:sz w:val="20"/>
                <w:szCs w:val="20"/>
              </w:rPr>
            </w:pPr>
            <w:r>
              <w:rPr>
                <w:rFonts w:ascii="Verdana" w:hAnsi="Verdana"/>
                <w:sz w:val="20"/>
                <w:szCs w:val="20"/>
              </w:rPr>
              <w:t>5,50%</w:t>
            </w:r>
          </w:p>
        </w:tc>
        <w:tc>
          <w:tcPr>
            <w:tcW w:w="1761" w:type="pct"/>
          </w:tcPr>
          <w:p>
            <w:pPr>
              <w:jc w:val="center"/>
              <w:rPr>
                <w:rFonts w:ascii="Verdana" w:hAnsi="Verdana"/>
                <w:sz w:val="20"/>
                <w:szCs w:val="20"/>
              </w:rPr>
            </w:pPr>
            <w:r>
              <w:rPr>
                <w:rFonts w:ascii="Verdana" w:hAnsi="Verdana"/>
                <w:sz w:val="20"/>
                <w:szCs w:val="20"/>
                <w:lang w:eastAsia="en-US"/>
              </w:rPr>
              <w:t>8,37%</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[●]/01/2026</w:t>
            </w:r>
          </w:p>
        </w:tc>
        <w:tc>
          <w:tcPr>
            <w:tcW w:w="1761" w:type="pct"/>
            <w:vAlign w:val="center"/>
          </w:tcPr>
          <w:p>
            <w:pPr>
              <w:jc w:val="center"/>
              <w:rPr>
                <w:rFonts w:ascii="Verdana" w:hAnsi="Verdana"/>
                <w:sz w:val="20"/>
                <w:szCs w:val="20"/>
              </w:rPr>
            </w:pPr>
            <w:r>
              <w:rPr>
                <w:rFonts w:ascii="Verdana" w:hAnsi="Verdana"/>
                <w:sz w:val="20"/>
                <w:szCs w:val="20"/>
              </w:rPr>
              <w:t>7,50%</w:t>
            </w:r>
          </w:p>
        </w:tc>
        <w:tc>
          <w:tcPr>
            <w:tcW w:w="1761" w:type="pct"/>
          </w:tcPr>
          <w:p>
            <w:pPr>
              <w:jc w:val="center"/>
              <w:rPr>
                <w:rFonts w:ascii="Verdana" w:hAnsi="Verdana"/>
                <w:sz w:val="20"/>
                <w:szCs w:val="20"/>
              </w:rPr>
            </w:pPr>
            <w:r>
              <w:rPr>
                <w:rFonts w:ascii="Verdana" w:hAnsi="Verdana"/>
                <w:sz w:val="20"/>
                <w:szCs w:val="20"/>
                <w:lang w:eastAsia="en-US"/>
              </w:rPr>
              <w:t>12,46%</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[●]/07/2026</w:t>
            </w:r>
          </w:p>
        </w:tc>
        <w:tc>
          <w:tcPr>
            <w:tcW w:w="1761" w:type="pct"/>
            <w:vAlign w:val="center"/>
          </w:tcPr>
          <w:p>
            <w:pPr>
              <w:jc w:val="center"/>
              <w:rPr>
                <w:rFonts w:ascii="Verdana" w:hAnsi="Verdana"/>
                <w:sz w:val="20"/>
                <w:szCs w:val="20"/>
              </w:rPr>
            </w:pPr>
            <w:r>
              <w:rPr>
                <w:rFonts w:ascii="Verdana" w:hAnsi="Verdana"/>
                <w:sz w:val="20"/>
                <w:szCs w:val="20"/>
              </w:rPr>
              <w:t>7,00%</w:t>
            </w:r>
          </w:p>
        </w:tc>
        <w:tc>
          <w:tcPr>
            <w:tcW w:w="1761" w:type="pct"/>
          </w:tcPr>
          <w:p>
            <w:pPr>
              <w:jc w:val="center"/>
              <w:rPr>
                <w:rFonts w:ascii="Verdana" w:hAnsi="Verdana"/>
                <w:sz w:val="20"/>
                <w:szCs w:val="20"/>
              </w:rPr>
            </w:pPr>
            <w:r>
              <w:rPr>
                <w:rFonts w:ascii="Verdana" w:hAnsi="Verdana"/>
                <w:sz w:val="20"/>
                <w:szCs w:val="20"/>
                <w:lang w:eastAsia="en-US"/>
              </w:rPr>
              <w:t>13,28%</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[●]/01/2027</w:t>
            </w:r>
          </w:p>
        </w:tc>
        <w:tc>
          <w:tcPr>
            <w:tcW w:w="1761" w:type="pct"/>
            <w:vAlign w:val="center"/>
          </w:tcPr>
          <w:p>
            <w:pPr>
              <w:jc w:val="center"/>
              <w:rPr>
                <w:rFonts w:ascii="Verdana" w:hAnsi="Verdana"/>
                <w:sz w:val="20"/>
                <w:szCs w:val="20"/>
              </w:rPr>
            </w:pPr>
            <w:r>
              <w:rPr>
                <w:rFonts w:ascii="Verdana" w:hAnsi="Verdana"/>
                <w:sz w:val="20"/>
                <w:szCs w:val="20"/>
              </w:rPr>
              <w:t>8,00%</w:t>
            </w:r>
          </w:p>
        </w:tc>
        <w:tc>
          <w:tcPr>
            <w:tcW w:w="1761" w:type="pct"/>
          </w:tcPr>
          <w:p>
            <w:pPr>
              <w:jc w:val="center"/>
              <w:rPr>
                <w:rFonts w:ascii="Verdana" w:hAnsi="Verdana"/>
                <w:sz w:val="20"/>
                <w:szCs w:val="20"/>
              </w:rPr>
            </w:pPr>
            <w:r>
              <w:rPr>
                <w:rFonts w:ascii="Verdana" w:hAnsi="Verdana"/>
                <w:sz w:val="20"/>
                <w:szCs w:val="20"/>
                <w:lang w:eastAsia="en-US"/>
              </w:rPr>
              <w:t>17,51%</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[●]/07/2027</w:t>
            </w:r>
          </w:p>
        </w:tc>
        <w:tc>
          <w:tcPr>
            <w:tcW w:w="1761" w:type="pct"/>
            <w:vAlign w:val="center"/>
          </w:tcPr>
          <w:p>
            <w:pPr>
              <w:jc w:val="center"/>
              <w:rPr>
                <w:rFonts w:ascii="Verdana" w:hAnsi="Verdana"/>
                <w:sz w:val="20"/>
                <w:szCs w:val="20"/>
              </w:rPr>
            </w:pPr>
            <w:r>
              <w:rPr>
                <w:rFonts w:ascii="Verdana" w:hAnsi="Verdana"/>
                <w:sz w:val="20"/>
                <w:szCs w:val="20"/>
              </w:rPr>
              <w:t>6,50%</w:t>
            </w:r>
          </w:p>
        </w:tc>
        <w:tc>
          <w:tcPr>
            <w:tcW w:w="1761" w:type="pct"/>
          </w:tcPr>
          <w:p>
            <w:pPr>
              <w:jc w:val="center"/>
              <w:rPr>
                <w:rFonts w:ascii="Verdana" w:hAnsi="Verdana"/>
                <w:sz w:val="20"/>
                <w:szCs w:val="20"/>
              </w:rPr>
            </w:pPr>
            <w:r>
              <w:rPr>
                <w:rFonts w:ascii="Verdana" w:hAnsi="Verdana"/>
                <w:sz w:val="20"/>
                <w:szCs w:val="20"/>
                <w:lang w:eastAsia="en-US"/>
              </w:rPr>
              <w:t>17,24%</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[●]/01/2028</w:t>
            </w:r>
          </w:p>
        </w:tc>
        <w:tc>
          <w:tcPr>
            <w:tcW w:w="1761" w:type="pct"/>
            <w:vAlign w:val="center"/>
          </w:tcPr>
          <w:p>
            <w:pPr>
              <w:jc w:val="center"/>
              <w:rPr>
                <w:rFonts w:ascii="Verdana" w:hAnsi="Verdana"/>
                <w:sz w:val="20"/>
                <w:szCs w:val="20"/>
              </w:rPr>
            </w:pPr>
            <w:r>
              <w:rPr>
                <w:rFonts w:ascii="Verdana" w:hAnsi="Verdana"/>
                <w:sz w:val="20"/>
                <w:szCs w:val="20"/>
              </w:rPr>
              <w:t>7,60%</w:t>
            </w:r>
          </w:p>
        </w:tc>
        <w:tc>
          <w:tcPr>
            <w:tcW w:w="1761" w:type="pct"/>
          </w:tcPr>
          <w:p>
            <w:pPr>
              <w:jc w:val="center"/>
              <w:rPr>
                <w:rFonts w:ascii="Verdana" w:hAnsi="Verdana"/>
                <w:sz w:val="20"/>
                <w:szCs w:val="20"/>
              </w:rPr>
            </w:pPr>
            <w:r>
              <w:rPr>
                <w:rFonts w:ascii="Verdana" w:hAnsi="Verdana"/>
                <w:sz w:val="20"/>
                <w:szCs w:val="20"/>
                <w:lang w:eastAsia="en-US"/>
              </w:rPr>
              <w:t>24,36%</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[●]/07/2028</w:t>
            </w:r>
          </w:p>
        </w:tc>
        <w:tc>
          <w:tcPr>
            <w:tcW w:w="1761" w:type="pct"/>
            <w:vAlign w:val="center"/>
          </w:tcPr>
          <w:p>
            <w:pPr>
              <w:jc w:val="center"/>
              <w:rPr>
                <w:rFonts w:ascii="Verdana" w:hAnsi="Verdana"/>
                <w:sz w:val="20"/>
                <w:szCs w:val="20"/>
              </w:rPr>
            </w:pPr>
            <w:r>
              <w:rPr>
                <w:rFonts w:ascii="Verdana" w:hAnsi="Verdana"/>
                <w:sz w:val="20"/>
                <w:szCs w:val="20"/>
              </w:rPr>
              <w:t>8,50%</w:t>
            </w:r>
          </w:p>
        </w:tc>
        <w:tc>
          <w:tcPr>
            <w:tcW w:w="1761" w:type="pct"/>
          </w:tcPr>
          <w:p>
            <w:pPr>
              <w:jc w:val="center"/>
              <w:rPr>
                <w:rFonts w:ascii="Verdana" w:hAnsi="Verdana"/>
                <w:sz w:val="20"/>
                <w:szCs w:val="20"/>
              </w:rPr>
            </w:pPr>
            <w:r>
              <w:rPr>
                <w:rFonts w:ascii="Verdana" w:hAnsi="Verdana"/>
                <w:sz w:val="20"/>
                <w:szCs w:val="20"/>
                <w:lang w:eastAsia="en-US"/>
              </w:rPr>
              <w:t>36,02%</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[●]/01/2029</w:t>
            </w:r>
          </w:p>
        </w:tc>
        <w:tc>
          <w:tcPr>
            <w:tcW w:w="1761" w:type="pct"/>
            <w:vAlign w:val="center"/>
          </w:tcPr>
          <w:p>
            <w:pPr>
              <w:jc w:val="center"/>
              <w:rPr>
                <w:rFonts w:ascii="Verdana" w:hAnsi="Verdana"/>
                <w:sz w:val="20"/>
                <w:szCs w:val="20"/>
              </w:rPr>
            </w:pPr>
            <w:r>
              <w:rPr>
                <w:rFonts w:ascii="Verdana" w:hAnsi="Verdana"/>
                <w:sz w:val="20"/>
                <w:szCs w:val="20"/>
              </w:rPr>
              <w:t>5,00%</w:t>
            </w:r>
          </w:p>
        </w:tc>
        <w:tc>
          <w:tcPr>
            <w:tcW w:w="1761" w:type="pct"/>
          </w:tcPr>
          <w:p>
            <w:pPr>
              <w:jc w:val="center"/>
              <w:rPr>
                <w:rFonts w:ascii="Verdana" w:hAnsi="Verdana"/>
                <w:sz w:val="20"/>
                <w:szCs w:val="20"/>
              </w:rPr>
            </w:pPr>
            <w:r>
              <w:rPr>
                <w:rFonts w:ascii="Verdana" w:hAnsi="Verdana"/>
                <w:sz w:val="20"/>
                <w:szCs w:val="20"/>
                <w:lang w:eastAsia="en-US"/>
              </w:rPr>
              <w:t>33,11%</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[●]/07/2029</w:t>
            </w:r>
          </w:p>
        </w:tc>
        <w:tc>
          <w:tcPr>
            <w:tcW w:w="1761" w:type="pct"/>
            <w:vAlign w:val="center"/>
          </w:tcPr>
          <w:p>
            <w:pPr>
              <w:jc w:val="center"/>
              <w:rPr>
                <w:rFonts w:ascii="Verdana" w:hAnsi="Verdana"/>
                <w:sz w:val="20"/>
                <w:szCs w:val="20"/>
              </w:rPr>
            </w:pPr>
            <w:r>
              <w:rPr>
                <w:rFonts w:ascii="Verdana" w:hAnsi="Verdana"/>
                <w:sz w:val="20"/>
                <w:szCs w:val="20"/>
              </w:rPr>
              <w:t>4,00%</w:t>
            </w:r>
          </w:p>
        </w:tc>
        <w:tc>
          <w:tcPr>
            <w:tcW w:w="1761" w:type="pct"/>
          </w:tcPr>
          <w:p>
            <w:pPr>
              <w:jc w:val="center"/>
              <w:rPr>
                <w:rFonts w:ascii="Verdana" w:hAnsi="Verdana"/>
                <w:sz w:val="20"/>
                <w:szCs w:val="20"/>
              </w:rPr>
            </w:pPr>
            <w:r>
              <w:rPr>
                <w:rFonts w:ascii="Verdana" w:hAnsi="Verdana"/>
                <w:sz w:val="20"/>
                <w:szCs w:val="20"/>
                <w:lang w:eastAsia="en-US"/>
              </w:rPr>
              <w:t>39,60%</w:t>
            </w:r>
          </w:p>
        </w:tc>
      </w:tr>
      <w:tr>
        <w:trPr>
          <w:jc w:val="center"/>
        </w:trPr>
        <w:tc>
          <w:tcPr>
            <w:tcW w:w="1478" w:type="pct"/>
            <w:vAlign w:val="center"/>
          </w:tcPr>
          <w:p>
            <w:pPr>
              <w:jc w:val="center"/>
              <w:rPr>
                <w:rFonts w:ascii="Verdana" w:hAnsi="Verdana"/>
                <w:sz w:val="20"/>
                <w:szCs w:val="20"/>
              </w:rPr>
            </w:pPr>
            <w:r>
              <w:rPr>
                <w:rFonts w:ascii="Verdana" w:hAnsi="Verdana"/>
                <w:sz w:val="20"/>
                <w:szCs w:val="20"/>
              </w:rPr>
              <w:t>Data de Vencimento</w:t>
            </w:r>
          </w:p>
        </w:tc>
        <w:tc>
          <w:tcPr>
            <w:tcW w:w="1761" w:type="pct"/>
            <w:vAlign w:val="center"/>
          </w:tcPr>
          <w:p>
            <w:pPr>
              <w:jc w:val="center"/>
              <w:rPr>
                <w:rFonts w:ascii="Verdana" w:hAnsi="Verdana"/>
                <w:sz w:val="20"/>
                <w:szCs w:val="20"/>
              </w:rPr>
            </w:pPr>
            <w:r>
              <w:rPr>
                <w:rFonts w:ascii="Verdana" w:hAnsi="Verdana"/>
                <w:sz w:val="20"/>
                <w:szCs w:val="20"/>
              </w:rPr>
              <w:t>6,10%</w:t>
            </w:r>
          </w:p>
        </w:tc>
        <w:tc>
          <w:tcPr>
            <w:tcW w:w="1761" w:type="pct"/>
          </w:tcPr>
          <w:p>
            <w:pPr>
              <w:jc w:val="center"/>
              <w:rPr>
                <w:rFonts w:ascii="Verdana" w:hAnsi="Verdana"/>
                <w:sz w:val="20"/>
                <w:szCs w:val="20"/>
              </w:rPr>
            </w:pPr>
            <w:r>
              <w:rPr>
                <w:rFonts w:ascii="Verdana" w:hAnsi="Verdana"/>
                <w:sz w:val="20"/>
                <w:szCs w:val="20"/>
              </w:rPr>
              <w:t>100,0000%</w:t>
            </w:r>
          </w:p>
        </w:tc>
      </w:tr>
    </w:tbl>
    <w:p>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Percentuais destinados a fins meramente referenciais</w:t>
      </w:r>
      <w:r>
        <w:rPr>
          <w:rFonts w:ascii="Verdana" w:hAnsi="Verdana"/>
          <w:i/>
          <w:sz w:val="16"/>
          <w:szCs w:val="16"/>
          <w:highlight w:val="yellow"/>
        </w:rPr>
        <w:t>.[NOTA MM: COMPANHIA À CONFIRMAR]</w:t>
      </w:r>
    </w:p>
    <w:p>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informados com 2 (duas) casas decimais, sem arredondamentos</w:t>
      </w:r>
      <w:r>
        <w:rPr>
          <w:rFonts w:ascii="Verdana" w:hAnsi="Verdana" w:cs="Arial"/>
          <w:i/>
          <w:sz w:val="16"/>
          <w:szCs w:val="16"/>
        </w:rPr>
        <w:t>.</w:t>
      </w:r>
      <w:r>
        <w:rPr>
          <w:rFonts w:ascii="Verdana" w:hAnsi="Verdana" w:cs="Arial"/>
          <w:i/>
          <w:sz w:val="20"/>
          <w:szCs w:val="20"/>
        </w:rPr>
        <w:t xml:space="preserve"> </w:t>
      </w:r>
    </w:p>
    <w:p>
      <w:pPr>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3" w:name="_DV_M186"/>
      <w:bookmarkStart w:id="164" w:name="_Toc499990356"/>
      <w:bookmarkEnd w:id="127"/>
      <w:bookmarkEnd w:id="163"/>
      <w:r>
        <w:rPr>
          <w:rFonts w:ascii="Verdana" w:hAnsi="Verdana" w:cs="Arial"/>
          <w:b/>
          <w:sz w:val="20"/>
          <w:szCs w:val="20"/>
        </w:rPr>
        <w:t>Local de Pagamento</w:t>
      </w:r>
      <w:bookmarkEnd w:id="164"/>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65" w:name="_DV_M187"/>
      <w:bookmarkEnd w:id="165"/>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ou ainda na sede da Emissora, se for o caso. </w:t>
      </w:r>
    </w:p>
    <w:p>
      <w:pPr>
        <w:spacing w:line="320" w:lineRule="exact"/>
        <w:contextualSpacing/>
        <w:jc w:val="both"/>
        <w:rPr>
          <w:rFonts w:ascii="Verdana" w:hAnsi="Verdana" w:cs="Arial"/>
          <w:sz w:val="20"/>
          <w:szCs w:val="20"/>
        </w:rPr>
      </w:pPr>
      <w:bookmarkStart w:id="166" w:name="_Toc499990357"/>
    </w:p>
    <w:p>
      <w:pPr>
        <w:numPr>
          <w:ilvl w:val="0"/>
          <w:numId w:val="11"/>
        </w:numPr>
        <w:tabs>
          <w:tab w:val="left" w:pos="720"/>
        </w:tabs>
        <w:spacing w:line="320" w:lineRule="exact"/>
        <w:ind w:hanging="720"/>
        <w:contextualSpacing/>
        <w:jc w:val="both"/>
        <w:rPr>
          <w:rFonts w:ascii="Verdana" w:hAnsi="Verdana" w:cs="Arial"/>
          <w:b/>
          <w:sz w:val="20"/>
          <w:szCs w:val="20"/>
        </w:rPr>
      </w:pPr>
      <w:bookmarkStart w:id="167" w:name="_DV_M188"/>
      <w:bookmarkEnd w:id="167"/>
      <w:r>
        <w:rPr>
          <w:rFonts w:ascii="Verdana" w:hAnsi="Verdana" w:cs="Arial"/>
          <w:b/>
          <w:sz w:val="20"/>
          <w:szCs w:val="20"/>
        </w:rPr>
        <w:t>Prorrogação dos Prazos</w:t>
      </w:r>
      <w:bookmarkStart w:id="168" w:name="_DV_M189"/>
      <w:bookmarkEnd w:id="166"/>
      <w:bookmarkEnd w:id="168"/>
    </w:p>
    <w:p>
      <w:pPr>
        <w:spacing w:line="320" w:lineRule="exact"/>
        <w:contextualSpacing/>
        <w:jc w:val="both"/>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69" w:name="_DV_M190"/>
      <w:bookmarkEnd w:id="169"/>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70" w:name="_DV_M191"/>
      <w:bookmarkEnd w:id="170"/>
      <w:r>
        <w:rPr>
          <w:rFonts w:ascii="Verdana" w:hAnsi="Verdana" w:cs="Arial"/>
          <w:sz w:val="20"/>
          <w:szCs w:val="20"/>
        </w:rPr>
        <w:t>pagamentos coincidir com sábado, domingo ou feriado declarado nacional.</w:t>
      </w:r>
      <w:r>
        <w:t xml:space="preserve"> </w:t>
      </w:r>
    </w:p>
    <w:p>
      <w:pPr>
        <w:spacing w:line="320" w:lineRule="exact"/>
        <w:contextualSpacing/>
        <w:jc w:val="both"/>
        <w:rPr>
          <w:rFonts w:ascii="Verdana" w:hAnsi="Verdana" w:cs="Arial"/>
          <w:sz w:val="20"/>
          <w:szCs w:val="20"/>
        </w:rPr>
      </w:pPr>
      <w:bookmarkStart w:id="171" w:name="_Toc499990358"/>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72" w:name="_DV_M192"/>
      <w:bookmarkEnd w:id="172"/>
      <w:r>
        <w:rPr>
          <w:rFonts w:ascii="Verdana" w:hAnsi="Verdana" w:cs="Arial"/>
          <w:b/>
          <w:sz w:val="20"/>
          <w:szCs w:val="20"/>
        </w:rPr>
        <w:t>Encargos Moratórios</w:t>
      </w:r>
      <w:bookmarkEnd w:id="171"/>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73" w:name="_DV_M193"/>
      <w:bookmarkEnd w:id="173"/>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 xml:space="preserve">pro rata </w:t>
      </w:r>
      <w:r>
        <w:rPr>
          <w:rFonts w:ascii="Verdana" w:hAnsi="Verdana" w:cs="Arial"/>
          <w:i/>
          <w:sz w:val="20"/>
          <w:szCs w:val="20"/>
        </w:rPr>
        <w:lastRenderedPageBreak/>
        <w:t>temporis</w:t>
      </w:r>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4" w:name="_DV_M194"/>
      <w:bookmarkStart w:id="175" w:name="_Toc499990359"/>
      <w:bookmarkEnd w:id="174"/>
      <w:r>
        <w:rPr>
          <w:rFonts w:ascii="Verdana" w:hAnsi="Verdana" w:cs="Arial"/>
          <w:b/>
          <w:sz w:val="20"/>
          <w:szCs w:val="20"/>
        </w:rPr>
        <w:t>Decadência dos Direitos aos Acréscimos</w:t>
      </w:r>
      <w:bookmarkEnd w:id="175"/>
    </w:p>
    <w:p>
      <w:pPr>
        <w:keepNext/>
        <w:keepLines/>
        <w:spacing w:line="320" w:lineRule="exact"/>
        <w:contextualSpacing/>
        <w:jc w:val="both"/>
        <w:rPr>
          <w:rFonts w:ascii="Verdana" w:hAnsi="Verdana" w:cs="Arial"/>
          <w:sz w:val="20"/>
          <w:szCs w:val="20"/>
        </w:rPr>
      </w:pPr>
    </w:p>
    <w:p>
      <w:pPr>
        <w:keepNext/>
        <w:keepLines/>
        <w:spacing w:line="320" w:lineRule="exact"/>
        <w:ind w:left="705" w:hanging="705"/>
        <w:contextualSpacing/>
        <w:jc w:val="both"/>
        <w:rPr>
          <w:rFonts w:ascii="Verdana" w:hAnsi="Verdana" w:cs="Arial"/>
          <w:sz w:val="20"/>
          <w:szCs w:val="20"/>
        </w:rPr>
      </w:pPr>
      <w:bookmarkStart w:id="176" w:name="_DV_M195"/>
      <w:bookmarkEnd w:id="176"/>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pPr>
        <w:spacing w:line="320" w:lineRule="exact"/>
        <w:contextualSpacing/>
        <w:jc w:val="both"/>
        <w:rPr>
          <w:rFonts w:ascii="Verdana" w:hAnsi="Verdana" w:cs="Arial"/>
          <w:sz w:val="20"/>
          <w:szCs w:val="20"/>
        </w:rPr>
      </w:pPr>
      <w:bookmarkStart w:id="177" w:name="_DV_M196"/>
      <w:bookmarkStart w:id="178" w:name="_DV_M197"/>
      <w:bookmarkStart w:id="179" w:name="_DV_M198"/>
      <w:bookmarkStart w:id="180" w:name="_DV_M199"/>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End w:id="177"/>
      <w:bookmarkEnd w:id="178"/>
      <w:bookmarkEnd w:id="179"/>
      <w:bookmarkEnd w:id="180"/>
      <w:bookmarkEnd w:id="181"/>
      <w:bookmarkEnd w:id="182"/>
      <w:bookmarkEnd w:id="183"/>
      <w:bookmarkEnd w:id="184"/>
      <w:bookmarkEnd w:id="185"/>
      <w:bookmarkEnd w:id="186"/>
      <w:bookmarkEnd w:id="187"/>
      <w:bookmarkEnd w:id="188"/>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89" w:name="_DV_M210"/>
      <w:bookmarkEnd w:id="189"/>
      <w:r>
        <w:rPr>
          <w:rFonts w:ascii="Verdana" w:hAnsi="Verdana" w:cs="Arial"/>
          <w:b/>
          <w:sz w:val="20"/>
          <w:szCs w:val="20"/>
        </w:rPr>
        <w:t>Repactuação Programada</w:t>
      </w:r>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90" w:name="_DV_M211"/>
      <w:bookmarkEnd w:id="190"/>
      <w:r>
        <w:rPr>
          <w:rFonts w:ascii="Verdana" w:hAnsi="Verdana" w:cs="Arial"/>
          <w:sz w:val="20"/>
          <w:szCs w:val="20"/>
        </w:rPr>
        <w:t>4.8.1.</w:t>
      </w:r>
      <w:r>
        <w:rPr>
          <w:rFonts w:ascii="Verdana" w:hAnsi="Verdana" w:cs="Arial"/>
          <w:sz w:val="20"/>
          <w:szCs w:val="20"/>
        </w:rPr>
        <w:tab/>
        <w:t>Não haverá repactuação programada das Debêntures.</w:t>
      </w:r>
    </w:p>
    <w:p>
      <w:pPr>
        <w:spacing w:line="320" w:lineRule="exact"/>
        <w:ind w:left="709"/>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pPr>
        <w:spacing w:line="320" w:lineRule="exact"/>
        <w:contextualSpacing/>
        <w:rPr>
          <w:rFonts w:ascii="Verdana" w:eastAsia="Arial Unicode MS" w:hAnsi="Verdana" w:cs="Arial"/>
          <w:sz w:val="20"/>
          <w:szCs w:val="20"/>
        </w:rPr>
      </w:pPr>
    </w:p>
    <w:p>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pPr>
        <w:spacing w:line="320" w:lineRule="exact"/>
        <w:contextualSpacing/>
        <w:rPr>
          <w:rFonts w:ascii="Verdana" w:eastAsia="Arial Unicode MS" w:hAnsi="Verdana" w:cs="Arial"/>
          <w:sz w:val="20"/>
          <w:szCs w:val="20"/>
        </w:rPr>
      </w:pPr>
    </w:p>
    <w:p>
      <w:pPr>
        <w:tabs>
          <w:tab w:val="left" w:pos="1985"/>
        </w:tabs>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 xml:space="preserve">4.10.1. </w:t>
      </w:r>
      <w:r>
        <w:rPr>
          <w:rFonts w:ascii="Verdana" w:eastAsia="Arial Unicode MS" w:hAnsi="Verdana" w:cs="Arial"/>
          <w:i/>
          <w:sz w:val="20"/>
          <w:szCs w:val="20"/>
        </w:rPr>
        <w:t>Resgate Antecipado Facultativo.</w:t>
      </w:r>
      <w:r>
        <w:rPr>
          <w:rFonts w:ascii="Verdana" w:eastAsia="Arial Unicode MS" w:hAnsi="Verdana" w:cs="Arial"/>
          <w:sz w:val="20"/>
          <w:szCs w:val="20"/>
        </w:rPr>
        <w:t xml:space="preserve"> </w:t>
      </w:r>
      <w:r>
        <w:rPr>
          <w:rFonts w:ascii="Verdana" w:hAnsi="Verdana" w:cs="Arial"/>
          <w:sz w:val="20"/>
          <w:szCs w:val="20"/>
        </w:rPr>
        <w:t xml:space="preserve">As Debêntures não estarão sujeitas a resgate antecipado facultativo pela Emissora, total ou parcial. </w:t>
      </w:r>
    </w:p>
    <w:p>
      <w:pPr>
        <w:tabs>
          <w:tab w:val="left" w:pos="1985"/>
        </w:tabs>
        <w:spacing w:line="320" w:lineRule="exact"/>
        <w:ind w:left="709" w:hanging="709"/>
        <w:contextualSpacing/>
        <w:jc w:val="both"/>
        <w:rPr>
          <w:rFonts w:ascii="Verdana" w:eastAsia="Arial Unicode MS" w:hAnsi="Verdana" w:cs="Arial"/>
          <w:sz w:val="20"/>
          <w:szCs w:val="20"/>
        </w:rPr>
      </w:pPr>
    </w:p>
    <w:p>
      <w:pPr>
        <w:pStyle w:val="PargrafodaLista"/>
        <w:numPr>
          <w:ilvl w:val="2"/>
          <w:numId w:val="44"/>
        </w:numPr>
        <w:adjustRightInd/>
        <w:spacing w:line="320" w:lineRule="exact"/>
        <w:ind w:left="709" w:hanging="709"/>
        <w:jc w:val="both"/>
        <w:rPr>
          <w:rFonts w:ascii="Verdana" w:hAnsi="Verdana" w:cs="Tahoma"/>
          <w:sz w:val="20"/>
          <w:szCs w:val="20"/>
        </w:rPr>
      </w:pPr>
      <w:r>
        <w:rPr>
          <w:rFonts w:ascii="Verdana" w:hAnsi="Verdana" w:cs="Tahoma"/>
          <w:i/>
          <w:sz w:val="20"/>
          <w:szCs w:val="20"/>
        </w:rPr>
        <w:t>Oferta de Resgate Antecipado.</w:t>
      </w:r>
      <w:r>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pPr>
        <w:tabs>
          <w:tab w:val="left" w:pos="709"/>
        </w:tabs>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4.12 abaixo, na data de envio da referida comunicação, anúncio aos Debenturistas (“</w:t>
      </w:r>
      <w:r>
        <w:rPr>
          <w:rFonts w:ascii="Verdana" w:hAnsi="Verdana" w:cs="Tahoma"/>
          <w:sz w:val="20"/>
          <w:szCs w:val="20"/>
          <w:u w:val="single"/>
        </w:rPr>
        <w:t xml:space="preserve">Edital de Oferta de </w:t>
      </w:r>
      <w:r>
        <w:rPr>
          <w:rFonts w:ascii="Verdana" w:hAnsi="Verdana" w:cs="Tahoma"/>
          <w:sz w:val="20"/>
          <w:szCs w:val="20"/>
          <w:u w:val="single"/>
        </w:rPr>
        <w:lastRenderedPageBreak/>
        <w:t>Resgate Antecipado</w:t>
      </w:r>
      <w:r>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4.10.2.2 abaixo; (iii) a data efetiva para o resgate antecipado das Debêntures e o pagamento das quantias devidas aos Debenturistas nos termos da Cláusula 4.10.2.6 abaixo; e (iv) as demais informações necessárias para a tomada de decisão pelos Debenturistas e para a operacionalização da Oferta de Resgate Antecipado. </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pPr>
        <w:spacing w:line="320" w:lineRule="exact"/>
        <w:ind w:left="709" w:hanging="709"/>
        <w:jc w:val="both"/>
        <w:rPr>
          <w:rFonts w:ascii="Verdana" w:hAnsi="Verdana" w:cs="Tahoma"/>
          <w:sz w:val="20"/>
          <w:szCs w:val="20"/>
        </w:rPr>
      </w:pP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Agente de Liquidação e à </w:t>
      </w:r>
      <w:r>
        <w:rPr>
          <w:rFonts w:ascii="Verdana" w:hAnsi="Verdana" w:cs="Arial"/>
          <w:sz w:val="20"/>
          <w:szCs w:val="20"/>
        </w:rPr>
        <w:t>B3</w:t>
      </w:r>
      <w:r>
        <w:rPr>
          <w:rFonts w:ascii="Verdana" w:hAnsi="Verdana" w:cs="Tahoma"/>
          <w:sz w:val="20"/>
          <w:szCs w:val="20"/>
        </w:rPr>
        <w:t xml:space="preserve"> a data do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 xml:space="preserve">ou (ii) </w:t>
      </w:r>
      <w:r>
        <w:rPr>
          <w:rFonts w:ascii="Verdana" w:hAnsi="Verdana" w:cs="Arial"/>
          <w:sz w:val="20"/>
          <w:szCs w:val="20"/>
        </w:rPr>
        <w:t xml:space="preserve">os procedimentos adotados pelo Agente de Liquidação, para as Debêntures que não estiverem custodiadas eletronicamente na B3. </w:t>
      </w:r>
    </w:p>
    <w:p>
      <w:pPr>
        <w:autoSpaceDE/>
        <w:autoSpaceDN/>
        <w:adjustRightInd/>
        <w:spacing w:line="320" w:lineRule="exact"/>
        <w:rPr>
          <w:rFonts w:ascii="Verdana" w:eastAsia="Arial Unicode MS" w:hAnsi="Verdana"/>
          <w:b/>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lastRenderedPageBreak/>
        <w:t>Aquisição Facultativa</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xml:space="preserve">; (ii) </w:t>
      </w:r>
      <w:r>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Asssembleia Geral de Debenturistas, ficando o Agente Fiduciário desde já autorizado a celebrar o referido aditamento. </w:t>
      </w:r>
    </w:p>
    <w:p>
      <w:pPr>
        <w:spacing w:line="320" w:lineRule="exact"/>
        <w:contextualSpacing/>
        <w:jc w:val="both"/>
        <w:rPr>
          <w:rFonts w:ascii="Verdana" w:hAnsi="Verdana" w:cs="Arial"/>
          <w:sz w:val="20"/>
          <w:szCs w:val="20"/>
        </w:rPr>
      </w:pPr>
    </w:p>
    <w:p>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1" w:name="_DV_M212"/>
      <w:bookmarkEnd w:id="191"/>
      <w:r>
        <w:rPr>
          <w:rFonts w:ascii="Verdana" w:hAnsi="Verdana" w:cs="Arial"/>
          <w:b/>
          <w:sz w:val="20"/>
          <w:szCs w:val="20"/>
        </w:rPr>
        <w:t>Publicidade</w:t>
      </w:r>
    </w:p>
    <w:p>
      <w:pPr>
        <w:widowControl w:val="0"/>
        <w:spacing w:line="320" w:lineRule="exact"/>
        <w:contextualSpacing/>
        <w:jc w:val="both"/>
        <w:rPr>
          <w:rFonts w:ascii="Verdana" w:hAnsi="Verdana" w:cs="Arial"/>
          <w:sz w:val="20"/>
          <w:szCs w:val="20"/>
        </w:rPr>
      </w:pPr>
    </w:p>
    <w:p>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2" w:name="_DV_M213"/>
      <w:bookmarkEnd w:id="192"/>
      <w:r>
        <w:rPr>
          <w:rFonts w:ascii="Verdana" w:hAnsi="Verdana" w:cs="Arial"/>
          <w:sz w:val="20"/>
          <w:szCs w:val="20"/>
          <w:lang w:val="pt-BR"/>
        </w:rPr>
        <w:t xml:space="preserve">4.12.1. Todos os atos e decisões a serem tomados decorrentes desta Emissão que, de qualquer forma, vierem a envolver interesses dos Debenturistas, deverão ser obrigatoriamente comunicados na forma de avisos, nos Jornais de Publicação da Emissora, bem como na página da Emissora na rede mundial de computadores - Internet </w:t>
      </w:r>
      <w:r>
        <w:rPr>
          <w:rFonts w:ascii="Verdana" w:hAnsi="Verdana" w:cs="Arial"/>
          <w:sz w:val="20"/>
          <w:szCs w:val="20"/>
          <w:highlight w:val="yellow"/>
          <w:lang w:val="pt-BR"/>
        </w:rPr>
        <w:t>[(www.aliancaenergia.com.br)]</w:t>
      </w:r>
      <w:r>
        <w:rPr>
          <w:rFonts w:ascii="Verdana" w:hAnsi="Verdana" w:cs="Arial"/>
          <w:sz w:val="20"/>
          <w:szCs w:val="20"/>
          <w:lang w:val="pt-BR"/>
        </w:rPr>
        <w:t>,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pPr>
        <w:autoSpaceDE/>
        <w:autoSpaceDN/>
        <w:adjustRightInd/>
        <w:spacing w:line="320" w:lineRule="exact"/>
        <w:rPr>
          <w:rFonts w:ascii="Verdana" w:hAnsi="Verdana" w:cs="Arial"/>
          <w:b/>
          <w:sz w:val="20"/>
          <w:szCs w:val="20"/>
        </w:rPr>
      </w:pPr>
      <w:bookmarkStart w:id="193" w:name="_DV_M215"/>
      <w:bookmarkEnd w:id="193"/>
    </w:p>
    <w:p>
      <w:pPr>
        <w:keepNext/>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Comprovação de Titularidade das Debêntures</w:t>
      </w:r>
    </w:p>
    <w:p>
      <w:pPr>
        <w:pStyle w:val="Corpodetexto3"/>
        <w:keepNext/>
        <w:spacing w:line="320" w:lineRule="exact"/>
        <w:contextualSpacing/>
        <w:rPr>
          <w:rFonts w:ascii="Verdana" w:hAnsi="Verdana" w:cs="Arial"/>
          <w:sz w:val="20"/>
          <w:szCs w:val="20"/>
          <w:lang w:val="pt-BR"/>
        </w:rPr>
      </w:pPr>
    </w:p>
    <w:p>
      <w:pPr>
        <w:keepNext/>
        <w:spacing w:line="320" w:lineRule="exact"/>
        <w:ind w:left="705" w:hanging="705"/>
        <w:contextualSpacing/>
        <w:jc w:val="both"/>
        <w:rPr>
          <w:rFonts w:ascii="Verdana" w:hAnsi="Verdana" w:cs="Arial"/>
          <w:sz w:val="20"/>
          <w:szCs w:val="20"/>
        </w:rPr>
      </w:pPr>
      <w:bookmarkStart w:id="194" w:name="_DV_M216"/>
      <w:bookmarkEnd w:id="194"/>
      <w:r>
        <w:rPr>
          <w:rFonts w:ascii="Verdana" w:hAnsi="Verdana" w:cs="Arial"/>
          <w:sz w:val="20"/>
          <w:szCs w:val="20"/>
        </w:rPr>
        <w:t xml:space="preserve">4.13.1. 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w:t>
      </w:r>
      <w:r>
        <w:rPr>
          <w:rFonts w:ascii="Verdana" w:hAnsi="Verdana" w:cs="Arial"/>
          <w:sz w:val="20"/>
          <w:szCs w:val="20"/>
        </w:rPr>
        <w:lastRenderedPageBreak/>
        <w:t>Debêntures, o extrato emitido pela B3, em nome do Debenturista, quando as Debêntures estiverem custodiadas eletronicamente na B3.</w:t>
      </w:r>
    </w:p>
    <w:p>
      <w:pPr>
        <w:spacing w:line="320" w:lineRule="exact"/>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195" w:name="_DV_M217"/>
      <w:bookmarkEnd w:id="195"/>
      <w:r>
        <w:rPr>
          <w:rFonts w:ascii="Verdana" w:hAnsi="Verdana" w:cs="Arial"/>
          <w:b/>
          <w:sz w:val="20"/>
          <w:szCs w:val="20"/>
        </w:rPr>
        <w:t>Tratamento Tributário</w:t>
      </w:r>
    </w:p>
    <w:p>
      <w:pPr>
        <w:tabs>
          <w:tab w:val="left" w:pos="720"/>
        </w:tabs>
        <w:spacing w:line="320" w:lineRule="exact"/>
        <w:ind w:left="720"/>
        <w:contextualSpacing/>
        <w:jc w:val="both"/>
        <w:rPr>
          <w:rFonts w:ascii="Verdana" w:hAnsi="Verdana" w:cs="Arial"/>
          <w:b/>
          <w:sz w:val="20"/>
          <w:szCs w:val="20"/>
        </w:rPr>
      </w:pPr>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6" w:name="_DV_M218"/>
      <w:bookmarkEnd w:id="196"/>
      <w:r>
        <w:rPr>
          <w:rFonts w:ascii="Verdana" w:hAnsi="Verdana" w:cs="Arial"/>
          <w:sz w:val="20"/>
          <w:szCs w:val="20"/>
        </w:rPr>
        <w:t>4.14.1. As Debêntures gozam do tratamento tributário previsto nos artigos 1º e 2º da Lei 12.431.</w:t>
      </w:r>
      <w:bookmarkStart w:id="197" w:name="_Ref379570729"/>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Agente de Liquidação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7"/>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4.14.3. 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e/ou pelo Escriturador e/ou pela Emissora.</w:t>
      </w:r>
      <w:bookmarkStart w:id="198" w:name="_Ref380141300"/>
      <w:bookmarkStart w:id="199" w:name="_Toc367387613"/>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198"/>
      <w:bookmarkEnd w:id="199"/>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4.14.5. Sem prejuízo do disposto na Cláusula 4.14.4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w:t>
      </w:r>
      <w:r>
        <w:rPr>
          <w:rFonts w:ascii="Verdana" w:hAnsi="Verdana" w:cs="Arial"/>
          <w:sz w:val="20"/>
          <w:szCs w:val="20"/>
        </w:rPr>
        <w:lastRenderedPageBreak/>
        <w:t>os referidos valores não fossem incidentes.</w:t>
      </w:r>
      <w:bookmarkStart w:id="200" w:name="_DV_M219"/>
      <w:bookmarkStart w:id="201" w:name="_DV_M220"/>
      <w:bookmarkStart w:id="202" w:name="_DV_M221"/>
      <w:bookmarkStart w:id="203" w:name="_Toc499990364"/>
      <w:bookmarkEnd w:id="200"/>
      <w:bookmarkEnd w:id="201"/>
      <w:bookmarkEnd w:id="202"/>
      <w:r>
        <w:rPr>
          <w:rFonts w:ascii="Verdana" w:hAnsi="Verdana" w:cs="Arial"/>
          <w:sz w:val="20"/>
          <w:szCs w:val="20"/>
        </w:rPr>
        <w:t xml:space="preserve"> [</w:t>
      </w:r>
      <w:r>
        <w:rPr>
          <w:rFonts w:ascii="Verdana" w:hAnsi="Verdana" w:cs="Arial"/>
          <w:b/>
          <w:i/>
          <w:sz w:val="20"/>
          <w:szCs w:val="20"/>
          <w:highlight w:val="yellow"/>
        </w:rPr>
        <w:t>Nota MM/Companhia</w:t>
      </w:r>
      <w:r>
        <w:rPr>
          <w:rFonts w:ascii="Verdana" w:hAnsi="Verdana" w:cs="Arial"/>
          <w:i/>
          <w:sz w:val="20"/>
          <w:szCs w:val="20"/>
          <w:highlight w:val="yellow"/>
        </w:rPr>
        <w:t>: Gentileza incluir possibilidade de resgate antecipado ou amortização extraordinária como alternativas ao custeio dos tributos</w:t>
      </w:r>
      <w:r>
        <w:rPr>
          <w:rFonts w:ascii="Verdana" w:hAnsi="Verdana" w:cs="Arial"/>
          <w:sz w:val="20"/>
          <w:szCs w:val="20"/>
          <w:highlight w:val="yellow"/>
        </w:rPr>
        <w:t>.</w:t>
      </w:r>
      <w:r>
        <w:rPr>
          <w:rFonts w:ascii="Verdana" w:hAnsi="Verdana" w:cs="Arial"/>
          <w:sz w:val="20"/>
          <w:szCs w:val="20"/>
        </w:rPr>
        <w:t>]</w:t>
      </w:r>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204" w:name="_DV_M222"/>
      <w:bookmarkStart w:id="205" w:name="_Ref370460269"/>
      <w:bookmarkEnd w:id="204"/>
      <w:r>
        <w:rPr>
          <w:rFonts w:ascii="Verdana" w:hAnsi="Verdana" w:cs="Arial"/>
          <w:b/>
          <w:sz w:val="20"/>
          <w:szCs w:val="20"/>
        </w:rPr>
        <w:t>Classificação de Risco</w:t>
      </w:r>
    </w:p>
    <w:p>
      <w:pPr>
        <w:tabs>
          <w:tab w:val="left" w:pos="720"/>
        </w:tabs>
        <w:spacing w:line="320" w:lineRule="exact"/>
        <w:ind w:left="720"/>
        <w:contextualSpacing/>
        <w:jc w:val="both"/>
        <w:rPr>
          <w:rFonts w:ascii="Verdana" w:hAnsi="Verdana" w:cs="Arial"/>
          <w:b/>
          <w:sz w:val="20"/>
          <w:szCs w:val="20"/>
        </w:rPr>
      </w:pPr>
    </w:p>
    <w:p>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pPr>
        <w:spacing w:line="320" w:lineRule="exact"/>
        <w:ind w:left="709" w:hanging="709"/>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Garantias Reais</w:t>
      </w:r>
      <w:bookmarkEnd w:id="205"/>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206" w:name="_DV_M223"/>
      <w:bookmarkEnd w:id="206"/>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“Contrato de Financiamento Mediante Abertura de Crédito nº 17.2.0274.1”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entre o BNDES e as SPEs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e  o Aditamento e Consolidação ao “Contrato de Cessão Fiduciária de Direitos, Administração de Contas e Outras Avenças nº 17.2.027,4.2” celebrado em 08 de dezembro de 2017 (“</w:t>
      </w:r>
      <w:r>
        <w:rPr>
          <w:rFonts w:ascii="Verdana" w:eastAsia="Arial Unicode MS" w:hAnsi="Verdana"/>
          <w:sz w:val="20"/>
          <w:u w:val="single"/>
        </w:rPr>
        <w:t>Contrato de Cessão Fiduciária</w:t>
      </w:r>
      <w:r>
        <w:rPr>
          <w:rFonts w:ascii="Verdana" w:eastAsia="Arial Unicode MS" w:hAnsi="Verdana" w:cs="Arial"/>
          <w:sz w:val="20"/>
          <w:szCs w:val="20"/>
        </w:rPr>
        <w:t>”) entre o BNDES e as SPEs  serão celebrados e registrados nos competentes Cartórios de Títulos e Documentos e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4.18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pPr>
        <w:pStyle w:val="PargrafodaLista"/>
        <w:spacing w:line="320" w:lineRule="exact"/>
        <w:contextualSpacing/>
        <w:rPr>
          <w:rFonts w:ascii="Verdana" w:eastAsia="Arial Unicode MS" w:hAnsi="Verdana" w:cs="Arial"/>
          <w:bCs/>
          <w:sz w:val="20"/>
          <w:szCs w:val="20"/>
        </w:rPr>
      </w:pPr>
      <w:bookmarkStart w:id="207" w:name="_DV_M20"/>
      <w:bookmarkStart w:id="208" w:name="_DV_M21"/>
      <w:bookmarkStart w:id="209" w:name="_DV_M22"/>
      <w:bookmarkStart w:id="210" w:name="_DV_M23"/>
      <w:bookmarkEnd w:id="207"/>
      <w:bookmarkEnd w:id="208"/>
      <w:bookmarkEnd w:id="209"/>
      <w:bookmarkEnd w:id="210"/>
    </w:p>
    <w:p>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penhor, em primeiro grau, da totalidade das ações atuais e futuras, representativas do capital social das SPEs de propriedade</w:t>
      </w:r>
      <w:r>
        <w:rPr>
          <w:rFonts w:ascii="Verdana" w:eastAsia="Arial Unicode MS" w:hAnsi="Verdana"/>
          <w:iCs/>
          <w:sz w:val="20"/>
          <w:szCs w:val="20"/>
        </w:rPr>
        <w:t xml:space="preserve"> da Emissora </w:t>
      </w:r>
      <w:r>
        <w:rPr>
          <w:rFonts w:ascii="Verdana" w:hAnsi="Verdana" w:cs="Arial"/>
          <w:sz w:val="20"/>
          <w:szCs w:val="20"/>
        </w:rPr>
        <w:t xml:space="preserve">e quaisquer outras ações de emissão das SPEs, que venham a ser subscritas, adquiridas ou de qualquer modo emitidas pelas SPEs,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(1) todos os frutos, lucros, </w:t>
      </w:r>
      <w:r>
        <w:rPr>
          <w:rFonts w:ascii="Verdana" w:hAnsi="Verdana" w:cs="Arial"/>
          <w:sz w:val="20"/>
          <w:szCs w:val="20"/>
        </w:rPr>
        <w:lastRenderedPageBreak/>
        <w:t>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Aditamento nº </w:t>
      </w:r>
      <w:r>
        <w:rPr>
          <w:rFonts w:ascii="Verdana" w:eastAsia="Arial Unicode MS" w:hAnsi="Verdana" w:cs="Arial" w:hint="eastAsia"/>
          <w:sz w:val="20"/>
          <w:szCs w:val="20"/>
        </w:rPr>
        <w:t>[</w:t>
      </w:r>
      <w:r>
        <w:rPr>
          <w:rFonts w:ascii="Verdana" w:eastAsia="Arial Unicode MS" w:hAnsi="Verdana" w:cs="Arial" w:hint="eastAsia"/>
          <w:sz w:val="20"/>
          <w:szCs w:val="20"/>
        </w:rPr>
        <w:t>●</w:t>
      </w:r>
      <w:r>
        <w:rPr>
          <w:rFonts w:ascii="Verdana" w:eastAsia="Arial Unicode MS" w:hAnsi="Verdana" w:cs="Arial" w:hint="eastAsia"/>
          <w:sz w:val="20"/>
          <w:szCs w:val="20"/>
        </w:rPr>
        <w:t>]</w:t>
      </w:r>
      <w:r>
        <w:rPr>
          <w:rFonts w:ascii="Verdana" w:eastAsia="Arial Unicode MS" w:hAnsi="Verdana" w:cs="Arial"/>
          <w:sz w:val="20"/>
          <w:szCs w:val="20"/>
        </w:rPr>
        <w:t xml:space="preserve"> e Consolidação ao Contrato de Financiamento BNDES (conforme abaixo definido), a ser celebrado entre a Companhia, as SPEs,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com a interveniência das SPEs (“</w:t>
      </w:r>
      <w:r>
        <w:rPr>
          <w:rFonts w:ascii="Verdana" w:eastAsia="Arial Unicode MS" w:hAnsi="Verdana" w:cs="Arial"/>
          <w:sz w:val="20"/>
          <w:szCs w:val="20"/>
          <w:u w:val="single"/>
        </w:rPr>
        <w:t>Aditamento e Consolidação ao Contrato de Financiamento BNDES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w:t>
      </w:r>
      <w:r>
        <w:rPr>
          <w:rFonts w:ascii="Verdana" w:eastAsia="Arial Unicode MS" w:hAnsi="Verdana" w:cs="Arial"/>
          <w:bCs/>
          <w:sz w:val="20"/>
          <w:szCs w:val="20"/>
        </w:rPr>
        <w:t xml:space="preserve">; </w:t>
      </w:r>
    </w:p>
    <w:p>
      <w:pPr>
        <w:pStyle w:val="PargrafodaLista"/>
        <w:spacing w:line="320" w:lineRule="exact"/>
        <w:contextualSpacing/>
        <w:rPr>
          <w:rFonts w:ascii="Verdana" w:eastAsia="Arial Unicode MS" w:hAnsi="Verdana" w:cs="Arial"/>
          <w:bCs/>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penhor, em primeiro grau, das máquinas e equipamentos relativos ao Projeto, de propriedade das SPEs adquiridos, montados ou construídos, ou a serem adquiridos, montados ou construídos com os recursos decorrentes desta Emissão e provenientes do Contrato de Financiamento com o BNDES (conforme definido na Cláusula 4.18.1 abaixo), e de quaisquer outros dos quais venham a se tornar titulares, a qualquer tempo no futuro, nos termos do </w:t>
      </w:r>
      <w:r>
        <w:rPr>
          <w:rFonts w:ascii="Verdana" w:eastAsia="Arial Unicode MS" w:hAnsi="Verdana" w:cs="Arial"/>
          <w:sz w:val="20"/>
          <w:szCs w:val="20"/>
          <w:u w:val="single"/>
        </w:rPr>
        <w:t>Aditamento e Consolidação ao</w:t>
      </w:r>
      <w:r>
        <w:rPr>
          <w:rFonts w:ascii="Verdana" w:eastAsia="Arial Unicode MS" w:hAnsi="Verdana"/>
          <w:sz w:val="20"/>
          <w:u w:val="single"/>
        </w:rPr>
        <w:t xml:space="preserve"> </w:t>
      </w:r>
      <w:r>
        <w:rPr>
          <w:rFonts w:ascii="Verdana" w:eastAsia="Arial Unicode MS" w:hAnsi="Verdana" w:cs="Arial"/>
          <w:sz w:val="20"/>
          <w:szCs w:val="20"/>
          <w:u w:val="single"/>
        </w:rPr>
        <w:t>Contrato de Financiamento BNDES</w:t>
      </w:r>
      <w:r>
        <w:rPr>
          <w:rFonts w:ascii="Verdana" w:eastAsia="Arial Unicode MS" w:hAnsi="Verdana" w:cs="Arial"/>
          <w:sz w:val="20"/>
          <w:szCs w:val="20"/>
        </w:rPr>
        <w:t xml:space="preserve"> ,; </w:t>
      </w:r>
    </w:p>
    <w:p>
      <w:pPr>
        <w:tabs>
          <w:tab w:val="left" w:pos="1276"/>
        </w:tabs>
        <w:spacing w:line="320" w:lineRule="exact"/>
        <w:ind w:left="1276" w:hanging="567"/>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pelas SPEs,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Contrato de Cessão Fiduciária, a ser celebrado entre o BNDES, a Emissora, as SPEs, o </w:t>
      </w:r>
      <w:r>
        <w:rPr>
          <w:rFonts w:ascii="Verdana" w:hAnsi="Verdana"/>
          <w:sz w:val="20"/>
        </w:rPr>
        <w:t>[</w:t>
      </w:r>
      <w:r>
        <w:rPr>
          <w:rFonts w:ascii="Verdana" w:hAnsi="Verdana"/>
          <w:sz w:val="20"/>
        </w:rPr>
        <w:sym w:font="Symbol" w:char="F0B7"/>
      </w:r>
      <w:r>
        <w:rPr>
          <w:rFonts w:ascii="Verdana" w:hAnsi="Verdana"/>
          <w:sz w:val="20"/>
        </w:rPr>
        <w:t>]</w:t>
      </w:r>
      <w:r>
        <w:rPr>
          <w:rFonts w:ascii="Verdana" w:hAnsi="Verdana" w:cs="Tahoma"/>
          <w:sz w:val="20"/>
          <w:szCs w:val="20"/>
        </w:rPr>
        <w:t xml:space="preserve"> (“</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w:t>
      </w:r>
      <w:r>
        <w:rPr>
          <w:rFonts w:ascii="Verdana" w:hAnsi="Verdana" w:cs="Tahoma"/>
          <w:sz w:val="20"/>
          <w:szCs w:val="20"/>
        </w:rPr>
        <w:t>”): (</w:t>
      </w:r>
      <w:r>
        <w:rPr>
          <w:rFonts w:ascii="Verdana" w:eastAsia="Arial Unicode MS" w:hAnsi="Verdana" w:cs="Arial"/>
          <w:sz w:val="20"/>
          <w:szCs w:val="20"/>
        </w:rPr>
        <w:t xml:space="preserve">a) os direitos creditórios, provenientes </w:t>
      </w:r>
      <w:r>
        <w:rPr>
          <w:rFonts w:ascii="Verdana" w:eastAsia="Arial Unicode MS" w:hAnsi="Verdana" w:cs="Arial"/>
          <w:sz w:val="20"/>
          <w:szCs w:val="20"/>
        </w:rPr>
        <w:lastRenderedPageBreak/>
        <w:t>dos</w:t>
      </w:r>
      <w:r>
        <w:rPr>
          <w:rFonts w:ascii="Verdana" w:hAnsi="Verdana" w:cs="Arial"/>
          <w:sz w:val="20"/>
          <w:szCs w:val="20"/>
        </w:rPr>
        <w:t xml:space="preserve"> Contratos de Compra e Venda de Energia celebrados entre as </w:t>
      </w:r>
      <w:r>
        <w:rPr>
          <w:rFonts w:ascii="Verdana" w:eastAsia="Arial Unicode MS" w:hAnsi="Verdana" w:cs="Arial"/>
          <w:sz w:val="20"/>
          <w:szCs w:val="20"/>
        </w:rPr>
        <w:t>SPEs e a Vale S.A. em 1º de setembro de 2016 (“</w:t>
      </w:r>
      <w:r>
        <w:rPr>
          <w:rFonts w:ascii="Verdana" w:eastAsia="Arial Unicode MS" w:hAnsi="Verdana" w:cs="Arial"/>
          <w:sz w:val="20"/>
          <w:szCs w:val="20"/>
          <w:u w:val="single"/>
        </w:rPr>
        <w:t>CCVEs</w:t>
      </w:r>
      <w:r>
        <w:rPr>
          <w:rFonts w:ascii="Verdana" w:eastAsia="Arial Unicode MS" w:hAnsi="Verdana" w:cs="Arial"/>
          <w:sz w:val="20"/>
          <w:szCs w:val="20"/>
        </w:rPr>
        <w:t>”); (b) os direitos creditórios, provenientes de quaisquer outros contratos de venda de energia que venham a ser celebrados pelas SPEs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r>
        <w:rPr>
          <w:rFonts w:ascii="Verdana" w:eastAsia="Arial Unicode MS" w:hAnsi="Verdana"/>
          <w:sz w:val="20"/>
          <w:szCs w:val="20"/>
        </w:rPr>
        <w:t>SPEs</w:t>
      </w:r>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titulatidade de cada SPE; (e) os direitos emergentes decorrentes das autorizações emitidas pela ANNEL listadas a 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nº</w:t>
      </w:r>
      <w:r>
        <w:rPr>
          <w:rFonts w:ascii="Verdana" w:eastAsia="Arial Unicode MS" w:hAnsi="Verdana" w:cs="Arial"/>
          <w:sz w:val="20"/>
          <w:szCs w:val="20"/>
          <w:vertAlign w:val="superscript"/>
        </w:rPr>
        <w:t xml:space="preserve">s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 e </w:t>
      </w:r>
    </w:p>
    <w:p>
      <w:pPr>
        <w:tabs>
          <w:tab w:val="left" w:pos="1276"/>
        </w:tabs>
        <w:spacing w:line="320" w:lineRule="exact"/>
        <w:ind w:left="1276" w:hanging="567"/>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sua titularidade sobre a Conta Centralizadora da Emissora, 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e, em conjunto com o Aditamento e Consolidação ao Contrato de Financiamento BNDES, os “</w:t>
      </w:r>
      <w:r>
        <w:rPr>
          <w:rFonts w:ascii="Verdana" w:eastAsia="Arial Unicode MS" w:hAnsi="Verdana" w:cs="Arial"/>
          <w:sz w:val="20"/>
          <w:szCs w:val="20"/>
          <w:u w:val="single"/>
        </w:rPr>
        <w:t>Contratos de Garantia</w:t>
      </w:r>
      <w:r>
        <w:rPr>
          <w:rFonts w:ascii="Verdana" w:eastAsia="Arial Unicode MS" w:hAnsi="Verdana" w:cs="Arial"/>
          <w:sz w:val="20"/>
          <w:szCs w:val="20"/>
        </w:rPr>
        <w:t>”). [</w:t>
      </w:r>
      <w:r>
        <w:rPr>
          <w:rFonts w:ascii="Verdana" w:eastAsia="Arial Unicode MS" w:hAnsi="Verdana" w:cs="Arial"/>
          <w:b/>
          <w:i/>
          <w:sz w:val="20"/>
          <w:szCs w:val="20"/>
          <w:highlight w:val="yellow"/>
        </w:rPr>
        <w:t>Nota Companhia</w:t>
      </w:r>
      <w:r>
        <w:rPr>
          <w:rFonts w:ascii="Verdana" w:eastAsia="Arial Unicode MS" w:hAnsi="Verdana" w:cs="Arial"/>
          <w:i/>
          <w:sz w:val="20"/>
          <w:szCs w:val="20"/>
          <w:highlight w:val="yellow"/>
        </w:rPr>
        <w:t>: a aliança eólica é a holding titular das ações das spes e está em fase final de incorporação pela companhia e a sucederá para todos os fins.</w:t>
      </w:r>
      <w:r>
        <w:rPr>
          <w:rFonts w:ascii="Verdana" w:eastAsia="Arial Unicode MS" w:hAnsi="Verdana" w:cs="Arial"/>
          <w:i/>
          <w:sz w:val="20"/>
          <w:szCs w:val="20"/>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a cessão fiduciária da conta centralizadora holding já está descrita no contrato de cessão celebrado com o bndes, assim entendemos que ela entrará no compartilhamento de garantias</w:t>
      </w:r>
      <w:r>
        <w:rPr>
          <w:rFonts w:ascii="Verdana" w:eastAsia="Arial Unicode MS" w:hAnsi="Verdana" w:cs="Arial"/>
          <w:sz w:val="20"/>
          <w:szCs w:val="20"/>
        </w:rPr>
        <w:t>.]</w:t>
      </w:r>
    </w:p>
    <w:p>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211" w:name="_DV_M224"/>
      <w:bookmarkStart w:id="212" w:name="_DV_M225"/>
      <w:bookmarkStart w:id="213" w:name="_DV_M226"/>
      <w:bookmarkStart w:id="214" w:name="_DV_M227"/>
      <w:bookmarkStart w:id="215" w:name="_DV_M228"/>
      <w:bookmarkStart w:id="216" w:name="_DV_M229"/>
      <w:bookmarkEnd w:id="211"/>
      <w:bookmarkEnd w:id="212"/>
      <w:bookmarkEnd w:id="213"/>
      <w:bookmarkEnd w:id="214"/>
      <w:bookmarkEnd w:id="215"/>
      <w:bookmarkEnd w:id="216"/>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livros de registro de ações nominativas das SPEs ou</w:t>
      </w:r>
      <w:r>
        <w:rPr>
          <w:rFonts w:ascii="Verdana" w:hAnsi="Verdana" w:cs="Arial"/>
          <w:sz w:val="20"/>
          <w:szCs w:val="20"/>
        </w:rPr>
        <w:t xml:space="preserve"> nos livros e/ou sistemas da instituição financeira responsável pela prestação de serviços de escrituração das ações das SPEs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217" w:name="_DV_M230"/>
      <w:bookmarkEnd w:id="217"/>
      <w:r>
        <w:rPr>
          <w:rFonts w:ascii="Verdana" w:eastAsia="Arial Unicode MS" w:hAnsi="Verdana" w:cs="Arial"/>
          <w:sz w:val="20"/>
          <w:szCs w:val="20"/>
        </w:rPr>
        <w:t xml:space="preserve">Para tanto, a Emissora </w:t>
      </w:r>
      <w:r>
        <w:rPr>
          <w:rFonts w:ascii="Verdana" w:hAnsi="Verdana" w:cs="Arial"/>
          <w:sz w:val="20"/>
          <w:szCs w:val="20"/>
        </w:rPr>
        <w:t xml:space="preserve">entregará ao Agente Fiduciário, nos termos da Cláusula 2.5 acima: (i) 1 (uma) via original dos Contratos de Garantia e </w:t>
      </w:r>
      <w:r>
        <w:rPr>
          <w:rFonts w:ascii="Verdana" w:hAnsi="Verdana" w:cs="Arial"/>
          <w:sz w:val="20"/>
          <w:szCs w:val="20"/>
        </w:rPr>
        <w:lastRenderedPageBreak/>
        <w:t xml:space="preserve">desta Escritura de Emissão devidamente registrados; (ii) cópia (ii.a) dos devidos registros nos </w:t>
      </w:r>
      <w:r>
        <w:rPr>
          <w:rFonts w:ascii="Verdana" w:eastAsia="Arial Unicode MS" w:hAnsi="Verdana" w:cs="Arial"/>
          <w:sz w:val="20"/>
          <w:szCs w:val="20"/>
        </w:rPr>
        <w:t>livros de registro de ações nominativas das SPEs ou (ii.b)</w:t>
      </w:r>
      <w:r>
        <w:rPr>
          <w:rFonts w:ascii="Verdana" w:hAnsi="Verdana" w:cs="Arial"/>
          <w:sz w:val="20"/>
          <w:szCs w:val="20"/>
        </w:rPr>
        <w:t xml:space="preserve"> caso as ações das SPEs venham a se tornar escriturais, dos livros e/ou sistemas da instituição financeira responsável pela prestação de serviços de escrituração das ações das SPEs ou do extrato da conta de depósito fornecido às respectivas acionistas, acompanhados de declaração da instituição financeira responsável pela prestação de serviços de escrituração das ações das SPEs; e (iii) a comprovação da ciência e/ou anuência, conforme aplicável, por parte dos devedores dos direitos cedidos fiduciariamente, conforme o caso</w:t>
      </w:r>
      <w:r>
        <w:rPr>
          <w:rFonts w:ascii="Verdana" w:eastAsia="Arial Unicode MS" w:hAnsi="Verdana" w:cs="Arial"/>
          <w:sz w:val="20"/>
          <w:szCs w:val="20"/>
        </w:rPr>
        <w:t>.</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4.16.3. Todas as despesas com o registro dos Contratos de Garantia, conforme previsto nos respectivos instrumentos, serão de responsabilidade da Emissora.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4.16.4. Fica, desde já, certo e ajustado que a inobservância dos prazos para execução de quaisquer Garantias Reais constituídas em favor dos Debenturistas não ensejará, sob hipótese nenhuma, perda de qualquer direito ou faculdade aqui prevista.</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4.16.5. Observado o disposto no Contrato de Compartilhamento de Garantias (conforme definido na Cláusula 4.18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4.16.6. As Garantias Reais referidas acima serão outorgadas em caráter irrevogável e irretratável pela Emissora e pelas SPEs, vigendo até a integral liquidação ou extinção das Obrigações Garantidas, nos termos da presente Escritura de Emissão e demais instrumentos jurídicos competentes à formalização das Garantias Reais, a serem firmados entre a Emissora, as SPEs, o Agente Fiduciário, BNDES e demais partes de referidos instrumentos, conforme aplicável.</w:t>
      </w:r>
      <w:bookmarkStart w:id="218" w:name="_DV_M325"/>
      <w:bookmarkStart w:id="219" w:name="_DV_M326"/>
      <w:bookmarkStart w:id="220" w:name="_DV_M333"/>
      <w:bookmarkEnd w:id="218"/>
      <w:bookmarkEnd w:id="219"/>
      <w:bookmarkEnd w:id="220"/>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Compartilhamento das Garantias</w:t>
      </w:r>
    </w:p>
    <w:p>
      <w:pPr>
        <w:widowControl w:val="0"/>
        <w:spacing w:line="320" w:lineRule="exact"/>
        <w:contextualSpacing/>
        <w:jc w:val="both"/>
        <w:rPr>
          <w:rFonts w:ascii="Verdana" w:eastAsia="Arial Unicode MS" w:hAnsi="Verdana" w:cs="Arial"/>
          <w:sz w:val="20"/>
          <w:szCs w:val="20"/>
        </w:rPr>
      </w:pPr>
    </w:p>
    <w:p>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pPr>
        <w:autoSpaceDE/>
        <w:autoSpaceDN/>
        <w:adjustRightInd/>
        <w:spacing w:line="320" w:lineRule="exact"/>
        <w:rPr>
          <w:rFonts w:ascii="Verdana" w:hAnsi="Verdana"/>
          <w:b/>
          <w:sz w:val="20"/>
          <w:szCs w:val="20"/>
        </w:rPr>
      </w:pPr>
    </w:p>
    <w:p>
      <w:pPr>
        <w:tabs>
          <w:tab w:val="left" w:pos="720"/>
        </w:tabs>
        <w:spacing w:line="320" w:lineRule="exact"/>
        <w:contextualSpacing/>
        <w:jc w:val="both"/>
        <w:rPr>
          <w:rFonts w:ascii="Verdana" w:hAnsi="Verdana" w:cs="Arial"/>
          <w:b/>
          <w:sz w:val="20"/>
          <w:szCs w:val="20"/>
        </w:rPr>
      </w:pPr>
      <w:r>
        <w:rPr>
          <w:rFonts w:ascii="Verdana" w:hAnsi="Verdana" w:cs="Arial"/>
          <w:b/>
          <w:sz w:val="20"/>
          <w:szCs w:val="20"/>
        </w:rPr>
        <w:t>4.18.</w:t>
      </w:r>
      <w:r>
        <w:rPr>
          <w:rFonts w:ascii="Verdana" w:hAnsi="Verdana" w:cs="Arial"/>
          <w:b/>
          <w:sz w:val="20"/>
          <w:szCs w:val="20"/>
        </w:rPr>
        <w:tab/>
        <w:t>Fases do Projeto</w:t>
      </w:r>
    </w:p>
    <w:p>
      <w:pPr>
        <w:tabs>
          <w:tab w:val="left" w:pos="720"/>
        </w:tabs>
        <w:spacing w:line="320" w:lineRule="exact"/>
        <w:contextualSpacing/>
        <w:jc w:val="both"/>
        <w:rPr>
          <w:rFonts w:ascii="Verdana" w:hAnsi="Verdana" w:cs="Arial"/>
          <w:b/>
          <w:sz w:val="20"/>
          <w:szCs w:val="20"/>
        </w:rPr>
      </w:pPr>
    </w:p>
    <w:p>
      <w:pPr>
        <w:pStyle w:val="PargrafodaLista1"/>
        <w:numPr>
          <w:ilvl w:val="0"/>
          <w:numId w:val="0"/>
        </w:numPr>
        <w:spacing w:line="320" w:lineRule="exact"/>
        <w:ind w:left="705" w:hanging="705"/>
        <w:contextualSpacing/>
        <w:jc w:val="both"/>
        <w:rPr>
          <w:rFonts w:ascii="Verdana" w:hAnsi="Verdana" w:cs="Arial"/>
          <w:sz w:val="20"/>
          <w:szCs w:val="20"/>
        </w:rPr>
      </w:pPr>
      <w:r>
        <w:rPr>
          <w:rFonts w:ascii="Verdana" w:eastAsia="Arial Unicode MS" w:hAnsi="Verdana" w:cs="Arial"/>
          <w:sz w:val="20"/>
          <w:szCs w:val="20"/>
        </w:rPr>
        <w:lastRenderedPageBreak/>
        <w:t>4.18.1. Para fins e efeitos da presente Escritura de Emissão,</w:t>
      </w:r>
      <w:r>
        <w:rPr>
          <w:rFonts w:ascii="Verdana" w:eastAsia="Arial Unicode MS" w:hAnsi="Verdana"/>
          <w:sz w:val="20"/>
          <w:szCs w:val="20"/>
        </w:rPr>
        <w:t xml:space="preserve"> o Projeto encontra-se na fase de operação comercial, tendo sua implantação sido concluída em </w:t>
      </w:r>
      <w:r>
        <w:rPr>
          <w:rFonts w:ascii="Verdana" w:eastAsia="Arial Unicode MS" w:hAnsi="Verdana" w:hint="eastAsia"/>
          <w:sz w:val="20"/>
        </w:rPr>
        <w:t>[</w:t>
      </w:r>
      <w:r>
        <w:rPr>
          <w:rFonts w:ascii="Verdana" w:eastAsia="Arial Unicode MS" w:hAnsi="Verdana" w:hint="eastAsia"/>
          <w:sz w:val="20"/>
        </w:rPr>
        <w:t>●</w:t>
      </w:r>
      <w:r>
        <w:rPr>
          <w:rFonts w:ascii="Verdana" w:eastAsia="Arial Unicode MS" w:hAnsi="Verdana" w:hint="eastAsia"/>
          <w:sz w:val="20"/>
        </w:rPr>
        <w:t>]</w:t>
      </w:r>
      <w:r>
        <w:rPr>
          <w:rFonts w:ascii="Verdana" w:eastAsia="Arial Unicode MS" w:hAnsi="Verdana"/>
          <w:sz w:val="20"/>
          <w:szCs w:val="20"/>
        </w:rPr>
        <w:t>.</w:t>
      </w:r>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favor indicar acima a data de implantação oficial do Projeto.</w:t>
      </w:r>
      <w:r>
        <w:rPr>
          <w:rFonts w:ascii="Verdana" w:eastAsia="Arial Unicode MS" w:hAnsi="Verdana" w:cs="Arial"/>
          <w:sz w:val="20"/>
          <w:szCs w:val="20"/>
        </w:rPr>
        <w:t>]</w:t>
      </w:r>
    </w:p>
    <w:p>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1" w:name="_DV_M232"/>
      <w:bookmarkStart w:id="222" w:name="_DV_M233"/>
      <w:bookmarkStart w:id="223" w:name="_DV_M234"/>
      <w:bookmarkStart w:id="224" w:name="_DV_M236"/>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4"/>
      <w:bookmarkStart w:id="233" w:name="_Toc499990365"/>
      <w:bookmarkStart w:id="234" w:name="_Toc280370540"/>
      <w:bookmarkStart w:id="235" w:name="_Toc349040596"/>
      <w:bookmarkStart w:id="236" w:name="_Toc351469181"/>
      <w:bookmarkStart w:id="237" w:name="_Toc352767483"/>
      <w:bookmarkStart w:id="238" w:name="_Toc355626570"/>
      <w:bookmarkEnd w:id="203"/>
      <w:bookmarkEnd w:id="221"/>
      <w:bookmarkEnd w:id="222"/>
      <w:bookmarkEnd w:id="223"/>
      <w:bookmarkEnd w:id="224"/>
      <w:bookmarkEnd w:id="225"/>
      <w:bookmarkEnd w:id="226"/>
      <w:bookmarkEnd w:id="227"/>
      <w:bookmarkEnd w:id="228"/>
      <w:bookmarkEnd w:id="229"/>
      <w:bookmarkEnd w:id="230"/>
      <w:bookmarkEnd w:id="231"/>
      <w:bookmarkEnd w:id="232"/>
    </w:p>
    <w:p>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233"/>
      <w:bookmarkEnd w:id="234"/>
      <w:bookmarkEnd w:id="235"/>
      <w:bookmarkEnd w:id="236"/>
      <w:bookmarkEnd w:id="237"/>
      <w:bookmarkEnd w:id="238"/>
      <w:r>
        <w:rPr>
          <w:rFonts w:ascii="Verdana" w:eastAsia="Arial Unicode MS" w:hAnsi="Verdana"/>
          <w:sz w:val="20"/>
          <w:szCs w:val="20"/>
          <w:lang w:val="pt-BR"/>
        </w:rPr>
        <w:t xml:space="preserve"> </w:t>
      </w:r>
    </w:p>
    <w:p>
      <w:pPr>
        <w:spacing w:line="320" w:lineRule="exact"/>
        <w:contextualSpacing/>
        <w:rPr>
          <w:rFonts w:ascii="Verdana" w:eastAsia="Arial Unicode MS" w:hAnsi="Verdana" w:cs="Arial"/>
          <w:sz w:val="20"/>
          <w:szCs w:val="20"/>
        </w:rPr>
      </w:pPr>
    </w:p>
    <w:p>
      <w:pPr>
        <w:pStyle w:val="CorpodetextobtBT"/>
        <w:spacing w:line="320" w:lineRule="exact"/>
        <w:ind w:left="705" w:hanging="705"/>
        <w:contextualSpacing/>
        <w:rPr>
          <w:rStyle w:val="DeltaViewInsertion"/>
          <w:rFonts w:ascii="Verdana" w:hAnsi="Verdana" w:cs="Arial"/>
          <w:color w:val="auto"/>
          <w:sz w:val="20"/>
          <w:u w:val="none"/>
        </w:rPr>
      </w:pPr>
      <w:bookmarkStart w:id="239" w:name="_DV_M245"/>
      <w:bookmarkEnd w:id="239"/>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40" w:name="_DV_C169"/>
      <w:r>
        <w:rPr>
          <w:rStyle w:val="DeltaViewDeletion"/>
          <w:rFonts w:ascii="Verdana" w:eastAsia="Arial Unicode MS" w:hAnsi="Verdana" w:cs="Arial"/>
          <w:strike w:val="0"/>
          <w:color w:val="auto"/>
          <w:sz w:val="20"/>
        </w:rPr>
        <w:t>,</w:t>
      </w:r>
      <w:bookmarkStart w:id="241" w:name="_DV_M246"/>
      <w:bookmarkEnd w:id="240"/>
      <w:bookmarkEnd w:id="241"/>
      <w:r>
        <w:rPr>
          <w:rStyle w:val="DeltaViewInsertion"/>
          <w:rFonts w:ascii="Verdana" w:eastAsia="Arial Unicode MS" w:hAnsi="Verdana" w:cs="Arial"/>
          <w:color w:val="auto"/>
          <w:sz w:val="20"/>
          <w:u w:val="none"/>
        </w:rPr>
        <w:t xml:space="preserve"> </w:t>
      </w:r>
      <w:bookmarkStart w:id="242" w:name="_DV_M247"/>
      <w:bookmarkEnd w:id="242"/>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temporis,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3" w:name="_DV_C170"/>
      <w:r>
        <w:rPr>
          <w:rStyle w:val="DeltaViewInsertion"/>
          <w:rFonts w:ascii="Verdana" w:eastAsia="Arial Unicode MS" w:hAnsi="Verdana" w:cs="Arial"/>
          <w:color w:val="auto"/>
          <w:sz w:val="20"/>
          <w:u w:val="none"/>
        </w:rPr>
        <w:t>e dos Encargos Moratórios e multas, se houver,</w:t>
      </w:r>
      <w:bookmarkStart w:id="244" w:name="_DV_M248"/>
      <w:bookmarkEnd w:id="243"/>
      <w:bookmarkEnd w:id="244"/>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pPr>
        <w:tabs>
          <w:tab w:val="left" w:pos="4962"/>
        </w:tabs>
        <w:spacing w:line="320" w:lineRule="exact"/>
        <w:contextualSpacing/>
        <w:jc w:val="both"/>
        <w:rPr>
          <w:rFonts w:ascii="Verdana" w:eastAsia="Arial Unicode MS" w:hAnsi="Verdana" w:cs="Arial"/>
          <w:sz w:val="20"/>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bookmarkStart w:id="245" w:name="_Ref374561026"/>
      <w:bookmarkStart w:id="246"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ao CONSÓRCIO CANDONGA, pessoa jurídica de direito privado, com sede na cidade de Rio Doce, Estado de Minas Gerais, na Estrada de Acesso a Santana do Deserto, s/n.º - Km 12, Zona Rural, CEP35.442-000, inscrita no CNPJ/MF sob o n.º 03.836.054/0001-80 (“</w:t>
      </w:r>
      <w:r>
        <w:rPr>
          <w:rFonts w:ascii="Verdana" w:eastAsia="Arial Unicode MS" w:hAnsi="Verdana"/>
          <w:u w:val="single"/>
        </w:rPr>
        <w:t>UHE Risoleta Neves</w:t>
      </w:r>
      <w:r>
        <w:rPr>
          <w:rFonts w:ascii="Verdana" w:eastAsia="Arial Unicode MS" w:hAnsi="Verdana" w:cs="Arial"/>
          <w:szCs w:val="20"/>
        </w:rPr>
        <w:t xml:space="preserve">”), , que fica desde já aprovada pelos Debenturistas independente de nova manifestação;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(ii) pedido de autofalência formulado pela Emissora; (iii) pedido de falência da Emissora e/ou das Garantidoras, formulado por terceiros e não elidido no prazo legal; (iv)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comprovação de que qualquer das declarações e informações prestadas pela Emissora e/ou pelas Garantidoras é materialmente falsa ou incorreta, insuficiente, incompleta, inconsistente ou enganosa;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estabelecidas na Escritura de Emissão, ressalvado, entretanto, o pagamento do dividendo mínimo obrigatório previsto no artigo 202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de Recursos descrita na Escritura de Emissão;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pela Emissora e/ou pelas Garantidoras e seus diretores, e membros de conselho de administração, se existentes, no exercício de suas respectivas funções na Emissora e/ou Garatidora,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u w:val="single"/>
        </w:rPr>
        <w:t>FCPA</w:t>
      </w:r>
      <w:r>
        <w:rPr>
          <w:rFonts w:ascii="Verdana" w:eastAsia="Arial Unicode MS" w:hAnsi="Verdana" w:cs="Arial"/>
          <w:szCs w:val="20"/>
        </w:rPr>
        <w:t>”); o OECD Convention on Combating Bribery of Foreign Public Officials in International Business Transactions; e o UK Bribery Act,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material, pela Emissora e/ou Garantidoras, da Legislação Socioambiental (conforme abaixo definido), não sanado no prazo de 20 (vinte) dias contados da data de comunicação para a Emissora do referido descumprimento, salvo nos casos em que (i) de boa fé estejam discutindo a sua aplicabilidade; e/ou (ii) tenham adotado medidas e ações reparatórias destinadas a corrigir eventuais danos ao meio ambiente decorrentes das atividades descritas em seu objeto social;</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descumprimento de decisão arbitral definitiva ou decisão judicial não sujeita a recursos com efeito suspensivo, contra a Emissora e/ou contra as Garantidoras, cujo valor individual ou agregado da condenação ou da pena por descumprimento </w:t>
      </w:r>
      <w:r>
        <w:rPr>
          <w:rFonts w:ascii="Verdana" w:eastAsia="Arial Unicode MS" w:hAnsi="Verdana" w:cs="Arial"/>
          <w:szCs w:val="20"/>
        </w:rPr>
        <w:lastRenderedPageBreak/>
        <w:t>seja igual ou superior a R$100.000.000,00 (cem milhões de reais), ou o equivalente em outras moedas;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questionar, anular, revisar, cancelar ou repudiar, por meio judicial ou extrajudicial, a Escritura de Emissão, os Contratos de Garantia ou qualquer documento relativo à Emissão, assim como a qualquer de suas respectivas cláusulas;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e verificado pelo Agente Fiduciário no prazo de até 90 (noventa) dias após o encerramento do exercício anual, tendo por base as Demonstrações Financeiras da Emissora: o índice obtido da divisão da Dívida Liquida pelo EBITDA não deverá ser maior ou igual a 3,5 (três inteiros e cinco décimos). Para fins deste item, deverão ser consideradas as seguintes definições: </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Semestrais ou nas últimas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 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(ii)</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 xml:space="preserve">redução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(Usina de Candonga) ou os ativos a ela relacionados, que fica desde já aprovada pelos Debenturistas independente de nova manifestação.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desapropriação,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alteração ou transferência de controle acionário (conforme definição de controle prevista no artigo 116 da Lei das Sociedades por Ações) direto ou indireto da Emissora e/ou das Garantidoras, exceto se: (a) a transferência se der na participação acionária de qualquer acionista para uma de suas afiliadas; (b) a Vale S/A e/ou a Companhia Energética de Minas Gerais – CEMIG deixem de fazer parte do bloco de controle da Emissora e/ou deixem de ter participação majoritária no bloco de controle da Emissora,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caso a Emissora e/ou as Garantidoras não realizem o reforço da Garantia nos prazos previstos no respectivo Contrato de Garantia;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Risoleta Neves, que, neste caso, não configurará em nenhuma hipótese um Evento de Inadimplemento; (ii) de boa fé a Emissora e/ou Garantidoras estejam discutindo a sua aplicabilidade; e/ou (iii) tenham adotado medidas e ações reparatórias destinadas a corrigir eventuais danos decorrentes de tal descumprimento;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mora ou inadimplemento de qualquer obrigação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pPr>
        <w:spacing w:line="320" w:lineRule="exact"/>
        <w:ind w:left="709"/>
        <w:contextualSpacing/>
        <w:jc w:val="both"/>
        <w:rPr>
          <w:rFonts w:ascii="Verdana" w:eastAsia="Arial Unicode MS" w:hAnsi="Verdana" w:cs="Tahoma"/>
          <w:sz w:val="20"/>
          <w:szCs w:val="20"/>
        </w:rPr>
      </w:pPr>
      <w:bookmarkStart w:id="247" w:name="_DV_M1483"/>
      <w:bookmarkStart w:id="248" w:name="_DV_M1484"/>
      <w:bookmarkEnd w:id="245"/>
      <w:bookmarkEnd w:id="247"/>
      <w:bookmarkEnd w:id="248"/>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9" w:name="_Ref367360072"/>
      <w:bookmarkStart w:id="250"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SPEs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SPEs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249"/>
      <w:bookmarkEnd w:id="250"/>
      <w:r>
        <w:rPr>
          <w:rStyle w:val="DeltaViewInsertion"/>
          <w:rFonts w:ascii="Verdana" w:eastAsia="Arial Unicode MS" w:hAnsi="Verdana" w:cs="Arial"/>
          <w:color w:val="auto"/>
          <w:sz w:val="20"/>
          <w:u w:val="none"/>
        </w:rPr>
        <w:t xml:space="preserve"> </w:t>
      </w:r>
      <w:r>
        <w:rPr>
          <w:rStyle w:val="DeltaViewInsertion"/>
          <w:rFonts w:ascii="Verdana" w:eastAsia="Arial Unicode MS" w:hAnsi="Verdana" w:cs="Arial"/>
          <w:color w:val="auto"/>
          <w:sz w:val="20"/>
          <w:highlight w:val="yellow"/>
          <w:u w:val="none"/>
        </w:rPr>
        <w:t>[</w:t>
      </w:r>
      <w:r>
        <w:rPr>
          <w:rStyle w:val="DeltaViewInsertion"/>
          <w:rFonts w:ascii="Verdana" w:eastAsia="Arial Unicode MS" w:hAnsi="Verdana" w:cs="Arial"/>
          <w:b/>
          <w:i/>
          <w:color w:val="auto"/>
          <w:sz w:val="20"/>
          <w:highlight w:val="yellow"/>
          <w:u w:val="none"/>
        </w:rPr>
        <w:t>Nota MM</w:t>
      </w:r>
      <w:r>
        <w:rPr>
          <w:rStyle w:val="DeltaViewInsertion"/>
          <w:rFonts w:ascii="Verdana" w:eastAsia="Arial Unicode MS" w:hAnsi="Verdana" w:cs="Arial"/>
          <w:i/>
          <w:color w:val="auto"/>
          <w:sz w:val="20"/>
          <w:highlight w:val="yellow"/>
          <w:u w:val="none"/>
        </w:rPr>
        <w:t>: não existe hipótese de vencimento antecipado automático, conforme descrito no mandato negociado</w:t>
      </w:r>
      <w:r>
        <w:rPr>
          <w:rStyle w:val="DeltaViewInsertion"/>
          <w:rFonts w:ascii="Verdana" w:eastAsia="Arial Unicode MS" w:hAnsi="Verdana" w:cs="Arial"/>
          <w:color w:val="auto"/>
          <w:sz w:val="20"/>
          <w:highlight w:val="yellow"/>
          <w:u w:val="none"/>
        </w:rPr>
        <w:t>]</w:t>
      </w:r>
    </w:p>
    <w:bookmarkEnd w:id="246"/>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1" w:name="_Ref367286552"/>
      <w:bookmarkStart w:id="252"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251"/>
      <w:bookmarkEnd w:id="252"/>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3" w:name="_Ref367360082"/>
      <w:bookmarkStart w:id="254"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(ii) de não ser aprovado o exercício da faculdade prevista na Cláusula 5.4 acima por deliberação de Debenturistas que representem, no mínimo, 2/3 (dois terços) das Debêntures em Circulação; ou (iii)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os Debenturistas convocarem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253"/>
      <w:bookmarkEnd w:id="254"/>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5" w:name="_Ref367386615"/>
      <w:bookmarkStart w:id="256" w:name="_Toc367387641"/>
      <w:r>
        <w:rPr>
          <w:rStyle w:val="DeltaViewInsertion"/>
          <w:rFonts w:ascii="Verdana" w:eastAsia="Arial Unicode MS" w:hAnsi="Verdana" w:cs="Arial"/>
          <w:color w:val="auto"/>
          <w:sz w:val="20"/>
          <w:u w:val="none"/>
        </w:rPr>
        <w:t>5.7.</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255"/>
      <w:bookmarkEnd w:id="256"/>
      <w:r>
        <w:rPr>
          <w:rFonts w:ascii="Verdana" w:eastAsia="Arial Unicode MS" w:hAnsi="Verdana" w:cs="Arial"/>
          <w:sz w:val="20"/>
        </w:rPr>
        <w:t xml:space="preserve"> </w:t>
      </w:r>
    </w:p>
    <w:p>
      <w:pPr>
        <w:pStyle w:val="CorpodetextobtBT"/>
        <w:spacing w:line="320" w:lineRule="exact"/>
        <w:ind w:left="705" w:hanging="705"/>
        <w:contextualSpacing/>
        <w:rPr>
          <w:rFonts w:ascii="Verdana" w:eastAsia="Arial Unicode MS" w:hAnsi="Verdana" w:cs="Arial"/>
          <w:sz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5.8.</w:t>
      </w:r>
      <w:r>
        <w:rPr>
          <w:rFonts w:ascii="Verdana" w:eastAsia="Arial Unicode MS" w:hAnsi="Verdana" w:cs="Arial"/>
          <w:sz w:val="20"/>
          <w:szCs w:val="20"/>
        </w:rPr>
        <w:tab/>
        <w:t xml:space="preserve">Uma vez vencidas antecipadamente as Debêntures, nos termos desta Cláusula V, o Agente Fiduciário deverá </w:t>
      </w:r>
      <w:bookmarkStart w:id="257" w:name="_DV_C292"/>
      <w:r>
        <w:rPr>
          <w:rFonts w:ascii="Verdana" w:eastAsia="Arial Unicode MS" w:hAnsi="Verdana" w:cs="Arial"/>
          <w:sz w:val="20"/>
          <w:szCs w:val="20"/>
        </w:rPr>
        <w:t>comunicar imediatamente à</w:t>
      </w:r>
      <w:bookmarkStart w:id="258" w:name="_DV_M389"/>
      <w:bookmarkEnd w:id="257"/>
      <w:bookmarkEnd w:id="258"/>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259" w:name="_DV_M390"/>
      <w:bookmarkEnd w:id="259"/>
      <w:r>
        <w:rPr>
          <w:rFonts w:ascii="Verdana" w:eastAsia="Arial Unicode MS" w:hAnsi="Verdana" w:cs="Arial"/>
          <w:sz w:val="20"/>
          <w:szCs w:val="20"/>
        </w:rPr>
        <w:t xml:space="preserve">. </w:t>
      </w:r>
    </w:p>
    <w:p>
      <w:pPr>
        <w:pStyle w:val="CorpodetextobtBT"/>
        <w:spacing w:line="320" w:lineRule="exact"/>
        <w:ind w:left="705" w:hanging="705"/>
        <w:contextualSpacing/>
        <w:rPr>
          <w:rFonts w:ascii="Verdana" w:eastAsia="Arial Unicode MS" w:hAnsi="Verdana" w:cs="Arial"/>
          <w:sz w:val="20"/>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5.9.</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 Emissora; e (ii) permaneçam inalterados os termos e condições previstos nesta Escritura de Emissão.</w:t>
      </w:r>
    </w:p>
    <w:p>
      <w:pPr>
        <w:pStyle w:val="CorpodetextobtBT"/>
        <w:spacing w:line="320" w:lineRule="exact"/>
        <w:ind w:left="705" w:hanging="705"/>
        <w:contextualSpacing/>
        <w:rPr>
          <w:rStyle w:val="DeltaViewInsertion"/>
          <w:rFonts w:ascii="Verdana" w:eastAsia="Arial Unicode MS" w:hAnsi="Verdana"/>
          <w:color w:val="auto"/>
          <w:sz w:val="20"/>
          <w:u w:val="none"/>
        </w:rPr>
      </w:pPr>
      <w:bookmarkStart w:id="260" w:name="_DV_M249"/>
      <w:bookmarkStart w:id="261" w:name="_DV_M255"/>
      <w:bookmarkStart w:id="262" w:name="_DV_M256"/>
      <w:bookmarkStart w:id="263" w:name="_DV_M257"/>
      <w:bookmarkStart w:id="264" w:name="_DV_M258"/>
      <w:bookmarkStart w:id="265" w:name="_DV_M259"/>
      <w:bookmarkStart w:id="266" w:name="_DV_M260"/>
      <w:bookmarkStart w:id="267" w:name="_DV_M261"/>
      <w:bookmarkStart w:id="268" w:name="_DV_M272"/>
      <w:bookmarkStart w:id="269" w:name="_DV_M354"/>
      <w:bookmarkEnd w:id="260"/>
      <w:bookmarkEnd w:id="261"/>
      <w:bookmarkEnd w:id="262"/>
      <w:bookmarkEnd w:id="263"/>
      <w:bookmarkEnd w:id="264"/>
      <w:bookmarkEnd w:id="265"/>
      <w:bookmarkEnd w:id="266"/>
      <w:bookmarkEnd w:id="267"/>
      <w:bookmarkEnd w:id="268"/>
      <w:bookmarkEnd w:id="269"/>
    </w:p>
    <w:p>
      <w:pPr>
        <w:pStyle w:val="Ttulo1"/>
        <w:rPr>
          <w:rFonts w:ascii="Verdana" w:eastAsia="Arial Unicode MS" w:hAnsi="Verdana"/>
          <w:sz w:val="20"/>
          <w:szCs w:val="20"/>
          <w:lang w:val="pt-BR"/>
        </w:rPr>
      </w:pPr>
      <w:bookmarkStart w:id="270" w:name="_DV_M388"/>
      <w:bookmarkStart w:id="271" w:name="_DV_M391"/>
      <w:bookmarkStart w:id="272" w:name="_DV_M394"/>
      <w:bookmarkStart w:id="273" w:name="_DV_M396"/>
      <w:bookmarkStart w:id="274" w:name="_Toc499990368"/>
      <w:bookmarkStart w:id="275" w:name="_Toc280370541"/>
      <w:bookmarkStart w:id="276" w:name="_Toc349040597"/>
      <w:bookmarkStart w:id="277" w:name="_Toc355626571"/>
      <w:bookmarkStart w:id="278" w:name="_Toc351469182"/>
      <w:bookmarkStart w:id="279" w:name="_Toc352767484"/>
      <w:bookmarkEnd w:id="270"/>
      <w:bookmarkEnd w:id="271"/>
      <w:bookmarkEnd w:id="272"/>
      <w:bookmarkEnd w:id="273"/>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280" w:name="_DV_M397"/>
      <w:bookmarkEnd w:id="274"/>
      <w:bookmarkEnd w:id="280"/>
      <w:r>
        <w:rPr>
          <w:rFonts w:ascii="Verdana" w:eastAsia="Arial Unicode MS" w:hAnsi="Verdana"/>
          <w:sz w:val="20"/>
          <w:szCs w:val="20"/>
          <w:lang w:val="pt-BR"/>
        </w:rPr>
        <w:t>EMISSORA</w:t>
      </w:r>
      <w:bookmarkStart w:id="281" w:name="_DV_M398"/>
      <w:bookmarkEnd w:id="275"/>
      <w:bookmarkEnd w:id="276"/>
      <w:bookmarkEnd w:id="277"/>
      <w:bookmarkEnd w:id="278"/>
      <w:bookmarkEnd w:id="279"/>
      <w:bookmarkEnd w:id="281"/>
      <w:r>
        <w:rPr>
          <w:rFonts w:ascii="Verdana" w:eastAsia="Arial Unicode MS" w:hAnsi="Verdana"/>
          <w:sz w:val="20"/>
          <w:szCs w:val="20"/>
          <w:lang w:val="pt-BR"/>
        </w:rPr>
        <w:t xml:space="preserve"> E DAS SPES</w:t>
      </w:r>
    </w:p>
    <w:p>
      <w:pPr>
        <w:rPr>
          <w:rFonts w:ascii="Verdana" w:eastAsia="Arial Unicode MS" w:hAnsi="Verdana"/>
          <w:sz w:val="20"/>
          <w:szCs w:val="20"/>
        </w:rPr>
      </w:pPr>
    </w:p>
    <w:p>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2" w:name="_DV_M399"/>
      <w:bookmarkEnd w:id="282"/>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pPr>
        <w:keepNext/>
        <w:keepLines/>
        <w:tabs>
          <w:tab w:val="left" w:pos="567"/>
        </w:tabs>
        <w:spacing w:line="320" w:lineRule="exact"/>
        <w:ind w:left="567" w:hanging="567"/>
        <w:contextualSpacing/>
        <w:jc w:val="both"/>
        <w:rPr>
          <w:rFonts w:ascii="Verdana" w:eastAsia="Arial Unicode MS" w:hAnsi="Verdana" w:cs="Arial"/>
          <w:sz w:val="20"/>
          <w:szCs w:val="20"/>
        </w:rPr>
      </w:pPr>
    </w:p>
    <w:p>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pPr>
        <w:spacing w:line="320" w:lineRule="exact"/>
        <w:contextualSpacing/>
        <w:jc w:val="both"/>
        <w:rPr>
          <w:rFonts w:ascii="Verdana" w:eastAsia="Arial Unicode MS" w:hAnsi="Verdana" w:cs="Arial"/>
          <w:sz w:val="20"/>
          <w:szCs w:val="20"/>
        </w:rPr>
      </w:pPr>
    </w:p>
    <w:p>
      <w:pPr>
        <w:pStyle w:val="STDTextoDois-Quatro"/>
        <w:numPr>
          <w:ilvl w:val="0"/>
          <w:numId w:val="155"/>
        </w:numPr>
        <w:spacing w:before="0" w:line="320" w:lineRule="exact"/>
        <w:contextualSpacing/>
        <w:rPr>
          <w:rFonts w:ascii="Verdana" w:eastAsia="Arial Unicode MS" w:hAnsi="Verdana" w:cs="Arial"/>
          <w:szCs w:val="20"/>
        </w:rPr>
      </w:pPr>
      <w:bookmarkStart w:id="283" w:name="_DV_M400"/>
      <w:bookmarkEnd w:id="283"/>
      <w:r>
        <w:rPr>
          <w:rFonts w:ascii="Verdana" w:eastAsia="Arial Unicode MS" w:hAnsi="Verdana" w:cs="Arial"/>
          <w:szCs w:val="20"/>
        </w:rPr>
        <w:t>fornecer ao Agente Fiduciário:</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bookmarkStart w:id="284" w:name="_DV_M404"/>
      <w:bookmarkStart w:id="285" w:name="_Hlk6809645"/>
      <w:bookmarkEnd w:id="284"/>
      <w:r>
        <w:rPr>
          <w:rFonts w:ascii="Verdana" w:eastAsia="Arial Unicode MS" w:hAnsi="Verdana" w:cs="Arial"/>
          <w:sz w:val="20"/>
          <w:szCs w:val="20"/>
        </w:rPr>
        <w:t>dentro de, no máximo, 90 (noventa) dias após o término de cada exercício social, ou 5 (cinco) Dias Úteis após a data de sua divulgação, o que ocorrer primeiro, (a) cópia das demonstrações financeiras completas e auditadas da Emissora relativas aos 3 (três) últimos exercícios sociais, preparadas de acordo com os princípios contábeis geralmente aceitos no Brasil, acompanhadas do relatório da administração e do parecer dos auditores independentes com registro válido na CVM; e</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 xml:space="preserve"> todos os demais documentos e informações que a Emissora, nos termos e condições previstos nesta Escritura, se comprometeu a enviar ao Agente Fiduciário.</w:t>
      </w:r>
    </w:p>
    <w:p>
      <w:pPr>
        <w:spacing w:line="320" w:lineRule="exact"/>
        <w:ind w:left="3544"/>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2 (dois) Dias Úteis contados da data de sua ciência sobre a ocorrência, sobre qualquer Evento de Inadimplemento e/ou qualquer alteração nas suas condições financeiras, econômicas, comerciais, operacionais, regulatórias, reputacionais ou societárias ou nos seus negócios, bem como quaisquer eventos ou situações, inclusive ações judiciais ou procedimentos administrativos que a critério da Emissora: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 desde que tais eventos ou situações não estejam expressamente contemplados nas Demonstrações Financeiras da Emissora; </w:t>
      </w:r>
    </w:p>
    <w:p>
      <w:pPr>
        <w:pStyle w:val="STDTextoDois-Quatro"/>
        <w:spacing w:before="0" w:line="320" w:lineRule="exact"/>
        <w:ind w:left="0"/>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cs="Arial"/>
          <w:szCs w:val="20"/>
          <w:lang w:val="x-none" w:eastAsia="x-none"/>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 </w:t>
      </w:r>
    </w:p>
    <w:p>
      <w:pPr>
        <w:pStyle w:val="PargrafodaLista"/>
        <w:spacing w:line="320" w:lineRule="exact"/>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sob a sua guarda, por 5 (cinco) anos, ou por prazo maior se solicitado pela CVM, todos os documentos e informações relacionados à Oferta Restrita;</w:t>
      </w:r>
    </w:p>
    <w:p>
      <w:pPr>
        <w:pStyle w:val="PargrafodaLista"/>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Pr>
          <w:rFonts w:ascii="Verdana" w:hAnsi="Verdana"/>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w:t>
      </w:r>
      <w:r>
        <w:rPr>
          <w:rFonts w:ascii="Verdana" w:eastAsia="Arial Unicode MS" w:hAnsi="Verdana" w:cs="Arial"/>
          <w:szCs w:val="20"/>
        </w:rPr>
        <w:lastRenderedPageBreak/>
        <w:t>mundial de computadores o relatório anual e demais comunicações enviadas pelo Agente Fiduciário na mesma data do seu recebimento, observado ainda o disposto no item (iv) acima;</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contratar e manter contratados, às suas expensas, durante todo o prazo de vigência das Debêntures, os prestadores de serviços inerentes às obrigações previstas nesta Escritura de Emissão, incluindo: (i) Agente de Liquidação e Escriturador; (iii) Agente Fiduciário; (iv)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w:t>
      </w:r>
    </w:p>
    <w:p>
      <w:pPr>
        <w:pStyle w:val="STDTextoDois-Quatro"/>
        <w:spacing w:before="0" w:line="320" w:lineRule="exact"/>
        <w:ind w:left="709"/>
        <w:contextualSpacing/>
        <w:rPr>
          <w:rFonts w:ascii="Verdana" w:eastAsia="MS Mincho" w:hAnsi="Verdana" w:cs="Arial"/>
          <w:szCs w:val="20"/>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e das obras do Projeto por terceiros contratados especificamente para este fim, com a aprovação prévia dos Debenturistas, observados os procedimentos, custo, escopo de trabalho e os prazos a serem definidos de comum acordo entre a Emissora, as SPEs e o Agente Fiduciário; </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lastRenderedPageBreak/>
        <w:tab/>
      </w: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se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;ou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pPr>
        <w:pStyle w:val="CTTCorpodeTexto"/>
        <w:spacing w:before="0" w:after="0" w:line="320" w:lineRule="exact"/>
        <w:contextualSpacing/>
        <w:rPr>
          <w:rFonts w:ascii="Verdana" w:eastAsia="MS Mincho" w:hAnsi="Verdana" w:cs="Arial"/>
          <w:sz w:val="20"/>
          <w:szCs w:val="20"/>
          <w:lang w:eastAsia="pt-BR"/>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praticar todos os demais atos, firmar todos os documentos e realizar todos os registros adicionais requeridos pelo Agente Fiduciário, nos termos previstos nos Contratos de Garantia, na qualidade de representante dos Debenturistas, com o propósito de assegurar e manter a plena validade, eficácia e exequibilidade das Garantias previstas nesta Escritura de Emissão e das Debêntures;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 xml:space="preserve">cumprir todas as suas obrigações decorrentes do </w:t>
      </w:r>
      <w:r>
        <w:rPr>
          <w:rFonts w:ascii="Verdana" w:eastAsia="Arial Unicode MS" w:hAnsi="Verdana" w:cs="Arial"/>
          <w:szCs w:val="20"/>
        </w:rPr>
        <w:t>Contrato de Financiamento com o BNDES</w:t>
      </w:r>
      <w:r>
        <w:rPr>
          <w:rFonts w:ascii="Verdana" w:eastAsia="Arial Unicode MS" w:hAnsi="Verdana"/>
          <w:szCs w:val="20"/>
        </w:rPr>
        <w:t xml:space="preserve"> e do Aditamento e Consolidação ao </w:t>
      </w:r>
      <w:r>
        <w:rPr>
          <w:rFonts w:ascii="Verdana" w:hAnsi="Verdana"/>
          <w:szCs w:val="20"/>
        </w:rPr>
        <w:t xml:space="preserve">Contrato de Cessão Fiduciária </w:t>
      </w:r>
      <w:r>
        <w:rPr>
          <w:rFonts w:ascii="Verdana" w:eastAsia="Arial Unicode MS" w:hAnsi="Verdana" w:cs="Arial"/>
          <w:szCs w:val="20"/>
        </w:rPr>
        <w:t xml:space="preserve">de Direitos Creditórios e Outras Avenças, </w:t>
      </w:r>
      <w:r>
        <w:rPr>
          <w:rFonts w:ascii="Verdana" w:eastAsia="Arial Unicode MS" w:hAnsi="Verdana"/>
          <w:szCs w:val="20"/>
        </w:rPr>
        <w:t xml:space="preserve">conforme prazos e mecanismos previstos </w:t>
      </w:r>
      <w:r>
        <w:rPr>
          <w:rFonts w:ascii="Verdana" w:eastAsia="Arial Unicode MS" w:hAnsi="Verdana" w:cs="Arial"/>
          <w:szCs w:val="20"/>
        </w:rPr>
        <w:t>no referido contrato</w:t>
      </w:r>
      <w:r>
        <w:rPr>
          <w:rFonts w:ascii="Verdana" w:hAnsi="Verdana" w:cs="Arial"/>
          <w:bCs/>
          <w:szCs w:val="20"/>
        </w:rPr>
        <w:t>;</w:t>
      </w:r>
      <w:r>
        <w:rPr>
          <w:rFonts w:ascii="Verdana" w:eastAsia="Arial Unicode MS" w:hAnsi="Verdana" w:cs="Arial"/>
          <w:szCs w:val="20"/>
        </w:rPr>
        <w:t xml:space="preserve"> </w:t>
      </w:r>
    </w:p>
    <w:p>
      <w:pPr>
        <w:pStyle w:val="STDTextoDois-Quatro"/>
        <w:autoSpaceDE/>
        <w:autoSpaceDN/>
        <w:adjustRightInd/>
        <w:spacing w:before="0" w:line="320" w:lineRule="exact"/>
        <w:ind w:left="0"/>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por escrito ao Agente Fiduciário, atéo o 1º (primeiro) Dia Útil subsequente à ocorrência de convocação de qualquer Assembleia Geral de Debenturistas desde que convocada pela Emissora;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observar, cumprir e/ou fazer cumprir, por si, e pelas Garantidoras e seus respectivos administradores, enquanto no exercício de suas respectivas funçõesqualquer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cs="Arial"/>
          <w:iCs/>
          <w:szCs w:val="20"/>
          <w:u w:val="single"/>
        </w:rPr>
        <w:t>FCPA</w:t>
      </w:r>
      <w:r>
        <w:rPr>
          <w:rFonts w:ascii="Verdana" w:eastAsia="Arial Unicode MS" w:hAnsi="Verdana" w:cs="Arial"/>
          <w:iCs/>
          <w:szCs w:val="20"/>
        </w:rPr>
        <w:t>”); o OECD Convention on Combating Bribery of Foreign Public Officials in International Business Transactions; e o UK Bribery Act,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pPr>
        <w:pStyle w:val="PargrafodaLista"/>
        <w:spacing w:line="320" w:lineRule="exact"/>
        <w:rPr>
          <w:rFonts w:ascii="Verdana" w:eastAsia="Arial Unicode MS" w:hAnsi="Verdana" w:cs="Arial"/>
          <w:iCs/>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 exceto pelas ações que estejam sendo questionadas de boa-fé nas esferas administrativas e/ou judiciais;</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boa fé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SPEs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xml:space="preserve">”),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w:t>
      </w:r>
      <w:r>
        <w:rPr>
          <w:rFonts w:ascii="Verdana" w:eastAsia="Arial Unicode MS" w:hAnsi="Verdana" w:cs="Arial"/>
          <w:szCs w:val="20"/>
        </w:rPr>
        <w:lastRenderedPageBreak/>
        <w:t>decorrentes dos respectivos contratos de trabalho e da legislação trabalhista e previdenciária em vigor; (iv) cumprir com a legislação aplicável à proteção do meio ambiente, bem como à saúde e segurança do trabalho;;</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4.18 acima, e observados os termos do Aditamento e Consolidação ao Contrato de Penhor de Máquinas e Equipamentos, conforme aplicável</w:t>
      </w:r>
      <w:r>
        <w:rPr>
          <w:rFonts w:ascii="Verdana" w:eastAsia="Arial Unicode MS" w:hAnsi="Verdana" w:cs="Arial"/>
          <w:szCs w:val="20"/>
        </w:rPr>
        <w:t xml:space="preserve">;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3 (três) Dias Úteis contados da respectiva ocorrência, sobre quaisquer alterações nos requisitos para a Conclusão do Projeto dispostos na Cláusula Nona do Contrato de Financiamento com o BNDES, sem prejuízo de eventual convocação de Assembleia Geral de Debenturistas pelo Agente Fiduciário, observado o disposto na alínea (tt) abaixo;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observados os termos previstos na Cláusula 5.9 acima, não realizar qualquer alteração no Contrato de Financiamento com o BNDES que possa: (i) afetar a capacidade da Emissora e/ou das SPEs em cumprir suas obrigações financeiras aqui previstas, ou (ii) afetar a validade ou exequibilidade dos documentos relacionados às Debêntures, inclusive os Contratos de Garantia;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pPr>
        <w:pStyle w:val="STDTextoDois-Quatro"/>
        <w:autoSpaceDE/>
        <w:autoSpaceDN/>
        <w:adjustRightInd/>
        <w:spacing w:before="0" w:line="320" w:lineRule="exact"/>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comparecer às Assembleias Gerais de Debenturistas sempre que solicitada;</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disponibilizar, até o dia anterior ao início das negociações, na rede mundial de computadores da Emissora</w:t>
      </w:r>
      <w:hyperlink w:history="1">
        <w:r>
          <w:rPr>
            <w:rFonts w:ascii="Verdana" w:eastAsia="Arial Unicode MS" w:hAnsi="Verdana" w:cs="Arial"/>
            <w:szCs w:val="20"/>
          </w:rPr>
          <w:t xml:space="preserve"> ([•]), cópia das suas demonstrações financeiras completas e auditadas relativas ao [exercício social encerrado em [data] / período encerrado em [data]], observados os prazos estabelecidos na legislação e regulamentação em vigor; </w:t>
        </w:r>
      </w:hyperlink>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praticar qualquer ato em desacordo com seu estatuto social ou com esta Escritura, em especial atos que possam, direta ou indiretamente, comprometer o pontual e integral cumprimento das obrigações assumidas perante os Debenturistas, nos termos desta Escritura;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exceto por aqueles regulamentos, leis, regras, e ordens questionados de boa-fé nas esferas administrativa e/ou judicials ou cujo descumprimento não possa resultar em um Efeito Adverso Relevante (conforme definido abaixo);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contextualSpacing/>
        <w:rPr>
          <w:rFonts w:ascii="Verdana" w:eastAsia="Arial Unicode MS" w:hAnsi="Verdana" w:cs="Arial"/>
          <w:szCs w:val="20"/>
        </w:rPr>
      </w:pPr>
      <w:r>
        <w:rPr>
          <w:rFonts w:ascii="Verdana" w:eastAsia="Arial Unicode MS" w:hAnsi="Verdana" w:cs="Arial"/>
          <w:szCs w:val="20"/>
        </w:rPr>
        <w:t xml:space="preserve">abster-se de negociar valores mobiliários do mesmo emissor e espécie daquele </w:t>
      </w:r>
      <w:r>
        <w:rPr>
          <w:rFonts w:ascii="Verdana" w:eastAsia="Arial Unicode MS" w:hAnsi="Verdana" w:cs="Arial"/>
          <w:szCs w:val="20"/>
        </w:rPr>
        <w:tab/>
        <w:t xml:space="preserve">objeto da Oferta Restrita, nele referenciados, conversíveis ou permutáveis, ou com </w:t>
      </w:r>
      <w:r>
        <w:rPr>
          <w:rFonts w:ascii="Verdana" w:eastAsia="Arial Unicode MS" w:hAnsi="Verdana" w:cs="Arial"/>
          <w:szCs w:val="20"/>
        </w:rPr>
        <w:tab/>
        <w:t xml:space="preserve">valores mobiliários nos quais o valor mobiliário objeto da Oferta Restrita seja </w:t>
      </w:r>
      <w:r>
        <w:rPr>
          <w:rFonts w:ascii="Verdana" w:eastAsia="Arial Unicode MS" w:hAnsi="Verdana" w:cs="Arial"/>
          <w:szCs w:val="20"/>
        </w:rPr>
        <w:tab/>
        <w:t xml:space="preserve">conversível ou permutável, até o envio do Comunicado de Encerramento à CVM, </w:t>
      </w:r>
      <w:r>
        <w:rPr>
          <w:rFonts w:ascii="Verdana" w:eastAsia="Arial Unicode MS" w:hAnsi="Verdana" w:cs="Arial"/>
          <w:szCs w:val="20"/>
        </w:rPr>
        <w:tab/>
        <w:t>salvo nas hipóteses previstas no artigo 48 da Instrução CVM 400; e</w:t>
      </w:r>
    </w:p>
    <w:p>
      <w:pPr>
        <w:pStyle w:val="PargrafodaLista"/>
        <w:tabs>
          <w:tab w:val="num" w:pos="709"/>
        </w:tabs>
        <w:spacing w:line="320" w:lineRule="exact"/>
        <w:ind w:left="709" w:hanging="709"/>
        <w:jc w:val="both"/>
        <w:rPr>
          <w:rFonts w:ascii="Verdana"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eastAsia="Arial Unicode MS"/>
        </w:rPr>
      </w:pPr>
      <w:r>
        <w:rPr>
          <w:rFonts w:ascii="Verdana" w:eastAsia="Arial Unicode MS" w:hAnsi="Verdana" w:cs="Arial"/>
          <w:szCs w:val="20"/>
        </w:rPr>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286" w:name="_DV_M405"/>
      <w:bookmarkStart w:id="287" w:name="_DV_M407"/>
      <w:bookmarkStart w:id="288" w:name="_DV_M408"/>
      <w:bookmarkStart w:id="289" w:name="_DV_M402"/>
      <w:bookmarkStart w:id="290" w:name="_DV_M403"/>
      <w:bookmarkStart w:id="291" w:name="_DV_M409"/>
      <w:bookmarkStart w:id="292" w:name="_DV_M410"/>
      <w:bookmarkStart w:id="293" w:name="_DV_M411"/>
      <w:bookmarkStart w:id="294" w:name="_DV_M413"/>
      <w:bookmarkStart w:id="295" w:name="_DV_M414"/>
      <w:bookmarkStart w:id="296" w:name="_DV_M418"/>
      <w:bookmarkStart w:id="297" w:name="_DV_M419"/>
      <w:bookmarkStart w:id="298" w:name="_DV_M420"/>
      <w:bookmarkStart w:id="299" w:name="_DV_M421"/>
      <w:bookmarkStart w:id="300" w:name="_DV_M423"/>
      <w:bookmarkStart w:id="301" w:name="_DV_M424"/>
      <w:bookmarkStart w:id="302" w:name="_DV_M425"/>
      <w:bookmarkStart w:id="303" w:name="_DV_M426"/>
      <w:bookmarkStart w:id="304" w:name="_DV_M427"/>
      <w:bookmarkStart w:id="305" w:name="_DV_M428"/>
      <w:bookmarkStart w:id="306" w:name="_DV_M429"/>
      <w:bookmarkStart w:id="307" w:name="_DV_M430"/>
      <w:bookmarkStart w:id="308" w:name="_DV_M431"/>
      <w:bookmarkStart w:id="309" w:name="_DV_M432"/>
      <w:bookmarkStart w:id="310" w:name="_DV_M435"/>
      <w:bookmarkStart w:id="311" w:name="_DV_M461"/>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keepNext/>
        <w:keepLines/>
        <w:tabs>
          <w:tab w:val="left" w:pos="4253"/>
        </w:tabs>
        <w:spacing w:line="320" w:lineRule="exact"/>
        <w:jc w:val="center"/>
        <w:rPr>
          <w:rFonts w:ascii="Verdana" w:eastAsia="MS Mincho" w:hAnsi="Verdana"/>
          <w:b/>
        </w:rPr>
      </w:pPr>
      <w:bookmarkStart w:id="312" w:name="_DV_M462"/>
      <w:bookmarkStart w:id="313" w:name="_DV_M470"/>
      <w:bookmarkStart w:id="314" w:name="_Toc499990370"/>
      <w:bookmarkStart w:id="315" w:name="_Toc280370542"/>
      <w:bookmarkStart w:id="316" w:name="_Toc349040598"/>
      <w:bookmarkStart w:id="317" w:name="_Toc351469183"/>
      <w:bookmarkStart w:id="318" w:name="_Toc352767485"/>
      <w:bookmarkStart w:id="319" w:name="_Toc355626572"/>
      <w:bookmarkEnd w:id="312"/>
      <w:bookmarkEnd w:id="313"/>
    </w:p>
    <w:p>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314"/>
      <w:bookmarkEnd w:id="315"/>
      <w:bookmarkEnd w:id="316"/>
      <w:bookmarkEnd w:id="317"/>
      <w:bookmarkEnd w:id="318"/>
      <w:bookmarkEnd w:id="319"/>
    </w:p>
    <w:p>
      <w:pPr>
        <w:keepNext/>
        <w:keepLines/>
        <w:spacing w:line="320" w:lineRule="exact"/>
        <w:contextualSpacing/>
        <w:jc w:val="center"/>
        <w:rPr>
          <w:rFonts w:ascii="Verdana" w:eastAsia="MS Mincho" w:hAnsi="Verdana" w:cs="Arial"/>
          <w:sz w:val="20"/>
          <w:szCs w:val="20"/>
        </w:rPr>
      </w:pPr>
      <w:bookmarkStart w:id="320" w:name="_Toc499990371"/>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1" w:name="_DV_M471"/>
      <w:bookmarkEnd w:id="321"/>
      <w:r>
        <w:rPr>
          <w:rFonts w:ascii="Verdana" w:eastAsia="MS Mincho" w:hAnsi="Verdana" w:cs="Arial"/>
          <w:b/>
          <w:sz w:val="20"/>
          <w:szCs w:val="20"/>
        </w:rPr>
        <w:t>7.1.</w:t>
      </w:r>
      <w:r>
        <w:rPr>
          <w:rFonts w:ascii="Verdana" w:eastAsia="MS Mincho" w:hAnsi="Verdana" w:cs="Arial"/>
          <w:b/>
          <w:sz w:val="20"/>
          <w:szCs w:val="20"/>
        </w:rPr>
        <w:tab/>
        <w:t>Nomeação</w:t>
      </w:r>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2" w:name="_DV_M472"/>
      <w:bookmarkEnd w:id="322"/>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SPEs. </w:t>
      </w:r>
    </w:p>
    <w:p>
      <w:pPr>
        <w:autoSpaceDE/>
        <w:autoSpaceDN/>
        <w:adjustRightInd/>
        <w:spacing w:line="320" w:lineRule="exact"/>
        <w:rPr>
          <w:rFonts w:ascii="Verdana" w:eastAsia="Arial Unicode MS" w:hAnsi="Verdana"/>
          <w:b/>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pPr>
        <w:numPr>
          <w:ilvl w:val="12"/>
          <w:numId w:val="0"/>
        </w:numPr>
        <w:spacing w:line="320" w:lineRule="exact"/>
        <w:contextualSpacing/>
        <w:jc w:val="both"/>
        <w:rPr>
          <w:rFonts w:ascii="Verdana" w:eastAsia="MS Mincho" w:hAnsi="Verdana" w:cs="Arial"/>
          <w:sz w:val="20"/>
          <w:szCs w:val="20"/>
        </w:rPr>
      </w:pPr>
    </w:p>
    <w:p>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3"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3"/>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lastRenderedPageBreak/>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pPr>
        <w:pStyle w:val="Recuodecorpodetexto"/>
        <w:widowControl/>
        <w:spacing w:line="320" w:lineRule="exact"/>
        <w:contextualSpacing/>
        <w:rPr>
          <w:rFonts w:ascii="Verdana" w:eastAsia="MS Mincho" w:hAnsi="Verdana" w:cs="Arial"/>
          <w:sz w:val="20"/>
          <w:szCs w:val="20"/>
          <w:lang w:val="pt-BR"/>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pPr>
        <w:numPr>
          <w:ilvl w:val="12"/>
          <w:numId w:val="0"/>
        </w:numPr>
        <w:spacing w:line="320" w:lineRule="exact"/>
        <w:contextualSpacing/>
        <w:jc w:val="both"/>
        <w:rPr>
          <w:rFonts w:ascii="Verdana" w:eastAsia="MS Mincho" w:hAnsi="Verdana" w:cs="Arial"/>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pPr>
        <w:pStyle w:val="Recuodecorpodetexto"/>
        <w:widowControl/>
        <w:spacing w:line="320" w:lineRule="exact"/>
        <w:ind w:left="709" w:hanging="709"/>
        <w:contextualSpacing/>
        <w:rPr>
          <w:rFonts w:ascii="Verdana" w:eastAsia="MS Mincho" w:hAnsi="Verdana" w:cs="Arial"/>
          <w:sz w:val="20"/>
          <w:szCs w:val="20"/>
          <w:lang w:val="pt-BR"/>
        </w:rPr>
      </w:pPr>
      <w:bookmarkStart w:id="324" w:name="_Ref229140722"/>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24"/>
    </w:p>
    <w:p>
      <w:pPr>
        <w:numPr>
          <w:ilvl w:val="12"/>
          <w:numId w:val="0"/>
        </w:numPr>
        <w:spacing w:line="320" w:lineRule="exact"/>
        <w:contextualSpacing/>
        <w:jc w:val="both"/>
        <w:rPr>
          <w:rFonts w:ascii="Verdana" w:eastAsia="MS Mincho" w:hAnsi="Verdana" w:cs="Arial"/>
          <w:sz w:val="20"/>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5" w:name="_DV_M473"/>
      <w:bookmarkEnd w:id="325"/>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w:t>
      </w:r>
      <w:r>
        <w:rPr>
          <w:rFonts w:ascii="Verdana" w:hAnsi="Verdana" w:cs="Tahoma"/>
          <w:szCs w:val="20"/>
        </w:rPr>
        <w:lastRenderedPageBreak/>
        <w:t>Assembleia Geral de Debenturistas prevista no art. 7º da Instrução CVM 583 para deliberar sobre a sua substituição</w:t>
      </w:r>
      <w:r>
        <w:rPr>
          <w:rFonts w:ascii="Verdana" w:eastAsia="Arial Unicode MS" w:hAnsi="Verdana" w:cs="Tahoma"/>
          <w:szCs w:val="20"/>
        </w:rPr>
        <w:t>;</w:t>
      </w:r>
      <w:bookmarkStart w:id="326" w:name="_Ref447145160"/>
    </w:p>
    <w:bookmarkEnd w:id="326"/>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intimar a Emissora e as SPEs a reforçar as Garantias, na hipótese de sua deterioração ou depreciação, observados os termos da presente Escritura de Emissão e dos Contratos de Garantia;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SPEs, conforme o caso;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lastRenderedPageBreak/>
        <w:t xml:space="preserve">solicitar, quando considerar necessário, e desde que devidamente justificado, auditoria extraordinária na Emissora;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Agente de Liquidação e Escriturador,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Agente de Liquidação e Escriturador,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7"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27"/>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lastRenderedPageBreak/>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SPEs nesta Escritura de Emissão e, conforme o caso, nos Contratos de Garantia;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pPr>
        <w:pStyle w:val="STDTextoDois-Quatro"/>
        <w:tabs>
          <w:tab w:val="left" w:pos="1134"/>
        </w:tabs>
        <w:spacing w:before="0" w:line="320" w:lineRule="exact"/>
        <w:ind w:left="1134"/>
        <w:rPr>
          <w:rFonts w:ascii="Verdana" w:eastAsia="Arial Unicode MS" w:hAnsi="Verdana" w:cs="Tahoma"/>
          <w:szCs w:val="20"/>
        </w:rPr>
      </w:pPr>
      <w:bookmarkStart w:id="328" w:name="_Ref447280055"/>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328"/>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acompanhar o preço unitário das Debêntures calculado pela Emissora, disponibilizando-o aos Debenturistas e à própria Emissora através de seu </w:t>
      </w:r>
      <w:r>
        <w:rPr>
          <w:rFonts w:ascii="Verdana" w:hAnsi="Verdana" w:cs="Tahoma"/>
          <w:i/>
          <w:szCs w:val="20"/>
        </w:rPr>
        <w:t>website</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pPr>
        <w:spacing w:line="320" w:lineRule="exact"/>
        <w:ind w:left="709" w:hanging="709"/>
        <w:contextualSpacing/>
        <w:jc w:val="both"/>
        <w:rPr>
          <w:rFonts w:ascii="Verdana" w:eastAsia="Arial Unicode MS" w:hAnsi="Verdana" w:cs="Arial"/>
          <w:sz w:val="20"/>
          <w:szCs w:val="20"/>
        </w:rPr>
      </w:pPr>
      <w:bookmarkStart w:id="329" w:name="_DV_M489"/>
      <w:bookmarkStart w:id="330" w:name="_DV_M491"/>
      <w:bookmarkStart w:id="331" w:name="_DV_M496"/>
      <w:bookmarkStart w:id="332" w:name="_DV_M535"/>
      <w:bookmarkStart w:id="333" w:name="_DV_M541"/>
      <w:bookmarkStart w:id="334" w:name="_DV_M542"/>
      <w:bookmarkEnd w:id="329"/>
      <w:bookmarkEnd w:id="330"/>
      <w:bookmarkEnd w:id="331"/>
      <w:bookmarkEnd w:id="332"/>
      <w:bookmarkEnd w:id="333"/>
      <w:bookmarkEnd w:id="334"/>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 xml:space="preserve">Sem prejuízo do dever de diligência do Agente Fiduciário, o Agente Fiduciário assumirá que os documentos originais ou cópias autenticadas de documentos encaminhados pela Emissora ou por terceiros a seu pedido não foram objeto de </w:t>
      </w:r>
      <w:r>
        <w:rPr>
          <w:rFonts w:ascii="Verdana" w:eastAsia="Arial Unicode MS" w:hAnsi="Verdana" w:cs="Arial"/>
          <w:sz w:val="20"/>
          <w:szCs w:val="20"/>
        </w:rPr>
        <w:lastRenderedPageBreak/>
        <w:t>fraude ou adulteração. O Agente Fiduciário não será, sob qualquer hipótese, responsável pela elaboração de documentos societários da Emissora, a qual permanecerá sob obrigação legal e regulamentar da Emissora, nos termos da legislação aplicável.</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5" w:name="_DV_M543"/>
      <w:bookmarkStart w:id="336" w:name="_DV_M549"/>
      <w:bookmarkEnd w:id="335"/>
      <w:bookmarkEnd w:id="336"/>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337"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honorários pelo desempenho dos deveres e atribuições que lhe competem, nos termos da legislação em vigor e desta Escritura de Emissão, correspondentes a parcelas anuais no valor de R$ </w:t>
      </w:r>
      <w:r>
        <w:rPr>
          <w:rFonts w:ascii="Verdana" w:eastAsia="Arial Unicode MS" w:hAnsi="Verdana"/>
          <w:sz w:val="20"/>
        </w:rPr>
        <w:t>[</w:t>
      </w:r>
      <w:r>
        <w:rPr>
          <w:rFonts w:ascii="Verdana" w:eastAsia="Arial Unicode MS" w:hAnsi="Verdana" w:hint="eastAsia"/>
          <w:sz w:val="20"/>
        </w:rPr>
        <w:t>●</w:t>
      </w:r>
      <w:r>
        <w:rPr>
          <w:rFonts w:ascii="Verdana" w:eastAsia="Arial Unicode MS" w:hAnsi="Verdana"/>
          <w:sz w:val="20"/>
        </w:rPr>
        <w:t>]</w:t>
      </w:r>
      <w:r>
        <w:rPr>
          <w:rFonts w:ascii="Verdana" w:eastAsia="Arial Unicode MS" w:hAnsi="Verdana" w:cs="Arial"/>
          <w:sz w:val="20"/>
          <w:szCs w:val="20"/>
        </w:rPr>
        <w:t xml:space="preserve"> (</w:t>
      </w:r>
      <w:r>
        <w:rPr>
          <w:rFonts w:ascii="Verdana" w:eastAsia="Arial Unicode MS" w:hAnsi="Verdana"/>
          <w:sz w:val="20"/>
        </w:rPr>
        <w:t>[</w:t>
      </w:r>
      <w:r>
        <w:rPr>
          <w:rFonts w:ascii="Verdana" w:eastAsia="Arial Unicode MS" w:hAnsi="Verdana" w:hint="eastAsia"/>
          <w:sz w:val="20"/>
        </w:rPr>
        <w:t>●</w:t>
      </w:r>
      <w:r>
        <w:rPr>
          <w:rFonts w:ascii="Verdana" w:eastAsia="Arial Unicode MS" w:hAnsi="Verdana"/>
          <w:sz w:val="20"/>
        </w:rPr>
        <w:t>]</w:t>
      </w:r>
      <w:r>
        <w:rPr>
          <w:rFonts w:ascii="Verdana" w:eastAsia="Arial Unicode MS" w:hAnsi="Verdana" w:cs="Arial"/>
          <w:sz w:val="20"/>
          <w:szCs w:val="20"/>
        </w:rPr>
        <w:t xml:space="preserve"> reais) cada uma, sendo devida a primeira parcela no [5º (quinto)] Dia Útil após a data da assinatura da Escritura de Emissão mediante apresentação do respectivo documento de cobrança, e as demais parcelas na mesma data dos anos subsequentes, até o vencimento das Debêntures ou enquanto o Agente Fiduciário representar os interesses dos Debenturistas.</w:t>
      </w:r>
      <w:bookmarkEnd w:id="337"/>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Pavarini, favor confirmar a remuneração devida.</w:t>
      </w:r>
      <w:r>
        <w:rPr>
          <w:rFonts w:ascii="Verdana" w:eastAsia="Arial Unicode MS" w:hAnsi="Verdana" w:cs="Arial"/>
          <w:sz w:val="20"/>
          <w:szCs w:val="20"/>
        </w:rPr>
        <w:t>]</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w:t>
      </w:r>
      <w:r>
        <w:rPr>
          <w:rFonts w:ascii="Verdana" w:eastAsia="Arial Unicode MS" w:hAnsi="Verdana"/>
          <w:sz w:val="20"/>
        </w:rPr>
        <w:t>[●]</w:t>
      </w:r>
      <w:r>
        <w:rPr>
          <w:rFonts w:ascii="Verdana" w:eastAsia="Arial Unicode MS" w:hAnsi="Verdana" w:cs="Arial"/>
          <w:sz w:val="20"/>
          <w:szCs w:val="20"/>
        </w:rPr>
        <w:t xml:space="preserve">, agência </w:t>
      </w:r>
      <w:r>
        <w:rPr>
          <w:rFonts w:ascii="Verdana" w:eastAsia="Arial Unicode MS" w:hAnsi="Verdana"/>
          <w:sz w:val="20"/>
        </w:rPr>
        <w:t>[●]</w:t>
      </w:r>
      <w:r>
        <w:rPr>
          <w:rFonts w:ascii="Verdana" w:eastAsia="Arial Unicode MS" w:hAnsi="Verdana" w:cs="Arial"/>
          <w:sz w:val="20"/>
          <w:szCs w:val="20"/>
        </w:rPr>
        <w:t xml:space="preserve">, mantida junto ao Banco </w:t>
      </w:r>
      <w:r>
        <w:rPr>
          <w:rFonts w:ascii="Verdana" w:eastAsia="Arial Unicode MS" w:hAnsi="Verdana"/>
          <w:sz w:val="20"/>
        </w:rPr>
        <w:t>[●]</w:t>
      </w:r>
      <w:r>
        <w:rPr>
          <w:rFonts w:ascii="Verdana" w:eastAsia="Arial Unicode MS" w:hAnsi="Verdana" w:cs="Arial"/>
          <w:sz w:val="20"/>
          <w:szCs w:val="20"/>
        </w:rPr>
        <w:t>, de titularidade do Agente Fiduciário, ou em outra conta de sua titularidade a ser indicada, por escrito, pelo Agente Fiduciário.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7.4.3.</w:t>
      </w:r>
      <w:r>
        <w:rPr>
          <w:rFonts w:ascii="Verdana" w:eastAsia="Arial Unicode MS" w:hAnsi="Verdana" w:cs="Arial"/>
          <w:sz w:val="20"/>
          <w:szCs w:val="20"/>
        </w:rPr>
        <w:tab/>
        <w:t>A remuneração devida ao Agente Fiduciário nos termos da Cláusula 7.4.1 acima será atualizada anualmente com base na variação positiva acumulada do Índice Geral de Preços – Mercado (“</w:t>
      </w:r>
      <w:r>
        <w:rPr>
          <w:rFonts w:ascii="Verdana" w:eastAsia="Arial Unicode MS" w:hAnsi="Verdana" w:cs="Arial"/>
          <w:sz w:val="20"/>
          <w:szCs w:val="20"/>
          <w:u w:val="single"/>
        </w:rPr>
        <w:t>IGPM</w:t>
      </w:r>
      <w:r>
        <w:rPr>
          <w:rFonts w:ascii="Verdana" w:eastAsia="Arial Unicode MS" w:hAnsi="Verdana" w:cs="Arial"/>
          <w:sz w:val="20"/>
          <w:szCs w:val="20"/>
        </w:rPr>
        <w:t xml:space="preserve">”), divulgado pela Fundação Getúlio Vargas,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7.4.4.</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pro rata temporis</w:t>
      </w:r>
      <w:r>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pPr>
        <w:spacing w:line="320" w:lineRule="exact"/>
        <w:ind w:left="709" w:hanging="709"/>
        <w:contextualSpacing/>
        <w:jc w:val="both"/>
        <w:rPr>
          <w:rFonts w:ascii="Verdana" w:eastAsia="MS Mincho" w:hAnsi="Verdana" w:cs="Arial"/>
          <w:b/>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As parcelas citadas nos itens acima serão acrescidas dos seguintes impostos: (i) ISS (imposto sobre serviço de qualquer natureza); (ii) PIS (contribuição ao programa de integração social); (iii) COFINS (contribuição para o financiamento da seguridade social); (iv) CSLL (Contribuição Social Sobre o Lucro Líquido); (v) IRRF (Imposto de Renda Retido na Fonte) e (vi) quaisquer outros impostos que venham a incidir sobre a remuneração do Agente Fiduciário, de forma que o Agente Fiduciário receba a remuneração como se tais tributos não fossem incidentes, nas alíquotas vigentes nas datas de cada pagamento.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7.4.6.</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pPr>
        <w:spacing w:line="320" w:lineRule="exact"/>
        <w:ind w:left="705" w:hanging="705"/>
        <w:contextualSpacing/>
        <w:jc w:val="both"/>
        <w:rPr>
          <w:rFonts w:ascii="Verdana" w:eastAsia="Arial Unicode MS" w:hAnsi="Verdana" w:cs="Arial"/>
          <w:sz w:val="20"/>
          <w:szCs w:val="20"/>
        </w:rPr>
      </w:pPr>
      <w:bookmarkStart w:id="338" w:name="_DV_M550"/>
      <w:bookmarkEnd w:id="338"/>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9" w:name="_DV_M564"/>
      <w:bookmarkEnd w:id="339"/>
      <w:r>
        <w:rPr>
          <w:rFonts w:ascii="Verdana" w:eastAsia="Arial Unicode MS" w:hAnsi="Verdana" w:cs="Arial"/>
          <w:b/>
          <w:sz w:val="20"/>
          <w:szCs w:val="20"/>
        </w:rPr>
        <w:t>7.5.</w:t>
      </w:r>
      <w:r>
        <w:rPr>
          <w:rFonts w:ascii="Verdana" w:eastAsia="Arial Unicode MS" w:hAnsi="Verdana" w:cs="Arial"/>
          <w:b/>
          <w:sz w:val="20"/>
          <w:szCs w:val="20"/>
        </w:rPr>
        <w:tab/>
        <w:t xml:space="preserve">Despesas </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40" w:name="_DV_M565"/>
      <w:bookmarkStart w:id="341" w:name="_Ref271282660"/>
      <w:bookmarkStart w:id="342" w:name="_Toc499990378"/>
      <w:bookmarkEnd w:id="320"/>
      <w:bookmarkEnd w:id="340"/>
      <w:r>
        <w:rPr>
          <w:rFonts w:ascii="Verdana" w:eastAsia="Arial Unicode MS" w:hAnsi="Verdana" w:cs="Arial"/>
          <w:sz w:val="20"/>
          <w:szCs w:val="20"/>
        </w:rPr>
        <w:t xml:space="preserve">7.5.1. </w:t>
      </w:r>
      <w:r>
        <w:rPr>
          <w:rFonts w:ascii="Verdana" w:eastAsia="Arial Unicode MS" w:hAnsi="Verdana" w:cs="Arial"/>
          <w:sz w:val="20"/>
          <w:szCs w:val="20"/>
        </w:rPr>
        <w:tab/>
        <w:t>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não ultrapassarem o valor de R$ 5.000,00 (cinco mil reais),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t xml:space="preserve"> </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lastRenderedPageBreak/>
        <w:t xml:space="preserve">7.5.2. </w:t>
      </w:r>
      <w:r>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que não ultrapassarem o valor de R$ 5.000,00 (cinco mil reais),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341"/>
      <w:r>
        <w:t xml:space="preserve"> </w:t>
      </w:r>
    </w:p>
    <w:p>
      <w:pPr>
        <w:spacing w:line="320" w:lineRule="exact"/>
        <w:contextualSpacing/>
        <w:jc w:val="both"/>
        <w:rPr>
          <w:rFonts w:ascii="Verdana" w:eastAsia="Arial Unicode MS" w:hAnsi="Verdana" w:cs="Arial"/>
          <w:sz w:val="20"/>
          <w:szCs w:val="20"/>
        </w:rPr>
      </w:pP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lastRenderedPageBreak/>
        <w:t>7.6.</w:t>
      </w:r>
      <w:r>
        <w:rPr>
          <w:rFonts w:ascii="Verdana" w:eastAsia="Arial Unicode MS" w:hAnsi="Verdana" w:cs="Arial"/>
          <w:b/>
          <w:sz w:val="20"/>
          <w:szCs w:val="20"/>
        </w:rPr>
        <w:tab/>
        <w:t>Declarações do Agente Fiduciário</w:t>
      </w: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pPr>
        <w:keepNext/>
        <w:spacing w:line="320" w:lineRule="exact"/>
        <w:contextualSpacing/>
        <w:jc w:val="both"/>
        <w:rPr>
          <w:rFonts w:ascii="Verdana" w:eastAsia="Arial Unicode MS" w:hAnsi="Verdana" w:cs="Arial"/>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nesta Escritura de Emissão diligenciando no sentido de que fossem sanadas as omissões, falhas ou defeitos de que tivesse conhecimento;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lastRenderedPageBreak/>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 [</w:t>
      </w:r>
      <w:r>
        <w:rPr>
          <w:rFonts w:ascii="Verdana" w:eastAsia="Arial Unicode MS" w:hAnsi="Verdana" w:cs="Tahoma"/>
          <w:b/>
          <w:i/>
          <w:sz w:val="20"/>
          <w:szCs w:val="20"/>
          <w:highlight w:val="yellow"/>
        </w:rPr>
        <w:t>Nota PNA</w:t>
      </w:r>
      <w:r>
        <w:rPr>
          <w:rFonts w:ascii="Verdana" w:eastAsia="Arial Unicode MS" w:hAnsi="Verdana" w:cs="Tahoma"/>
          <w:i/>
          <w:sz w:val="20"/>
          <w:szCs w:val="20"/>
          <w:highlight w:val="yellow"/>
        </w:rPr>
        <w:t>: Pavarini, favor incluir na tabela abaixo as informações pertinentes.</w:t>
      </w:r>
      <w:r>
        <w:rPr>
          <w:rFonts w:ascii="Verdana" w:eastAsia="Arial Unicode MS" w:hAnsi="Verdana" w:cs="Tahoma"/>
          <w:sz w:val="20"/>
          <w:szCs w:val="20"/>
        </w:rPr>
        <w:t>]</w:t>
      </w:r>
    </w:p>
    <w:p>
      <w:pPr>
        <w:tabs>
          <w:tab w:val="left" w:pos="1134"/>
        </w:tabs>
        <w:spacing w:line="320" w:lineRule="exact"/>
        <w:ind w:left="1134"/>
        <w:jc w:val="both"/>
        <w:rPr>
          <w:rFonts w:ascii="Verdana" w:eastAsia="Arial Unicode MS" w:hAnsi="Verdana" w:cs="Tahoma"/>
          <w:sz w:val="20"/>
          <w:szCs w:val="20"/>
        </w:rPr>
      </w:pPr>
    </w:p>
    <w:tbl>
      <w:tblPr>
        <w:tblW w:w="8047" w:type="dxa"/>
        <w:tblInd w:w="1204" w:type="dxa"/>
        <w:tblCellMar>
          <w:left w:w="70" w:type="dxa"/>
          <w:right w:w="70" w:type="dxa"/>
        </w:tblCellMar>
        <w:tblLook w:val="04A0" w:firstRow="1" w:lastRow="0" w:firstColumn="1" w:lastColumn="0" w:noHBand="0" w:noVBand="1"/>
      </w:tblPr>
      <w:tblGrid>
        <w:gridCol w:w="4111"/>
        <w:gridCol w:w="3936"/>
      </w:tblGrid>
      <w:tr>
        <w:trPr>
          <w:trHeight w:val="239"/>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Emissão</w:t>
            </w:r>
          </w:p>
        </w:tc>
        <w:tc>
          <w:tcPr>
            <w:tcW w:w="3936" w:type="dxa"/>
            <w:tcBorders>
              <w:top w:val="single" w:sz="8" w:space="0" w:color="auto"/>
              <w:left w:val="nil"/>
              <w:bottom w:val="single" w:sz="8" w:space="0" w:color="auto"/>
              <w:right w:val="single" w:sz="8" w:space="0" w:color="auto"/>
            </w:tcBorders>
            <w:shd w:val="clear" w:color="auto" w:fill="auto"/>
            <w:noWrap/>
            <w:vAlign w:val="center"/>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Valor Total da Emissão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 xml:space="preserve">Quantidade </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Espécie</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Garantias</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Data de Vencimento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Remuneração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sz w:val="20"/>
                <w:szCs w:val="20"/>
              </w:rPr>
            </w:pPr>
            <w:r>
              <w:rPr>
                <w:rFonts w:ascii="Verdana" w:hAnsi="Verdana" w:cs="Calibri"/>
                <w:b/>
                <w:bCs/>
                <w:sz w:val="20"/>
                <w:szCs w:val="20"/>
              </w:rPr>
              <w:t xml:space="preserve">Enquadramento </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bl>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a constituição e exequibilidade das Garantias dependerá (i) dos registros dos Contratos de Garantia nos competentes Cartórios de Registro de Títulos e Documentos e/ou de Registro de Imóveis, conforme aplicável, bem como (ii) do registro dos respectivos gravames nos respectivos </w:t>
      </w:r>
      <w:r>
        <w:rPr>
          <w:rFonts w:ascii="Verdana" w:hAnsi="Verdana" w:cs="Tahoma"/>
          <w:sz w:val="20"/>
          <w:szCs w:val="20"/>
        </w:rPr>
        <w:t>Livros de Registro de Ações Nominativas das SPEs ou nos livros e sistemas da instituição financeira responsável pela prestação de serviços de escrituração das ações das SPEs,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pPr>
        <w:tabs>
          <w:tab w:val="left" w:pos="1134"/>
        </w:tabs>
        <w:spacing w:line="320" w:lineRule="exact"/>
        <w:ind w:left="1134"/>
        <w:jc w:val="both"/>
        <w:rPr>
          <w:rFonts w:ascii="Verdana" w:eastAsia="Arial Unicode MS" w:hAnsi="Verdana"/>
          <w:sz w:val="20"/>
          <w:szCs w:val="20"/>
          <w:lang w:val="x-none" w:eastAsia="x-none"/>
        </w:rPr>
      </w:pPr>
    </w:p>
    <w:p>
      <w:pPr>
        <w:pStyle w:val="Ttulo1"/>
        <w:keepNext w:val="0"/>
        <w:rPr>
          <w:rFonts w:ascii="Verdana" w:eastAsia="Arial Unicode MS" w:hAnsi="Verdana"/>
          <w:sz w:val="20"/>
          <w:szCs w:val="20"/>
          <w:lang w:val="pt-BR"/>
        </w:rPr>
      </w:pPr>
      <w:bookmarkStart w:id="343" w:name="_DV_M568"/>
      <w:bookmarkStart w:id="344" w:name="_Toc280370543"/>
      <w:bookmarkStart w:id="345" w:name="_Toc349040599"/>
      <w:bookmarkStart w:id="346" w:name="_Toc351469184"/>
      <w:bookmarkStart w:id="347" w:name="_Toc352767486"/>
      <w:bookmarkStart w:id="348" w:name="_Toc355626573"/>
      <w:bookmarkEnd w:id="343"/>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342"/>
      <w:bookmarkEnd w:id="344"/>
      <w:bookmarkEnd w:id="345"/>
      <w:bookmarkEnd w:id="346"/>
      <w:bookmarkEnd w:id="347"/>
      <w:bookmarkEnd w:id="348"/>
    </w:p>
    <w:p>
      <w:pPr>
        <w:widowControl w:val="0"/>
        <w:spacing w:line="320" w:lineRule="exact"/>
        <w:contextualSpacing/>
        <w:jc w:val="both"/>
        <w:rPr>
          <w:rFonts w:ascii="Verdana" w:eastAsia="Arial Unicode MS" w:hAnsi="Verdana" w:cs="Arial"/>
          <w:sz w:val="20"/>
          <w:szCs w:val="20"/>
        </w:rPr>
      </w:pPr>
      <w:bookmarkStart w:id="349" w:name="_Toc499990379"/>
    </w:p>
    <w:p>
      <w:pPr>
        <w:pStyle w:val="Corpodetexto"/>
        <w:widowControl w:val="0"/>
        <w:spacing w:line="320" w:lineRule="exact"/>
        <w:contextualSpacing/>
        <w:jc w:val="both"/>
        <w:rPr>
          <w:rFonts w:ascii="Verdana" w:eastAsia="Arial Unicode MS" w:hAnsi="Verdana" w:cs="Arial"/>
          <w:b/>
          <w:sz w:val="20"/>
          <w:szCs w:val="20"/>
          <w:lang w:val="pt-BR"/>
        </w:rPr>
      </w:pPr>
      <w:bookmarkStart w:id="350" w:name="_DV_M569"/>
      <w:bookmarkEnd w:id="349"/>
      <w:bookmarkEnd w:id="350"/>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pPr>
        <w:pStyle w:val="Lista2"/>
        <w:widowControl w:val="0"/>
        <w:spacing w:line="320" w:lineRule="exact"/>
        <w:contextualSpacing/>
        <w:rPr>
          <w:rFonts w:ascii="Verdana" w:eastAsia="Arial Unicode MS" w:hAnsi="Verdana"/>
          <w:sz w:val="20"/>
          <w:szCs w:val="20"/>
          <w:lang w:eastAsia="x-none"/>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geral(is),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Geral(is)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pPr>
        <w:pStyle w:val="Corpodetexto"/>
        <w:widowControl w:val="0"/>
        <w:spacing w:line="320" w:lineRule="exact"/>
        <w:ind w:left="630" w:hanging="630"/>
        <w:contextualSpacing/>
        <w:jc w:val="both"/>
        <w:rPr>
          <w:rFonts w:ascii="Verdana" w:eastAsia="Arial Unicode MS" w:hAnsi="Verdana"/>
          <w:sz w:val="20"/>
          <w:szCs w:val="20"/>
          <w:lang w:val="pt-BR"/>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pPr>
        <w:widowControl w:val="0"/>
        <w:spacing w:line="320" w:lineRule="exact"/>
        <w:contextualSpacing/>
        <w:jc w:val="both"/>
        <w:rPr>
          <w:rFonts w:ascii="Verdana" w:eastAsia="Arial Unicode MS" w:hAnsi="Verdana" w:cs="Arial"/>
          <w:b/>
          <w:sz w:val="20"/>
          <w:szCs w:val="20"/>
        </w:rPr>
      </w:pPr>
      <w:bookmarkStart w:id="351" w:name="_DV_M570"/>
      <w:bookmarkEnd w:id="351"/>
    </w:p>
    <w:p>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pPr>
        <w:widowControl w:val="0"/>
        <w:spacing w:line="320" w:lineRule="exact"/>
        <w:contextualSpacing/>
        <w:rPr>
          <w:rFonts w:ascii="Verdana" w:eastAsia="Arial Unicode MS" w:hAnsi="Verdana" w:cs="Arial"/>
          <w:sz w:val="20"/>
          <w:szCs w:val="20"/>
        </w:rPr>
      </w:pPr>
    </w:p>
    <w:p>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2" w:name="_DV_M571"/>
      <w:bookmarkEnd w:id="352"/>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3" w:name="_DV_M572"/>
      <w:bookmarkEnd w:id="353"/>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b/>
          <w:sz w:val="20"/>
          <w:szCs w:val="20"/>
        </w:rPr>
      </w:pPr>
      <w:bookmarkStart w:id="354" w:name="_DV_M573"/>
      <w:bookmarkEnd w:id="354"/>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5" w:name="_DV_M574"/>
      <w:bookmarkEnd w:id="355"/>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6" w:name="_DV_M575"/>
      <w:bookmarkEnd w:id="356"/>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pPr>
        <w:tabs>
          <w:tab w:val="left" w:pos="-4253"/>
        </w:tabs>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sz w:val="20"/>
          <w:szCs w:val="20"/>
        </w:rPr>
      </w:pPr>
      <w:bookmarkStart w:id="357" w:name="_DV_M576"/>
      <w:bookmarkEnd w:id="357"/>
      <w:r>
        <w:rPr>
          <w:rFonts w:ascii="Verdana" w:eastAsia="Arial Unicode MS" w:hAnsi="Verdana" w:cs="Arial"/>
          <w:b/>
          <w:sz w:val="20"/>
          <w:szCs w:val="20"/>
        </w:rPr>
        <w:t>8.3.</w:t>
      </w:r>
      <w:r>
        <w:rPr>
          <w:rFonts w:ascii="Verdana" w:eastAsia="Arial Unicode MS" w:hAnsi="Verdana" w:cs="Arial"/>
          <w:b/>
          <w:sz w:val="20"/>
          <w:szCs w:val="20"/>
        </w:rPr>
        <w:tab/>
        <w:t>Quórum de Instalação</w:t>
      </w:r>
    </w:p>
    <w:p>
      <w:pPr>
        <w:keepNext/>
        <w:tabs>
          <w:tab w:val="left" w:pos="-4253"/>
        </w:tabs>
        <w:spacing w:line="320" w:lineRule="exact"/>
        <w:contextualSpacing/>
        <w:jc w:val="both"/>
        <w:rPr>
          <w:rFonts w:ascii="Verdana" w:eastAsia="Arial Unicode MS" w:hAnsi="Verdana" w:cs="Arial"/>
          <w:sz w:val="20"/>
          <w:szCs w:val="20"/>
        </w:rPr>
      </w:pPr>
    </w:p>
    <w:p>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8" w:name="_DV_M577"/>
      <w:bookmarkEnd w:id="358"/>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359"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59"/>
      <w:r>
        <w:rPr>
          <w:rFonts w:ascii="Verdana" w:eastAsia="Arial Unicode MS" w:hAnsi="Verdana" w:cs="Arial"/>
          <w:sz w:val="20"/>
          <w:szCs w:val="20"/>
        </w:rPr>
        <w:t xml:space="preserve"> </w:t>
      </w:r>
    </w:p>
    <w:p>
      <w:pPr>
        <w:pStyle w:val="p0"/>
        <w:widowControl/>
        <w:tabs>
          <w:tab w:val="clear" w:pos="720"/>
        </w:tabs>
        <w:spacing w:line="320" w:lineRule="exact"/>
        <w:ind w:left="705" w:hanging="705"/>
        <w:contextualSpacing/>
        <w:rPr>
          <w:rFonts w:ascii="Verdana" w:eastAsia="Arial Unicode MS" w:hAnsi="Verdana" w:cs="Arial"/>
          <w:sz w:val="20"/>
          <w:szCs w:val="20"/>
        </w:rPr>
      </w:pPr>
    </w:p>
    <w:p>
      <w:pPr>
        <w:pStyle w:val="p0"/>
        <w:widowControl/>
        <w:tabs>
          <w:tab w:val="clear" w:pos="720"/>
        </w:tabs>
        <w:spacing w:line="320" w:lineRule="exact"/>
        <w:ind w:left="705" w:hanging="705"/>
        <w:contextualSpacing/>
        <w:rPr>
          <w:rFonts w:ascii="Verdana" w:eastAsia="Arial Unicode MS" w:hAnsi="Verdana" w:cs="Arial"/>
          <w:sz w:val="20"/>
          <w:szCs w:val="20"/>
        </w:rPr>
      </w:pPr>
      <w:bookmarkStart w:id="360" w:name="_DV_M578"/>
      <w:bookmarkEnd w:id="360"/>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w:t>
      </w:r>
      <w:r>
        <w:rPr>
          <w:rFonts w:ascii="Verdana" w:eastAsia="Arial Unicode MS" w:hAnsi="Verdana" w:cs="Arial"/>
          <w:sz w:val="20"/>
          <w:szCs w:val="20"/>
        </w:rPr>
        <w:lastRenderedPageBreak/>
        <w:t xml:space="preserve">Emissora, incluindo, mas não se limitando a, pessoas direta ou indiretamente relacionadas a qualquer das pessoas anteriormente mencionadas, incluindo seus cônjuges, companheiros ou parentes até o 2º (segundo) grau. </w:t>
      </w:r>
    </w:p>
    <w:p>
      <w:pPr>
        <w:autoSpaceDE/>
        <w:autoSpaceDN/>
        <w:adjustRightInd/>
        <w:spacing w:line="320" w:lineRule="exact"/>
        <w:rPr>
          <w:rFonts w:ascii="Verdana" w:eastAsia="Arial Unicode MS" w:hAnsi="Verdana"/>
          <w:b/>
          <w:sz w:val="20"/>
          <w:szCs w:val="20"/>
        </w:rPr>
      </w:pPr>
      <w:bookmarkStart w:id="361" w:name="_DV_M579"/>
      <w:bookmarkEnd w:id="361"/>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2" w:name="_DV_M580"/>
      <w:bookmarkStart w:id="363" w:name="_Ref130286717"/>
      <w:bookmarkEnd w:id="362"/>
      <w:r>
        <w:rPr>
          <w:rFonts w:ascii="Verdana" w:eastAsia="Arial Unicode MS" w:hAnsi="Verdana" w:cs="Arial"/>
          <w:sz w:val="20"/>
          <w:szCs w:val="20"/>
        </w:rPr>
        <w:t>8.4.1.</w:t>
      </w:r>
      <w:r>
        <w:rPr>
          <w:rFonts w:ascii="Verdana" w:eastAsia="Arial Unicode MS" w:hAnsi="Verdana" w:cs="Arial"/>
          <w:sz w:val="20"/>
          <w:szCs w:val="20"/>
        </w:rPr>
        <w:tab/>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3"/>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b/>
          <w:sz w:val="20"/>
          <w:szCs w:val="20"/>
        </w:rPr>
      </w:pPr>
      <w:bookmarkStart w:id="364" w:name="_DV_M584"/>
      <w:bookmarkStart w:id="365" w:name="_Ref130286715"/>
      <w:bookmarkEnd w:id="364"/>
      <w:r>
        <w:rPr>
          <w:rFonts w:ascii="Verdana" w:eastAsia="Arial Unicode MS" w:hAnsi="Verdana" w:cs="Arial"/>
          <w:sz w:val="20"/>
          <w:szCs w:val="20"/>
        </w:rPr>
        <w:t>8.4.2.</w:t>
      </w:r>
      <w:r>
        <w:rPr>
          <w:rFonts w:ascii="Verdana" w:eastAsia="Arial Unicode MS" w:hAnsi="Verdana" w:cs="Arial"/>
          <w:sz w:val="20"/>
          <w:szCs w:val="20"/>
        </w:rPr>
        <w:tab/>
      </w:r>
      <w:bookmarkStart w:id="366" w:name="_DV_M585"/>
      <w:bookmarkEnd w:id="365"/>
      <w:bookmarkEnd w:id="366"/>
      <w:r>
        <w:rPr>
          <w:rFonts w:ascii="Verdana" w:eastAsia="Arial Unicode MS" w:hAnsi="Verdana" w:cs="Arial"/>
          <w:sz w:val="20"/>
          <w:szCs w:val="20"/>
        </w:rPr>
        <w:t>Mediante proposta da Emissora, a Assembleia Geral de Debenturistas poderá, por deliberação favorável de Debenturistas que detenham, no mínimo, 50% (cinquenta por cento) mais uma,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367" w:name="_DV_M586"/>
      <w:bookmarkStart w:id="368" w:name="_DV_M587"/>
      <w:bookmarkEnd w:id="367"/>
      <w:bookmarkEnd w:id="368"/>
      <w:r>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de exoneração das Garantias (não incluídas hipóteses de reforço), (ix) criação de evento de repactuação, (x) das disposições relativas a resgate antecipado facultativo ou amortizações extraordinárias facultativas, e (xi) da espécie das Debêntures. </w:t>
      </w:r>
    </w:p>
    <w:p>
      <w:pPr>
        <w:spacing w:line="320" w:lineRule="exact"/>
        <w:ind w:left="705" w:hanging="705"/>
        <w:contextualSpacing/>
        <w:jc w:val="both"/>
        <w:rPr>
          <w:rFonts w:ascii="Verdana" w:eastAsia="Arial Unicode MS" w:hAnsi="Verdana" w:cs="Arial"/>
          <w:b/>
          <w:sz w:val="20"/>
          <w:szCs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r>
        <w:rPr>
          <w:rFonts w:ascii="Verdana" w:eastAsia="Arial Unicode MS" w:hAnsi="Verdana" w:cs="Arial"/>
          <w:i/>
          <w:sz w:val="20"/>
          <w:szCs w:val="20"/>
        </w:rPr>
        <w:t>waiver</w:t>
      </w:r>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9" w:name="_DV_M589"/>
      <w:bookmarkEnd w:id="369"/>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70" w:name="_DV_M590"/>
      <w:bookmarkEnd w:id="370"/>
      <w:r>
        <w:rPr>
          <w:rFonts w:ascii="Verdana" w:eastAsia="Arial Unicode MS" w:hAnsi="Verdana" w:cs="Arial"/>
          <w:sz w:val="20"/>
          <w:szCs w:val="20"/>
        </w:rPr>
        <w:lastRenderedPageBreak/>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pPr>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cs="Arial"/>
          <w:b/>
          <w:sz w:val="20"/>
          <w:szCs w:val="20"/>
        </w:rPr>
      </w:pPr>
      <w:bookmarkStart w:id="371" w:name="_Toc367387498"/>
      <w:bookmarkStart w:id="372" w:name="_Toc367387692"/>
      <w:bookmarkStart w:id="373" w:name="_Toc367389078"/>
      <w:bookmarkStart w:id="374" w:name="_Toc375090294"/>
      <w:bookmarkStart w:id="375"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371"/>
      <w:bookmarkEnd w:id="372"/>
      <w:bookmarkEnd w:id="373"/>
      <w:bookmarkEnd w:id="374"/>
      <w:bookmarkEnd w:id="375"/>
    </w:p>
    <w:p>
      <w:pPr>
        <w:keepNext/>
        <w:spacing w:line="320" w:lineRule="exact"/>
        <w:ind w:left="705" w:hanging="705"/>
        <w:contextualSpacing/>
        <w:jc w:val="both"/>
        <w:rPr>
          <w:rFonts w:ascii="Verdana" w:eastAsia="Arial Unicode MS" w:hAnsi="Verdana" w:cs="Arial"/>
          <w:sz w:val="20"/>
          <w:szCs w:val="20"/>
        </w:rPr>
      </w:pPr>
      <w:bookmarkStart w:id="376" w:name="_DV_M392"/>
      <w:bookmarkStart w:id="377" w:name="_Toc367387693"/>
      <w:bookmarkEnd w:id="376"/>
    </w:p>
    <w:p>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7"/>
    </w:p>
    <w:p>
      <w:pPr>
        <w:spacing w:line="320" w:lineRule="exact"/>
        <w:ind w:left="705" w:hanging="705"/>
        <w:contextualSpacing/>
        <w:jc w:val="both"/>
        <w:rPr>
          <w:rFonts w:ascii="Verdana" w:eastAsia="Arial Unicode MS" w:hAnsi="Verdana" w:cs="Arial"/>
          <w:sz w:val="20"/>
          <w:szCs w:val="20"/>
        </w:rPr>
      </w:pPr>
      <w:bookmarkStart w:id="378" w:name="_DV_M393"/>
      <w:bookmarkEnd w:id="378"/>
    </w:p>
    <w:p>
      <w:pPr>
        <w:pStyle w:val="Ttulo1"/>
        <w:rPr>
          <w:rFonts w:ascii="Verdana" w:eastAsia="Arial Unicode MS" w:hAnsi="Verdana"/>
          <w:sz w:val="20"/>
          <w:szCs w:val="20"/>
          <w:lang w:val="pt-BR"/>
        </w:rPr>
      </w:pPr>
      <w:bookmarkStart w:id="379" w:name="_DV_M591"/>
      <w:bookmarkStart w:id="380" w:name="_Toc499990383"/>
      <w:bookmarkStart w:id="381" w:name="_Toc280370544"/>
      <w:bookmarkStart w:id="382" w:name="_Toc349040600"/>
      <w:bookmarkStart w:id="383" w:name="_Toc351469185"/>
      <w:bookmarkStart w:id="384" w:name="_Toc352767487"/>
      <w:bookmarkStart w:id="385" w:name="_Toc355626574"/>
      <w:bookmarkEnd w:id="379"/>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386" w:name="_DV_M592"/>
      <w:bookmarkEnd w:id="380"/>
      <w:bookmarkEnd w:id="386"/>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387" w:name="_DV_M593"/>
      <w:bookmarkEnd w:id="381"/>
      <w:bookmarkEnd w:id="382"/>
      <w:bookmarkEnd w:id="383"/>
      <w:bookmarkEnd w:id="384"/>
      <w:bookmarkEnd w:id="385"/>
      <w:bookmarkEnd w:id="387"/>
      <w:r>
        <w:rPr>
          <w:rStyle w:val="DeltaViewInsertion"/>
          <w:rFonts w:ascii="Verdana" w:eastAsia="Arial Unicode MS" w:hAnsi="Verdana" w:cs="Arial"/>
          <w:smallCaps/>
          <w:color w:val="auto"/>
          <w:kern w:val="0"/>
          <w:sz w:val="20"/>
          <w:szCs w:val="20"/>
          <w:u w:val="none"/>
          <w:lang w:val="pt-BR"/>
        </w:rPr>
        <w:t xml:space="preserve"> </w:t>
      </w:r>
    </w:p>
    <w:p>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8" w:name="_DV_M594"/>
      <w:bookmarkEnd w:id="388"/>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89" w:name="_DV_M595"/>
      <w:bookmarkStart w:id="390" w:name="_Hlk6811234"/>
      <w:bookmarkEnd w:id="389"/>
      <w:r>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e regulatórias, 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SPEs, nenhuma disposição legal, regulamentar, ordem, decisão ou sentença administrativa, judicial ou arbitral, contrato ou instrumento do qual seja parte, e/ou pelo qual qualquer de seus ativos estejam sujeitos, conforme </w:t>
      </w:r>
      <w:r>
        <w:rPr>
          <w:rFonts w:ascii="Verdana" w:eastAsia="Arial Unicode MS" w:hAnsi="Verdana" w:cs="Arial"/>
          <w:sz w:val="20"/>
          <w:szCs w:val="20"/>
        </w:rPr>
        <w:lastRenderedPageBreak/>
        <w:t xml:space="preserve">aplicável,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a Resolução do Conselho Monetário Nacional nº 4.589, de 29 de junho de 2017, a Resolução do Conselho Monetário Nacional nº 2.827, de 30 de março de 2001 e a Lei nº 8.987, de 13 de fevereiro de 1995, conforme alterada, nem resultarão em (i) vencimento antecipado de qualquer obrigação estabelecida em qualquer destes contratos ou instrumentos, (ii) criação de qualquer ônus sobre qualquer ativo ou bem da Emissora ou de cada uma das SPEs, exceto por aqueles ônus já existentes nesta data e os ônus decorrentes dos Contratos de Garantia; ou (iii) rescisão de qualquer desses contratos ou instrumentos;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obrigações assumidas nesta Escritura de Emissão constituem obrigações legalmente válidas, lícitas, eficazes e vinculantes da Emissora e das SPEs, exequíveis de acordo com os seus termos e condições, com força de título executivo extrajudicial nos termos do artigo 784 do Código de Processo Civil;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Emissora e as SPEs têm todas as autorizações e licenças (inclusive ambientais) exigidas pelas autoridades federais, estaduais e municipais para o exercício de suas atividades, atividades válidas e vigentes, e tendo todos os protocolos de requerimento sido realizados dentro dos prazos definidos pelos órgãos das jurisdições em que a Emissora e as SPEs atuam, exceto por aquelas questionadas de boa fé nas esferas administrativa e/ou judicial;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xml:space="preserve">”, definido como a ocorrência de quaisquer eventos ou situações que comprovadamente afetem, de modo adverso e relevante (i) o Projeto, os negócios, as operações, as propriedades ou os resultados da Emissora e das SPEs, (ii) a validade ou exequibilidade dos documentos relacionados às Debêntures, inclusive os Contratos de Garantia; ou (iii) a capacidade da Emissora e/ou das SPEs, conforme aplicável, em cumprir </w:t>
      </w:r>
      <w:r>
        <w:rPr>
          <w:rFonts w:ascii="Verdana" w:eastAsia="Arial Unicode MS" w:hAnsi="Verdana" w:cs="Arial"/>
          <w:sz w:val="20"/>
          <w:szCs w:val="20"/>
        </w:rPr>
        <w:lastRenderedPageBreak/>
        <w:t>pontualmente suas obrigações financeiras ou de implantação do Projeto aqui previstas;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demonstrações financeiras da Emissora e de cada uma das SPEs,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SPEs, fora do curso normal de seus negócios, que seja relevante para a Emissora e/ou para as SPEs,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e/ou pelas SPEs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SPEs, bem como a Emissora ou cada uma das SPEs não contratou novas dívidas, que em qualquer caso, não estejam evidenciadas nas demonstrações financeiras da Emissora e/ou das SPEs.</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houve qualquer operação envolvendo a Emissora e/ou as SPEs, fora do curso normal de seus negócios, que seja relevante para a Emissora e/ou para as SPEs;</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Contratos do Projeto, foram devidamente firmados, constituindo obrigações válidas, eficazes, exequíveis e vinculantes de suas respectivas partes contratantes, de acordo com os prazos contratuais previstos;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documentos, declarações e informações fornecidos ao Coordenador Líder, aos Debenturistas e aos Assessores Jurídicos são verdadeiros, consistentes, materialmente corretos e suficientes e estão atualizados até a data em que foram fornecidos e incluem os documentos e informações relevantes, de acordo com a lista de documentos solicitada pelo Coordenador Líder;</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IPCA+ 2030,</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ou de qualquer ação ou ordem judicial, administrativa ou arbitral, inquérito ou qualquer outro </w:t>
      </w:r>
      <w:r>
        <w:rPr>
          <w:rFonts w:ascii="Verdana" w:eastAsia="Arial Unicode MS" w:hAnsi="Verdana" w:cs="Arial"/>
          <w:sz w:val="20"/>
          <w:szCs w:val="20"/>
        </w:rPr>
        <w:lastRenderedPageBreak/>
        <w:t xml:space="preserve">procedimento de investigação governamental, exceto quando questionadas de boa-fé, em qualquer dos casos, visando a anular, alterar, invalidar, questionar ou de qualquer forma afetar qualquer das obrigações decorrentes das Debêntures e dos Contratos de Garantia;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pPr>
        <w:spacing w:line="320" w:lineRule="exact"/>
        <w:ind w:left="709"/>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SPEs,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pPr>
        <w:spacing w:line="320" w:lineRule="exact"/>
        <w:ind w:left="709"/>
        <w:contextualSpacing/>
        <w:jc w:val="both"/>
        <w:rPr>
          <w:rFonts w:ascii="Verdana" w:eastAsia="Arial Unicode MS" w:hAnsi="Verdana"/>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considerado como prioritário nos termos das Portarias, as quais encontram-se válidas e eficazes;</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 e a Emissora não realizará outra oferta pública da mesma espécie de valores mobiliários dentro do prazo de 4 (quatro) meses contados da data da comunicação à CVM do encerramento da Oferta Restrita, a menos que a nova oferta seja submetida a registro na CVM;</w:t>
      </w:r>
      <w:r>
        <w:rPr>
          <w:rStyle w:val="DeltaViewInsertion"/>
          <w:rFonts w:ascii="Verdana" w:eastAsia="Arial Unicode MS" w:hAnsi="Verdana"/>
          <w:color w:val="auto"/>
          <w:sz w:val="20"/>
          <w:u w:val="none"/>
        </w:rPr>
        <w:t xml:space="preserve"> e</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exceto pelas obrigações que estão sendo questionadas de boa-fé nas esferas administrativa e/ou judicial, a Emissora está cumprindo as leis, regulamentos, normas administrativas e determinações dos órgãos governamentais, autarquias ou tribunais, aplicáveis ao exercício de suas atividades, exceto: (a) se devidamente informado nas notas explicativas de suas demonstrações financeiras relativas ao exercício social encerrado em 31 de dezembro de 2018 e ao período de três meses </w:t>
      </w:r>
      <w:r>
        <w:rPr>
          <w:rFonts w:ascii="Verdana" w:eastAsia="Arial Unicode MS" w:hAnsi="Verdana"/>
          <w:sz w:val="20"/>
        </w:rPr>
        <w:lastRenderedPageBreak/>
        <w:t>encerrado em 31 de março de 2019; ou (b) por qualquer descumprimento que não possa causar um efeito material adverso às suas atividades ou à Emissão;</w:t>
      </w:r>
    </w:p>
    <w:p>
      <w:pPr>
        <w:spacing w:line="320" w:lineRule="exact"/>
        <w:ind w:left="709"/>
        <w:contextualSpacing/>
        <w:jc w:val="both"/>
        <w:rPr>
          <w:rStyle w:val="DeltaViewInsertion"/>
          <w:rFonts w:ascii="Verdana" w:hAnsi="Verdana"/>
          <w:b/>
          <w:bCs/>
          <w:color w:val="auto"/>
          <w:kern w:val="32"/>
          <w:sz w:val="20"/>
          <w:szCs w:val="20"/>
          <w:u w:val="none"/>
          <w:lang w:val="x-none" w:eastAsia="x-none"/>
        </w:rPr>
      </w:pPr>
      <w:bookmarkStart w:id="391" w:name="_DV_M596"/>
      <w:bookmarkStart w:id="392" w:name="_DV_M598"/>
      <w:bookmarkStart w:id="393" w:name="_DV_M599"/>
      <w:bookmarkStart w:id="394" w:name="_DV_M601"/>
      <w:bookmarkStart w:id="395" w:name="_DV_M603"/>
      <w:bookmarkStart w:id="396" w:name="_DV_M604"/>
      <w:bookmarkStart w:id="397" w:name="_DV_M606"/>
      <w:bookmarkStart w:id="398" w:name="_DV_M607"/>
      <w:bookmarkStart w:id="399" w:name="_DV_M611"/>
      <w:bookmarkStart w:id="400" w:name="_DV_M612"/>
      <w:bookmarkStart w:id="401" w:name="_DV_M613"/>
      <w:bookmarkEnd w:id="390"/>
      <w:bookmarkEnd w:id="391"/>
      <w:bookmarkEnd w:id="392"/>
      <w:bookmarkEnd w:id="393"/>
      <w:bookmarkEnd w:id="394"/>
      <w:bookmarkEnd w:id="395"/>
      <w:bookmarkEnd w:id="396"/>
      <w:bookmarkEnd w:id="397"/>
      <w:bookmarkEnd w:id="398"/>
      <w:bookmarkEnd w:id="399"/>
      <w:bookmarkEnd w:id="400"/>
      <w:bookmarkEnd w:id="401"/>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pPr>
        <w:pStyle w:val="NormalWeb"/>
        <w:spacing w:before="0" w:beforeAutospacing="0" w:after="0" w:afterAutospacing="0" w:line="320" w:lineRule="exact"/>
        <w:jc w:val="both"/>
        <w:rPr>
          <w:rFonts w:ascii="Verdana" w:hAnsi="Verdana"/>
          <w:sz w:val="20"/>
          <w:szCs w:val="20"/>
        </w:rPr>
      </w:pPr>
    </w:p>
    <w:p>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pPr>
        <w:spacing w:line="320" w:lineRule="exact"/>
        <w:contextualSpacing/>
        <w:rPr>
          <w:rFonts w:ascii="Verdana" w:eastAsia="Arial Unicode MS" w:hAnsi="Verdana" w:cs="Arial"/>
          <w:sz w:val="20"/>
          <w:szCs w:val="20"/>
        </w:rPr>
      </w:pPr>
    </w:p>
    <w:p>
      <w:pPr>
        <w:pStyle w:val="Ttulo1"/>
        <w:rPr>
          <w:rFonts w:ascii="Verdana" w:eastAsia="Arial Unicode MS" w:hAnsi="Verdana"/>
          <w:sz w:val="20"/>
          <w:szCs w:val="20"/>
          <w:lang w:val="pt-BR"/>
        </w:rPr>
      </w:pPr>
      <w:bookmarkStart w:id="402" w:name="_DV_M614"/>
      <w:bookmarkStart w:id="403" w:name="_Toc499990386"/>
      <w:bookmarkStart w:id="404" w:name="_Toc280370545"/>
      <w:bookmarkStart w:id="405" w:name="_Toc349040601"/>
      <w:bookmarkStart w:id="406" w:name="_Toc351469186"/>
      <w:bookmarkStart w:id="407" w:name="_Toc352767488"/>
      <w:bookmarkStart w:id="408" w:name="_Toc355626575"/>
      <w:bookmarkEnd w:id="402"/>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403"/>
      <w:bookmarkEnd w:id="404"/>
      <w:bookmarkEnd w:id="405"/>
      <w:bookmarkEnd w:id="406"/>
      <w:bookmarkEnd w:id="407"/>
      <w:bookmarkEnd w:id="408"/>
    </w:p>
    <w:p>
      <w:pPr>
        <w:keepNext/>
        <w:spacing w:line="320" w:lineRule="exact"/>
        <w:contextualSpacing/>
        <w:jc w:val="both"/>
        <w:rPr>
          <w:rFonts w:ascii="Verdana" w:eastAsia="Arial Unicode MS" w:hAnsi="Verdana" w:cs="Arial"/>
          <w:sz w:val="20"/>
          <w:szCs w:val="20"/>
        </w:rPr>
      </w:pPr>
      <w:bookmarkStart w:id="409" w:name="_Toc499990387"/>
    </w:p>
    <w:p>
      <w:pPr>
        <w:keepNext/>
        <w:spacing w:line="320" w:lineRule="exact"/>
        <w:ind w:left="705" w:hanging="705"/>
        <w:contextualSpacing/>
        <w:jc w:val="both"/>
        <w:rPr>
          <w:rFonts w:ascii="Verdana" w:eastAsia="Arial Unicode MS" w:hAnsi="Verdana" w:cs="Arial"/>
          <w:b/>
          <w:sz w:val="20"/>
          <w:szCs w:val="20"/>
        </w:rPr>
      </w:pPr>
      <w:bookmarkStart w:id="410" w:name="_DV_M615"/>
      <w:bookmarkEnd w:id="409"/>
      <w:bookmarkEnd w:id="410"/>
      <w:r>
        <w:rPr>
          <w:rFonts w:ascii="Verdana" w:eastAsia="Arial Unicode MS" w:hAnsi="Verdana" w:cs="Arial"/>
          <w:b/>
          <w:sz w:val="20"/>
          <w:szCs w:val="20"/>
        </w:rPr>
        <w:t>10.1.</w:t>
      </w:r>
      <w:r>
        <w:rPr>
          <w:rFonts w:ascii="Verdana" w:eastAsia="Arial Unicode MS" w:hAnsi="Verdana" w:cs="Arial"/>
          <w:b/>
          <w:sz w:val="20"/>
          <w:szCs w:val="20"/>
        </w:rPr>
        <w:tab/>
        <w:t>Comunicações</w:t>
      </w:r>
    </w:p>
    <w:p>
      <w:pPr>
        <w:keepNext/>
        <w:spacing w:line="320" w:lineRule="exact"/>
        <w:contextualSpacing/>
        <w:rPr>
          <w:rFonts w:ascii="Verdana" w:eastAsia="Arial Unicode MS" w:hAnsi="Verdana" w:cs="Arial"/>
          <w:sz w:val="20"/>
          <w:szCs w:val="20"/>
        </w:rPr>
      </w:pPr>
    </w:p>
    <w:p>
      <w:pPr>
        <w:pStyle w:val="Corpodetexto3"/>
        <w:spacing w:line="320" w:lineRule="exact"/>
        <w:ind w:left="709" w:hanging="709"/>
        <w:contextualSpacing/>
        <w:rPr>
          <w:rFonts w:ascii="Verdana" w:eastAsia="Arial Unicode MS" w:hAnsi="Verdana" w:cs="Arial"/>
          <w:sz w:val="20"/>
          <w:szCs w:val="20"/>
          <w:lang w:val="pt-BR"/>
        </w:rPr>
      </w:pPr>
      <w:bookmarkStart w:id="411" w:name="_DV_M616"/>
      <w:bookmarkEnd w:id="411"/>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bookmarkStart w:id="412" w:name="_DV_M617"/>
      <w:bookmarkEnd w:id="412"/>
      <w:r>
        <w:rPr>
          <w:rFonts w:ascii="Verdana" w:eastAsia="Arial Unicode MS" w:hAnsi="Verdana" w:cs="Arial"/>
          <w:sz w:val="20"/>
          <w:szCs w:val="20"/>
          <w:u w:val="single"/>
        </w:rPr>
        <w:t>Para a Emissora e/ou para as SPEs</w:t>
      </w:r>
      <w:r>
        <w:rPr>
          <w:rFonts w:ascii="Verdana" w:eastAsia="Arial Unicode MS" w:hAnsi="Verdana" w:cs="Arial"/>
          <w:sz w:val="20"/>
          <w:szCs w:val="20"/>
        </w:rPr>
        <w:t>:</w:t>
      </w:r>
    </w:p>
    <w:p>
      <w:pPr>
        <w:shd w:val="clear" w:color="auto" w:fill="FFFFFF"/>
        <w:spacing w:line="320" w:lineRule="exact"/>
        <w:contextualSpacing/>
        <w:rPr>
          <w:rFonts w:ascii="Verdana" w:eastAsia="Arial Unicode MS" w:hAnsi="Verdana" w:cs="Arial"/>
          <w:bCs/>
          <w:sz w:val="20"/>
          <w:szCs w:val="20"/>
        </w:rPr>
      </w:pPr>
      <w:bookmarkStart w:id="413" w:name="_DV_M618"/>
      <w:bookmarkEnd w:id="413"/>
      <w:r>
        <w:rPr>
          <w:rFonts w:ascii="Verdana" w:hAnsi="Verdana" w:cs="Arial"/>
          <w:b/>
          <w:caps/>
          <w:sz w:val="20"/>
          <w:szCs w:val="20"/>
        </w:rPr>
        <w:t>aliança geração de energia S.A</w:t>
      </w:r>
    </w:p>
    <w:p>
      <w:pPr>
        <w:tabs>
          <w:tab w:val="left" w:pos="720"/>
          <w:tab w:val="left" w:pos="2366"/>
        </w:tabs>
        <w:spacing w:line="300" w:lineRule="atLeast"/>
        <w:jc w:val="both"/>
        <w:rPr>
          <w:rFonts w:ascii="Verdana" w:hAnsi="Verdana" w:cs="Arial"/>
          <w:sz w:val="20"/>
          <w:szCs w:val="20"/>
        </w:rPr>
      </w:pPr>
      <w:bookmarkStart w:id="414" w:name="_DV_M619"/>
      <w:bookmarkStart w:id="415" w:name="_DV_M621"/>
      <w:bookmarkStart w:id="416" w:name="_DV_M622"/>
      <w:bookmarkStart w:id="417" w:name="_DV_M623"/>
      <w:bookmarkStart w:id="418" w:name="_DV_M624"/>
      <w:bookmarkStart w:id="419" w:name="_DV_M625"/>
      <w:bookmarkEnd w:id="414"/>
      <w:bookmarkEnd w:id="415"/>
      <w:bookmarkEnd w:id="416"/>
      <w:bookmarkEnd w:id="417"/>
      <w:bookmarkEnd w:id="418"/>
      <w:bookmarkEnd w:id="419"/>
      <w:r>
        <w:rPr>
          <w:rFonts w:ascii="Verdana" w:hAnsi="Verdana" w:cs="Arial"/>
          <w:sz w:val="20"/>
          <w:szCs w:val="20"/>
        </w:rPr>
        <w:t>Rua Matias Cardoso, nº 169 – 9º andar</w:t>
      </w:r>
    </w:p>
    <w:p>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Srs. </w:t>
      </w:r>
      <w:r>
        <w:rPr>
          <w:rFonts w:ascii="Verdana" w:hAnsi="Verdana" w:cs="Arial"/>
          <w:sz w:val="20"/>
          <w:szCs w:val="20"/>
        </w:rPr>
        <w:t xml:space="preserve">Henrique Silva Schuffner /Rômulo Muzzi Câmara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pPr>
        <w:shd w:val="clear" w:color="auto" w:fill="FFFFFF"/>
        <w:spacing w:line="320" w:lineRule="exact"/>
        <w:contextualSpacing/>
        <w:rPr>
          <w:rFonts w:ascii="Verdana" w:hAnsi="Verdana" w:cs="Arial"/>
          <w:b/>
          <w:caps/>
          <w:sz w:val="20"/>
          <w:szCs w:val="20"/>
        </w:rPr>
      </w:pPr>
      <w:bookmarkStart w:id="420" w:name="_DV_M627"/>
      <w:bookmarkEnd w:id="420"/>
    </w:p>
    <w:p>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pPr>
        <w:shd w:val="clear" w:color="auto" w:fill="FFFFFF"/>
        <w:spacing w:line="320" w:lineRule="exact"/>
        <w:contextualSpacing/>
        <w:rPr>
          <w:rFonts w:ascii="Verdana" w:hAnsi="Verdana" w:cs="Arial"/>
          <w:b/>
          <w:sz w:val="20"/>
          <w:szCs w:val="20"/>
        </w:rPr>
      </w:pPr>
      <w:bookmarkStart w:id="421" w:name="_DV_M628"/>
      <w:bookmarkStart w:id="422" w:name="_DV_M629"/>
      <w:bookmarkStart w:id="423" w:name="_DV_M630"/>
      <w:bookmarkStart w:id="424" w:name="_DV_M635"/>
      <w:bookmarkEnd w:id="421"/>
      <w:bookmarkEnd w:id="422"/>
      <w:bookmarkEnd w:id="423"/>
      <w:bookmarkEnd w:id="424"/>
      <w:r>
        <w:rPr>
          <w:rFonts w:ascii="Verdana" w:hAnsi="Verdana" w:cs="Arial"/>
          <w:b/>
          <w:sz w:val="20"/>
          <w:szCs w:val="20"/>
        </w:rPr>
        <w:t xml:space="preserve">SIMPLIFIC PAVARINI DISTRIBUIDORA DE TÍTULOS E VALORES MOBILIÁRIOS LTDA. </w:t>
      </w:r>
    </w:p>
    <w:p>
      <w:pPr>
        <w:shd w:val="clear" w:color="auto" w:fill="FFFFFF"/>
        <w:spacing w:line="320" w:lineRule="exact"/>
        <w:contextualSpacing/>
        <w:rPr>
          <w:rFonts w:ascii="Verdana" w:hAnsi="Verdana" w:cs="Arial"/>
          <w:sz w:val="20"/>
          <w:szCs w:val="20"/>
        </w:rPr>
      </w:pPr>
      <w:r>
        <w:rPr>
          <w:rFonts w:ascii="Verdana" w:hAnsi="Verdana" w:cs="Arial"/>
          <w:sz w:val="20"/>
          <w:szCs w:val="20"/>
        </w:rPr>
        <w:t>Rua Sete de Setembro, n.º 99, 24º andar</w:t>
      </w:r>
    </w:p>
    <w:p>
      <w:pPr>
        <w:shd w:val="clear" w:color="auto" w:fill="FFFFFF"/>
        <w:spacing w:line="320" w:lineRule="exact"/>
        <w:contextualSpacing/>
        <w:rPr>
          <w:rFonts w:ascii="Verdana" w:hAnsi="Verdana" w:cs="Arial"/>
          <w:sz w:val="20"/>
          <w:szCs w:val="20"/>
        </w:rPr>
      </w:pPr>
      <w:r>
        <w:rPr>
          <w:rFonts w:ascii="Verdana" w:hAnsi="Verdana" w:cs="Arial"/>
          <w:sz w:val="20"/>
          <w:szCs w:val="20"/>
        </w:rPr>
        <w:t xml:space="preserve">Rio de Janeiro – RJ, CEP 20050-005 </w:t>
      </w:r>
    </w:p>
    <w:p>
      <w:pPr>
        <w:shd w:val="clear" w:color="auto" w:fill="FFFFFF"/>
        <w:spacing w:line="320" w:lineRule="exact"/>
        <w:contextualSpacing/>
        <w:rPr>
          <w:rFonts w:ascii="Verdana" w:hAnsi="Verdana" w:cs="Arial"/>
          <w:sz w:val="20"/>
          <w:szCs w:val="20"/>
        </w:rPr>
      </w:pPr>
      <w:r>
        <w:rPr>
          <w:rFonts w:ascii="Verdana" w:hAnsi="Verdana" w:cs="Arial"/>
          <w:sz w:val="20"/>
          <w:szCs w:val="20"/>
        </w:rPr>
        <w:t>At.: Sr(a). [●]</w:t>
      </w:r>
    </w:p>
    <w:p>
      <w:pPr>
        <w:shd w:val="clear" w:color="auto" w:fill="FFFFFF"/>
        <w:spacing w:line="320" w:lineRule="exact"/>
        <w:contextualSpacing/>
        <w:rPr>
          <w:rFonts w:ascii="Verdana" w:hAnsi="Verdana" w:cs="Arial"/>
          <w:sz w:val="20"/>
          <w:szCs w:val="20"/>
        </w:rPr>
      </w:pPr>
      <w:r>
        <w:rPr>
          <w:rFonts w:ascii="Verdana" w:hAnsi="Verdana" w:cs="Arial"/>
          <w:sz w:val="20"/>
          <w:szCs w:val="20"/>
        </w:rPr>
        <w:t>Tel: ([●]) [●]</w:t>
      </w:r>
    </w:p>
    <w:p>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3" w:history="1">
        <w:r>
          <w:rPr>
            <w:rStyle w:val="Hyperlink"/>
            <w:rFonts w:ascii="Verdana" w:hAnsi="Verdana" w:cs="Arial"/>
            <w:b/>
            <w:color w:val="auto"/>
            <w:sz w:val="20"/>
            <w:szCs w:val="20"/>
          </w:rPr>
          <w:t>fiduciario@simplificpavarini.com.br</w:t>
        </w:r>
      </w:hyperlink>
    </w:p>
    <w:p>
      <w:pPr>
        <w:spacing w:line="320" w:lineRule="exact"/>
        <w:contextualSpacing/>
        <w:jc w:val="both"/>
        <w:rPr>
          <w:rFonts w:ascii="Verdana" w:hAnsi="Verdana" w:cs="Arial"/>
          <w:b/>
          <w:sz w:val="20"/>
          <w:szCs w:val="20"/>
        </w:rPr>
      </w:pPr>
    </w:p>
    <w:p>
      <w:pPr>
        <w:spacing w:line="320" w:lineRule="exact"/>
        <w:contextualSpacing/>
        <w:jc w:val="both"/>
        <w:rPr>
          <w:rFonts w:ascii="Verdana" w:eastAsia="Arial Unicode MS" w:hAnsi="Verdana" w:cs="Arial"/>
          <w:sz w:val="20"/>
          <w:szCs w:val="20"/>
        </w:rPr>
      </w:pPr>
      <w:bookmarkStart w:id="425" w:name="_DV_M649"/>
      <w:bookmarkEnd w:id="425"/>
      <w:r>
        <w:rPr>
          <w:rFonts w:ascii="Verdana" w:eastAsia="Arial Unicode MS" w:hAnsi="Verdana" w:cs="Arial"/>
          <w:sz w:val="20"/>
          <w:szCs w:val="20"/>
          <w:u w:val="single"/>
        </w:rPr>
        <w:lastRenderedPageBreak/>
        <w:t xml:space="preserve">Para a </w:t>
      </w:r>
      <w:r>
        <w:rPr>
          <w:rFonts w:ascii="Verdana" w:hAnsi="Verdana"/>
          <w:sz w:val="20"/>
          <w:szCs w:val="20"/>
          <w:u w:val="single"/>
        </w:rPr>
        <w:t>B3</w:t>
      </w:r>
      <w:r>
        <w:rPr>
          <w:rFonts w:ascii="Verdana" w:eastAsia="Arial Unicode MS" w:hAnsi="Verdana" w:cs="Arial"/>
          <w:sz w:val="20"/>
          <w:szCs w:val="20"/>
        </w:rPr>
        <w:t>:</w:t>
      </w:r>
    </w:p>
    <w:p>
      <w:pPr>
        <w:autoSpaceDE/>
        <w:autoSpaceDN/>
        <w:adjustRightInd/>
        <w:spacing w:line="320" w:lineRule="exact"/>
        <w:rPr>
          <w:rFonts w:ascii="Verdana" w:hAnsi="Verdana" w:cs="Arial"/>
          <w:b/>
          <w:sz w:val="20"/>
          <w:szCs w:val="20"/>
        </w:rPr>
      </w:pPr>
      <w:bookmarkStart w:id="426" w:name="_DV_M650"/>
      <w:bookmarkEnd w:id="426"/>
      <w:r>
        <w:rPr>
          <w:rFonts w:ascii="Verdana" w:hAnsi="Verdana" w:cs="Arial"/>
          <w:b/>
          <w:sz w:val="20"/>
          <w:szCs w:val="20"/>
        </w:rPr>
        <w:t>B3 S.A. – BRASIL, BOLSA, BALCÃO – SEGMENTO CETIP UTVM</w:t>
      </w:r>
    </w:p>
    <w:p>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pPr>
        <w:spacing w:line="300" w:lineRule="exact"/>
        <w:jc w:val="both"/>
        <w:rPr>
          <w:rFonts w:ascii="Verdana" w:hAnsi="Verdana" w:cs="Calibri"/>
          <w:bCs/>
          <w:sz w:val="20"/>
          <w:szCs w:val="20"/>
        </w:rPr>
      </w:pPr>
      <w:r>
        <w:rPr>
          <w:rFonts w:ascii="Verdana" w:hAnsi="Verdana" w:cs="Calibri"/>
          <w:bCs/>
          <w:sz w:val="20"/>
          <w:szCs w:val="20"/>
        </w:rPr>
        <w:t>At.; Superintendência de Ofertas de Valores Mobiliários de Renda Fixa – SRF</w:t>
      </w:r>
    </w:p>
    <w:p>
      <w:pPr>
        <w:spacing w:line="300" w:lineRule="exact"/>
        <w:jc w:val="both"/>
        <w:rPr>
          <w:rFonts w:ascii="Verdana" w:hAnsi="Verdana" w:cs="Calibri"/>
          <w:bCs/>
          <w:sz w:val="20"/>
          <w:szCs w:val="20"/>
        </w:rPr>
      </w:pPr>
      <w:r>
        <w:rPr>
          <w:rFonts w:ascii="Verdana" w:hAnsi="Verdana" w:cs="Calibri"/>
          <w:bCs/>
          <w:sz w:val="20"/>
          <w:szCs w:val="20"/>
        </w:rPr>
        <w:t>Telefone: 0300-111-1596</w:t>
      </w:r>
    </w:p>
    <w:p>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4" w:history="1">
        <w:r>
          <w:rPr>
            <w:rStyle w:val="Hyperlink"/>
            <w:rFonts w:ascii="Verdana" w:hAnsi="Verdana" w:cs="Calibri"/>
            <w:bCs/>
            <w:color w:val="auto"/>
            <w:sz w:val="20"/>
            <w:szCs w:val="20"/>
          </w:rPr>
          <w:t>valores.mobiliarios@b3.com.br</w:t>
        </w:r>
      </w:hyperlink>
    </w:p>
    <w:p>
      <w:pPr>
        <w:autoSpaceDE/>
        <w:autoSpaceDN/>
        <w:adjustRightInd/>
        <w:spacing w:line="320" w:lineRule="exact"/>
        <w:rPr>
          <w:rFonts w:ascii="Verdana" w:hAnsi="Verdana" w:cs="Calibri"/>
          <w:bCs/>
          <w:sz w:val="20"/>
          <w:szCs w:val="20"/>
        </w:rPr>
      </w:pPr>
    </w:p>
    <w:p>
      <w:pPr>
        <w:autoSpaceDE/>
        <w:autoSpaceDN/>
        <w:adjustRightInd/>
        <w:spacing w:line="320" w:lineRule="exact"/>
        <w:rPr>
          <w:rFonts w:ascii="Verdana" w:hAnsi="Verdana" w:cs="Calibri"/>
          <w:bCs/>
          <w:sz w:val="20"/>
          <w:szCs w:val="20"/>
        </w:rPr>
      </w:pPr>
      <w:r>
        <w:rPr>
          <w:rFonts w:ascii="Verdana" w:hAnsi="Verdana" w:cs="Calibri"/>
          <w:bCs/>
          <w:sz w:val="20"/>
          <w:szCs w:val="20"/>
          <w:u w:val="single"/>
        </w:rPr>
        <w:t>Para o Agente de Liquidação e Escriturador</w:t>
      </w:r>
      <w:r>
        <w:rPr>
          <w:rFonts w:ascii="Verdana" w:hAnsi="Verdana" w:cs="Calibri"/>
          <w:bCs/>
          <w:sz w:val="20"/>
          <w:szCs w:val="20"/>
        </w:rPr>
        <w:t>:</w:t>
      </w:r>
    </w:p>
    <w:p>
      <w:pPr>
        <w:shd w:val="clear" w:color="auto" w:fill="FFFFFF"/>
        <w:spacing w:line="320" w:lineRule="exact"/>
        <w:contextualSpacing/>
        <w:rPr>
          <w:rFonts w:ascii="Verdana" w:hAnsi="Verdana"/>
          <w:b/>
          <w:caps/>
          <w:sz w:val="20"/>
        </w:rPr>
      </w:pPr>
      <w:r>
        <w:rPr>
          <w:rFonts w:ascii="Verdana" w:hAnsi="Verdana"/>
          <w:b/>
          <w:caps/>
          <w:sz w:val="20"/>
        </w:rPr>
        <w:t>Banco Bradesco S.A.</w:t>
      </w:r>
    </w:p>
    <w:p>
      <w:pPr>
        <w:autoSpaceDE/>
        <w:autoSpaceDN/>
        <w:adjustRightInd/>
        <w:spacing w:line="320" w:lineRule="exact"/>
        <w:rPr>
          <w:rFonts w:ascii="Verdana" w:hAnsi="Verdana"/>
          <w:sz w:val="20"/>
        </w:rPr>
      </w:pPr>
      <w:r>
        <w:rPr>
          <w:rFonts w:ascii="Verdana" w:hAnsi="Verdana"/>
          <w:sz w:val="20"/>
        </w:rPr>
        <w:t>Núcleo Cidade de Deus, s/n, Prédio Amarelo, 2º andar, Vila Yara</w:t>
      </w:r>
    </w:p>
    <w:p>
      <w:pPr>
        <w:autoSpaceDE/>
        <w:autoSpaceDN/>
        <w:adjustRightInd/>
        <w:spacing w:line="320" w:lineRule="exact"/>
        <w:rPr>
          <w:rFonts w:ascii="Verdana" w:hAnsi="Verdana"/>
          <w:sz w:val="20"/>
        </w:rPr>
      </w:pPr>
      <w:r>
        <w:rPr>
          <w:rFonts w:ascii="Verdana" w:hAnsi="Verdana"/>
          <w:sz w:val="20"/>
        </w:rPr>
        <w:t xml:space="preserve">CEP 06029-900 – Osasco – São Paulo </w:t>
      </w:r>
    </w:p>
    <w:p>
      <w:pPr>
        <w:autoSpaceDE/>
        <w:autoSpaceDN/>
        <w:adjustRightInd/>
        <w:spacing w:line="320" w:lineRule="exact"/>
        <w:rPr>
          <w:rFonts w:ascii="Verdana" w:hAnsi="Verdana"/>
          <w:sz w:val="20"/>
        </w:rPr>
      </w:pPr>
      <w:r>
        <w:rPr>
          <w:rFonts w:ascii="Verdana" w:hAnsi="Verdana"/>
          <w:sz w:val="20"/>
        </w:rPr>
        <w:t>At.: Sra. Debora Andrade Teixeira / Sr. Mauricio Bartalini Tempeste</w:t>
      </w:r>
    </w:p>
    <w:p>
      <w:pPr>
        <w:autoSpaceDE/>
        <w:autoSpaceDN/>
        <w:adjustRightInd/>
        <w:spacing w:line="320" w:lineRule="exact"/>
        <w:rPr>
          <w:rFonts w:ascii="Verdana" w:hAnsi="Verdana"/>
          <w:sz w:val="20"/>
        </w:rPr>
      </w:pPr>
      <w:r>
        <w:rPr>
          <w:rFonts w:ascii="Verdana" w:hAnsi="Verdana"/>
          <w:sz w:val="20"/>
        </w:rPr>
        <w:t>Telefone: (11) 3684- 9492/7911 / (11) 3684-9469</w:t>
      </w:r>
    </w:p>
    <w:p>
      <w:pPr>
        <w:autoSpaceDE/>
        <w:autoSpaceDN/>
        <w:adjustRightInd/>
        <w:spacing w:line="320" w:lineRule="exact"/>
        <w:rPr>
          <w:rFonts w:ascii="Verdana" w:hAnsi="Verdana"/>
          <w:sz w:val="20"/>
        </w:rPr>
      </w:pPr>
      <w:r>
        <w:rPr>
          <w:rFonts w:ascii="Verdana" w:hAnsi="Verdana"/>
          <w:sz w:val="20"/>
        </w:rPr>
        <w:t xml:space="preserve">E-mail: </w:t>
      </w:r>
    </w:p>
    <w:p>
      <w:pPr>
        <w:autoSpaceDE/>
        <w:autoSpaceDN/>
        <w:adjustRightInd/>
        <w:spacing w:line="320" w:lineRule="exact"/>
        <w:rPr>
          <w:rFonts w:ascii="Verdana" w:hAnsi="Verdana"/>
          <w:sz w:val="20"/>
        </w:rPr>
      </w:pPr>
      <w:r>
        <w:rPr>
          <w:rFonts w:ascii="Verdana" w:hAnsi="Verdana"/>
          <w:sz w:val="20"/>
        </w:rPr>
        <w:t>debora.teixeira@bradesco.com.br; dac.debentures@bradesco.com.br;</w:t>
      </w:r>
    </w:p>
    <w:p>
      <w:pPr>
        <w:autoSpaceDE/>
        <w:autoSpaceDN/>
        <w:adjustRightInd/>
        <w:spacing w:line="320" w:lineRule="exact"/>
        <w:rPr>
          <w:rFonts w:ascii="Verdana" w:eastAsia="Arial Unicode MS" w:hAnsi="Verdana" w:cs="Arial"/>
          <w:bCs/>
          <w:sz w:val="20"/>
          <w:szCs w:val="20"/>
        </w:rPr>
      </w:pPr>
      <w:r>
        <w:rPr>
          <w:rFonts w:ascii="Verdana" w:hAnsi="Verdana"/>
          <w:sz w:val="20"/>
        </w:rPr>
        <w:t xml:space="preserve">mauricio.tempeste@bradesco.com.br; dac.escrituracao@bradesco.com.br </w:t>
      </w:r>
    </w:p>
    <w:p>
      <w:pPr>
        <w:shd w:val="clear" w:color="auto" w:fill="FFFFFF"/>
        <w:spacing w:line="320" w:lineRule="exact"/>
        <w:ind w:left="709" w:hanging="709"/>
        <w:contextualSpacing/>
        <w:jc w:val="both"/>
        <w:rPr>
          <w:rFonts w:ascii="Verdana" w:eastAsia="Arial Unicode MS" w:hAnsi="Verdana" w:cs="Arial"/>
          <w:sz w:val="20"/>
          <w:szCs w:val="20"/>
        </w:rPr>
      </w:pPr>
      <w:bookmarkStart w:id="427" w:name="_DV_M657"/>
      <w:bookmarkEnd w:id="427"/>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28" w:name="_DV_M658"/>
      <w:bookmarkEnd w:id="428"/>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pPr>
        <w:spacing w:line="320" w:lineRule="exact"/>
        <w:contextualSpacing/>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29" w:name="_DV_M659"/>
      <w:bookmarkEnd w:id="429"/>
      <w:r>
        <w:rPr>
          <w:rFonts w:ascii="Verdana" w:eastAsia="Arial Unicode MS" w:hAnsi="Verdana" w:cs="Arial"/>
          <w:b/>
          <w:sz w:val="20"/>
          <w:szCs w:val="20"/>
        </w:rPr>
        <w:t>10.2.</w:t>
      </w:r>
      <w:r>
        <w:rPr>
          <w:rFonts w:ascii="Verdana" w:eastAsia="Arial Unicode MS" w:hAnsi="Verdana" w:cs="Arial"/>
          <w:b/>
          <w:sz w:val="20"/>
          <w:szCs w:val="20"/>
        </w:rPr>
        <w:tab/>
        <w:t>Renúncia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30" w:name="_DV_M660"/>
      <w:bookmarkEnd w:id="430"/>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keepNext/>
        <w:keepLines/>
        <w:spacing w:line="320" w:lineRule="exact"/>
        <w:ind w:left="705" w:hanging="705"/>
        <w:contextualSpacing/>
        <w:jc w:val="both"/>
        <w:rPr>
          <w:rFonts w:ascii="Verdana" w:eastAsia="Arial Unicode MS" w:hAnsi="Verdana" w:cs="Arial"/>
          <w:sz w:val="20"/>
          <w:szCs w:val="20"/>
        </w:rPr>
      </w:pPr>
    </w:p>
    <w:p>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pPr>
        <w:autoSpaceDE/>
        <w:autoSpaceDN/>
        <w:adjustRightInd/>
        <w:spacing w:line="320" w:lineRule="exact"/>
        <w:rPr>
          <w:rFonts w:ascii="Verdana" w:eastAsia="Arial Unicode MS" w:hAnsi="Verdana"/>
          <w:b/>
          <w:sz w:val="20"/>
          <w:szCs w:val="20"/>
        </w:rPr>
      </w:pPr>
      <w:bookmarkStart w:id="431" w:name="_DV_M661"/>
      <w:bookmarkEnd w:id="431"/>
    </w:p>
    <w:p>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2" w:name="_DV_M662"/>
      <w:bookmarkEnd w:id="432"/>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pPr>
        <w:pStyle w:val="Recuodecorpodetexto"/>
        <w:widowControl/>
        <w:spacing w:line="320" w:lineRule="exact"/>
        <w:ind w:left="705" w:hanging="705"/>
        <w:contextualSpacing/>
        <w:rPr>
          <w:rFonts w:ascii="Verdana" w:eastAsia="Arial Unicode MS" w:hAnsi="Verdana" w:cs="Arial"/>
          <w:sz w:val="20"/>
          <w:szCs w:val="20"/>
          <w:lang w:val="pt-BR"/>
        </w:rPr>
      </w:pPr>
    </w:p>
    <w:p>
      <w:pPr>
        <w:keepNext/>
        <w:keepLines/>
        <w:spacing w:line="320" w:lineRule="exact"/>
        <w:contextualSpacing/>
        <w:jc w:val="both"/>
        <w:rPr>
          <w:rFonts w:ascii="Verdana" w:eastAsia="Arial Unicode MS" w:hAnsi="Verdana" w:cs="Arial"/>
          <w:b/>
          <w:sz w:val="20"/>
          <w:szCs w:val="20"/>
        </w:rPr>
      </w:pPr>
      <w:bookmarkStart w:id="433" w:name="_DV_M663"/>
      <w:bookmarkStart w:id="434" w:name="_DV_M664"/>
      <w:bookmarkEnd w:id="433"/>
      <w:bookmarkEnd w:id="434"/>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pPr>
        <w:pStyle w:val="Recuodecorpodetexto"/>
        <w:keepNext/>
        <w:keepLines/>
        <w:widowControl/>
        <w:spacing w:line="320" w:lineRule="exact"/>
        <w:contextualSpacing/>
        <w:rPr>
          <w:rFonts w:ascii="Verdana" w:eastAsia="Arial Unicode MS" w:hAnsi="Verdana" w:cs="Arial"/>
          <w:sz w:val="20"/>
          <w:szCs w:val="20"/>
          <w:lang w:val="pt-BR"/>
        </w:rPr>
      </w:pPr>
    </w:p>
    <w:p>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5" w:name="_DV_M665"/>
      <w:bookmarkEnd w:id="435"/>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pPr>
        <w:pStyle w:val="Recuodecorpodetexto"/>
        <w:widowControl/>
        <w:spacing w:line="320" w:lineRule="exact"/>
        <w:contextualSpacing/>
        <w:rPr>
          <w:rFonts w:ascii="Verdana" w:eastAsia="Arial Unicode MS" w:hAnsi="Verdana" w:cs="Arial"/>
          <w:sz w:val="20"/>
          <w:szCs w:val="20"/>
          <w:lang w:val="pt-BR"/>
        </w:rPr>
      </w:pPr>
    </w:p>
    <w:p>
      <w:pPr>
        <w:spacing w:line="320" w:lineRule="exact"/>
        <w:contextualSpacing/>
        <w:jc w:val="both"/>
        <w:rPr>
          <w:rFonts w:ascii="Verdana" w:eastAsia="Arial Unicode MS" w:hAnsi="Verdana" w:cs="Arial"/>
          <w:b/>
          <w:sz w:val="20"/>
          <w:szCs w:val="20"/>
        </w:rPr>
      </w:pPr>
      <w:bookmarkStart w:id="436" w:name="_DV_M666"/>
      <w:bookmarkEnd w:id="436"/>
      <w:r>
        <w:rPr>
          <w:rFonts w:ascii="Verdana" w:eastAsia="Arial Unicode MS" w:hAnsi="Verdana" w:cs="Arial"/>
          <w:b/>
          <w:sz w:val="20"/>
          <w:szCs w:val="20"/>
        </w:rPr>
        <w:t>10.5.</w:t>
      </w:r>
      <w:r>
        <w:rPr>
          <w:rFonts w:ascii="Verdana" w:eastAsia="Arial Unicode MS" w:hAnsi="Verdana" w:cs="Arial"/>
          <w:b/>
          <w:sz w:val="20"/>
          <w:szCs w:val="20"/>
        </w:rPr>
        <w:tab/>
        <w:t>Cômputo do Prazo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7" w:name="_DV_M667"/>
      <w:bookmarkEnd w:id="437"/>
      <w:r>
        <w:rPr>
          <w:rFonts w:ascii="Verdana" w:eastAsia="Arial Unicode MS" w:hAnsi="Verdana" w:cs="Arial"/>
          <w:sz w:val="20"/>
          <w:szCs w:val="20"/>
          <w:lang w:val="pt-BR"/>
        </w:rPr>
        <w:t xml:space="preserve">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 sendo certo que </w:t>
      </w:r>
      <w:r>
        <w:rPr>
          <w:rFonts w:ascii="Verdana" w:hAnsi="Verdana" w:cs="Arial"/>
          <w:sz w:val="20"/>
          <w:szCs w:val="20"/>
          <w:lang w:val="pt-BR"/>
        </w:rPr>
        <w:t>q</w:t>
      </w:r>
      <w:r>
        <w:rPr>
          <w:rFonts w:ascii="Verdana" w:hAnsi="Verdana" w:cs="Arial"/>
          <w:sz w:val="20"/>
          <w:szCs w:val="20"/>
        </w:rPr>
        <w:t xml:space="preserve">uando a indicação de </w:t>
      </w:r>
      <w:r>
        <w:rPr>
          <w:rFonts w:ascii="Verdana" w:hAnsi="Verdana" w:cs="Arial"/>
          <w:sz w:val="20"/>
          <w:szCs w:val="20"/>
          <w:lang w:val="pt-BR"/>
        </w:rPr>
        <w:t xml:space="preserve">contagem de </w:t>
      </w:r>
      <w:r>
        <w:rPr>
          <w:rFonts w:ascii="Verdana" w:hAnsi="Verdana" w:cs="Arial"/>
          <w:sz w:val="20"/>
          <w:szCs w:val="20"/>
        </w:rPr>
        <w:t xml:space="preserve">prazo </w:t>
      </w:r>
      <w:r>
        <w:rPr>
          <w:rFonts w:ascii="Verdana" w:hAnsi="Verdana" w:cs="Arial"/>
          <w:sz w:val="20"/>
          <w:szCs w:val="20"/>
          <w:lang w:val="pt-BR"/>
        </w:rPr>
        <w:t>se der</w:t>
      </w:r>
      <w:r>
        <w:rPr>
          <w:rFonts w:ascii="Verdana" w:hAnsi="Verdana" w:cs="Arial"/>
          <w:sz w:val="20"/>
          <w:szCs w:val="20"/>
        </w:rPr>
        <w:t xml:space="preserve"> por dia na presente Escritura</w:t>
      </w:r>
      <w:r>
        <w:rPr>
          <w:rFonts w:ascii="Verdana" w:hAnsi="Verdana" w:cs="Arial"/>
          <w:sz w:val="20"/>
          <w:szCs w:val="20"/>
          <w:lang w:val="pt-BR"/>
        </w:rPr>
        <w:t xml:space="preserve"> de Emissão</w:t>
      </w:r>
      <w:r>
        <w:rPr>
          <w:rFonts w:ascii="Verdana" w:hAnsi="Verdana" w:cs="Arial"/>
          <w:sz w:val="20"/>
          <w:szCs w:val="20"/>
        </w:rPr>
        <w:t>, ainda que não vier acompanhada da indicação de “dia útil”, o</w:t>
      </w:r>
      <w:r>
        <w:rPr>
          <w:rFonts w:ascii="Verdana" w:hAnsi="Verdana" w:cs="Arial"/>
          <w:sz w:val="20"/>
          <w:szCs w:val="20"/>
          <w:lang w:val="pt-BR"/>
        </w:rPr>
        <w:t>s</w:t>
      </w:r>
      <w:r>
        <w:rPr>
          <w:rFonts w:ascii="Verdana" w:hAnsi="Verdana" w:cs="Arial"/>
          <w:sz w:val="20"/>
          <w:szCs w:val="20"/>
        </w:rPr>
        <w:t xml:space="preserve"> prazo</w:t>
      </w:r>
      <w:r>
        <w:rPr>
          <w:rFonts w:ascii="Verdana" w:hAnsi="Verdana" w:cs="Arial"/>
          <w:sz w:val="20"/>
          <w:szCs w:val="20"/>
          <w:lang w:val="pt-BR"/>
        </w:rPr>
        <w:t>s</w:t>
      </w:r>
      <w:r>
        <w:rPr>
          <w:rFonts w:ascii="Verdana" w:hAnsi="Verdana" w:cs="Arial"/>
          <w:sz w:val="20"/>
          <w:szCs w:val="20"/>
        </w:rPr>
        <w:t xml:space="preserve"> </w:t>
      </w:r>
      <w:r>
        <w:rPr>
          <w:rFonts w:ascii="Verdana" w:hAnsi="Verdana" w:cs="Arial"/>
          <w:sz w:val="20"/>
          <w:szCs w:val="20"/>
          <w:lang w:val="pt-BR"/>
        </w:rPr>
        <w:t>deverão ser</w:t>
      </w:r>
      <w:r>
        <w:rPr>
          <w:rFonts w:ascii="Verdana" w:hAnsi="Verdana" w:cs="Arial"/>
          <w:sz w:val="20"/>
          <w:szCs w:val="20"/>
        </w:rPr>
        <w:t xml:space="preserve"> contado</w:t>
      </w:r>
      <w:r>
        <w:rPr>
          <w:rFonts w:ascii="Verdana" w:hAnsi="Verdana" w:cs="Arial"/>
          <w:sz w:val="20"/>
          <w:szCs w:val="20"/>
          <w:lang w:val="pt-BR"/>
        </w:rPr>
        <w:t>s</w:t>
      </w:r>
      <w:r>
        <w:rPr>
          <w:rFonts w:ascii="Verdana" w:hAnsi="Verdana" w:cs="Arial"/>
          <w:sz w:val="20"/>
          <w:szCs w:val="20"/>
        </w:rPr>
        <w:t xml:space="preserve"> em </w:t>
      </w:r>
      <w:r>
        <w:rPr>
          <w:rFonts w:ascii="Verdana" w:hAnsi="Verdana" w:cs="Arial"/>
          <w:sz w:val="20"/>
          <w:szCs w:val="20"/>
          <w:lang w:val="pt-BR"/>
        </w:rPr>
        <w:t>D</w:t>
      </w:r>
      <w:r>
        <w:rPr>
          <w:rFonts w:ascii="Verdana" w:hAnsi="Verdana" w:cs="Arial"/>
          <w:sz w:val="20"/>
          <w:szCs w:val="20"/>
        </w:rPr>
        <w:t xml:space="preserve">ias </w:t>
      </w:r>
      <w:r>
        <w:rPr>
          <w:rFonts w:ascii="Verdana" w:hAnsi="Verdana" w:cs="Arial"/>
          <w:sz w:val="20"/>
          <w:szCs w:val="20"/>
          <w:lang w:val="pt-BR"/>
        </w:rPr>
        <w:t>Ú</w:t>
      </w:r>
      <w:r>
        <w:rPr>
          <w:rFonts w:ascii="Verdana" w:hAnsi="Verdana" w:cs="Arial"/>
          <w:sz w:val="20"/>
          <w:szCs w:val="20"/>
        </w:rPr>
        <w:t>teis.</w:t>
      </w:r>
    </w:p>
    <w:p>
      <w:pPr>
        <w:pStyle w:val="Recuodecorpodetexto"/>
        <w:widowControl/>
        <w:spacing w:line="320" w:lineRule="exact"/>
        <w:contextualSpacing/>
        <w:rPr>
          <w:rFonts w:ascii="Verdana" w:eastAsia="Arial Unicode MS" w:hAnsi="Verdana" w:cs="Arial"/>
          <w:sz w:val="20"/>
          <w:szCs w:val="20"/>
          <w:lang w:val="pt-BR"/>
        </w:rPr>
      </w:pPr>
    </w:p>
    <w:p>
      <w:pPr>
        <w:keepNext/>
        <w:spacing w:line="320" w:lineRule="exact"/>
        <w:contextualSpacing/>
        <w:jc w:val="both"/>
        <w:rPr>
          <w:rFonts w:ascii="Verdana" w:eastAsia="Arial Unicode MS" w:hAnsi="Verdana" w:cs="Arial"/>
          <w:b/>
          <w:sz w:val="20"/>
          <w:szCs w:val="20"/>
        </w:rPr>
      </w:pPr>
      <w:bookmarkStart w:id="438" w:name="_DV_M668"/>
      <w:bookmarkEnd w:id="438"/>
      <w:r>
        <w:rPr>
          <w:rFonts w:ascii="Verdana" w:eastAsia="Arial Unicode MS" w:hAnsi="Verdana" w:cs="Arial"/>
          <w:b/>
          <w:sz w:val="20"/>
          <w:szCs w:val="20"/>
        </w:rPr>
        <w:lastRenderedPageBreak/>
        <w:t>10.6.</w:t>
      </w:r>
      <w:r>
        <w:rPr>
          <w:rFonts w:ascii="Verdana" w:eastAsia="Arial Unicode MS" w:hAnsi="Verdana" w:cs="Arial"/>
          <w:b/>
          <w:sz w:val="20"/>
          <w:szCs w:val="20"/>
        </w:rPr>
        <w:tab/>
        <w:t>Despesas</w:t>
      </w:r>
    </w:p>
    <w:p>
      <w:pPr>
        <w:pStyle w:val="Recuodecorpodetexto"/>
        <w:keepNext/>
        <w:widowControl/>
        <w:spacing w:line="320" w:lineRule="exact"/>
        <w:contextualSpacing/>
        <w:rPr>
          <w:rFonts w:ascii="Verdana" w:eastAsia="Arial Unicode MS" w:hAnsi="Verdana" w:cs="Arial"/>
          <w:sz w:val="20"/>
          <w:szCs w:val="20"/>
          <w:lang w:val="pt-BR"/>
        </w:rPr>
      </w:pPr>
    </w:p>
    <w:p>
      <w:pPr>
        <w:spacing w:line="320" w:lineRule="exact"/>
        <w:ind w:left="703" w:hanging="703"/>
        <w:contextualSpacing/>
        <w:jc w:val="both"/>
        <w:rPr>
          <w:rFonts w:ascii="Verdana" w:eastAsia="Arial Unicode MS" w:hAnsi="Verdana" w:cs="Arial"/>
          <w:sz w:val="20"/>
          <w:szCs w:val="20"/>
        </w:rPr>
      </w:pPr>
      <w:bookmarkStart w:id="439" w:name="_DV_M669"/>
      <w:bookmarkEnd w:id="439"/>
      <w:r>
        <w:rPr>
          <w:rFonts w:ascii="Verdana" w:eastAsia="Arial Unicode MS" w:hAnsi="Verdana" w:cs="Arial"/>
          <w:sz w:val="20"/>
          <w:szCs w:val="20"/>
        </w:rPr>
        <w:t>10.6.1. A Emissora arcará com todos os custos</w:t>
      </w:r>
      <w:bookmarkStart w:id="440" w:name="_DV_C345"/>
      <w:r>
        <w:rPr>
          <w:rFonts w:ascii="Verdana" w:eastAsia="Arial Unicode MS" w:hAnsi="Verdana" w:cs="Arial"/>
          <w:sz w:val="20"/>
          <w:szCs w:val="20"/>
        </w:rPr>
        <w:t xml:space="preserve"> da Emissão, inclusive</w:t>
      </w:r>
      <w:bookmarkStart w:id="441" w:name="_DV_M670"/>
      <w:bookmarkEnd w:id="440"/>
      <w:bookmarkEnd w:id="441"/>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42" w:name="_DV_M671"/>
      <w:bookmarkEnd w:id="442"/>
      <w:r>
        <w:rPr>
          <w:rFonts w:ascii="Verdana" w:eastAsia="Arial Unicode MS" w:hAnsi="Verdana" w:cs="Arial"/>
          <w:sz w:val="20"/>
          <w:szCs w:val="20"/>
        </w:rPr>
        <w:t>Escritura de Emissão, os Contratos de Garantia, o Contrato de Compartilhamento de Garantias, a AGE da Emissora e os Atos Societários das SPEs.</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43" w:name="_DV_M672"/>
      <w:bookmarkStart w:id="444" w:name="_DV_M674"/>
      <w:bookmarkEnd w:id="443"/>
      <w:bookmarkEnd w:id="444"/>
      <w:r>
        <w:rPr>
          <w:rFonts w:ascii="Verdana" w:eastAsia="Arial Unicode MS" w:hAnsi="Verdana" w:cs="Arial"/>
          <w:b/>
          <w:sz w:val="20"/>
          <w:szCs w:val="20"/>
        </w:rPr>
        <w:t>10.7.</w:t>
      </w:r>
      <w:r>
        <w:rPr>
          <w:rFonts w:ascii="Verdana" w:eastAsia="Arial Unicode MS" w:hAnsi="Verdana" w:cs="Arial"/>
          <w:b/>
          <w:sz w:val="20"/>
          <w:szCs w:val="20"/>
        </w:rPr>
        <w:tab/>
        <w:t>Lei Aplicável</w:t>
      </w:r>
    </w:p>
    <w:p>
      <w:pPr>
        <w:tabs>
          <w:tab w:val="left" w:pos="2833"/>
        </w:tabs>
        <w:spacing w:line="320" w:lineRule="exact"/>
        <w:contextualSpacing/>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445" w:name="_DV_M675"/>
      <w:bookmarkEnd w:id="445"/>
      <w:r>
        <w:rPr>
          <w:rFonts w:ascii="Verdana" w:eastAsia="Arial Unicode MS" w:hAnsi="Verdana" w:cs="Arial"/>
          <w:sz w:val="20"/>
          <w:szCs w:val="20"/>
        </w:rPr>
        <w:t>10.7.1. Esta Escritura de Emissão é regida pelas Leis da República Federativa do Brasil.</w:t>
      </w:r>
    </w:p>
    <w:p>
      <w:pPr>
        <w:autoSpaceDE/>
        <w:autoSpaceDN/>
        <w:adjustRightInd/>
        <w:spacing w:line="320" w:lineRule="exact"/>
        <w:rPr>
          <w:rFonts w:ascii="Verdana" w:eastAsia="Arial Unicode MS" w:hAnsi="Verdana" w:cs="Arial"/>
          <w:b/>
          <w:sz w:val="20"/>
          <w:szCs w:val="20"/>
        </w:rPr>
      </w:pPr>
      <w:bookmarkStart w:id="446" w:name="_DV_M676"/>
      <w:bookmarkStart w:id="447" w:name="_DV_M681"/>
      <w:bookmarkEnd w:id="446"/>
      <w:bookmarkEnd w:id="447"/>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48" w:name="_DV_M682"/>
      <w:bookmarkEnd w:id="448"/>
      <w:r>
        <w:rPr>
          <w:rFonts w:ascii="Verdana" w:eastAsia="Arial Unicode MS" w:hAnsi="Verdana" w:cs="Arial"/>
          <w:sz w:val="20"/>
          <w:szCs w:val="20"/>
        </w:rPr>
        <w:t xml:space="preserve">10.8.1. Fica eleito o </w:t>
      </w:r>
      <w:r>
        <w:rPr>
          <w:rFonts w:ascii="Verdana" w:eastAsia="Arial Unicode MS" w:hAnsi="Verdana" w:cs="Arial"/>
          <w:color w:val="000000" w:themeColor="text1"/>
          <w:sz w:val="20"/>
          <w:szCs w:val="20"/>
        </w:rPr>
        <w:t>[</w:t>
      </w:r>
      <w:r>
        <w:rPr>
          <w:rFonts w:ascii="Verdana" w:eastAsia="Arial Unicode MS" w:hAnsi="Verdana"/>
          <w:sz w:val="20"/>
          <w:highlight w:val="yellow"/>
        </w:rPr>
        <w:t>foro da Cidade de São Paulo, Estado de São Paulo</w:t>
      </w:r>
      <w:r>
        <w:rPr>
          <w:rFonts w:ascii="Verdana" w:eastAsia="Arial Unicode MS" w:hAnsi="Verdana"/>
          <w:sz w:val="20"/>
        </w:rPr>
        <w:t>]</w:t>
      </w:r>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r>
        <w:rPr>
          <w:rFonts w:ascii="Verdana" w:eastAsia="Arial Unicode MS" w:hAnsi="Verdana" w:cs="Arial"/>
          <w:sz w:val="20"/>
          <w:szCs w:val="20"/>
          <w:highlight w:val="yellow"/>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companhia, avaliando considerando as comarcas de sua sede e do local dos bens dados em garantia</w:t>
      </w:r>
      <w:r>
        <w:rPr>
          <w:rFonts w:ascii="Verdana" w:eastAsia="Arial Unicode MS" w:hAnsi="Verdana" w:cs="Arial"/>
          <w:sz w:val="20"/>
          <w:szCs w:val="20"/>
          <w:highlight w:val="yellow"/>
        </w:rPr>
        <w:t>]</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both"/>
        <w:rPr>
          <w:rFonts w:ascii="Verdana" w:eastAsia="Arial Unicode MS" w:hAnsi="Verdana" w:cs="Arial"/>
          <w:sz w:val="20"/>
          <w:szCs w:val="20"/>
        </w:rPr>
      </w:pPr>
      <w:bookmarkStart w:id="449" w:name="_DV_M683"/>
      <w:bookmarkEnd w:id="449"/>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center"/>
        <w:rPr>
          <w:rFonts w:ascii="Verdana" w:eastAsia="Arial Unicode MS" w:hAnsi="Verdana" w:cs="Arial"/>
          <w:sz w:val="20"/>
          <w:szCs w:val="20"/>
        </w:rPr>
      </w:pPr>
      <w:bookmarkStart w:id="450" w:name="_DV_M684"/>
      <w:bookmarkEnd w:id="450"/>
      <w:r>
        <w:rPr>
          <w:rFonts w:ascii="Verdana" w:eastAsia="Arial Unicode MS" w:hAnsi="Verdana" w:cs="Arial"/>
          <w:sz w:val="20"/>
          <w:szCs w:val="20"/>
        </w:rPr>
        <w:t xml:space="preserve">Belo Horizonte, </w:t>
      </w:r>
      <w:bookmarkStart w:id="451" w:name="_DV_M685"/>
      <w:bookmarkStart w:id="452" w:name="_DV_M686"/>
      <w:bookmarkEnd w:id="451"/>
      <w:bookmarkEnd w:id="452"/>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spacing w:line="320" w:lineRule="exact"/>
        <w:contextualSpacing/>
        <w:jc w:val="both"/>
        <w:rPr>
          <w:rFonts w:ascii="Verdana" w:eastAsia="Arial Unicode MS" w:hAnsi="Verdana" w:cs="Arial"/>
          <w:i/>
          <w:sz w:val="20"/>
          <w:szCs w:val="20"/>
        </w:rPr>
      </w:pPr>
      <w:bookmarkStart w:id="453" w:name="_DV_M687"/>
      <w:bookmarkStart w:id="454" w:name="_DV_M688"/>
      <w:bookmarkEnd w:id="453"/>
      <w:bookmarkEnd w:id="454"/>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i/>
                <w:iCs/>
                <w:color w:val="auto"/>
                <w:sz w:val="20"/>
                <w:szCs w:val="20"/>
              </w:rPr>
            </w:pPr>
          </w:p>
          <w:p>
            <w:pPr>
              <w:pStyle w:val="Default"/>
              <w:spacing w:line="276" w:lineRule="auto"/>
              <w:rPr>
                <w:rFonts w:cs="Tahoma"/>
                <w:i/>
                <w:iCs/>
                <w:color w:val="auto"/>
                <w:sz w:val="20"/>
                <w:szCs w:val="20"/>
              </w:rPr>
            </w:pPr>
          </w:p>
          <w:p>
            <w:pPr>
              <w:pStyle w:val="Default"/>
              <w:spacing w:line="276" w:lineRule="auto"/>
              <w:rPr>
                <w:rFonts w:cs="Tahoma"/>
                <w:b/>
                <w:bCs/>
                <w:color w:val="auto"/>
                <w:sz w:val="20"/>
                <w:szCs w:val="20"/>
              </w:rPr>
            </w:pPr>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p>
            <w:pPr>
              <w:pStyle w:val="Default"/>
              <w:spacing w:line="276" w:lineRule="auto"/>
              <w:rPr>
                <w:rFonts w:cs="Tahoma"/>
                <w:color w:val="auto"/>
                <w:sz w:val="20"/>
                <w:szCs w:val="20"/>
              </w:rPr>
            </w:pPr>
          </w:p>
        </w:tc>
      </w:tr>
    </w:tbl>
    <w:p>
      <w:pPr>
        <w:spacing w:line="340" w:lineRule="exact"/>
        <w:jc w:val="center"/>
        <w:rPr>
          <w:rFonts w:ascii="Verdana" w:hAnsi="Verdana" w:cs="Arial"/>
          <w:b/>
          <w:sz w:val="20"/>
          <w:szCs w:val="20"/>
          <w:u w:val="single"/>
        </w:rPr>
      </w:pPr>
      <w:bookmarkStart w:id="455" w:name="_DV_M689"/>
      <w:bookmarkStart w:id="456" w:name="_DV_M692"/>
      <w:bookmarkStart w:id="457" w:name="_DV_M694"/>
      <w:bookmarkEnd w:id="455"/>
      <w:bookmarkEnd w:id="456"/>
      <w:bookmarkEnd w:id="457"/>
    </w:p>
    <w:p>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pPr>
        <w:spacing w:line="340" w:lineRule="exact"/>
        <w:jc w:val="center"/>
        <w:rPr>
          <w:rFonts w:ascii="Verdana" w:hAnsi="Verdana"/>
          <w:sz w:val="20"/>
          <w:szCs w:val="20"/>
        </w:rPr>
      </w:pPr>
      <w:r>
        <w:rPr>
          <w:rFonts w:ascii="Verdana" w:hAnsi="Verdana" w:cs="Arial"/>
          <w:b/>
          <w:sz w:val="20"/>
          <w:szCs w:val="20"/>
          <w:u w:val="single"/>
        </w:rPr>
        <w:lastRenderedPageBreak/>
        <w:t>Anexo I</w:t>
      </w:r>
    </w:p>
    <w:p>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pPr>
        <w:spacing w:line="320" w:lineRule="exact"/>
        <w:contextualSpacing/>
        <w:jc w:val="center"/>
        <w:rPr>
          <w:rFonts w:ascii="Verdana" w:hAnsi="Verdana"/>
          <w:b/>
          <w:sz w:val="20"/>
          <w:szCs w:val="20"/>
        </w:rPr>
      </w:pPr>
    </w:p>
    <w:p>
      <w:pPr>
        <w:spacing w:line="320" w:lineRule="exact"/>
        <w:contextualSpacing/>
        <w:jc w:val="center"/>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center"/>
        <w:rPr>
          <w:rFonts w:ascii="Verdana" w:hAnsi="Verdana"/>
          <w:b/>
          <w:sz w:val="20"/>
          <w:szCs w:val="20"/>
        </w:rPr>
      </w:pP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r>
        <w:rPr>
          <w:rFonts w:ascii="Verdana" w:hAnsi="Verdana" w:cs="Arial"/>
          <w:b/>
          <w:i/>
          <w:sz w:val="20"/>
          <w:szCs w:val="20"/>
          <w:u w:val="single"/>
        </w:rPr>
        <w:t>Bookbuilding</w:t>
      </w:r>
    </w:p>
    <w:p>
      <w:pPr>
        <w:widowControl w:val="0"/>
        <w:spacing w:line="320" w:lineRule="exact"/>
        <w:contextualSpacing/>
        <w:jc w:val="center"/>
        <w:rPr>
          <w:rFonts w:ascii="Verdana" w:hAnsi="Verdana"/>
          <w:sz w:val="20"/>
          <w:szCs w:val="20"/>
        </w:rPr>
      </w:pP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de capital fechado,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w:t>
      </w:r>
      <w:r>
        <w:rPr>
          <w:rFonts w:ascii="Verdana" w:hAnsi="Verdana" w:cs="Arial"/>
          <w:sz w:val="20"/>
          <w:szCs w:val="20"/>
        </w:rPr>
        <w:lastRenderedPageBreak/>
        <w:t xml:space="preserve">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de capital fechado,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de capital fechado,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xml:space="preserve">”); </w:t>
      </w:r>
    </w:p>
    <w:p>
      <w:pPr>
        <w:pStyle w:val="Corpodetexto"/>
        <w:spacing w:line="320" w:lineRule="exact"/>
        <w:contextualSpacing/>
        <w:jc w:val="both"/>
        <w:rPr>
          <w:rFonts w:ascii="Verdana" w:hAnsi="Verdana" w:cs="Arial"/>
          <w:b/>
          <w:caps/>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pPr>
        <w:widowControl w:val="0"/>
        <w:spacing w:line="320" w:lineRule="exact"/>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com garantia adicional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pPr>
        <w:widowControl w:val="0"/>
        <w:spacing w:line="320" w:lineRule="exact"/>
        <w:ind w:left="720"/>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r>
        <w:rPr>
          <w:rFonts w:ascii="Verdana" w:hAnsi="Verdana"/>
          <w:i/>
          <w:sz w:val="20"/>
          <w:szCs w:val="20"/>
        </w:rPr>
        <w:t>Bookbuilding</w:t>
      </w:r>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w:t>
      </w:r>
      <w:r>
        <w:rPr>
          <w:rFonts w:ascii="Verdana" w:hAnsi="Verdana" w:cs="Arial"/>
          <w:sz w:val="20"/>
          <w:szCs w:val="20"/>
        </w:rPr>
        <w:lastRenderedPageBreak/>
        <w:t>realização de Assembleia Geral de Debenturistas (conforme definido na Escritura de Emissão);</w:t>
      </w:r>
      <w:r>
        <w:rPr>
          <w:rFonts w:ascii="Verdana" w:hAnsi="Verdana"/>
          <w:sz w:val="20"/>
          <w:szCs w:val="20"/>
        </w:rPr>
        <w:t xml:space="preserve"> </w:t>
      </w:r>
    </w:p>
    <w:p>
      <w:pPr>
        <w:widowControl w:val="0"/>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pPr>
        <w:widowControl w:val="0"/>
        <w:spacing w:line="320" w:lineRule="exact"/>
        <w:contextualSpacing/>
        <w:jc w:val="both"/>
        <w:rPr>
          <w:rFonts w:ascii="Verdana" w:hAnsi="Verdana"/>
          <w:sz w:val="20"/>
          <w:szCs w:val="20"/>
          <w:u w:val="single"/>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pPr>
        <w:keepNext/>
        <w:spacing w:line="320" w:lineRule="exact"/>
        <w:contextualSpacing/>
        <w:jc w:val="both"/>
        <w:rPr>
          <w:rFonts w:ascii="Verdana" w:hAnsi="Verdana"/>
          <w:sz w:val="20"/>
          <w:szCs w:val="20"/>
        </w:rPr>
      </w:pPr>
    </w:p>
    <w:p>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r>
        <w:rPr>
          <w:rFonts w:ascii="Verdana" w:hAnsi="Verdana" w:cs="Arial"/>
          <w:i/>
          <w:sz w:val="20"/>
          <w:szCs w:val="20"/>
        </w:rPr>
        <w:t>Bookbuilding</w:t>
      </w:r>
      <w:r>
        <w:rPr>
          <w:rFonts w:ascii="Verdana" w:hAnsi="Verdana" w:cs="Arial"/>
          <w:sz w:val="20"/>
          <w:szCs w:val="20"/>
        </w:rPr>
        <w:t xml:space="preserve">, </w:t>
      </w:r>
      <w:r>
        <w:rPr>
          <w:rFonts w:ascii="Verdana" w:hAnsi="Verdana"/>
          <w:sz w:val="20"/>
          <w:szCs w:val="20"/>
        </w:rPr>
        <w:t>que passam a vigorar com a seguinte redação</w:t>
      </w:r>
    </w:p>
    <w:p>
      <w:pPr>
        <w:widowControl w:val="0"/>
        <w:spacing w:line="320" w:lineRule="exact"/>
        <w:contextualSpacing/>
        <w:jc w:val="both"/>
        <w:rPr>
          <w:rFonts w:ascii="Verdana" w:hAnsi="Verdana"/>
          <w:sz w:val="20"/>
          <w:szCs w:val="20"/>
        </w:rPr>
      </w:pPr>
    </w:p>
    <w:p>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pPr>
        <w:spacing w:line="320" w:lineRule="exact"/>
        <w:ind w:left="709"/>
        <w:contextualSpacing/>
        <w:jc w:val="both"/>
        <w:rPr>
          <w:rStyle w:val="DeltaViewInsertion"/>
          <w:rFonts w:ascii="Verdana" w:hAnsi="Verdana"/>
          <w:i/>
          <w:color w:val="auto"/>
          <w:sz w:val="20"/>
          <w:szCs w:val="20"/>
          <w:u w:val="none"/>
        </w:rPr>
      </w:pPr>
    </w:p>
    <w:p>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pPr>
        <w:spacing w:line="320" w:lineRule="exact"/>
        <w:contextualSpacing/>
        <w:rPr>
          <w:rFonts w:ascii="Verdana" w:hAnsi="Verdana"/>
          <w:i/>
          <w:sz w:val="20"/>
          <w:szCs w:val="20"/>
        </w:rPr>
      </w:pPr>
    </w:p>
    <w:p>
      <w:pPr>
        <w:spacing w:line="320" w:lineRule="exact"/>
        <w:contextualSpacing/>
        <w:rPr>
          <w:rFonts w:ascii="Verdana" w:hAnsi="Verdana"/>
          <w:i/>
          <w:sz w:val="20"/>
          <w:szCs w:val="20"/>
        </w:rPr>
      </w:pPr>
    </w:p>
    <w:p>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pPr>
        <w:spacing w:line="320" w:lineRule="exact"/>
        <w:contextualSpacing/>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 xml:space="preserve">VNa = Valor Nominal Unitário Atualizado calculado com 8 (oito) casas decimais, sem arredondamento; </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lastRenderedPageBreak/>
        <w:t>Fator Juros = fator de juros fixos calculado com 9 (nove) casas decimais, com arredondamento, apurado da seguinte forma:</w:t>
      </w:r>
    </w:p>
    <w:p>
      <w:pPr>
        <w:spacing w:line="320" w:lineRule="exact"/>
        <w:ind w:left="709"/>
        <w:contextualSpacing/>
        <w:jc w:val="both"/>
        <w:rPr>
          <w:rFonts w:ascii="Verdana" w:hAnsi="Verdana" w:cs="Arial"/>
          <w:i/>
          <w:sz w:val="20"/>
          <w:szCs w:val="20"/>
        </w:rPr>
      </w:pPr>
    </w:p>
    <w:p>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pPr>
        <w:widowControl w:val="0"/>
        <w:spacing w:line="320" w:lineRule="exact"/>
        <w:ind w:left="720"/>
        <w:contextualSpacing/>
        <w:jc w:val="both"/>
        <w:rPr>
          <w:rFonts w:ascii="Verdana" w:hAnsi="Verdana"/>
          <w:sz w:val="20"/>
          <w:szCs w:val="20"/>
        </w:rPr>
      </w:pPr>
    </w:p>
    <w:p>
      <w:pPr>
        <w:widowControl w:val="0"/>
        <w:spacing w:line="320" w:lineRule="exact"/>
        <w:contextualSpacing/>
        <w:jc w:val="center"/>
        <w:rPr>
          <w:rFonts w:ascii="Verdana" w:hAnsi="Verdana" w:cs="Arial"/>
          <w:sz w:val="20"/>
          <w:szCs w:val="20"/>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pPr>
        <w:keepNext/>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pPr>
        <w:widowControl w:val="0"/>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pPr>
        <w:widowControl w:val="0"/>
        <w:spacing w:line="320" w:lineRule="exact"/>
        <w:ind w:left="720"/>
        <w:contextualSpacing/>
        <w:jc w:val="both"/>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r>
        <w:rPr>
          <w:rFonts w:ascii="Verdana" w:hAnsi="Verdana" w:cs="Arial"/>
          <w:sz w:val="20"/>
          <w:szCs w:val="20"/>
        </w:rPr>
        <w:tab/>
        <w:t xml:space="preserve">Úteis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pPr>
        <w:pStyle w:val="PargrafodaLista"/>
        <w:spacing w:line="320" w:lineRule="exact"/>
        <w:rPr>
          <w:rFonts w:ascii="Verdana" w:eastAsia="Arial Unicode MS" w:hAnsi="Verdana"/>
          <w:sz w:val="20"/>
          <w:szCs w:val="20"/>
        </w:rPr>
      </w:pPr>
    </w:p>
    <w:p>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pPr>
        <w:pStyle w:val="PargrafodaLista"/>
        <w:spacing w:line="320" w:lineRule="exact"/>
        <w:rPr>
          <w:rFonts w:ascii="Verdana" w:hAnsi="Verdana"/>
          <w:sz w:val="20"/>
          <w:szCs w:val="20"/>
        </w:rPr>
      </w:pPr>
    </w:p>
    <w:p>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lastRenderedPageBreak/>
        <w:t>2.6.</w:t>
      </w:r>
      <w:r>
        <w:rPr>
          <w:rFonts w:ascii="Verdana" w:eastAsia="Arial Unicode MS" w:hAnsi="Verdana" w:cs="Arial"/>
          <w:sz w:val="20"/>
          <w:szCs w:val="20"/>
        </w:rPr>
        <w:tab/>
        <w:t xml:space="preserve">Este Aditamento constitui título executivo extrajudicial, nos termos dos incisos </w:t>
      </w:r>
      <w:r>
        <w:rPr>
          <w:rFonts w:ascii="Verdana" w:eastAsia="Arial Unicode MS" w:hAnsi="Verdana" w:cs="Arial"/>
          <w:sz w:val="20"/>
          <w:szCs w:val="20"/>
        </w:rPr>
        <w:tab/>
        <w:t xml:space="preserve">I e III do artigo 784 do Código de Processo Civil, reconhecendo as Partes </w:t>
      </w:r>
      <w:r>
        <w:rPr>
          <w:rFonts w:ascii="Verdana" w:eastAsia="Arial Unicode MS" w:hAnsi="Verdana" w:cs="Arial"/>
          <w:sz w:val="20"/>
          <w:szCs w:val="20"/>
        </w:rPr>
        <w:tab/>
        <w:t xml:space="preserve">desde já que, independentemente de quaisquer outras medidas cabíveis, as </w:t>
      </w:r>
      <w:r>
        <w:rPr>
          <w:rFonts w:ascii="Verdana" w:eastAsia="Arial Unicode MS" w:hAnsi="Verdana" w:cs="Arial"/>
          <w:sz w:val="20"/>
          <w:szCs w:val="20"/>
        </w:rPr>
        <w:tab/>
        <w:t xml:space="preserve">obrigações assumidas nos termos deste </w:t>
      </w:r>
      <w:r>
        <w:rPr>
          <w:rFonts w:ascii="Verdana" w:eastAsia="Arial Unicode MS" w:hAnsi="Verdana" w:cs="Arial"/>
          <w:sz w:val="20"/>
          <w:szCs w:val="20"/>
        </w:rPr>
        <w:tab/>
        <w:t xml:space="preserve">Aditamento estão sujeitas à </w:t>
      </w:r>
      <w:r>
        <w:rPr>
          <w:rFonts w:ascii="Verdana" w:eastAsia="Arial Unicode MS" w:hAnsi="Verdana" w:cs="Arial"/>
          <w:sz w:val="20"/>
          <w:szCs w:val="20"/>
        </w:rPr>
        <w:tab/>
        <w:t xml:space="preserve">execução específica, submetendo-se às disposições dos artigos 497, 806 e 814 e </w:t>
      </w:r>
      <w:r>
        <w:rPr>
          <w:rFonts w:ascii="Verdana" w:eastAsia="Arial Unicode MS" w:hAnsi="Verdana" w:cs="Arial"/>
          <w:sz w:val="20"/>
          <w:szCs w:val="20"/>
        </w:rPr>
        <w:tab/>
        <w:t>seguintes do Código de Processo Civil.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w:t>
      </w:r>
      <w:r>
        <w:rPr>
          <w:rFonts w:ascii="Verdana" w:eastAsia="Arial Unicode MS" w:hAnsi="Verdana" w:cs="Arial"/>
          <w:sz w:val="20"/>
          <w:szCs w:val="20"/>
          <w:highlight w:val="yellow"/>
        </w:rPr>
        <w:t>[</w:t>
      </w:r>
      <w:r>
        <w:rPr>
          <w:rFonts w:ascii="Verdana" w:eastAsia="Arial Unicode MS" w:hAnsi="Verdana"/>
          <w:sz w:val="20"/>
          <w:highlight w:val="yellow"/>
        </w:rPr>
        <w:t>foro da Cidade de São Paulo, Estado de São Paulo</w:t>
      </w:r>
      <w:r>
        <w:rPr>
          <w:rFonts w:ascii="Verdana" w:eastAsia="Arial Unicode MS" w:hAnsi="Verdana" w:cs="Arial"/>
          <w:sz w:val="20"/>
          <w:szCs w:val="20"/>
        </w:rPr>
        <w:t xml:space="preserve">, para dirimir quaisquer dúvidas ou controvérsias oriundas deste Aditamento, com renúncia a qualquer outro, por mais privilegiado que seja. </w:t>
      </w:r>
      <w:r>
        <w:rPr>
          <w:rFonts w:ascii="Verdana" w:eastAsia="Arial Unicode MS" w:hAnsi="Verdana" w:cs="Arial"/>
          <w:sz w:val="20"/>
          <w:szCs w:val="20"/>
          <w:highlight w:val="yellow"/>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companhia, avaliando considerando as comarcas de sua sede e do local dos bens dados em garantia</w:t>
      </w:r>
      <w:r>
        <w:rPr>
          <w:rFonts w:ascii="Verdana" w:eastAsia="Arial Unicode MS" w:hAnsi="Verdana" w:cs="Arial"/>
          <w:sz w:val="20"/>
          <w:szCs w:val="20"/>
          <w:highlight w:val="yellow"/>
        </w:rPr>
        <w:t>]</w:t>
      </w:r>
    </w:p>
    <w:p>
      <w:pPr>
        <w:widowControl w:val="0"/>
        <w:spacing w:line="320" w:lineRule="exact"/>
        <w:ind w:left="709"/>
        <w:contextualSpacing/>
        <w:jc w:val="both"/>
        <w:rPr>
          <w:rFonts w:ascii="Verdana" w:hAnsi="Verdana"/>
          <w:sz w:val="20"/>
          <w:szCs w:val="20"/>
        </w:rPr>
      </w:pPr>
    </w:p>
    <w:p>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pPr>
        <w:widowControl w:val="0"/>
        <w:spacing w:line="320" w:lineRule="exact"/>
        <w:ind w:left="720"/>
        <w:contextualSpacing/>
        <w:jc w:val="center"/>
        <w:rPr>
          <w:rFonts w:ascii="Verdana" w:eastAsia="Arial Unicode MS" w:hAnsi="Verdana" w:cs="Arial"/>
          <w:sz w:val="20"/>
          <w:szCs w:val="20"/>
        </w:rPr>
      </w:pPr>
    </w:p>
    <w:p>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autoSpaceDE/>
        <w:autoSpaceDN/>
        <w:adjustRightInd/>
        <w:spacing w:line="320" w:lineRule="exact"/>
        <w:rPr>
          <w:rFonts w:ascii="Verdana" w:eastAsia="Arial Unicode MS" w:hAnsi="Verdana" w:cs="Arial"/>
          <w:sz w:val="20"/>
          <w:szCs w:val="20"/>
        </w:rPr>
      </w:pPr>
    </w:p>
    <w:p>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i/>
                <w:iCs/>
                <w:color w:val="auto"/>
                <w:sz w:val="20"/>
                <w:szCs w:val="20"/>
              </w:rPr>
            </w:pPr>
          </w:p>
          <w:p>
            <w:pPr>
              <w:pStyle w:val="Default"/>
              <w:spacing w:line="276" w:lineRule="auto"/>
              <w:rPr>
                <w:rFonts w:cs="Tahoma"/>
                <w:i/>
                <w:iCs/>
                <w:color w:val="auto"/>
                <w:sz w:val="20"/>
                <w:szCs w:val="20"/>
              </w:rPr>
            </w:pPr>
          </w:p>
          <w:p>
            <w:pPr>
              <w:pStyle w:val="Default"/>
              <w:spacing w:line="276" w:lineRule="auto"/>
              <w:rPr>
                <w:rFonts w:cs="Tahoma"/>
                <w:b/>
                <w:bCs/>
                <w:color w:val="auto"/>
                <w:sz w:val="20"/>
                <w:szCs w:val="20"/>
              </w:rPr>
            </w:pPr>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tc>
      </w:tr>
    </w:tbl>
    <w:p>
      <w:pPr>
        <w:spacing w:line="320" w:lineRule="exact"/>
        <w:contextualSpacing/>
        <w:jc w:val="both"/>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both"/>
        <w:rPr>
          <w:rFonts w:ascii="Verdana" w:hAnsi="Verdana" w:cs="Arial"/>
          <w:b/>
          <w:caps/>
          <w:sz w:val="20"/>
          <w:szCs w:val="20"/>
        </w:rPr>
      </w:pPr>
      <w:r>
        <w:rPr>
          <w:rFonts w:ascii="Verdana" w:hAnsi="Verdana"/>
          <w:b/>
          <w:sz w:val="20"/>
          <w:szCs w:val="20"/>
        </w:rPr>
        <w:lastRenderedPageBreak/>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pPr>
        <w:widowControl w:val="0"/>
        <w:spacing w:line="320" w:lineRule="exact"/>
        <w:contextualSpacing/>
        <w:jc w:val="both"/>
        <w:rPr>
          <w:rFonts w:ascii="Verdana" w:hAnsi="Verdana"/>
          <w:b/>
          <w:sz w:val="20"/>
          <w:szCs w:val="20"/>
        </w:rPr>
      </w:pPr>
    </w:p>
    <w:p>
      <w:pPr>
        <w:widowControl w:val="0"/>
        <w:spacing w:line="320" w:lineRule="exact"/>
        <w:contextualSpacing/>
        <w:jc w:val="both"/>
        <w:rPr>
          <w:rFonts w:ascii="Verdana" w:hAnsi="Verdana"/>
          <w:sz w:val="20"/>
          <w:szCs w:val="20"/>
        </w:rPr>
      </w:pPr>
    </w:p>
    <w:p>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pPr>
        <w:widowControl w:val="0"/>
        <w:spacing w:line="320" w:lineRule="exact"/>
        <w:contextualSpacing/>
        <w:jc w:val="both"/>
        <w:rPr>
          <w:rFonts w:ascii="Verdana" w:hAnsi="Verdana"/>
          <w:sz w:val="20"/>
          <w:szCs w:val="20"/>
        </w:rPr>
      </w:pPr>
    </w:p>
    <w:p>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pPr>
        <w:pStyle w:val="numeroON"/>
        <w:autoSpaceDE/>
        <w:autoSpaceDN/>
        <w:adjustRightInd/>
        <w:spacing w:before="0" w:after="0" w:line="320" w:lineRule="exact"/>
        <w:rPr>
          <w:rFonts w:ascii="Verdana" w:hAnsi="Verdana" w:cs="Arial"/>
          <w:sz w:val="20"/>
        </w:rPr>
      </w:pPr>
    </w:p>
    <w:sectPr>
      <w:headerReference w:type="default" r:id="rId15"/>
      <w:footerReference w:type="default" r:id="rId16"/>
      <w:footerReference w:type="first" r:id="rId17"/>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Verdana" w:hAnsi="Verdana"/>
        <w:sz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1</w:t>
    </w:r>
    <w:r>
      <w:rPr>
        <w:rFonts w:ascii="Verdana" w:hAnsi="Verdana"/>
        <w:sz w:val="20"/>
      </w:rPr>
      <w:fldChar w:fldCharType="end"/>
    </w:r>
  </w:p>
  <w:p>
    <w:pPr>
      <w:pStyle w:val="Rodap"/>
      <w:jc w:val="left"/>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lang w:val="en-US"/>
      </w:rPr>
    </w:pPr>
    <w:r>
      <w:rPr>
        <w:rFonts w:ascii="Verdana" w:hAnsi="Verdana"/>
        <w:b/>
        <w:sz w:val="20"/>
        <w:lang w:val="en-US"/>
      </w:rPr>
      <w:t>M I N U T A</w:t>
    </w:r>
  </w:p>
  <w:p>
    <w:pPr>
      <w:pStyle w:val="Cabealho"/>
      <w:jc w:val="right"/>
      <w:rPr>
        <w:rFonts w:ascii="Verdana" w:hAnsi="Verdana"/>
        <w:sz w:val="20"/>
        <w:lang w:val="en-US"/>
      </w:rPr>
    </w:pPr>
    <w:r>
      <w:rPr>
        <w:rFonts w:ascii="Verdana" w:hAnsi="Verdana"/>
        <w:sz w:val="20"/>
        <w:lang w:val="en-US"/>
      </w:rPr>
      <w:t>(30.4.2019)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3CFABEA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2"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4"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52E6052"/>
    <w:multiLevelType w:val="multilevel"/>
    <w:tmpl w:val="E1364F7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1"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2"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3B126591"/>
    <w:multiLevelType w:val="hybridMultilevel"/>
    <w:tmpl w:val="E878CE34"/>
    <w:lvl w:ilvl="0" w:tplc="4FA4BAA4">
      <w:start w:val="1"/>
      <w:numFmt w:val="decimal"/>
      <w:lvlText w:val="3.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1"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8"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1"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0"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4"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5"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7"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0"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1"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6"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9"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0"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2"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3"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5"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39"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0"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2"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4"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8"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1"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3"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0"/>
  </w:num>
  <w:num w:numId="13">
    <w:abstractNumId w:val="124"/>
  </w:num>
  <w:num w:numId="14">
    <w:abstractNumId w:val="138"/>
  </w:num>
  <w:num w:numId="15">
    <w:abstractNumId w:val="113"/>
  </w:num>
  <w:num w:numId="16">
    <w:abstractNumId w:val="100"/>
  </w:num>
  <w:num w:numId="17">
    <w:abstractNumId w:val="133"/>
  </w:num>
  <w:num w:numId="18">
    <w:abstractNumId w:val="146"/>
  </w:num>
  <w:num w:numId="19">
    <w:abstractNumId w:val="145"/>
  </w:num>
  <w:num w:numId="20">
    <w:abstractNumId w:val="44"/>
  </w:num>
  <w:num w:numId="21">
    <w:abstractNumId w:val="106"/>
  </w:num>
  <w:num w:numId="22">
    <w:abstractNumId w:val="115"/>
  </w:num>
  <w:num w:numId="23">
    <w:abstractNumId w:val="116"/>
  </w:num>
  <w:num w:numId="24">
    <w:abstractNumId w:val="24"/>
  </w:num>
  <w:num w:numId="25">
    <w:abstractNumId w:val="26"/>
  </w:num>
  <w:num w:numId="26">
    <w:abstractNumId w:val="76"/>
  </w:num>
  <w:num w:numId="27">
    <w:abstractNumId w:val="32"/>
  </w:num>
  <w:num w:numId="28">
    <w:abstractNumId w:val="87"/>
  </w:num>
  <w:num w:numId="29">
    <w:abstractNumId w:val="77"/>
  </w:num>
  <w:num w:numId="30">
    <w:abstractNumId w:val="97"/>
  </w:num>
  <w:num w:numId="31">
    <w:abstractNumId w:val="110"/>
  </w:num>
  <w:num w:numId="32">
    <w:abstractNumId w:val="119"/>
  </w:num>
  <w:num w:numId="33">
    <w:abstractNumId w:val="42"/>
  </w:num>
  <w:num w:numId="34">
    <w:abstractNumId w:val="29"/>
  </w:num>
  <w:num w:numId="35">
    <w:abstractNumId w:val="108"/>
  </w:num>
  <w:num w:numId="36">
    <w:abstractNumId w:val="74"/>
  </w:num>
  <w:num w:numId="37">
    <w:abstractNumId w:val="151"/>
  </w:num>
  <w:num w:numId="38">
    <w:abstractNumId w:val="122"/>
  </w:num>
  <w:num w:numId="39">
    <w:abstractNumId w:val="136"/>
  </w:num>
  <w:num w:numId="40">
    <w:abstractNumId w:val="135"/>
  </w:num>
  <w:num w:numId="41">
    <w:abstractNumId w:val="46"/>
  </w:num>
  <w:num w:numId="42">
    <w:abstractNumId w:val="47"/>
  </w:num>
  <w:num w:numId="43">
    <w:abstractNumId w:val="89"/>
  </w:num>
  <w:num w:numId="44">
    <w:abstractNumId w:val="79"/>
  </w:num>
  <w:num w:numId="45">
    <w:abstractNumId w:val="25"/>
  </w:num>
  <w:num w:numId="46">
    <w:abstractNumId w:val="68"/>
  </w:num>
  <w:num w:numId="47">
    <w:abstractNumId w:val="95"/>
  </w:num>
  <w:num w:numId="48">
    <w:abstractNumId w:val="54"/>
  </w:num>
  <w:num w:numId="49">
    <w:abstractNumId w:val="121"/>
  </w:num>
  <w:num w:numId="50">
    <w:abstractNumId w:val="152"/>
  </w:num>
  <w:num w:numId="51">
    <w:abstractNumId w:val="28"/>
  </w:num>
  <w:num w:numId="52">
    <w:abstractNumId w:val="62"/>
  </w:num>
  <w:num w:numId="53">
    <w:abstractNumId w:val="58"/>
  </w:num>
  <w:num w:numId="54">
    <w:abstractNumId w:val="112"/>
  </w:num>
  <w:num w:numId="55">
    <w:abstractNumId w:val="153"/>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6"/>
  </w:num>
  <w:num w:numId="66">
    <w:abstractNumId w:val="125"/>
  </w:num>
  <w:num w:numId="67">
    <w:abstractNumId w:val="130"/>
  </w:num>
  <w:num w:numId="68">
    <w:abstractNumId w:val="101"/>
  </w:num>
  <w:num w:numId="69">
    <w:abstractNumId w:val="123"/>
  </w:num>
  <w:num w:numId="70">
    <w:abstractNumId w:val="102"/>
  </w:num>
  <w:num w:numId="71">
    <w:abstractNumId w:val="105"/>
  </w:num>
  <w:num w:numId="72">
    <w:abstractNumId w:val="129"/>
  </w:num>
  <w:num w:numId="73">
    <w:abstractNumId w:val="65"/>
  </w:num>
  <w:num w:numId="74">
    <w:abstractNumId w:val="63"/>
  </w:num>
  <w:num w:numId="75">
    <w:abstractNumId w:val="59"/>
  </w:num>
  <w:num w:numId="76">
    <w:abstractNumId w:val="8"/>
  </w:num>
  <w:num w:numId="77">
    <w:abstractNumId w:val="139"/>
  </w:num>
  <w:num w:numId="78">
    <w:abstractNumId w:val="86"/>
  </w:num>
  <w:num w:numId="79">
    <w:abstractNumId w:val="94"/>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61"/>
  </w:num>
  <w:num w:numId="83">
    <w:abstractNumId w:val="91"/>
  </w:num>
  <w:num w:numId="84">
    <w:abstractNumId w:val="134"/>
  </w:num>
  <w:num w:numId="85">
    <w:abstractNumId w:val="114"/>
  </w:num>
  <w:num w:numId="86">
    <w:abstractNumId w:val="81"/>
  </w:num>
  <w:num w:numId="87">
    <w:abstractNumId w:val="30"/>
  </w:num>
  <w:num w:numId="88">
    <w:abstractNumId w:val="104"/>
  </w:num>
  <w:num w:numId="89">
    <w:abstractNumId w:val="126"/>
  </w:num>
  <w:num w:numId="90">
    <w:abstractNumId w:val="34"/>
  </w:num>
  <w:num w:numId="91">
    <w:abstractNumId w:val="85"/>
  </w:num>
  <w:num w:numId="92">
    <w:abstractNumId w:val="75"/>
  </w:num>
  <w:num w:numId="93">
    <w:abstractNumId w:val="148"/>
  </w:num>
  <w:num w:numId="94">
    <w:abstractNumId w:val="57"/>
  </w:num>
  <w:num w:numId="95">
    <w:abstractNumId w:val="144"/>
  </w:num>
  <w:num w:numId="96">
    <w:abstractNumId w:val="38"/>
  </w:num>
  <w:num w:numId="97">
    <w:abstractNumId w:val="43"/>
  </w:num>
  <w:num w:numId="98">
    <w:abstractNumId w:val="141"/>
  </w:num>
  <w:num w:numId="99">
    <w:abstractNumId w:val="132"/>
  </w:num>
  <w:num w:numId="100">
    <w:abstractNumId w:val="140"/>
  </w:num>
  <w:num w:numId="101">
    <w:abstractNumId w:val="55"/>
  </w:num>
  <w:num w:numId="102">
    <w:abstractNumId w:val="117"/>
  </w:num>
  <w:num w:numId="103">
    <w:abstractNumId w:val="41"/>
  </w:num>
  <w:num w:numId="104">
    <w:abstractNumId w:val="107"/>
  </w:num>
  <w:num w:numId="105">
    <w:abstractNumId w:val="21"/>
  </w:num>
  <w:num w:numId="106">
    <w:abstractNumId w:val="27"/>
  </w:num>
  <w:num w:numId="107">
    <w:abstractNumId w:val="143"/>
  </w:num>
  <w:num w:numId="108">
    <w:abstractNumId w:val="150"/>
  </w:num>
  <w:num w:numId="109">
    <w:abstractNumId w:val="84"/>
  </w:num>
  <w:num w:numId="110">
    <w:abstractNumId w:val="66"/>
  </w:num>
  <w:num w:numId="111">
    <w:abstractNumId w:val="118"/>
  </w:num>
  <w:num w:numId="112">
    <w:abstractNumId w:val="70"/>
  </w:num>
  <w:num w:numId="113">
    <w:abstractNumId w:val="72"/>
  </w:num>
  <w:num w:numId="114">
    <w:abstractNumId w:val="98"/>
  </w:num>
  <w:num w:numId="115">
    <w:abstractNumId w:val="67"/>
  </w:num>
  <w:num w:numId="116">
    <w:abstractNumId w:val="92"/>
  </w:num>
  <w:num w:numId="117">
    <w:abstractNumId w:val="142"/>
  </w:num>
  <w:num w:numId="118">
    <w:abstractNumId w:val="93"/>
  </w:num>
  <w:num w:numId="119">
    <w:abstractNumId w:val="96"/>
  </w:num>
  <w:num w:numId="120">
    <w:abstractNumId w:val="39"/>
  </w:num>
  <w:num w:numId="121">
    <w:abstractNumId w:val="103"/>
  </w:num>
  <w:num w:numId="122">
    <w:abstractNumId w:val="111"/>
  </w:num>
  <w:num w:numId="123">
    <w:abstractNumId w:val="20"/>
  </w:num>
  <w:num w:numId="124">
    <w:abstractNumId w:val="37"/>
  </w:num>
  <w:num w:numId="125">
    <w:abstractNumId w:val="128"/>
  </w:num>
  <w:num w:numId="126">
    <w:abstractNumId w:val="35"/>
  </w:num>
  <w:num w:numId="127">
    <w:abstractNumId w:val="88"/>
  </w:num>
  <w:num w:numId="128">
    <w:abstractNumId w:val="149"/>
  </w:num>
  <w:num w:numId="129">
    <w:abstractNumId w:val="52"/>
  </w:num>
  <w:num w:numId="130">
    <w:abstractNumId w:val="78"/>
  </w:num>
  <w:num w:numId="131">
    <w:abstractNumId w:val="99"/>
  </w:num>
  <w:num w:numId="132">
    <w:abstractNumId w:val="137"/>
  </w:num>
  <w:num w:numId="133">
    <w:abstractNumId w:val="49"/>
  </w:num>
  <w:num w:numId="134">
    <w:abstractNumId w:val="23"/>
  </w:num>
  <w:num w:numId="135">
    <w:abstractNumId w:val="36"/>
  </w:num>
  <w:num w:numId="136">
    <w:abstractNumId w:val="53"/>
  </w:num>
  <w:num w:numId="137">
    <w:abstractNumId w:val="83"/>
  </w:num>
  <w:num w:numId="138">
    <w:abstractNumId w:val="48"/>
  </w:num>
  <w:num w:numId="139">
    <w:abstractNumId w:val="51"/>
  </w:num>
  <w:num w:numId="140">
    <w:abstractNumId w:val="64"/>
  </w:num>
  <w:num w:numId="141">
    <w:abstractNumId w:val="18"/>
  </w:num>
  <w:num w:numId="142">
    <w:abstractNumId w:val="33"/>
  </w:num>
  <w:num w:numId="143">
    <w:abstractNumId w:val="90"/>
  </w:num>
  <w:num w:numId="144">
    <w:abstractNumId w:val="127"/>
  </w:num>
  <w:num w:numId="145">
    <w:abstractNumId w:val="60"/>
  </w:num>
  <w:num w:numId="146">
    <w:abstractNumId w:val="120"/>
  </w:num>
  <w:num w:numId="147">
    <w:abstractNumId w:val="31"/>
  </w:num>
  <w:num w:numId="148">
    <w:abstractNumId w:val="147"/>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num>
  <w:num w:numId="151">
    <w:abstractNumId w:val="19"/>
  </w:num>
  <w:num w:numId="152">
    <w:abstractNumId w:val="82"/>
  </w:num>
  <w:num w:numId="153">
    <w:abstractNumId w:val="109"/>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9"/>
  </w:num>
  <w:num w:numId="1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99"/>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duciario@simplificpavarini.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bim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lores.mobiliarios@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 J U R _ S P ! 3 3 1 7 1 2 6 6 . 2 < / d o c u m e n t i d >  
     < s e n d e r i d > M S P < / s e n d e r i d >  
     < s e n d e r e m a i l > M P R O E N C A @ P N . C O M . B R < / s e n d e r e m a i l >  
     < l a s t m o d i f i e d > 2 0 1 9 - 0 4 - 1 6 T 1 6 : 4 5 : 0 0 . 0 0 0 0 0 0 0 - 0 3 : 0 0 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04AA-EF9B-47CE-9974-C310CE4D50EC}">
  <ds:schemaRefs>
    <ds:schemaRef ds:uri="http://www.imanage.com/work/xmlschema"/>
  </ds:schemaRefs>
</ds:datastoreItem>
</file>

<file path=customXml/itemProps2.xml><?xml version="1.0" encoding="utf-8"?>
<ds:datastoreItem xmlns:ds="http://schemas.openxmlformats.org/officeDocument/2006/customXml" ds:itemID="{B36702CA-C1BF-4F5B-9BBE-313B9CB62BED}">
  <ds:schemaRefs>
    <ds:schemaRef ds:uri="http://schemas.openxmlformats.org/officeDocument/2006/bibliography"/>
  </ds:schemaRefs>
</ds:datastoreItem>
</file>

<file path=customXml/itemProps3.xml><?xml version="1.0" encoding="utf-8"?>
<ds:datastoreItem xmlns:ds="http://schemas.openxmlformats.org/officeDocument/2006/customXml" ds:itemID="{5C32D704-F480-4954-A635-DCB8644D5EFF}">
  <ds:schemaRefs>
    <ds:schemaRef ds:uri="http://schemas.openxmlformats.org/officeDocument/2006/bibliography"/>
  </ds:schemaRefs>
</ds:datastoreItem>
</file>

<file path=customXml/itemProps4.xml><?xml version="1.0" encoding="utf-8"?>
<ds:datastoreItem xmlns:ds="http://schemas.openxmlformats.org/officeDocument/2006/customXml" ds:itemID="{A45D655B-6B1C-48BE-B17D-090959B1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72</Pages>
  <Words>24113</Words>
  <Characters>137450</Characters>
  <Application>Microsoft Office Word</Application>
  <DocSecurity>0</DocSecurity>
  <Lines>2988</Lines>
  <Paragraphs>727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160836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Pinheiro Neto Advogados</cp:lastModifiedBy>
  <cp:revision>3</cp:revision>
  <cp:lastPrinted>2019-04-16T12:33:00Z</cp:lastPrinted>
  <dcterms:created xsi:type="dcterms:W3CDTF">2019-04-30T19:58:00Z</dcterms:created>
  <dcterms:modified xsi:type="dcterms:W3CDTF">2019-04-30T21:46:00Z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- 33171266v3 - 12374002.441591</vt:lpwstr>
  </property>
</Properties>
</file>