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754BB" w14:textId="41C42E09" w:rsidR="00D63074" w:rsidRPr="00DF4D37" w:rsidRDefault="003F4BCF" w:rsidP="006441DB">
      <w:pPr>
        <w:spacing w:line="260" w:lineRule="exact"/>
        <w:jc w:val="center"/>
        <w:rPr>
          <w:b/>
          <w:sz w:val="22"/>
          <w:szCs w:val="22"/>
        </w:rPr>
      </w:pPr>
      <w:r w:rsidRPr="00DF4D37">
        <w:rPr>
          <w:b/>
          <w:smallCaps/>
          <w:sz w:val="22"/>
          <w:szCs w:val="22"/>
        </w:rPr>
        <w:t>ALIANÇA GERAÇÃO DE ENERGIA S.A.</w:t>
      </w:r>
    </w:p>
    <w:p w14:paraId="299A6F03" w14:textId="77777777" w:rsidR="00816218" w:rsidRPr="00DF4D37" w:rsidRDefault="003F4BCF" w:rsidP="006441DB">
      <w:pPr>
        <w:spacing w:line="260" w:lineRule="exact"/>
        <w:jc w:val="center"/>
        <w:rPr>
          <w:b/>
          <w:sz w:val="22"/>
          <w:szCs w:val="22"/>
        </w:rPr>
      </w:pPr>
      <w:r w:rsidRPr="00DF4D37">
        <w:rPr>
          <w:b/>
          <w:sz w:val="22"/>
          <w:szCs w:val="22"/>
        </w:rPr>
        <w:t>CNPJ/MF N.º 12.009.135/0001-05</w:t>
      </w:r>
    </w:p>
    <w:p w14:paraId="24A1A134" w14:textId="77777777" w:rsidR="00D63074" w:rsidRPr="00DF4D37" w:rsidRDefault="003F4BCF" w:rsidP="006441DB">
      <w:pPr>
        <w:spacing w:line="260" w:lineRule="exact"/>
        <w:jc w:val="center"/>
        <w:rPr>
          <w:b/>
          <w:bCs/>
          <w:sz w:val="22"/>
          <w:szCs w:val="22"/>
        </w:rPr>
      </w:pPr>
      <w:r w:rsidRPr="00DF4D37">
        <w:rPr>
          <w:b/>
          <w:sz w:val="22"/>
          <w:szCs w:val="22"/>
        </w:rPr>
        <w:t>NIRE 313</w:t>
      </w:r>
      <w:r w:rsidR="00C1296E" w:rsidRPr="00DF4D37">
        <w:rPr>
          <w:b/>
          <w:sz w:val="22"/>
          <w:szCs w:val="22"/>
        </w:rPr>
        <w:t>.</w:t>
      </w:r>
      <w:r w:rsidRPr="00DF4D37">
        <w:rPr>
          <w:b/>
          <w:sz w:val="22"/>
          <w:szCs w:val="22"/>
        </w:rPr>
        <w:t>001</w:t>
      </w:r>
      <w:r w:rsidR="00C1296E" w:rsidRPr="00DF4D37">
        <w:rPr>
          <w:b/>
          <w:sz w:val="22"/>
          <w:szCs w:val="22"/>
        </w:rPr>
        <w:t>.</w:t>
      </w:r>
      <w:r w:rsidRPr="00DF4D37">
        <w:rPr>
          <w:b/>
          <w:sz w:val="22"/>
          <w:szCs w:val="22"/>
        </w:rPr>
        <w:t>0607</w:t>
      </w:r>
      <w:r w:rsidR="00BE276B" w:rsidRPr="00DF4D37">
        <w:rPr>
          <w:b/>
          <w:sz w:val="22"/>
          <w:szCs w:val="22"/>
        </w:rPr>
        <w:t>-</w:t>
      </w:r>
      <w:r w:rsidRPr="00DF4D37">
        <w:rPr>
          <w:b/>
          <w:sz w:val="22"/>
          <w:szCs w:val="22"/>
        </w:rPr>
        <w:t>1</w:t>
      </w:r>
    </w:p>
    <w:p w14:paraId="370CDCE2" w14:textId="77777777" w:rsidR="00FF3E6F" w:rsidRPr="00DF4D37" w:rsidRDefault="00FF3E6F" w:rsidP="006441DB">
      <w:pPr>
        <w:tabs>
          <w:tab w:val="left" w:pos="5492"/>
        </w:tabs>
        <w:spacing w:line="260" w:lineRule="exact"/>
        <w:rPr>
          <w:b/>
          <w:sz w:val="22"/>
          <w:szCs w:val="22"/>
        </w:rPr>
      </w:pPr>
    </w:p>
    <w:p w14:paraId="03829EB3" w14:textId="77777777" w:rsidR="00D718BF" w:rsidRPr="00DF4D37" w:rsidRDefault="00D718BF" w:rsidP="006441DB">
      <w:pPr>
        <w:spacing w:line="260" w:lineRule="exact"/>
        <w:jc w:val="center"/>
        <w:rPr>
          <w:b/>
          <w:sz w:val="22"/>
          <w:szCs w:val="22"/>
        </w:rPr>
      </w:pPr>
      <w:r w:rsidRPr="00DF4D37">
        <w:rPr>
          <w:b/>
          <w:sz w:val="22"/>
          <w:szCs w:val="22"/>
        </w:rPr>
        <w:t>ATA D</w:t>
      </w:r>
      <w:r w:rsidR="00376BA1" w:rsidRPr="00DF4D37">
        <w:rPr>
          <w:b/>
          <w:sz w:val="22"/>
          <w:szCs w:val="22"/>
        </w:rPr>
        <w:t>A</w:t>
      </w:r>
      <w:r w:rsidRPr="00DF4D37">
        <w:rPr>
          <w:b/>
          <w:sz w:val="22"/>
          <w:szCs w:val="22"/>
        </w:rPr>
        <w:t xml:space="preserve"> ASSEMBLEIA GERAL EXTRAORDINÁRIA </w:t>
      </w:r>
    </w:p>
    <w:p w14:paraId="450EEF47" w14:textId="369D72B8" w:rsidR="006746C6" w:rsidRPr="00582AFB" w:rsidRDefault="00D718BF" w:rsidP="006441DB">
      <w:pPr>
        <w:spacing w:line="260" w:lineRule="exact"/>
        <w:jc w:val="center"/>
        <w:rPr>
          <w:b/>
          <w:sz w:val="22"/>
          <w:szCs w:val="22"/>
        </w:rPr>
      </w:pPr>
      <w:r w:rsidRPr="00DF4D37">
        <w:rPr>
          <w:b/>
          <w:sz w:val="22"/>
          <w:szCs w:val="22"/>
        </w:rPr>
        <w:t xml:space="preserve">REALIZADA </w:t>
      </w:r>
      <w:r w:rsidR="006746C6" w:rsidRPr="003D6239">
        <w:rPr>
          <w:b/>
          <w:sz w:val="22"/>
          <w:szCs w:val="22"/>
        </w:rPr>
        <w:t>EM</w:t>
      </w:r>
      <w:r w:rsidRPr="003D6239">
        <w:rPr>
          <w:b/>
          <w:sz w:val="22"/>
          <w:szCs w:val="22"/>
        </w:rPr>
        <w:t xml:space="preserve"> </w:t>
      </w:r>
      <w:r w:rsidR="00E34C88" w:rsidRPr="00E34C88">
        <w:rPr>
          <w:b/>
          <w:sz w:val="22"/>
          <w:szCs w:val="22"/>
          <w:highlight w:val="yellow"/>
        </w:rPr>
        <w:t>[●]</w:t>
      </w:r>
      <w:r w:rsidR="006441DB">
        <w:rPr>
          <w:b/>
          <w:sz w:val="22"/>
          <w:szCs w:val="22"/>
        </w:rPr>
        <w:t xml:space="preserve"> </w:t>
      </w:r>
      <w:r w:rsidRPr="003D6239">
        <w:rPr>
          <w:b/>
          <w:sz w:val="22"/>
          <w:szCs w:val="22"/>
        </w:rPr>
        <w:t xml:space="preserve">DE </w:t>
      </w:r>
      <w:r w:rsidR="00E34C88" w:rsidRPr="00E34C88">
        <w:rPr>
          <w:b/>
          <w:sz w:val="22"/>
          <w:szCs w:val="22"/>
          <w:highlight w:val="yellow"/>
        </w:rPr>
        <w:t>[●]</w:t>
      </w:r>
      <w:r w:rsidR="00DD5058" w:rsidRPr="003D6239">
        <w:rPr>
          <w:b/>
          <w:sz w:val="22"/>
          <w:szCs w:val="22"/>
        </w:rPr>
        <w:t xml:space="preserve"> </w:t>
      </w:r>
      <w:r w:rsidRPr="003D6239">
        <w:rPr>
          <w:b/>
          <w:sz w:val="22"/>
          <w:szCs w:val="22"/>
        </w:rPr>
        <w:t>DE</w:t>
      </w:r>
      <w:r w:rsidRPr="00DF4D37">
        <w:rPr>
          <w:b/>
          <w:sz w:val="22"/>
          <w:szCs w:val="22"/>
        </w:rPr>
        <w:t xml:space="preserve"> </w:t>
      </w:r>
      <w:r w:rsidR="00731B1E">
        <w:rPr>
          <w:b/>
          <w:sz w:val="22"/>
          <w:szCs w:val="22"/>
        </w:rPr>
        <w:t>2019</w:t>
      </w:r>
    </w:p>
    <w:p w14:paraId="68FE3DBF" w14:textId="77777777" w:rsidR="00347389" w:rsidRPr="00B92794" w:rsidRDefault="00347389" w:rsidP="006441DB">
      <w:pPr>
        <w:spacing w:line="260" w:lineRule="exact"/>
        <w:jc w:val="center"/>
        <w:rPr>
          <w:b/>
          <w:sz w:val="22"/>
          <w:szCs w:val="22"/>
        </w:rPr>
      </w:pPr>
      <w:r w:rsidRPr="00B92794">
        <w:rPr>
          <w:sz w:val="22"/>
          <w:szCs w:val="22"/>
        </w:rPr>
        <w:t>(</w:t>
      </w:r>
      <w:r w:rsidR="003F2467" w:rsidRPr="00B92794">
        <w:rPr>
          <w:sz w:val="22"/>
          <w:szCs w:val="22"/>
        </w:rPr>
        <w:t>L</w:t>
      </w:r>
      <w:r w:rsidRPr="00B92794">
        <w:rPr>
          <w:sz w:val="22"/>
          <w:szCs w:val="22"/>
        </w:rPr>
        <w:t>avrada na forma de sumário como faculta o artigo 130, §1º da Lei nº 6.404/76)</w:t>
      </w:r>
    </w:p>
    <w:p w14:paraId="4C97399F" w14:textId="77777777" w:rsidR="00FF3E6F" w:rsidRPr="00B92794" w:rsidRDefault="00FF3E6F" w:rsidP="006441DB">
      <w:pPr>
        <w:spacing w:line="260" w:lineRule="exact"/>
        <w:rPr>
          <w:sz w:val="22"/>
          <w:szCs w:val="22"/>
        </w:rPr>
      </w:pPr>
    </w:p>
    <w:p w14:paraId="608A6BBE" w14:textId="70088E45" w:rsidR="00D718BF" w:rsidRPr="00B92794" w:rsidRDefault="00744A69" w:rsidP="006441DB">
      <w:pPr>
        <w:tabs>
          <w:tab w:val="left" w:pos="426"/>
        </w:tabs>
        <w:spacing w:line="260" w:lineRule="exact"/>
        <w:jc w:val="both"/>
        <w:rPr>
          <w:sz w:val="22"/>
          <w:szCs w:val="22"/>
        </w:rPr>
      </w:pPr>
      <w:r w:rsidRPr="00B92794">
        <w:rPr>
          <w:b/>
          <w:sz w:val="22"/>
          <w:szCs w:val="22"/>
        </w:rPr>
        <w:t>1.</w:t>
      </w:r>
      <w:r w:rsidRPr="00B92794">
        <w:rPr>
          <w:b/>
          <w:sz w:val="22"/>
          <w:szCs w:val="22"/>
        </w:rPr>
        <w:tab/>
      </w:r>
      <w:r w:rsidR="006746C6" w:rsidRPr="00B92794">
        <w:rPr>
          <w:b/>
          <w:sz w:val="22"/>
          <w:szCs w:val="22"/>
        </w:rPr>
        <w:t>DATA, HORÁRIO E LOCAL</w:t>
      </w:r>
      <w:r w:rsidR="00D718BF" w:rsidRPr="00B92794">
        <w:rPr>
          <w:b/>
          <w:sz w:val="22"/>
          <w:szCs w:val="22"/>
        </w:rPr>
        <w:t>:</w:t>
      </w:r>
      <w:r w:rsidR="00D718BF" w:rsidRPr="00B92794">
        <w:rPr>
          <w:sz w:val="22"/>
          <w:szCs w:val="22"/>
        </w:rPr>
        <w:t xml:space="preserve"> </w:t>
      </w:r>
      <w:r w:rsidR="006746C6" w:rsidRPr="00B92794">
        <w:rPr>
          <w:sz w:val="22"/>
          <w:szCs w:val="22"/>
        </w:rPr>
        <w:t xml:space="preserve">Aos </w:t>
      </w:r>
      <w:r w:rsidR="00E34C88" w:rsidRPr="00E34C88">
        <w:rPr>
          <w:sz w:val="22"/>
          <w:szCs w:val="22"/>
          <w:highlight w:val="yellow"/>
        </w:rPr>
        <w:t>[●]</w:t>
      </w:r>
      <w:r w:rsidR="0025761A">
        <w:rPr>
          <w:sz w:val="22"/>
          <w:szCs w:val="22"/>
        </w:rPr>
        <w:t xml:space="preserve"> </w:t>
      </w:r>
      <w:r w:rsidR="006441DB">
        <w:rPr>
          <w:sz w:val="22"/>
          <w:szCs w:val="22"/>
        </w:rPr>
        <w:t xml:space="preserve">de </w:t>
      </w:r>
      <w:r w:rsidR="00E34C88" w:rsidRPr="00E34C88">
        <w:rPr>
          <w:sz w:val="22"/>
          <w:szCs w:val="22"/>
          <w:highlight w:val="yellow"/>
        </w:rPr>
        <w:t>[●]</w:t>
      </w:r>
      <w:r w:rsidR="00712350">
        <w:rPr>
          <w:sz w:val="22"/>
          <w:szCs w:val="22"/>
        </w:rPr>
        <w:t xml:space="preserve"> </w:t>
      </w:r>
      <w:r w:rsidR="006746C6" w:rsidRPr="00B92794">
        <w:rPr>
          <w:sz w:val="22"/>
          <w:szCs w:val="22"/>
        </w:rPr>
        <w:t>de</w:t>
      </w:r>
      <w:r w:rsidR="00712350">
        <w:rPr>
          <w:sz w:val="22"/>
          <w:szCs w:val="22"/>
        </w:rPr>
        <w:t xml:space="preserve"> </w:t>
      </w:r>
      <w:r w:rsidR="00731B1E">
        <w:rPr>
          <w:sz w:val="22"/>
          <w:szCs w:val="22"/>
        </w:rPr>
        <w:t>2019</w:t>
      </w:r>
      <w:r w:rsidR="006746C6" w:rsidRPr="00B92794">
        <w:rPr>
          <w:sz w:val="22"/>
          <w:szCs w:val="22"/>
        </w:rPr>
        <w:t xml:space="preserve">, às </w:t>
      </w:r>
      <w:r w:rsidR="00712350" w:rsidRPr="00E34C88">
        <w:rPr>
          <w:sz w:val="22"/>
          <w:szCs w:val="22"/>
          <w:highlight w:val="yellow"/>
        </w:rPr>
        <w:t>[</w:t>
      </w:r>
      <w:r w:rsidR="00731B1E" w:rsidRPr="00E34C88">
        <w:rPr>
          <w:sz w:val="22"/>
          <w:szCs w:val="22"/>
          <w:highlight w:val="yellow"/>
        </w:rPr>
        <w:t>10:00</w:t>
      </w:r>
      <w:r w:rsidR="00712350" w:rsidRPr="00E34C88">
        <w:rPr>
          <w:sz w:val="22"/>
          <w:szCs w:val="22"/>
          <w:highlight w:val="yellow"/>
        </w:rPr>
        <w:t>]</w:t>
      </w:r>
      <w:r w:rsidR="00712350">
        <w:rPr>
          <w:sz w:val="22"/>
          <w:szCs w:val="22"/>
        </w:rPr>
        <w:t xml:space="preserve"> </w:t>
      </w:r>
      <w:r w:rsidR="003B559F" w:rsidRPr="00B92794">
        <w:rPr>
          <w:sz w:val="22"/>
          <w:szCs w:val="22"/>
        </w:rPr>
        <w:t>h</w:t>
      </w:r>
      <w:r w:rsidR="00FD4ACE" w:rsidRPr="00B92794">
        <w:rPr>
          <w:sz w:val="22"/>
          <w:szCs w:val="22"/>
        </w:rPr>
        <w:t>oras</w:t>
      </w:r>
      <w:r w:rsidR="006746C6" w:rsidRPr="00B92794">
        <w:rPr>
          <w:sz w:val="22"/>
          <w:szCs w:val="22"/>
        </w:rPr>
        <w:t xml:space="preserve">, na sede </w:t>
      </w:r>
      <w:r w:rsidR="00203482" w:rsidRPr="00B92794">
        <w:rPr>
          <w:sz w:val="22"/>
          <w:szCs w:val="22"/>
        </w:rPr>
        <w:t xml:space="preserve">social </w:t>
      </w:r>
      <w:r w:rsidR="006746C6" w:rsidRPr="00B92794">
        <w:rPr>
          <w:sz w:val="22"/>
          <w:szCs w:val="22"/>
        </w:rPr>
        <w:t>da</w:t>
      </w:r>
      <w:r w:rsidR="00E73AAF" w:rsidRPr="00B92794">
        <w:rPr>
          <w:sz w:val="22"/>
          <w:szCs w:val="22"/>
        </w:rPr>
        <w:t xml:space="preserve"> Aliança Geração de Energia S.A.</w:t>
      </w:r>
      <w:r w:rsidR="00E73AAF" w:rsidRPr="00B92794">
        <w:rPr>
          <w:smallCaps/>
          <w:sz w:val="22"/>
          <w:szCs w:val="22"/>
        </w:rPr>
        <w:t xml:space="preserve"> (“</w:t>
      </w:r>
      <w:r w:rsidR="006746C6" w:rsidRPr="00B92794">
        <w:rPr>
          <w:sz w:val="22"/>
          <w:szCs w:val="22"/>
          <w:u w:val="single"/>
        </w:rPr>
        <w:t>Companhia</w:t>
      </w:r>
      <w:r w:rsidR="00E73AAF" w:rsidRPr="00B92794">
        <w:rPr>
          <w:sz w:val="22"/>
          <w:szCs w:val="22"/>
        </w:rPr>
        <w:t>”)</w:t>
      </w:r>
      <w:r w:rsidR="006746C6" w:rsidRPr="00B92794">
        <w:rPr>
          <w:sz w:val="22"/>
          <w:szCs w:val="22"/>
        </w:rPr>
        <w:t xml:space="preserve">, </w:t>
      </w:r>
      <w:r w:rsidR="00FD4ACE" w:rsidRPr="00B92794">
        <w:rPr>
          <w:sz w:val="22"/>
          <w:szCs w:val="22"/>
        </w:rPr>
        <w:t>em</w:t>
      </w:r>
      <w:r w:rsidR="006746C6" w:rsidRPr="00B92794">
        <w:rPr>
          <w:sz w:val="22"/>
          <w:szCs w:val="22"/>
        </w:rPr>
        <w:t xml:space="preserve"> Belo Horizonte</w:t>
      </w:r>
      <w:r w:rsidR="003F2467" w:rsidRPr="00B92794">
        <w:rPr>
          <w:sz w:val="22"/>
          <w:szCs w:val="22"/>
        </w:rPr>
        <w:t>/</w:t>
      </w:r>
      <w:r w:rsidR="00FD4ACE" w:rsidRPr="00B92794">
        <w:rPr>
          <w:sz w:val="22"/>
          <w:szCs w:val="22"/>
        </w:rPr>
        <w:t>MG</w:t>
      </w:r>
      <w:r w:rsidR="006746C6" w:rsidRPr="00B92794">
        <w:rPr>
          <w:sz w:val="22"/>
          <w:szCs w:val="22"/>
        </w:rPr>
        <w:t xml:space="preserve">, </w:t>
      </w:r>
      <w:r w:rsidR="00D718BF" w:rsidRPr="00B92794">
        <w:rPr>
          <w:sz w:val="22"/>
          <w:szCs w:val="22"/>
        </w:rPr>
        <w:t>n</w:t>
      </w:r>
      <w:r w:rsidR="00C40C09" w:rsidRPr="00B92794">
        <w:rPr>
          <w:sz w:val="22"/>
          <w:szCs w:val="22"/>
        </w:rPr>
        <w:t>a R</w:t>
      </w:r>
      <w:r w:rsidRPr="00B92794">
        <w:rPr>
          <w:sz w:val="22"/>
          <w:szCs w:val="22"/>
        </w:rPr>
        <w:t>ua</w:t>
      </w:r>
      <w:r w:rsidR="00C40C09" w:rsidRPr="00B92794">
        <w:rPr>
          <w:sz w:val="22"/>
          <w:szCs w:val="22"/>
        </w:rPr>
        <w:t xml:space="preserve"> </w:t>
      </w:r>
      <w:r w:rsidR="009C302B" w:rsidRPr="00B92794">
        <w:rPr>
          <w:sz w:val="22"/>
          <w:szCs w:val="22"/>
        </w:rPr>
        <w:t xml:space="preserve">Matias </w:t>
      </w:r>
      <w:r w:rsidR="001F69A2" w:rsidRPr="00B92794">
        <w:rPr>
          <w:sz w:val="22"/>
          <w:szCs w:val="22"/>
        </w:rPr>
        <w:t>Cardoso</w:t>
      </w:r>
      <w:r w:rsidR="00C40C09" w:rsidRPr="00B92794">
        <w:rPr>
          <w:sz w:val="22"/>
          <w:szCs w:val="22"/>
        </w:rPr>
        <w:t xml:space="preserve">, </w:t>
      </w:r>
      <w:r w:rsidR="001F69A2" w:rsidRPr="00B92794">
        <w:rPr>
          <w:sz w:val="22"/>
          <w:szCs w:val="22"/>
        </w:rPr>
        <w:t>169</w:t>
      </w:r>
      <w:r w:rsidR="00C40C09" w:rsidRPr="00B92794">
        <w:rPr>
          <w:sz w:val="22"/>
          <w:szCs w:val="22"/>
        </w:rPr>
        <w:t xml:space="preserve">, </w:t>
      </w:r>
      <w:r w:rsidR="001F69A2" w:rsidRPr="00B92794">
        <w:rPr>
          <w:sz w:val="22"/>
          <w:szCs w:val="22"/>
        </w:rPr>
        <w:t>9</w:t>
      </w:r>
      <w:r w:rsidR="00C40C09" w:rsidRPr="00B92794">
        <w:rPr>
          <w:sz w:val="22"/>
          <w:szCs w:val="22"/>
        </w:rPr>
        <w:t>º andar,</w:t>
      </w:r>
      <w:r w:rsidR="001F69A2" w:rsidRPr="00B92794">
        <w:rPr>
          <w:sz w:val="22"/>
          <w:szCs w:val="22"/>
        </w:rPr>
        <w:t xml:space="preserve"> Santo Agostinho</w:t>
      </w:r>
      <w:r w:rsidR="00C40C09" w:rsidRPr="00B92794">
        <w:rPr>
          <w:sz w:val="22"/>
          <w:szCs w:val="22"/>
        </w:rPr>
        <w:t xml:space="preserve">, CEP: </w:t>
      </w:r>
      <w:r w:rsidR="006D2270" w:rsidRPr="00B92794">
        <w:rPr>
          <w:sz w:val="22"/>
          <w:szCs w:val="22"/>
        </w:rPr>
        <w:t>30.170-050.</w:t>
      </w:r>
      <w:r w:rsidR="00E07B99" w:rsidRPr="00B92794">
        <w:rPr>
          <w:sz w:val="22"/>
          <w:szCs w:val="22"/>
        </w:rPr>
        <w:t xml:space="preserve"> </w:t>
      </w:r>
    </w:p>
    <w:p w14:paraId="39542FD7" w14:textId="77777777" w:rsidR="00D718BF" w:rsidRPr="00B92794" w:rsidRDefault="00D718BF" w:rsidP="006441DB">
      <w:pPr>
        <w:tabs>
          <w:tab w:val="left" w:pos="426"/>
        </w:tabs>
        <w:spacing w:line="260" w:lineRule="exact"/>
        <w:jc w:val="both"/>
        <w:rPr>
          <w:sz w:val="22"/>
          <w:szCs w:val="22"/>
        </w:rPr>
      </w:pPr>
    </w:p>
    <w:p w14:paraId="6DBC2072" w14:textId="6C020D9A" w:rsidR="00D718BF" w:rsidRPr="00B92794" w:rsidRDefault="00744A69" w:rsidP="006441DB">
      <w:pPr>
        <w:tabs>
          <w:tab w:val="left" w:pos="426"/>
        </w:tabs>
        <w:spacing w:line="260" w:lineRule="exact"/>
        <w:jc w:val="both"/>
        <w:rPr>
          <w:b/>
          <w:sz w:val="22"/>
          <w:szCs w:val="22"/>
        </w:rPr>
      </w:pPr>
      <w:r w:rsidRPr="00B92794">
        <w:rPr>
          <w:b/>
          <w:sz w:val="22"/>
          <w:szCs w:val="22"/>
        </w:rPr>
        <w:t>2.</w:t>
      </w:r>
      <w:r w:rsidR="00712350">
        <w:rPr>
          <w:b/>
          <w:sz w:val="22"/>
          <w:szCs w:val="22"/>
        </w:rPr>
        <w:t xml:space="preserve">   </w:t>
      </w:r>
      <w:r w:rsidR="006746C6" w:rsidRPr="00B92794">
        <w:rPr>
          <w:b/>
          <w:sz w:val="22"/>
          <w:szCs w:val="22"/>
        </w:rPr>
        <w:t>CONVOCAÇÃO</w:t>
      </w:r>
      <w:r w:rsidR="000B2A4F" w:rsidRPr="00B92794">
        <w:rPr>
          <w:b/>
          <w:sz w:val="22"/>
          <w:szCs w:val="22"/>
        </w:rPr>
        <w:t xml:space="preserve"> E PRESENÇA</w:t>
      </w:r>
      <w:r w:rsidR="00D718BF" w:rsidRPr="00B92794">
        <w:rPr>
          <w:b/>
          <w:sz w:val="22"/>
          <w:szCs w:val="22"/>
        </w:rPr>
        <w:t>:</w:t>
      </w:r>
      <w:r w:rsidR="00D718BF" w:rsidRPr="00B92794">
        <w:rPr>
          <w:sz w:val="22"/>
          <w:szCs w:val="22"/>
        </w:rPr>
        <w:t xml:space="preserve"> </w:t>
      </w:r>
      <w:r w:rsidR="006746C6" w:rsidRPr="00B92794">
        <w:rPr>
          <w:sz w:val="22"/>
          <w:szCs w:val="22"/>
        </w:rPr>
        <w:t>Dispensada a publicação de Edital de Convocação, tendo em vista a presença d</w:t>
      </w:r>
      <w:r w:rsidR="00731B1E">
        <w:rPr>
          <w:sz w:val="22"/>
          <w:szCs w:val="22"/>
        </w:rPr>
        <w:t>e</w:t>
      </w:r>
      <w:r w:rsidR="006746C6" w:rsidRPr="00B92794">
        <w:rPr>
          <w:sz w:val="22"/>
          <w:szCs w:val="22"/>
        </w:rPr>
        <w:t xml:space="preserve"> acionistas representando a totalidade do </w:t>
      </w:r>
      <w:r w:rsidR="003C7A05">
        <w:rPr>
          <w:sz w:val="22"/>
          <w:szCs w:val="22"/>
        </w:rPr>
        <w:t>C</w:t>
      </w:r>
      <w:r w:rsidR="006746C6" w:rsidRPr="00B92794">
        <w:rPr>
          <w:sz w:val="22"/>
          <w:szCs w:val="22"/>
        </w:rPr>
        <w:t xml:space="preserve">apital </w:t>
      </w:r>
      <w:r w:rsidR="003C7A05">
        <w:rPr>
          <w:sz w:val="22"/>
          <w:szCs w:val="22"/>
        </w:rPr>
        <w:t>S</w:t>
      </w:r>
      <w:r w:rsidR="003C7A05" w:rsidRPr="00B92794">
        <w:rPr>
          <w:sz w:val="22"/>
          <w:szCs w:val="22"/>
        </w:rPr>
        <w:t>ocial</w:t>
      </w:r>
      <w:r w:rsidR="003C7A05">
        <w:rPr>
          <w:sz w:val="22"/>
          <w:szCs w:val="22"/>
        </w:rPr>
        <w:t xml:space="preserve"> da Companhia</w:t>
      </w:r>
      <w:r w:rsidR="006746C6" w:rsidRPr="00B92794">
        <w:rPr>
          <w:sz w:val="22"/>
          <w:szCs w:val="22"/>
        </w:rPr>
        <w:t xml:space="preserve">, conforme </w:t>
      </w:r>
      <w:r w:rsidR="003C7A05">
        <w:rPr>
          <w:sz w:val="22"/>
          <w:szCs w:val="22"/>
        </w:rPr>
        <w:t>disposto n</w:t>
      </w:r>
      <w:r w:rsidR="006746C6" w:rsidRPr="00B92794">
        <w:rPr>
          <w:sz w:val="22"/>
          <w:szCs w:val="22"/>
        </w:rPr>
        <w:t>o art</w:t>
      </w:r>
      <w:r w:rsidR="002757CA" w:rsidRPr="00B92794">
        <w:rPr>
          <w:sz w:val="22"/>
          <w:szCs w:val="22"/>
        </w:rPr>
        <w:t>.</w:t>
      </w:r>
      <w:r w:rsidR="006746C6" w:rsidRPr="00B92794">
        <w:rPr>
          <w:sz w:val="22"/>
          <w:szCs w:val="22"/>
        </w:rPr>
        <w:t xml:space="preserve"> 124,</w:t>
      </w:r>
      <w:r w:rsidR="001861FE" w:rsidRPr="00B92794">
        <w:rPr>
          <w:sz w:val="22"/>
          <w:szCs w:val="22"/>
        </w:rPr>
        <w:t xml:space="preserve"> §4º</w:t>
      </w:r>
      <w:r w:rsidR="002757CA" w:rsidRPr="00B92794">
        <w:rPr>
          <w:sz w:val="22"/>
          <w:szCs w:val="22"/>
        </w:rPr>
        <w:t>,</w:t>
      </w:r>
      <w:r w:rsidR="006746C6" w:rsidRPr="00B92794">
        <w:rPr>
          <w:sz w:val="22"/>
          <w:szCs w:val="22"/>
        </w:rPr>
        <w:t xml:space="preserve"> da Lei nº 6.404</w:t>
      </w:r>
      <w:r w:rsidR="001861FE" w:rsidRPr="00B92794">
        <w:rPr>
          <w:sz w:val="22"/>
          <w:szCs w:val="22"/>
        </w:rPr>
        <w:t>/76</w:t>
      </w:r>
      <w:r w:rsidR="00DC1C56" w:rsidRPr="00B92794">
        <w:rPr>
          <w:sz w:val="22"/>
          <w:szCs w:val="22"/>
        </w:rPr>
        <w:t>.</w:t>
      </w:r>
    </w:p>
    <w:p w14:paraId="7D4FF7E6" w14:textId="77777777" w:rsidR="002E7B7F" w:rsidRPr="00B92794" w:rsidRDefault="002E7B7F" w:rsidP="006441DB">
      <w:pPr>
        <w:tabs>
          <w:tab w:val="left" w:pos="426"/>
        </w:tabs>
        <w:spacing w:line="260" w:lineRule="exact"/>
        <w:jc w:val="both"/>
        <w:rPr>
          <w:b/>
          <w:sz w:val="22"/>
          <w:szCs w:val="22"/>
        </w:rPr>
      </w:pPr>
    </w:p>
    <w:p w14:paraId="53CBE83B" w14:textId="033DD36B" w:rsidR="006441DB" w:rsidRPr="006B33A9" w:rsidRDefault="000B2A4F" w:rsidP="00B265D1">
      <w:pPr>
        <w:spacing w:line="260" w:lineRule="exact"/>
        <w:jc w:val="both"/>
        <w:rPr>
          <w:sz w:val="22"/>
          <w:szCs w:val="22"/>
        </w:rPr>
      </w:pPr>
      <w:r w:rsidRPr="00B92794">
        <w:rPr>
          <w:b/>
          <w:sz w:val="22"/>
          <w:szCs w:val="22"/>
        </w:rPr>
        <w:t>3</w:t>
      </w:r>
      <w:r w:rsidR="002E7B7F" w:rsidRPr="00B92794">
        <w:rPr>
          <w:b/>
          <w:sz w:val="22"/>
          <w:szCs w:val="22"/>
        </w:rPr>
        <w:t>.</w:t>
      </w:r>
      <w:r w:rsidR="00712350">
        <w:rPr>
          <w:b/>
          <w:sz w:val="22"/>
          <w:szCs w:val="22"/>
        </w:rPr>
        <w:t xml:space="preserve">     </w:t>
      </w:r>
      <w:r w:rsidR="006B4B09" w:rsidRPr="00B92794">
        <w:rPr>
          <w:b/>
          <w:sz w:val="22"/>
          <w:szCs w:val="22"/>
        </w:rPr>
        <w:t>MESA:</w:t>
      </w:r>
      <w:r w:rsidR="00D718BF" w:rsidRPr="00B92794">
        <w:rPr>
          <w:sz w:val="22"/>
          <w:szCs w:val="22"/>
        </w:rPr>
        <w:t xml:space="preserve"> </w:t>
      </w:r>
      <w:r w:rsidR="006441DB" w:rsidRPr="006B33A9">
        <w:rPr>
          <w:sz w:val="22"/>
          <w:szCs w:val="22"/>
        </w:rPr>
        <w:t>(</w:t>
      </w:r>
      <w:r w:rsidR="00712350">
        <w:rPr>
          <w:sz w:val="22"/>
          <w:szCs w:val="22"/>
        </w:rPr>
        <w:t>I</w:t>
      </w:r>
      <w:r w:rsidR="006441DB" w:rsidRPr="006B33A9">
        <w:rPr>
          <w:sz w:val="22"/>
          <w:szCs w:val="22"/>
        </w:rPr>
        <w:t>) Presidente:</w:t>
      </w:r>
      <w:r w:rsidR="00712350" w:rsidRPr="00712350">
        <w:rPr>
          <w:sz w:val="22"/>
          <w:szCs w:val="22"/>
        </w:rPr>
        <w:t xml:space="preserve"> </w:t>
      </w:r>
      <w:r w:rsidR="00E34C88" w:rsidRPr="00E34C88">
        <w:rPr>
          <w:sz w:val="22"/>
          <w:szCs w:val="22"/>
          <w:highlight w:val="yellow"/>
        </w:rPr>
        <w:t>[●]</w:t>
      </w:r>
      <w:r w:rsidR="006441DB">
        <w:rPr>
          <w:sz w:val="22"/>
          <w:szCs w:val="22"/>
        </w:rPr>
        <w:t>;</w:t>
      </w:r>
      <w:r w:rsidR="006441DB" w:rsidRPr="006B33A9">
        <w:rPr>
          <w:sz w:val="22"/>
          <w:szCs w:val="22"/>
        </w:rPr>
        <w:t xml:space="preserve"> e (</w:t>
      </w:r>
      <w:r w:rsidR="00712350">
        <w:rPr>
          <w:sz w:val="22"/>
          <w:szCs w:val="22"/>
        </w:rPr>
        <w:t>II</w:t>
      </w:r>
      <w:r w:rsidR="006441DB" w:rsidRPr="006B33A9">
        <w:rPr>
          <w:sz w:val="22"/>
          <w:szCs w:val="22"/>
        </w:rPr>
        <w:t>) Secretário</w:t>
      </w:r>
      <w:r w:rsidR="00712350">
        <w:rPr>
          <w:sz w:val="22"/>
          <w:szCs w:val="22"/>
        </w:rPr>
        <w:t xml:space="preserve"> </w:t>
      </w:r>
      <w:r w:rsidR="00E34C88" w:rsidRPr="00E34C88">
        <w:rPr>
          <w:sz w:val="22"/>
          <w:szCs w:val="22"/>
          <w:highlight w:val="yellow"/>
        </w:rPr>
        <w:t>[●]</w:t>
      </w:r>
      <w:r w:rsidR="006441DB" w:rsidRPr="006B33A9">
        <w:rPr>
          <w:sz w:val="22"/>
          <w:szCs w:val="22"/>
        </w:rPr>
        <w:t>.</w:t>
      </w:r>
    </w:p>
    <w:p w14:paraId="3CC8D323" w14:textId="77777777" w:rsidR="00D718BF" w:rsidRPr="00B92794" w:rsidRDefault="00D718BF" w:rsidP="006441DB">
      <w:pPr>
        <w:tabs>
          <w:tab w:val="left" w:pos="426"/>
        </w:tabs>
        <w:spacing w:line="260" w:lineRule="exact"/>
        <w:jc w:val="both"/>
        <w:rPr>
          <w:sz w:val="22"/>
          <w:szCs w:val="22"/>
        </w:rPr>
      </w:pPr>
    </w:p>
    <w:p w14:paraId="4AC377D0" w14:textId="363C3B52" w:rsidR="0016248C" w:rsidRDefault="000B2A4F" w:rsidP="00B265D1">
      <w:pPr>
        <w:widowControl w:val="0"/>
        <w:tabs>
          <w:tab w:val="left" w:pos="142"/>
        </w:tabs>
        <w:spacing w:line="260" w:lineRule="exact"/>
        <w:jc w:val="both"/>
        <w:rPr>
          <w:sz w:val="22"/>
          <w:szCs w:val="22"/>
        </w:rPr>
      </w:pPr>
      <w:r w:rsidRPr="00B92794">
        <w:rPr>
          <w:b/>
          <w:sz w:val="22"/>
          <w:szCs w:val="22"/>
        </w:rPr>
        <w:t>4</w:t>
      </w:r>
      <w:r w:rsidR="00744A69" w:rsidRPr="00B92794">
        <w:rPr>
          <w:b/>
          <w:sz w:val="22"/>
          <w:szCs w:val="22"/>
        </w:rPr>
        <w:t>.</w:t>
      </w:r>
      <w:r w:rsidR="00712350">
        <w:rPr>
          <w:b/>
          <w:sz w:val="22"/>
          <w:szCs w:val="22"/>
        </w:rPr>
        <w:t xml:space="preserve">     </w:t>
      </w:r>
      <w:r w:rsidR="006B4B09" w:rsidRPr="00B92794">
        <w:rPr>
          <w:b/>
          <w:sz w:val="22"/>
          <w:szCs w:val="22"/>
        </w:rPr>
        <w:t>ORDEM DO DIA:</w:t>
      </w:r>
      <w:r w:rsidR="006B4B09" w:rsidRPr="00B92794">
        <w:rPr>
          <w:sz w:val="22"/>
          <w:szCs w:val="22"/>
        </w:rPr>
        <w:t xml:space="preserve"> </w:t>
      </w:r>
      <w:r w:rsidR="00731B1E">
        <w:rPr>
          <w:sz w:val="22"/>
          <w:szCs w:val="22"/>
        </w:rPr>
        <w:t>Deliberar sobre</w:t>
      </w:r>
      <w:r w:rsidR="00473C1D">
        <w:rPr>
          <w:sz w:val="22"/>
          <w:szCs w:val="22"/>
        </w:rPr>
        <w:t>:</w:t>
      </w:r>
      <w:r w:rsidR="00731B1E">
        <w:rPr>
          <w:sz w:val="22"/>
          <w:szCs w:val="22"/>
        </w:rPr>
        <w:t xml:space="preserve"> </w:t>
      </w:r>
      <w:r w:rsidR="00473C1D" w:rsidRPr="00731B1E">
        <w:rPr>
          <w:b/>
          <w:sz w:val="22"/>
          <w:szCs w:val="22"/>
        </w:rPr>
        <w:t>(</w:t>
      </w:r>
      <w:r w:rsidR="003C7A05">
        <w:rPr>
          <w:b/>
          <w:sz w:val="22"/>
          <w:szCs w:val="22"/>
        </w:rPr>
        <w:t>I</w:t>
      </w:r>
      <w:r w:rsidR="00473C1D" w:rsidRPr="00731B1E">
        <w:rPr>
          <w:b/>
          <w:sz w:val="22"/>
          <w:szCs w:val="22"/>
        </w:rPr>
        <w:t>)</w:t>
      </w:r>
      <w:r w:rsidR="00473C1D">
        <w:rPr>
          <w:sz w:val="22"/>
          <w:szCs w:val="22"/>
        </w:rPr>
        <w:t xml:space="preserve"> </w:t>
      </w:r>
      <w:r w:rsidR="00731B1E">
        <w:rPr>
          <w:sz w:val="22"/>
          <w:szCs w:val="22"/>
        </w:rPr>
        <w:t>a 2ª Emissão de Debêntures Simples, Não Conversíveis em Ações, da Espécie com Garantia Real,</w:t>
      </w:r>
      <w:r w:rsidR="00E34C88" w:rsidRPr="00E34C88">
        <w:rPr>
          <w:sz w:val="22"/>
          <w:szCs w:val="22"/>
        </w:rPr>
        <w:t xml:space="preserve"> </w:t>
      </w:r>
      <w:r w:rsidR="00E34C88">
        <w:rPr>
          <w:sz w:val="22"/>
          <w:szCs w:val="22"/>
        </w:rPr>
        <w:t>em Série Única,</w:t>
      </w:r>
      <w:r w:rsidR="00731B1E">
        <w:rPr>
          <w:sz w:val="22"/>
          <w:szCs w:val="22"/>
        </w:rPr>
        <w:t xml:space="preserve"> para Distribuição Pública com Esforços Restritos de Colocação, sob regime de garantia firme de colocação da Companhia (“</w:t>
      </w:r>
      <w:r w:rsidR="00731B1E" w:rsidRPr="00731B1E">
        <w:rPr>
          <w:sz w:val="22"/>
          <w:szCs w:val="22"/>
          <w:u w:val="single"/>
        </w:rPr>
        <w:t>Emissão</w:t>
      </w:r>
      <w:r w:rsidR="00731B1E">
        <w:rPr>
          <w:sz w:val="22"/>
          <w:szCs w:val="22"/>
        </w:rPr>
        <w:t>”</w:t>
      </w:r>
      <w:r w:rsidR="0098548B">
        <w:rPr>
          <w:sz w:val="22"/>
          <w:szCs w:val="22"/>
        </w:rPr>
        <w:t xml:space="preserve"> e </w:t>
      </w:r>
      <w:r w:rsidR="00731B1E">
        <w:rPr>
          <w:sz w:val="22"/>
          <w:szCs w:val="22"/>
        </w:rPr>
        <w:t>“</w:t>
      </w:r>
      <w:r w:rsidR="00731B1E" w:rsidRPr="00731B1E">
        <w:rPr>
          <w:sz w:val="22"/>
          <w:szCs w:val="22"/>
          <w:u w:val="single"/>
        </w:rPr>
        <w:t>Oferta Restrita</w:t>
      </w:r>
      <w:r w:rsidR="00731B1E">
        <w:rPr>
          <w:sz w:val="22"/>
          <w:szCs w:val="22"/>
        </w:rPr>
        <w:t xml:space="preserve">” respectivamente); </w:t>
      </w:r>
      <w:r w:rsidR="00731B1E" w:rsidRPr="00731B1E">
        <w:rPr>
          <w:b/>
          <w:sz w:val="22"/>
          <w:szCs w:val="22"/>
        </w:rPr>
        <w:t>(</w:t>
      </w:r>
      <w:r w:rsidR="003C7A05">
        <w:rPr>
          <w:b/>
          <w:sz w:val="22"/>
          <w:szCs w:val="22"/>
        </w:rPr>
        <w:t>II</w:t>
      </w:r>
      <w:r w:rsidR="00731B1E" w:rsidRPr="00731B1E">
        <w:rPr>
          <w:b/>
          <w:sz w:val="22"/>
          <w:szCs w:val="22"/>
        </w:rPr>
        <w:t>)</w:t>
      </w:r>
      <w:r w:rsidR="00731B1E">
        <w:rPr>
          <w:sz w:val="22"/>
          <w:szCs w:val="22"/>
        </w:rPr>
        <w:t xml:space="preserve"> a </w:t>
      </w:r>
      <w:r w:rsidR="00473C1D">
        <w:rPr>
          <w:sz w:val="22"/>
          <w:szCs w:val="22"/>
        </w:rPr>
        <w:t>outorga</w:t>
      </w:r>
      <w:r w:rsidR="00731B1E">
        <w:rPr>
          <w:sz w:val="22"/>
          <w:szCs w:val="22"/>
        </w:rPr>
        <w:t xml:space="preserve"> de garantias reais, </w:t>
      </w:r>
      <w:r w:rsidR="00473C1D">
        <w:rPr>
          <w:sz w:val="22"/>
          <w:szCs w:val="22"/>
        </w:rPr>
        <w:t xml:space="preserve">pela própria Companhia e </w:t>
      </w:r>
      <w:r w:rsidR="00731B1E">
        <w:rPr>
          <w:sz w:val="22"/>
          <w:szCs w:val="22"/>
        </w:rPr>
        <w:t>por subsidiárias da Companhia, no âmbito da Emissão (“</w:t>
      </w:r>
      <w:r w:rsidR="00731B1E" w:rsidRPr="00731B1E">
        <w:rPr>
          <w:sz w:val="22"/>
          <w:szCs w:val="22"/>
          <w:u w:val="single"/>
        </w:rPr>
        <w:t>Garantias</w:t>
      </w:r>
      <w:r w:rsidR="00731B1E">
        <w:rPr>
          <w:sz w:val="22"/>
          <w:szCs w:val="22"/>
        </w:rPr>
        <w:t>”);</w:t>
      </w:r>
      <w:r w:rsidR="003C7A05">
        <w:rPr>
          <w:sz w:val="22"/>
          <w:szCs w:val="22"/>
        </w:rPr>
        <w:t xml:space="preserve"> </w:t>
      </w:r>
      <w:r w:rsidR="003C7A05" w:rsidRPr="003C7A05">
        <w:rPr>
          <w:sz w:val="22"/>
          <w:szCs w:val="22"/>
        </w:rPr>
        <w:t>e</w:t>
      </w:r>
      <w:r w:rsidR="00731B1E">
        <w:rPr>
          <w:sz w:val="22"/>
          <w:szCs w:val="22"/>
        </w:rPr>
        <w:t xml:space="preserve"> </w:t>
      </w:r>
      <w:bookmarkStart w:id="0" w:name="_Hlk6393022"/>
      <w:r w:rsidR="00731B1E" w:rsidRPr="00731B1E">
        <w:rPr>
          <w:b/>
          <w:sz w:val="22"/>
          <w:szCs w:val="22"/>
        </w:rPr>
        <w:t>(</w:t>
      </w:r>
      <w:r w:rsidR="003C7A05">
        <w:rPr>
          <w:b/>
          <w:sz w:val="22"/>
          <w:szCs w:val="22"/>
        </w:rPr>
        <w:t>III</w:t>
      </w:r>
      <w:r w:rsidR="00731B1E" w:rsidRPr="00731B1E">
        <w:rPr>
          <w:b/>
          <w:sz w:val="22"/>
          <w:szCs w:val="22"/>
        </w:rPr>
        <w:t>)</w:t>
      </w:r>
      <w:r w:rsidR="00731B1E" w:rsidRPr="00731B1E">
        <w:rPr>
          <w:sz w:val="22"/>
          <w:szCs w:val="22"/>
        </w:rPr>
        <w:t xml:space="preserve"> </w:t>
      </w:r>
      <w:r w:rsidR="00731B1E">
        <w:rPr>
          <w:sz w:val="22"/>
          <w:szCs w:val="22"/>
        </w:rPr>
        <w:t>a concessão de autorização à Diretoria da Companhia para praticar todos os atos necessários</w:t>
      </w:r>
      <w:r w:rsidR="002F5A22">
        <w:rPr>
          <w:sz w:val="22"/>
          <w:szCs w:val="22"/>
        </w:rPr>
        <w:t>, conexos e correlatos</w:t>
      </w:r>
      <w:r w:rsidR="00731B1E">
        <w:rPr>
          <w:sz w:val="22"/>
          <w:szCs w:val="22"/>
        </w:rPr>
        <w:t xml:space="preserve"> à realização da Emissão, da Oferta Restrita e da outorga das Garantias, nos termos das deliberações anteriores.</w:t>
      </w:r>
      <w:bookmarkEnd w:id="0"/>
    </w:p>
    <w:p w14:paraId="09CACB8A" w14:textId="77777777" w:rsidR="00B265D1" w:rsidRPr="00B92794" w:rsidRDefault="00B265D1" w:rsidP="00B265D1">
      <w:pPr>
        <w:widowControl w:val="0"/>
        <w:tabs>
          <w:tab w:val="left" w:pos="142"/>
        </w:tabs>
        <w:spacing w:line="260" w:lineRule="exact"/>
        <w:jc w:val="both"/>
        <w:rPr>
          <w:sz w:val="22"/>
          <w:szCs w:val="22"/>
        </w:rPr>
      </w:pPr>
    </w:p>
    <w:p w14:paraId="08A28F28" w14:textId="5FEE5F69" w:rsidR="00376C85" w:rsidRPr="00B92794" w:rsidRDefault="008A225A" w:rsidP="006441DB">
      <w:pPr>
        <w:tabs>
          <w:tab w:val="left" w:pos="426"/>
        </w:tabs>
        <w:spacing w:line="260" w:lineRule="exact"/>
        <w:jc w:val="both"/>
        <w:rPr>
          <w:sz w:val="22"/>
          <w:szCs w:val="22"/>
        </w:rPr>
      </w:pPr>
      <w:r w:rsidRPr="00B92794">
        <w:rPr>
          <w:b/>
          <w:sz w:val="22"/>
          <w:szCs w:val="22"/>
        </w:rPr>
        <w:t>5</w:t>
      </w:r>
      <w:r w:rsidR="00744A69" w:rsidRPr="00B92794">
        <w:rPr>
          <w:b/>
          <w:sz w:val="22"/>
          <w:szCs w:val="22"/>
        </w:rPr>
        <w:t>.</w:t>
      </w:r>
      <w:r w:rsidR="00744A69" w:rsidRPr="00B92794">
        <w:rPr>
          <w:b/>
          <w:sz w:val="22"/>
          <w:szCs w:val="22"/>
        </w:rPr>
        <w:tab/>
      </w:r>
      <w:r w:rsidR="006B4B09" w:rsidRPr="00B92794">
        <w:rPr>
          <w:b/>
          <w:sz w:val="22"/>
          <w:szCs w:val="22"/>
        </w:rPr>
        <w:t>DELIBERAÇÕES:</w:t>
      </w:r>
      <w:r w:rsidR="006B4B09" w:rsidRPr="00B92794">
        <w:rPr>
          <w:sz w:val="22"/>
          <w:szCs w:val="22"/>
        </w:rPr>
        <w:t xml:space="preserve"> </w:t>
      </w:r>
      <w:r w:rsidR="00500C31" w:rsidRPr="00B92794">
        <w:rPr>
          <w:sz w:val="22"/>
          <w:szCs w:val="22"/>
        </w:rPr>
        <w:t xml:space="preserve">Cumpridas todas as formalidades previstas em Lei e no </w:t>
      </w:r>
      <w:r w:rsidR="00E805B8" w:rsidRPr="00B92794">
        <w:rPr>
          <w:sz w:val="22"/>
          <w:szCs w:val="22"/>
        </w:rPr>
        <w:t>E</w:t>
      </w:r>
      <w:r w:rsidR="00500C31" w:rsidRPr="00B92794">
        <w:rPr>
          <w:sz w:val="22"/>
          <w:szCs w:val="22"/>
        </w:rPr>
        <w:t xml:space="preserve">statuto </w:t>
      </w:r>
      <w:r w:rsidR="00E805B8" w:rsidRPr="00B92794">
        <w:rPr>
          <w:sz w:val="22"/>
          <w:szCs w:val="22"/>
        </w:rPr>
        <w:t>S</w:t>
      </w:r>
      <w:r w:rsidR="00500C31" w:rsidRPr="00B92794">
        <w:rPr>
          <w:sz w:val="22"/>
          <w:szCs w:val="22"/>
        </w:rPr>
        <w:t xml:space="preserve">ocial da Companhia, a </w:t>
      </w:r>
      <w:r w:rsidR="00744A69" w:rsidRPr="00B92794">
        <w:rPr>
          <w:sz w:val="22"/>
          <w:szCs w:val="22"/>
        </w:rPr>
        <w:t>A</w:t>
      </w:r>
      <w:r w:rsidR="00500C31" w:rsidRPr="00B92794">
        <w:rPr>
          <w:sz w:val="22"/>
          <w:szCs w:val="22"/>
        </w:rPr>
        <w:t xml:space="preserve">ssembleia foi regularmente instalada e os acionistas, após debates e discussões, </w:t>
      </w:r>
      <w:r w:rsidR="003C2C11" w:rsidRPr="00B92794">
        <w:rPr>
          <w:sz w:val="22"/>
          <w:szCs w:val="22"/>
        </w:rPr>
        <w:t>deliberaram</w:t>
      </w:r>
      <w:r w:rsidR="00500C31" w:rsidRPr="00B92794">
        <w:rPr>
          <w:sz w:val="22"/>
          <w:szCs w:val="22"/>
        </w:rPr>
        <w:t>, por unanimidade, sem quaisquer restrições ou ressalvas:</w:t>
      </w:r>
    </w:p>
    <w:p w14:paraId="50A99B30" w14:textId="77777777" w:rsidR="00F7248C" w:rsidRPr="00B92794" w:rsidRDefault="00F7248C" w:rsidP="006441DB">
      <w:pPr>
        <w:tabs>
          <w:tab w:val="left" w:pos="426"/>
        </w:tabs>
        <w:spacing w:line="260" w:lineRule="exact"/>
        <w:jc w:val="both"/>
        <w:rPr>
          <w:sz w:val="22"/>
          <w:szCs w:val="22"/>
        </w:rPr>
      </w:pPr>
    </w:p>
    <w:p w14:paraId="0E2DA060" w14:textId="6DD6F6ED" w:rsidR="002F5A22" w:rsidRPr="004C3708" w:rsidRDefault="002F5A22" w:rsidP="00E44591">
      <w:pPr>
        <w:pStyle w:val="PargrafodaLista"/>
        <w:numPr>
          <w:ilvl w:val="1"/>
          <w:numId w:val="45"/>
        </w:numPr>
        <w:spacing w:line="240" w:lineRule="exact"/>
        <w:jc w:val="both"/>
        <w:rPr>
          <w:b/>
          <w:sz w:val="22"/>
          <w:szCs w:val="22"/>
        </w:rPr>
      </w:pPr>
      <w:r w:rsidRPr="004C3708">
        <w:rPr>
          <w:sz w:val="22"/>
          <w:szCs w:val="22"/>
        </w:rPr>
        <w:t>Aprovar</w:t>
      </w:r>
      <w:r w:rsidR="00E34C88" w:rsidRPr="004C3708">
        <w:rPr>
          <w:sz w:val="22"/>
          <w:szCs w:val="22"/>
        </w:rPr>
        <w:t>,</w:t>
      </w:r>
      <w:r w:rsidRPr="004C3708">
        <w:rPr>
          <w:sz w:val="22"/>
          <w:szCs w:val="22"/>
        </w:rPr>
        <w:t xml:space="preserve"> </w:t>
      </w:r>
      <w:r w:rsidR="00E34C88" w:rsidRPr="004C3708">
        <w:rPr>
          <w:sz w:val="22"/>
          <w:szCs w:val="22"/>
        </w:rPr>
        <w:t xml:space="preserve">nos termos do Inciso (x) do Artigo 8º do Estatuto Social da Companhia, </w:t>
      </w:r>
      <w:r w:rsidRPr="004C3708">
        <w:rPr>
          <w:sz w:val="22"/>
          <w:szCs w:val="22"/>
        </w:rPr>
        <w:t>a realização da Oferta e da Emissão, observadas as características abaixo</w:t>
      </w:r>
      <w:r w:rsidR="004C3708" w:rsidRPr="004C3708">
        <w:rPr>
          <w:sz w:val="22"/>
          <w:szCs w:val="22"/>
        </w:rPr>
        <w:t xml:space="preserve">, que estão descritas detalhadamente no </w:t>
      </w:r>
      <w:r w:rsidR="004C3708">
        <w:rPr>
          <w:sz w:val="22"/>
          <w:szCs w:val="22"/>
        </w:rPr>
        <w:t>“</w:t>
      </w:r>
      <w:r w:rsidR="004C3708" w:rsidRPr="00866CA7">
        <w:rPr>
          <w:i/>
          <w:sz w:val="22"/>
          <w:szCs w:val="22"/>
        </w:rPr>
        <w:t>Instrumento Particular de Escritura da 2ª (Segunda) Emissão de Debêntures Simples, Não Conversíveis em Ações, da Espécie com Garantia Real, em Série Única, para Distribuição Pública, com Esforços Restritos de Distribuição, da Aliança Geração de Energia S.A.</w:t>
      </w:r>
      <w:r w:rsidR="004C3708">
        <w:rPr>
          <w:sz w:val="22"/>
          <w:szCs w:val="22"/>
        </w:rPr>
        <w:t>” (“</w:t>
      </w:r>
      <w:r w:rsidR="004C3708" w:rsidRPr="004C3708">
        <w:rPr>
          <w:sz w:val="22"/>
          <w:szCs w:val="22"/>
          <w:u w:val="single"/>
        </w:rPr>
        <w:t>Escritura de Emissão</w:t>
      </w:r>
      <w:r w:rsidR="004C3708">
        <w:rPr>
          <w:sz w:val="22"/>
          <w:szCs w:val="22"/>
        </w:rPr>
        <w:t>”)</w:t>
      </w:r>
      <w:r w:rsidR="004C3708" w:rsidRPr="004C3708">
        <w:rPr>
          <w:sz w:val="22"/>
          <w:szCs w:val="22"/>
        </w:rPr>
        <w:t xml:space="preserve"> </w:t>
      </w:r>
      <w:r w:rsidRPr="004C3708">
        <w:rPr>
          <w:sz w:val="22"/>
          <w:szCs w:val="22"/>
        </w:rPr>
        <w:t xml:space="preserve">: </w:t>
      </w:r>
    </w:p>
    <w:p w14:paraId="076E299E" w14:textId="77777777" w:rsidR="002F5A22" w:rsidRPr="00096117" w:rsidRDefault="002F5A22" w:rsidP="002F5A22">
      <w:pPr>
        <w:pStyle w:val="PargrafodaLista"/>
        <w:ind w:hanging="11"/>
        <w:rPr>
          <w:b/>
          <w:sz w:val="22"/>
          <w:szCs w:val="22"/>
        </w:rPr>
      </w:pPr>
    </w:p>
    <w:p w14:paraId="283F425B" w14:textId="2A21BE3C" w:rsidR="002F5A22" w:rsidRPr="00096117" w:rsidRDefault="002F5A22" w:rsidP="002F5A22">
      <w:pPr>
        <w:tabs>
          <w:tab w:val="left" w:pos="567"/>
        </w:tabs>
        <w:ind w:left="720" w:hanging="11"/>
        <w:jc w:val="both"/>
        <w:rPr>
          <w:bCs/>
          <w:sz w:val="22"/>
          <w:szCs w:val="22"/>
        </w:rPr>
      </w:pPr>
      <w:r w:rsidRPr="00096117">
        <w:rPr>
          <w:bCs/>
          <w:sz w:val="22"/>
          <w:szCs w:val="22"/>
        </w:rPr>
        <w:t>a)</w:t>
      </w:r>
      <w:r w:rsidRPr="00096117">
        <w:rPr>
          <w:bCs/>
          <w:sz w:val="22"/>
          <w:szCs w:val="22"/>
        </w:rPr>
        <w:tab/>
      </w:r>
      <w:r w:rsidRPr="00096117">
        <w:rPr>
          <w:bCs/>
          <w:sz w:val="22"/>
          <w:szCs w:val="22"/>
          <w:u w:val="single"/>
        </w:rPr>
        <w:t>Número da Emissão</w:t>
      </w:r>
      <w:r w:rsidRPr="00096117">
        <w:rPr>
          <w:bCs/>
          <w:sz w:val="22"/>
          <w:szCs w:val="22"/>
        </w:rPr>
        <w:t xml:space="preserve">: A </w:t>
      </w:r>
      <w:r w:rsidR="00E27F35">
        <w:rPr>
          <w:bCs/>
          <w:sz w:val="22"/>
          <w:szCs w:val="22"/>
        </w:rPr>
        <w:t xml:space="preserve">Escritura de Emissão constitui </w:t>
      </w:r>
      <w:r w:rsidRPr="00096117">
        <w:rPr>
          <w:bCs/>
          <w:sz w:val="22"/>
          <w:szCs w:val="22"/>
        </w:rPr>
        <w:t xml:space="preserve">a </w:t>
      </w:r>
      <w:r>
        <w:rPr>
          <w:bCs/>
          <w:sz w:val="22"/>
          <w:szCs w:val="22"/>
        </w:rPr>
        <w:t>2</w:t>
      </w:r>
      <w:r w:rsidRPr="00096117">
        <w:rPr>
          <w:bCs/>
          <w:sz w:val="22"/>
          <w:szCs w:val="22"/>
        </w:rPr>
        <w:t>ª (</w:t>
      </w:r>
      <w:r>
        <w:rPr>
          <w:bCs/>
          <w:sz w:val="22"/>
          <w:szCs w:val="22"/>
        </w:rPr>
        <w:t>segunda</w:t>
      </w:r>
      <w:r w:rsidRPr="00096117">
        <w:rPr>
          <w:bCs/>
          <w:sz w:val="22"/>
          <w:szCs w:val="22"/>
        </w:rPr>
        <w:t>) emissão de debêntures da Companhia.</w:t>
      </w:r>
    </w:p>
    <w:p w14:paraId="1DE15A21" w14:textId="77777777" w:rsidR="002F5A22" w:rsidRPr="00096117" w:rsidRDefault="002F5A22" w:rsidP="002F5A22">
      <w:pPr>
        <w:tabs>
          <w:tab w:val="left" w:pos="567"/>
        </w:tabs>
        <w:ind w:left="720" w:hanging="11"/>
        <w:jc w:val="both"/>
        <w:rPr>
          <w:bCs/>
          <w:sz w:val="22"/>
          <w:szCs w:val="22"/>
        </w:rPr>
      </w:pPr>
    </w:p>
    <w:p w14:paraId="694B58E3" w14:textId="6B8BC967" w:rsidR="002F5A22" w:rsidRDefault="002F5A22" w:rsidP="002F5A22">
      <w:pPr>
        <w:tabs>
          <w:tab w:val="left" w:pos="567"/>
        </w:tabs>
        <w:ind w:left="720" w:hanging="11"/>
        <w:jc w:val="both"/>
        <w:rPr>
          <w:bCs/>
          <w:sz w:val="22"/>
          <w:szCs w:val="22"/>
        </w:rPr>
      </w:pPr>
      <w:r w:rsidRPr="001527C2">
        <w:rPr>
          <w:bCs/>
          <w:sz w:val="22"/>
          <w:szCs w:val="22"/>
        </w:rPr>
        <w:t>b)</w:t>
      </w:r>
      <w:r w:rsidRPr="001527C2">
        <w:rPr>
          <w:bCs/>
          <w:sz w:val="22"/>
          <w:szCs w:val="22"/>
        </w:rPr>
        <w:tab/>
      </w:r>
      <w:r w:rsidRPr="001527C2">
        <w:rPr>
          <w:bCs/>
          <w:sz w:val="22"/>
          <w:szCs w:val="22"/>
          <w:u w:val="single"/>
        </w:rPr>
        <w:t>Valor Total de Emissão</w:t>
      </w:r>
      <w:r w:rsidRPr="001527C2">
        <w:rPr>
          <w:bCs/>
          <w:sz w:val="22"/>
          <w:szCs w:val="22"/>
        </w:rPr>
        <w:t xml:space="preserve">: O valor total de Emissão </w:t>
      </w:r>
      <w:r w:rsidR="00E27F35">
        <w:rPr>
          <w:bCs/>
          <w:sz w:val="22"/>
          <w:szCs w:val="22"/>
        </w:rPr>
        <w:t>é</w:t>
      </w:r>
      <w:r w:rsidR="00E27F35" w:rsidRPr="001527C2">
        <w:rPr>
          <w:bCs/>
          <w:sz w:val="22"/>
          <w:szCs w:val="22"/>
        </w:rPr>
        <w:t xml:space="preserve"> </w:t>
      </w:r>
      <w:r w:rsidRPr="001527C2">
        <w:rPr>
          <w:bCs/>
          <w:sz w:val="22"/>
          <w:szCs w:val="22"/>
        </w:rPr>
        <w:t>de</w:t>
      </w:r>
      <w:r>
        <w:rPr>
          <w:bCs/>
          <w:sz w:val="22"/>
          <w:szCs w:val="22"/>
        </w:rPr>
        <w:t xml:space="preserve"> </w:t>
      </w:r>
      <w:r w:rsidRPr="001527C2">
        <w:rPr>
          <w:bCs/>
          <w:sz w:val="22"/>
          <w:szCs w:val="22"/>
        </w:rPr>
        <w:t xml:space="preserve">R$ </w:t>
      </w:r>
      <w:r>
        <w:rPr>
          <w:bCs/>
          <w:sz w:val="22"/>
          <w:szCs w:val="22"/>
        </w:rPr>
        <w:t>77</w:t>
      </w:r>
      <w:r w:rsidRPr="001527C2">
        <w:rPr>
          <w:bCs/>
          <w:sz w:val="22"/>
          <w:szCs w:val="22"/>
        </w:rPr>
        <w:t>.000.000,00 (</w:t>
      </w:r>
      <w:r>
        <w:rPr>
          <w:bCs/>
          <w:sz w:val="22"/>
          <w:szCs w:val="22"/>
        </w:rPr>
        <w:t>setenta e sete</w:t>
      </w:r>
      <w:r w:rsidRPr="001527C2">
        <w:rPr>
          <w:bCs/>
          <w:sz w:val="22"/>
          <w:szCs w:val="22"/>
        </w:rPr>
        <w:t xml:space="preserve"> milhões de reais)</w:t>
      </w:r>
      <w:r>
        <w:rPr>
          <w:bCs/>
          <w:sz w:val="22"/>
          <w:szCs w:val="22"/>
        </w:rPr>
        <w:t xml:space="preserve"> na Data de Emissão</w:t>
      </w:r>
      <w:r w:rsidRPr="001527C2">
        <w:rPr>
          <w:bCs/>
          <w:sz w:val="22"/>
          <w:szCs w:val="22"/>
        </w:rPr>
        <w:t>.</w:t>
      </w:r>
    </w:p>
    <w:p w14:paraId="0A9DDF73" w14:textId="77777777" w:rsidR="002F5A22" w:rsidRPr="000E409A" w:rsidRDefault="002F5A22" w:rsidP="002F5A22">
      <w:pPr>
        <w:tabs>
          <w:tab w:val="left" w:pos="567"/>
        </w:tabs>
        <w:ind w:left="720" w:hanging="11"/>
        <w:jc w:val="both"/>
        <w:rPr>
          <w:bCs/>
          <w:sz w:val="22"/>
          <w:szCs w:val="22"/>
        </w:rPr>
      </w:pPr>
      <w:r>
        <w:rPr>
          <w:bCs/>
          <w:sz w:val="22"/>
          <w:szCs w:val="22"/>
        </w:rPr>
        <w:t xml:space="preserve"> </w:t>
      </w:r>
    </w:p>
    <w:p w14:paraId="6591F03A" w14:textId="1FC1DC6F" w:rsidR="002F5A22" w:rsidRPr="001527C2" w:rsidRDefault="002F5A22" w:rsidP="002F5A22">
      <w:pPr>
        <w:tabs>
          <w:tab w:val="left" w:pos="567"/>
        </w:tabs>
        <w:ind w:left="720" w:hanging="11"/>
        <w:jc w:val="both"/>
        <w:rPr>
          <w:bCs/>
          <w:sz w:val="22"/>
          <w:szCs w:val="22"/>
        </w:rPr>
      </w:pPr>
      <w:r w:rsidRPr="000E409A">
        <w:rPr>
          <w:bCs/>
          <w:sz w:val="22"/>
          <w:szCs w:val="22"/>
        </w:rPr>
        <w:t>c)</w:t>
      </w:r>
      <w:r w:rsidRPr="000E409A">
        <w:rPr>
          <w:bCs/>
          <w:sz w:val="22"/>
          <w:szCs w:val="22"/>
        </w:rPr>
        <w:tab/>
      </w:r>
      <w:r w:rsidRPr="000E409A">
        <w:rPr>
          <w:bCs/>
          <w:sz w:val="22"/>
          <w:szCs w:val="22"/>
          <w:u w:val="single"/>
        </w:rPr>
        <w:t>Data de Emissão</w:t>
      </w:r>
      <w:r w:rsidRPr="000E409A">
        <w:rPr>
          <w:bCs/>
          <w:sz w:val="22"/>
          <w:szCs w:val="22"/>
        </w:rPr>
        <w:t xml:space="preserve">: </w:t>
      </w:r>
      <w:r>
        <w:rPr>
          <w:bCs/>
          <w:sz w:val="22"/>
          <w:szCs w:val="22"/>
        </w:rPr>
        <w:t>P</w:t>
      </w:r>
      <w:r w:rsidRPr="000E409A">
        <w:rPr>
          <w:bCs/>
          <w:sz w:val="22"/>
          <w:szCs w:val="22"/>
        </w:rPr>
        <w:t>ara todos os fins e efeitos,</w:t>
      </w:r>
      <w:r>
        <w:rPr>
          <w:bCs/>
          <w:sz w:val="22"/>
          <w:szCs w:val="22"/>
        </w:rPr>
        <w:t xml:space="preserve"> a data de emissão das Debêntures é</w:t>
      </w:r>
      <w:r w:rsidRPr="000E409A">
        <w:rPr>
          <w:bCs/>
          <w:sz w:val="22"/>
          <w:szCs w:val="22"/>
        </w:rPr>
        <w:t xml:space="preserve"> </w:t>
      </w:r>
      <w:r>
        <w:rPr>
          <w:bCs/>
          <w:sz w:val="22"/>
          <w:szCs w:val="22"/>
        </w:rPr>
        <w:t xml:space="preserve">o dia </w:t>
      </w:r>
      <w:r w:rsidR="00E34C88" w:rsidRPr="00E34C88">
        <w:rPr>
          <w:sz w:val="22"/>
          <w:szCs w:val="22"/>
          <w:highlight w:val="yellow"/>
        </w:rPr>
        <w:t>[●]</w:t>
      </w:r>
      <w:r w:rsidRPr="001527C2">
        <w:rPr>
          <w:sz w:val="22"/>
          <w:szCs w:val="22"/>
        </w:rPr>
        <w:t xml:space="preserve"> de </w:t>
      </w:r>
      <w:r w:rsidR="00E34C88" w:rsidRPr="00E34C88">
        <w:rPr>
          <w:sz w:val="22"/>
          <w:szCs w:val="22"/>
          <w:highlight w:val="yellow"/>
        </w:rPr>
        <w:t>[●]</w:t>
      </w:r>
      <w:r w:rsidRPr="001527C2">
        <w:rPr>
          <w:sz w:val="22"/>
          <w:szCs w:val="22"/>
        </w:rPr>
        <w:t xml:space="preserve"> de 201</w:t>
      </w:r>
      <w:r>
        <w:rPr>
          <w:sz w:val="22"/>
          <w:szCs w:val="22"/>
        </w:rPr>
        <w:t>9</w:t>
      </w:r>
      <w:r w:rsidRPr="001527C2">
        <w:rPr>
          <w:bCs/>
          <w:iCs/>
          <w:sz w:val="22"/>
          <w:szCs w:val="22"/>
        </w:rPr>
        <w:t xml:space="preserve"> (</w:t>
      </w:r>
      <w:r w:rsidRPr="00705F9E">
        <w:rPr>
          <w:bCs/>
          <w:iCs/>
          <w:sz w:val="22"/>
          <w:szCs w:val="22"/>
          <w:u w:val="single"/>
        </w:rPr>
        <w:t>“Data de Emissão</w:t>
      </w:r>
      <w:r w:rsidRPr="001527C2">
        <w:rPr>
          <w:bCs/>
          <w:iCs/>
          <w:sz w:val="22"/>
          <w:szCs w:val="22"/>
        </w:rPr>
        <w:t>”)</w:t>
      </w:r>
      <w:r w:rsidRPr="001527C2">
        <w:rPr>
          <w:bCs/>
          <w:sz w:val="22"/>
          <w:szCs w:val="22"/>
        </w:rPr>
        <w:t>.</w:t>
      </w:r>
    </w:p>
    <w:p w14:paraId="2AB9DCC7" w14:textId="77777777" w:rsidR="002F5A22" w:rsidRPr="001527C2" w:rsidRDefault="002F5A22" w:rsidP="002F5A22">
      <w:pPr>
        <w:tabs>
          <w:tab w:val="left" w:pos="567"/>
        </w:tabs>
        <w:ind w:left="720" w:hanging="11"/>
        <w:jc w:val="both"/>
        <w:rPr>
          <w:bCs/>
          <w:sz w:val="22"/>
          <w:szCs w:val="22"/>
        </w:rPr>
      </w:pPr>
    </w:p>
    <w:p w14:paraId="375793DD" w14:textId="55655A99" w:rsidR="002F5A22" w:rsidRPr="001527C2" w:rsidRDefault="002F5A22" w:rsidP="002F5A22">
      <w:pPr>
        <w:tabs>
          <w:tab w:val="left" w:pos="567"/>
        </w:tabs>
        <w:ind w:left="720" w:hanging="11"/>
        <w:jc w:val="both"/>
        <w:rPr>
          <w:bCs/>
          <w:sz w:val="22"/>
          <w:szCs w:val="22"/>
        </w:rPr>
      </w:pPr>
      <w:r w:rsidRPr="001527C2">
        <w:rPr>
          <w:bCs/>
          <w:sz w:val="22"/>
          <w:szCs w:val="22"/>
        </w:rPr>
        <w:t>d)</w:t>
      </w:r>
      <w:r w:rsidRPr="001527C2">
        <w:rPr>
          <w:bCs/>
          <w:sz w:val="22"/>
          <w:szCs w:val="22"/>
        </w:rPr>
        <w:tab/>
      </w:r>
      <w:r w:rsidRPr="000E409A">
        <w:rPr>
          <w:bCs/>
          <w:sz w:val="22"/>
          <w:szCs w:val="22"/>
          <w:u w:val="single"/>
        </w:rPr>
        <w:t>Quantidade</w:t>
      </w:r>
      <w:r w:rsidRPr="000E409A">
        <w:rPr>
          <w:bCs/>
          <w:sz w:val="22"/>
          <w:szCs w:val="22"/>
        </w:rPr>
        <w:t xml:space="preserve">: Serão emitidas </w:t>
      </w:r>
      <w:r>
        <w:rPr>
          <w:sz w:val="22"/>
          <w:szCs w:val="22"/>
        </w:rPr>
        <w:t>77.000</w:t>
      </w:r>
      <w:r w:rsidRPr="001527C2">
        <w:rPr>
          <w:bCs/>
          <w:sz w:val="22"/>
          <w:szCs w:val="22"/>
        </w:rPr>
        <w:t xml:space="preserve"> (</w:t>
      </w:r>
      <w:r>
        <w:rPr>
          <w:sz w:val="22"/>
          <w:szCs w:val="22"/>
        </w:rPr>
        <w:t>setenta e sete mil</w:t>
      </w:r>
      <w:r w:rsidRPr="001527C2">
        <w:rPr>
          <w:bCs/>
          <w:sz w:val="22"/>
          <w:szCs w:val="22"/>
        </w:rPr>
        <w:t xml:space="preserve">) Debêntures. </w:t>
      </w:r>
    </w:p>
    <w:p w14:paraId="35D04965" w14:textId="77777777" w:rsidR="002F5A22" w:rsidRPr="001527C2" w:rsidRDefault="002F5A22" w:rsidP="002F5A22">
      <w:pPr>
        <w:tabs>
          <w:tab w:val="left" w:pos="567"/>
        </w:tabs>
        <w:ind w:left="720" w:hanging="11"/>
        <w:jc w:val="both"/>
        <w:rPr>
          <w:bCs/>
          <w:sz w:val="22"/>
          <w:szCs w:val="22"/>
        </w:rPr>
      </w:pPr>
    </w:p>
    <w:p w14:paraId="129C85CE" w14:textId="1D6564C6" w:rsidR="002F5A22" w:rsidRPr="001527C2" w:rsidRDefault="002F5A22" w:rsidP="002F5A22">
      <w:pPr>
        <w:tabs>
          <w:tab w:val="left" w:pos="567"/>
        </w:tabs>
        <w:ind w:left="720" w:hanging="11"/>
        <w:jc w:val="both"/>
        <w:rPr>
          <w:bCs/>
          <w:sz w:val="22"/>
          <w:szCs w:val="22"/>
        </w:rPr>
      </w:pPr>
      <w:r w:rsidRPr="001527C2">
        <w:rPr>
          <w:bCs/>
          <w:sz w:val="22"/>
          <w:szCs w:val="22"/>
        </w:rPr>
        <w:t>e)</w:t>
      </w:r>
      <w:r w:rsidRPr="001527C2">
        <w:rPr>
          <w:bCs/>
          <w:sz w:val="22"/>
          <w:szCs w:val="22"/>
        </w:rPr>
        <w:tab/>
      </w:r>
      <w:r w:rsidRPr="001527C2">
        <w:rPr>
          <w:bCs/>
          <w:sz w:val="22"/>
          <w:szCs w:val="22"/>
          <w:u w:val="single"/>
        </w:rPr>
        <w:t>Valor Nominal Unitário</w:t>
      </w:r>
      <w:r w:rsidRPr="001527C2">
        <w:rPr>
          <w:bCs/>
          <w:sz w:val="22"/>
          <w:szCs w:val="22"/>
        </w:rPr>
        <w:t xml:space="preserve">: </w:t>
      </w:r>
      <w:r>
        <w:rPr>
          <w:bCs/>
          <w:sz w:val="22"/>
          <w:szCs w:val="22"/>
        </w:rPr>
        <w:t xml:space="preserve">O valor nominal unitário das Debêntures será de </w:t>
      </w:r>
      <w:r w:rsidRPr="001527C2">
        <w:rPr>
          <w:bCs/>
          <w:sz w:val="22"/>
          <w:szCs w:val="22"/>
        </w:rPr>
        <w:t xml:space="preserve">R$ </w:t>
      </w:r>
      <w:r>
        <w:rPr>
          <w:sz w:val="22"/>
          <w:szCs w:val="22"/>
        </w:rPr>
        <w:t>1.000,00</w:t>
      </w:r>
      <w:r w:rsidRPr="001527C2">
        <w:rPr>
          <w:bCs/>
          <w:sz w:val="22"/>
          <w:szCs w:val="22"/>
        </w:rPr>
        <w:t xml:space="preserve"> (</w:t>
      </w:r>
      <w:r>
        <w:rPr>
          <w:sz w:val="22"/>
          <w:szCs w:val="22"/>
        </w:rPr>
        <w:t>mil reais</w:t>
      </w:r>
      <w:r w:rsidRPr="001527C2">
        <w:rPr>
          <w:bCs/>
          <w:sz w:val="22"/>
          <w:szCs w:val="22"/>
        </w:rPr>
        <w:t>), na Data de Emissão (“</w:t>
      </w:r>
      <w:r w:rsidRPr="00705F9E">
        <w:rPr>
          <w:bCs/>
          <w:sz w:val="22"/>
          <w:szCs w:val="22"/>
          <w:u w:val="single"/>
        </w:rPr>
        <w:t>Valor Nominal Unitário</w:t>
      </w:r>
      <w:r w:rsidRPr="001527C2">
        <w:rPr>
          <w:bCs/>
          <w:sz w:val="22"/>
          <w:szCs w:val="22"/>
        </w:rPr>
        <w:t>”).</w:t>
      </w:r>
    </w:p>
    <w:p w14:paraId="19C5E8B6" w14:textId="77777777" w:rsidR="002F5A22" w:rsidRPr="001527C2" w:rsidRDefault="002F5A22" w:rsidP="002F5A22">
      <w:pPr>
        <w:tabs>
          <w:tab w:val="left" w:pos="567"/>
        </w:tabs>
        <w:ind w:left="720" w:hanging="11"/>
        <w:jc w:val="both"/>
        <w:rPr>
          <w:bCs/>
          <w:sz w:val="22"/>
          <w:szCs w:val="22"/>
        </w:rPr>
      </w:pPr>
    </w:p>
    <w:p w14:paraId="587D3C6C" w14:textId="4319DC6D" w:rsidR="002F5A22" w:rsidRPr="000E409A" w:rsidRDefault="002F5A22" w:rsidP="002F5A22">
      <w:pPr>
        <w:tabs>
          <w:tab w:val="left" w:pos="567"/>
        </w:tabs>
        <w:ind w:left="720" w:hanging="11"/>
        <w:jc w:val="both"/>
        <w:rPr>
          <w:bCs/>
          <w:sz w:val="22"/>
          <w:szCs w:val="22"/>
        </w:rPr>
      </w:pPr>
      <w:r w:rsidRPr="001527C2">
        <w:rPr>
          <w:bCs/>
          <w:sz w:val="22"/>
          <w:szCs w:val="22"/>
        </w:rPr>
        <w:t>f)</w:t>
      </w:r>
      <w:r w:rsidRPr="001527C2">
        <w:rPr>
          <w:bCs/>
          <w:sz w:val="22"/>
          <w:szCs w:val="22"/>
        </w:rPr>
        <w:tab/>
      </w:r>
      <w:r w:rsidR="00E27F35">
        <w:rPr>
          <w:bCs/>
          <w:sz w:val="22"/>
          <w:szCs w:val="22"/>
        </w:rPr>
        <w:t xml:space="preserve">Número de </w:t>
      </w:r>
      <w:r w:rsidRPr="001527C2">
        <w:rPr>
          <w:bCs/>
          <w:sz w:val="22"/>
          <w:szCs w:val="22"/>
          <w:u w:val="single"/>
        </w:rPr>
        <w:t>Séries</w:t>
      </w:r>
      <w:r w:rsidRPr="000E409A">
        <w:rPr>
          <w:bCs/>
          <w:sz w:val="22"/>
          <w:szCs w:val="22"/>
        </w:rPr>
        <w:t xml:space="preserve">: A </w:t>
      </w:r>
      <w:r>
        <w:rPr>
          <w:bCs/>
          <w:sz w:val="22"/>
          <w:szCs w:val="22"/>
        </w:rPr>
        <w:t>E</w:t>
      </w:r>
      <w:r w:rsidRPr="000E409A">
        <w:rPr>
          <w:bCs/>
          <w:sz w:val="22"/>
          <w:szCs w:val="22"/>
        </w:rPr>
        <w:t xml:space="preserve">missão será realizada em série única. </w:t>
      </w:r>
    </w:p>
    <w:p w14:paraId="5783DED0" w14:textId="77777777" w:rsidR="002F5A22" w:rsidRPr="00785BF0" w:rsidRDefault="002F5A22" w:rsidP="002F5A22">
      <w:pPr>
        <w:tabs>
          <w:tab w:val="left" w:pos="567"/>
        </w:tabs>
        <w:ind w:left="720" w:hanging="11"/>
        <w:jc w:val="both"/>
        <w:rPr>
          <w:bCs/>
          <w:sz w:val="22"/>
          <w:szCs w:val="22"/>
        </w:rPr>
      </w:pPr>
    </w:p>
    <w:p w14:paraId="7907BAC2" w14:textId="69F9D790" w:rsidR="002F5A22" w:rsidRPr="00096117" w:rsidRDefault="002F5A22" w:rsidP="002F5A22">
      <w:pPr>
        <w:tabs>
          <w:tab w:val="left" w:pos="567"/>
        </w:tabs>
        <w:ind w:left="720" w:hanging="11"/>
        <w:jc w:val="both"/>
        <w:rPr>
          <w:bCs/>
          <w:sz w:val="22"/>
          <w:szCs w:val="22"/>
        </w:rPr>
      </w:pPr>
      <w:r w:rsidRPr="008E133E">
        <w:rPr>
          <w:bCs/>
          <w:sz w:val="22"/>
          <w:szCs w:val="22"/>
        </w:rPr>
        <w:t>g)</w:t>
      </w:r>
      <w:r w:rsidRPr="008E133E">
        <w:rPr>
          <w:bCs/>
          <w:sz w:val="22"/>
          <w:szCs w:val="22"/>
        </w:rPr>
        <w:tab/>
      </w:r>
      <w:r w:rsidRPr="008E133E">
        <w:rPr>
          <w:bCs/>
          <w:sz w:val="22"/>
          <w:szCs w:val="22"/>
          <w:u w:val="single"/>
        </w:rPr>
        <w:t>Forma, Conversibilidade e Comprovação</w:t>
      </w:r>
      <w:r w:rsidRPr="00096117">
        <w:rPr>
          <w:bCs/>
          <w:sz w:val="22"/>
          <w:szCs w:val="22"/>
          <w:u w:val="single"/>
        </w:rPr>
        <w:t xml:space="preserve"> da Titularidade das Debêntures</w:t>
      </w:r>
      <w:r w:rsidRPr="00096117">
        <w:rPr>
          <w:bCs/>
          <w:sz w:val="22"/>
          <w:szCs w:val="22"/>
        </w:rPr>
        <w:t xml:space="preserve">: </w:t>
      </w:r>
      <w:r w:rsidRPr="002F5A22">
        <w:rPr>
          <w:bCs/>
          <w:sz w:val="22"/>
          <w:szCs w:val="22"/>
        </w:rPr>
        <w:t xml:space="preserve">As Debêntures serão simples, ou seja, não conversíveis em ações de emissão da </w:t>
      </w:r>
      <w:r>
        <w:rPr>
          <w:bCs/>
          <w:sz w:val="22"/>
          <w:szCs w:val="22"/>
        </w:rPr>
        <w:t>Companhia</w:t>
      </w:r>
      <w:r w:rsidRPr="002F5A22">
        <w:rPr>
          <w:bCs/>
          <w:sz w:val="22"/>
          <w:szCs w:val="22"/>
        </w:rPr>
        <w:t xml:space="preserve">. As </w:t>
      </w:r>
      <w:r w:rsidRPr="002F5A22">
        <w:rPr>
          <w:bCs/>
          <w:sz w:val="22"/>
          <w:szCs w:val="22"/>
        </w:rPr>
        <w:lastRenderedPageBreak/>
        <w:t>Debêntures serão escriturais e nominativas, sem emissão de cautelas ou certificados.</w:t>
      </w:r>
      <w:r w:rsidRPr="00096117">
        <w:rPr>
          <w:bCs/>
          <w:sz w:val="22"/>
          <w:szCs w:val="22"/>
        </w:rPr>
        <w:t xml:space="preserve"> </w:t>
      </w:r>
      <w:r w:rsidRPr="002F5A22">
        <w:rPr>
          <w:bCs/>
          <w:sz w:val="22"/>
          <w:szCs w:val="22"/>
        </w:rPr>
        <w:t>Para todos os fins de direito, a titularidade das Debêntures será comprovada pelo extrato emitido pelo Escriturador</w:t>
      </w:r>
      <w:r>
        <w:rPr>
          <w:bCs/>
          <w:sz w:val="22"/>
          <w:szCs w:val="22"/>
        </w:rPr>
        <w:t xml:space="preserve"> (conforme definido na Escritura de Emissão)</w:t>
      </w:r>
      <w:r w:rsidRPr="002F5A22">
        <w:rPr>
          <w:bCs/>
          <w:sz w:val="22"/>
          <w:szCs w:val="22"/>
        </w:rPr>
        <w:t>, onde serão inscritos os nomes dos respectivos Debenturistas. Adicionalmente, será reconhecido, como comprovante de titularidade das Debêntures, o extrato emitido pela B3</w:t>
      </w:r>
      <w:r>
        <w:rPr>
          <w:bCs/>
          <w:sz w:val="22"/>
          <w:szCs w:val="22"/>
        </w:rPr>
        <w:t xml:space="preserve"> S.A. – Brasil, Bolsa, Balcão – Segmento CETIP UTVM (“</w:t>
      </w:r>
      <w:r w:rsidRPr="002F5A22">
        <w:rPr>
          <w:bCs/>
          <w:sz w:val="22"/>
          <w:szCs w:val="22"/>
          <w:u w:val="single"/>
        </w:rPr>
        <w:t>B3</w:t>
      </w:r>
      <w:r>
        <w:rPr>
          <w:bCs/>
          <w:sz w:val="22"/>
          <w:szCs w:val="22"/>
        </w:rPr>
        <w:t>”)</w:t>
      </w:r>
      <w:r w:rsidRPr="002F5A22">
        <w:rPr>
          <w:bCs/>
          <w:sz w:val="22"/>
          <w:szCs w:val="22"/>
        </w:rPr>
        <w:t>, em nome do Debenturista, quando as Debêntures estiverem custodiadas eletronicamente na B3</w:t>
      </w:r>
      <w:r w:rsidRPr="00096117">
        <w:rPr>
          <w:bCs/>
          <w:iCs/>
          <w:sz w:val="22"/>
          <w:szCs w:val="22"/>
        </w:rPr>
        <w:t xml:space="preserve">. </w:t>
      </w:r>
    </w:p>
    <w:p w14:paraId="3894A594" w14:textId="77777777" w:rsidR="002F5A22" w:rsidRPr="00096117" w:rsidRDefault="002F5A22" w:rsidP="002F5A22">
      <w:pPr>
        <w:tabs>
          <w:tab w:val="left" w:pos="567"/>
        </w:tabs>
        <w:ind w:left="720" w:hanging="11"/>
        <w:jc w:val="both"/>
        <w:rPr>
          <w:bCs/>
          <w:sz w:val="22"/>
          <w:szCs w:val="22"/>
        </w:rPr>
      </w:pPr>
    </w:p>
    <w:p w14:paraId="39A0F768" w14:textId="4C483253" w:rsidR="002F5A22" w:rsidRPr="00096117" w:rsidRDefault="002F5A22" w:rsidP="002F5A22">
      <w:pPr>
        <w:tabs>
          <w:tab w:val="left" w:pos="567"/>
        </w:tabs>
        <w:ind w:left="720" w:hanging="11"/>
        <w:jc w:val="both"/>
        <w:rPr>
          <w:bCs/>
          <w:sz w:val="22"/>
          <w:szCs w:val="22"/>
        </w:rPr>
      </w:pPr>
      <w:r w:rsidRPr="00096117">
        <w:rPr>
          <w:bCs/>
          <w:sz w:val="22"/>
          <w:szCs w:val="22"/>
        </w:rPr>
        <w:t>h)</w:t>
      </w:r>
      <w:r w:rsidRPr="00096117">
        <w:rPr>
          <w:bCs/>
          <w:sz w:val="22"/>
          <w:szCs w:val="22"/>
        </w:rPr>
        <w:tab/>
      </w:r>
      <w:r w:rsidRPr="00096117">
        <w:rPr>
          <w:bCs/>
          <w:sz w:val="22"/>
          <w:szCs w:val="22"/>
          <w:u w:val="single"/>
        </w:rPr>
        <w:t>Garantias</w:t>
      </w:r>
      <w:r w:rsidR="00E27F35">
        <w:rPr>
          <w:bCs/>
          <w:sz w:val="22"/>
          <w:szCs w:val="22"/>
          <w:u w:val="single"/>
        </w:rPr>
        <w:t xml:space="preserve"> Reais</w:t>
      </w:r>
      <w:r w:rsidRPr="00096117">
        <w:rPr>
          <w:bCs/>
          <w:sz w:val="22"/>
          <w:szCs w:val="22"/>
        </w:rPr>
        <w:t xml:space="preserve">: </w:t>
      </w:r>
      <w:r>
        <w:rPr>
          <w:bCs/>
          <w:sz w:val="22"/>
          <w:szCs w:val="22"/>
        </w:rPr>
        <w:t>P</w:t>
      </w:r>
      <w:r w:rsidRPr="002F5A22">
        <w:rPr>
          <w:bCs/>
          <w:sz w:val="22"/>
          <w:szCs w:val="22"/>
        </w:rPr>
        <w:t xml:space="preserve">ara assegurar, na forma descrita na </w:t>
      </w:r>
      <w:r>
        <w:rPr>
          <w:bCs/>
          <w:sz w:val="22"/>
          <w:szCs w:val="22"/>
        </w:rPr>
        <w:t>Escritura de Emissão</w:t>
      </w:r>
      <w:r w:rsidRPr="002F5A22">
        <w:rPr>
          <w:bCs/>
          <w:sz w:val="22"/>
          <w:szCs w:val="22"/>
        </w:rPr>
        <w:t xml:space="preserve">, o fiel, pontual e integral pagamento </w:t>
      </w:r>
      <w:r>
        <w:rPr>
          <w:bCs/>
          <w:sz w:val="22"/>
          <w:szCs w:val="22"/>
        </w:rPr>
        <w:t>das</w:t>
      </w:r>
      <w:r w:rsidRPr="002F5A22">
        <w:rPr>
          <w:bCs/>
          <w:sz w:val="22"/>
          <w:szCs w:val="22"/>
        </w:rPr>
        <w:t xml:space="preserve"> Obrigações Garantidas</w:t>
      </w:r>
      <w:r>
        <w:rPr>
          <w:bCs/>
          <w:sz w:val="22"/>
          <w:szCs w:val="22"/>
        </w:rPr>
        <w:t xml:space="preserve"> (conforme definidas na Escritura de Emissão) as Debêntures contarão com as seguintes garantias reais</w:t>
      </w:r>
      <w:r w:rsidRPr="002F5A22">
        <w:rPr>
          <w:bCs/>
          <w:sz w:val="22"/>
          <w:szCs w:val="22"/>
        </w:rPr>
        <w:t>:</w:t>
      </w:r>
      <w:r>
        <w:rPr>
          <w:bCs/>
          <w:sz w:val="22"/>
          <w:szCs w:val="22"/>
        </w:rPr>
        <w:t xml:space="preserve"> </w:t>
      </w:r>
      <w:r w:rsidRPr="00473C1D">
        <w:rPr>
          <w:b/>
          <w:bCs/>
          <w:sz w:val="22"/>
          <w:szCs w:val="22"/>
        </w:rPr>
        <w:t>1.</w:t>
      </w:r>
      <w:r>
        <w:rPr>
          <w:bCs/>
          <w:sz w:val="22"/>
          <w:szCs w:val="22"/>
        </w:rPr>
        <w:t xml:space="preserve"> </w:t>
      </w:r>
      <w:r w:rsidR="00E27F35" w:rsidRPr="00E27F35">
        <w:rPr>
          <w:bCs/>
          <w:sz w:val="22"/>
          <w:szCs w:val="22"/>
        </w:rPr>
        <w:t>(i)</w:t>
      </w:r>
      <w:r w:rsidR="00E27F35" w:rsidRPr="00E27F35">
        <w:rPr>
          <w:bCs/>
          <w:sz w:val="22"/>
          <w:szCs w:val="22"/>
        </w:rPr>
        <w:tab/>
        <w:t xml:space="preserve">penhor, em primeiro grau, da totalidade das ações atuais e futuras, representativas do capital social das </w:t>
      </w:r>
      <w:r w:rsidR="00E27F35" w:rsidRPr="002F5A22">
        <w:rPr>
          <w:bCs/>
          <w:sz w:val="22"/>
          <w:szCs w:val="22"/>
        </w:rPr>
        <w:t xml:space="preserve">da </w:t>
      </w:r>
      <w:r w:rsidR="00E27F35" w:rsidRPr="00BD1A9C">
        <w:rPr>
          <w:bCs/>
          <w:sz w:val="22"/>
          <w:szCs w:val="22"/>
        </w:rPr>
        <w:t xml:space="preserve">CENTRAL EÓLICA SANTO INÁCIO III S.A., sociedade por ações de capital fechado, com sede na Cidade de </w:t>
      </w:r>
      <w:proofErr w:type="spellStart"/>
      <w:r w:rsidR="00E27F35" w:rsidRPr="00BD1A9C">
        <w:rPr>
          <w:bCs/>
          <w:sz w:val="22"/>
          <w:szCs w:val="22"/>
        </w:rPr>
        <w:t>Icapuí</w:t>
      </w:r>
      <w:proofErr w:type="spellEnd"/>
      <w:r w:rsidR="00E27F35" w:rsidRPr="00BD1A9C">
        <w:rPr>
          <w:bCs/>
          <w:sz w:val="22"/>
          <w:szCs w:val="22"/>
        </w:rPr>
        <w:t>, Estado do Ceará, na Rua 19, s/n, Letra B, Praia do Ceará, CEP 62810-000, inscrita no CNPJ/ME sob o nº 12.009.141/0001-54, e na Junta Comercial do Estado do Ceará (“</w:t>
      </w:r>
      <w:r w:rsidR="00E27F35" w:rsidRPr="00BD1A9C">
        <w:rPr>
          <w:bCs/>
          <w:sz w:val="22"/>
          <w:szCs w:val="22"/>
          <w:u w:val="single"/>
        </w:rPr>
        <w:t>JUCEC</w:t>
      </w:r>
      <w:r w:rsidR="00E27F35" w:rsidRPr="00BD1A9C">
        <w:rPr>
          <w:bCs/>
          <w:sz w:val="22"/>
          <w:szCs w:val="22"/>
        </w:rPr>
        <w:t>”) sob o NIRE 2330003853-3 (“</w:t>
      </w:r>
      <w:r w:rsidR="00E27F35" w:rsidRPr="00BD1A9C">
        <w:rPr>
          <w:bCs/>
          <w:sz w:val="22"/>
          <w:szCs w:val="22"/>
          <w:u w:val="single"/>
        </w:rPr>
        <w:t>CESI III</w:t>
      </w:r>
      <w:r w:rsidR="00E27F35" w:rsidRPr="00BD1A9C">
        <w:rPr>
          <w:bCs/>
          <w:sz w:val="22"/>
          <w:szCs w:val="22"/>
        </w:rPr>
        <w:t xml:space="preserve">”); CENTRAL EÓLICA SANTO INÁCIO IV S.A., sociedade por ações de capital fechado, com sede na Cidade de </w:t>
      </w:r>
      <w:proofErr w:type="spellStart"/>
      <w:r w:rsidR="00E27F35" w:rsidRPr="00BD1A9C">
        <w:rPr>
          <w:bCs/>
          <w:sz w:val="22"/>
          <w:szCs w:val="22"/>
        </w:rPr>
        <w:t>Icapuí</w:t>
      </w:r>
      <w:proofErr w:type="spellEnd"/>
      <w:r w:rsidR="00E27F35" w:rsidRPr="00BD1A9C">
        <w:rPr>
          <w:bCs/>
          <w:sz w:val="22"/>
          <w:szCs w:val="22"/>
        </w:rPr>
        <w:t>, Estado do Ceará, na Rua 19, s/n, Letra C, Praia do Ceará, CEP 62810-000, inscrita no CNPJ/ME sob o nº 11.738.349/0001-41, e na JUCEC sob o NIRE 2330003856-8 (“</w:t>
      </w:r>
      <w:r w:rsidR="00E27F35" w:rsidRPr="00BD1A9C">
        <w:rPr>
          <w:bCs/>
          <w:sz w:val="22"/>
          <w:szCs w:val="22"/>
          <w:u w:val="single"/>
        </w:rPr>
        <w:t>CESI IV</w:t>
      </w:r>
      <w:r w:rsidR="00E27F35" w:rsidRPr="00BD1A9C">
        <w:rPr>
          <w:bCs/>
          <w:sz w:val="22"/>
          <w:szCs w:val="22"/>
        </w:rPr>
        <w:t xml:space="preserve">”); CENTRAL EÓLICA GARROTE S.A., sociedade por ações de capital fechado, com sede na Cidade de </w:t>
      </w:r>
      <w:proofErr w:type="spellStart"/>
      <w:r w:rsidR="00E27F35" w:rsidRPr="00BD1A9C">
        <w:rPr>
          <w:bCs/>
          <w:sz w:val="22"/>
          <w:szCs w:val="22"/>
        </w:rPr>
        <w:t>Icapuí</w:t>
      </w:r>
      <w:proofErr w:type="spellEnd"/>
      <w:r w:rsidR="00E27F35" w:rsidRPr="00BD1A9C">
        <w:rPr>
          <w:bCs/>
          <w:sz w:val="22"/>
          <w:szCs w:val="22"/>
        </w:rPr>
        <w:t>, Estado do Ceará, na Rua 19, s/n, Letra D, Praia do Ceará, CEP 62810-000, inscrita no CNPJ/ME sob o nº 10.272.489/0001-04, e na JUCEC sob o NIRE 2330003854-1 (“</w:t>
      </w:r>
      <w:r w:rsidR="00E27F35" w:rsidRPr="00BD1A9C">
        <w:rPr>
          <w:bCs/>
          <w:sz w:val="22"/>
          <w:szCs w:val="22"/>
          <w:u w:val="single"/>
        </w:rPr>
        <w:t>CEG</w:t>
      </w:r>
      <w:r w:rsidR="00E27F35" w:rsidRPr="00BD1A9C">
        <w:rPr>
          <w:bCs/>
          <w:sz w:val="22"/>
          <w:szCs w:val="22"/>
        </w:rPr>
        <w:t xml:space="preserve">”); e CENTRAL EÓLICA SÃO RAIMUNDO S.A., sociedade por ações de capital fechado, com sede na Cidade de </w:t>
      </w:r>
      <w:proofErr w:type="spellStart"/>
      <w:r w:rsidR="00E27F35" w:rsidRPr="00BD1A9C">
        <w:rPr>
          <w:bCs/>
          <w:sz w:val="22"/>
          <w:szCs w:val="22"/>
        </w:rPr>
        <w:t>Icapuí</w:t>
      </w:r>
      <w:proofErr w:type="spellEnd"/>
      <w:r w:rsidR="00E27F35" w:rsidRPr="00BD1A9C">
        <w:rPr>
          <w:bCs/>
          <w:sz w:val="22"/>
          <w:szCs w:val="22"/>
        </w:rPr>
        <w:t>, Estado do Ceará, na Rua 19, s/n, Letra A, Praia do Ceará, CEP 62810-000, inscrita no CNPJ/ME sob o nº 10.408.112/0001-30, e na JUCEC sob o NIRE 2330003855-0</w:t>
      </w:r>
      <w:r w:rsidR="00E27F35" w:rsidRPr="002F5A22">
        <w:rPr>
          <w:bCs/>
          <w:sz w:val="22"/>
          <w:szCs w:val="22"/>
        </w:rPr>
        <w:t xml:space="preserve"> (“</w:t>
      </w:r>
      <w:r w:rsidR="00E27F35" w:rsidRPr="00CE1138">
        <w:rPr>
          <w:bCs/>
          <w:sz w:val="22"/>
          <w:szCs w:val="22"/>
          <w:u w:val="single"/>
        </w:rPr>
        <w:t>CESR</w:t>
      </w:r>
      <w:r w:rsidR="00E27F35" w:rsidRPr="002F5A22">
        <w:rPr>
          <w:bCs/>
          <w:sz w:val="22"/>
          <w:szCs w:val="22"/>
        </w:rPr>
        <w:t>” e, em conjunto com a CESI III, CESI IV e CEG, “</w:t>
      </w:r>
      <w:proofErr w:type="spellStart"/>
      <w:r w:rsidR="00E27F35" w:rsidRPr="00BD1A9C">
        <w:rPr>
          <w:bCs/>
          <w:sz w:val="22"/>
          <w:szCs w:val="22"/>
          <w:u w:val="single"/>
        </w:rPr>
        <w:t>SPEs</w:t>
      </w:r>
      <w:proofErr w:type="spellEnd"/>
      <w:r w:rsidR="00E27F35" w:rsidRPr="002F5A22">
        <w:rPr>
          <w:bCs/>
          <w:sz w:val="22"/>
          <w:szCs w:val="22"/>
        </w:rPr>
        <w:t>”)</w:t>
      </w:r>
      <w:r w:rsidR="00E27F35" w:rsidRPr="00E27F35">
        <w:rPr>
          <w:bCs/>
          <w:sz w:val="22"/>
          <w:szCs w:val="22"/>
        </w:rPr>
        <w:t xml:space="preserve"> de propriedade da </w:t>
      </w:r>
      <w:r w:rsidR="00E27F35">
        <w:rPr>
          <w:bCs/>
          <w:sz w:val="22"/>
          <w:szCs w:val="22"/>
        </w:rPr>
        <w:t>Companhia</w:t>
      </w:r>
      <w:r w:rsidR="00E27F35" w:rsidRPr="00E27F35">
        <w:rPr>
          <w:bCs/>
          <w:sz w:val="22"/>
          <w:szCs w:val="22"/>
        </w:rPr>
        <w:t xml:space="preserve"> e quaisquer outras ações de emissão das </w:t>
      </w:r>
      <w:proofErr w:type="spellStart"/>
      <w:r w:rsidR="00E27F35" w:rsidRPr="00E27F35">
        <w:rPr>
          <w:bCs/>
          <w:sz w:val="22"/>
          <w:szCs w:val="22"/>
        </w:rPr>
        <w:t>SPEs</w:t>
      </w:r>
      <w:proofErr w:type="spellEnd"/>
      <w:r w:rsidR="00E27F35" w:rsidRPr="00E27F35">
        <w:rPr>
          <w:bCs/>
          <w:sz w:val="22"/>
          <w:szCs w:val="22"/>
        </w:rPr>
        <w:t xml:space="preserve">, que venham a ser subscritas, adquiridas ou de qualquer modo emitidas pelas </w:t>
      </w:r>
      <w:proofErr w:type="spellStart"/>
      <w:r w:rsidR="00E27F35" w:rsidRPr="00E27F35">
        <w:rPr>
          <w:bCs/>
          <w:sz w:val="22"/>
          <w:szCs w:val="22"/>
        </w:rPr>
        <w:t>SPEs</w:t>
      </w:r>
      <w:proofErr w:type="spellEnd"/>
      <w:r w:rsidR="00E27F35" w:rsidRPr="00E27F35">
        <w:rPr>
          <w:bCs/>
          <w:sz w:val="22"/>
          <w:szCs w:val="22"/>
        </w:rPr>
        <w:t>, incluindo, mas não se limitando, na forma dos artigos 166, 167, 169 e 170 da Lei das Sociedades por Ações, por força de desmembramentos ou grupamentos das ações, por consolidação, fusão, permuta de ações, divisão de ações, reorganização societária ou sob qualquer outra forma, quer substituam ou não as ações originalmente empenhadas, abrangendo também (</w:t>
      </w:r>
      <w:r w:rsidR="00E27F35">
        <w:rPr>
          <w:bCs/>
          <w:sz w:val="22"/>
          <w:szCs w:val="22"/>
        </w:rPr>
        <w:t>I</w:t>
      </w:r>
      <w:r w:rsidR="00E27F35" w:rsidRPr="00E27F35">
        <w:rPr>
          <w:bCs/>
          <w:sz w:val="22"/>
          <w:szCs w:val="22"/>
        </w:rPr>
        <w:t xml:space="preserve">) todos os frutos, lucros, rendimentos, bonificações, distribuições e demais direitos, inclusive dividendos e juros sobre o capital próprio, em dinheiro ou mediante distribuição de novas ações e direitos de subscrição que venham a ser apurados, declarados e ainda não pagos, creditados ou pagos pelas </w:t>
      </w:r>
      <w:proofErr w:type="spellStart"/>
      <w:r w:rsidR="00E27F35" w:rsidRPr="00E27F35">
        <w:rPr>
          <w:bCs/>
          <w:sz w:val="22"/>
          <w:szCs w:val="22"/>
        </w:rPr>
        <w:t>SPEs</w:t>
      </w:r>
      <w:proofErr w:type="spellEnd"/>
      <w:r w:rsidR="00E27F35" w:rsidRPr="00E27F35">
        <w:rPr>
          <w:bCs/>
          <w:sz w:val="22"/>
          <w:szCs w:val="22"/>
        </w:rPr>
        <w:t xml:space="preserve"> em relação às ações de propriedade da </w:t>
      </w:r>
      <w:r w:rsidR="00BA381D">
        <w:rPr>
          <w:bCs/>
          <w:sz w:val="22"/>
          <w:szCs w:val="22"/>
        </w:rPr>
        <w:t>Companhia</w:t>
      </w:r>
      <w:r w:rsidR="00E27F35" w:rsidRPr="00E27F35">
        <w:rPr>
          <w:bCs/>
          <w:sz w:val="22"/>
          <w:szCs w:val="22"/>
        </w:rPr>
        <w:t xml:space="preserve">, bem como debêntures conversíveis, partes beneficiárias ou outros valores mobiliários conversíveis em ações, relacionados participação da </w:t>
      </w:r>
      <w:r w:rsidR="00BA381D">
        <w:rPr>
          <w:bCs/>
          <w:sz w:val="22"/>
          <w:szCs w:val="22"/>
        </w:rPr>
        <w:t>Companhia</w:t>
      </w:r>
      <w:r w:rsidR="00E27F35" w:rsidRPr="00E27F35">
        <w:rPr>
          <w:bCs/>
          <w:sz w:val="22"/>
          <w:szCs w:val="22"/>
        </w:rPr>
        <w:t xml:space="preserve"> no capital social das </w:t>
      </w:r>
      <w:proofErr w:type="spellStart"/>
      <w:r w:rsidR="00E27F35" w:rsidRPr="00E27F35">
        <w:rPr>
          <w:bCs/>
          <w:sz w:val="22"/>
          <w:szCs w:val="22"/>
        </w:rPr>
        <w:t>SPEs</w:t>
      </w:r>
      <w:proofErr w:type="spellEnd"/>
      <w:r w:rsidR="00E27F35" w:rsidRPr="00E27F35">
        <w:rPr>
          <w:bCs/>
          <w:sz w:val="22"/>
          <w:szCs w:val="22"/>
        </w:rPr>
        <w:t>, além de direitos de preferência e opções, que venham a ser por elas subscritos ou adquiridos até a liquidação das obrigações garantidas; (</w:t>
      </w:r>
      <w:r w:rsidR="00E27F35">
        <w:rPr>
          <w:bCs/>
          <w:sz w:val="22"/>
          <w:szCs w:val="22"/>
        </w:rPr>
        <w:t>II</w:t>
      </w:r>
      <w:r w:rsidR="00E27F35" w:rsidRPr="00E27F35">
        <w:rPr>
          <w:bCs/>
          <w:sz w:val="22"/>
          <w:szCs w:val="22"/>
        </w:rPr>
        <w:t xml:space="preserve">) todos os valores e bens recebidos ou, de qualquer outra forma, distribuídos à </w:t>
      </w:r>
      <w:r w:rsidR="00BA381D">
        <w:rPr>
          <w:bCs/>
          <w:sz w:val="22"/>
          <w:szCs w:val="22"/>
        </w:rPr>
        <w:t>Companhia</w:t>
      </w:r>
      <w:r w:rsidR="00E27F35" w:rsidRPr="00E27F35">
        <w:rPr>
          <w:bCs/>
          <w:sz w:val="22"/>
          <w:szCs w:val="22"/>
        </w:rPr>
        <w:t xml:space="preserve"> a título de qualquer cobrança, permuta, venda ou qualquer outra forma de disposição de qualquer das ações, de quaisquer bens ou títulos nos quais as ações tenham sido convertidas e de quaisquer outros bens ou títulos sujeitos ao presente penhor, incluindo qualquer depósito, valor mobiliário ou título negociável; e (</w:t>
      </w:r>
      <w:r w:rsidR="00E27F35">
        <w:rPr>
          <w:bCs/>
          <w:sz w:val="22"/>
          <w:szCs w:val="22"/>
        </w:rPr>
        <w:t>III</w:t>
      </w:r>
      <w:r w:rsidR="00E27F35" w:rsidRPr="00E27F35">
        <w:rPr>
          <w:bCs/>
          <w:sz w:val="22"/>
          <w:szCs w:val="22"/>
        </w:rPr>
        <w:t xml:space="preserve">) todos os títulos, valores mobiliários, respectivos rendimentos e quaisquer outros bens ou direitos eventualmente adquiridos pela </w:t>
      </w:r>
      <w:r w:rsidR="00E27F35">
        <w:rPr>
          <w:bCs/>
          <w:sz w:val="22"/>
          <w:szCs w:val="22"/>
        </w:rPr>
        <w:t>Companhia</w:t>
      </w:r>
      <w:r w:rsidR="00E27F35" w:rsidRPr="00E27F35">
        <w:rPr>
          <w:bCs/>
          <w:sz w:val="22"/>
          <w:szCs w:val="22"/>
        </w:rPr>
        <w:t xml:space="preserve"> com o produto da realização dos bens objeto da garantia mencionada nos itens (</w:t>
      </w:r>
      <w:r w:rsidR="00E27F35">
        <w:rPr>
          <w:bCs/>
          <w:sz w:val="22"/>
          <w:szCs w:val="22"/>
        </w:rPr>
        <w:t>I</w:t>
      </w:r>
      <w:r w:rsidR="00E27F35" w:rsidRPr="00E27F35">
        <w:rPr>
          <w:bCs/>
          <w:sz w:val="22"/>
          <w:szCs w:val="22"/>
        </w:rPr>
        <w:t>) e (</w:t>
      </w:r>
      <w:r w:rsidR="00E27F35">
        <w:rPr>
          <w:bCs/>
          <w:sz w:val="22"/>
          <w:szCs w:val="22"/>
        </w:rPr>
        <w:t>II</w:t>
      </w:r>
      <w:r w:rsidR="00E27F35" w:rsidRPr="00E27F35">
        <w:rPr>
          <w:bCs/>
          <w:sz w:val="22"/>
          <w:szCs w:val="22"/>
        </w:rPr>
        <w:t xml:space="preserve">) acima, tudo nos termos previstos </w:t>
      </w:r>
      <w:r w:rsidR="00E27F35">
        <w:rPr>
          <w:bCs/>
          <w:sz w:val="22"/>
          <w:szCs w:val="22"/>
        </w:rPr>
        <w:t xml:space="preserve">na Escritura de Emissão e </w:t>
      </w:r>
      <w:r w:rsidR="00E27F35" w:rsidRPr="00E27F35">
        <w:rPr>
          <w:bCs/>
          <w:sz w:val="22"/>
          <w:szCs w:val="22"/>
        </w:rPr>
        <w:t xml:space="preserve">no </w:t>
      </w:r>
      <w:r w:rsidR="00E27F35">
        <w:rPr>
          <w:bCs/>
          <w:sz w:val="22"/>
          <w:szCs w:val="22"/>
        </w:rPr>
        <w:t>“</w:t>
      </w:r>
      <w:r w:rsidR="00E27F35" w:rsidRPr="00BA381D">
        <w:rPr>
          <w:bCs/>
          <w:i/>
          <w:sz w:val="22"/>
          <w:szCs w:val="22"/>
        </w:rPr>
        <w:t>Contrato de Penhor de Ações Nº 17.2.0274.3</w:t>
      </w:r>
      <w:r w:rsidR="00E27F35">
        <w:rPr>
          <w:bCs/>
          <w:sz w:val="22"/>
          <w:szCs w:val="22"/>
        </w:rPr>
        <w:t>”</w:t>
      </w:r>
      <w:r w:rsidR="00E27F35" w:rsidRPr="00E27F35">
        <w:rPr>
          <w:bCs/>
          <w:sz w:val="22"/>
          <w:szCs w:val="22"/>
        </w:rPr>
        <w:t>, a ser celebrado entre a Companhia, o Agente Fiduciário e o Banco Nacional de Desenvolvimento Econômico e Social – BNDES (“</w:t>
      </w:r>
      <w:r w:rsidR="00E27F35" w:rsidRPr="00BA381D">
        <w:rPr>
          <w:bCs/>
          <w:sz w:val="22"/>
          <w:szCs w:val="22"/>
          <w:u w:val="single"/>
        </w:rPr>
        <w:t>BNDES</w:t>
      </w:r>
      <w:r w:rsidR="00E27F35" w:rsidRPr="00E27F35">
        <w:rPr>
          <w:bCs/>
          <w:sz w:val="22"/>
          <w:szCs w:val="22"/>
        </w:rPr>
        <w:t xml:space="preserve">”), com a interveniência das </w:t>
      </w:r>
      <w:proofErr w:type="spellStart"/>
      <w:r w:rsidR="00E27F35" w:rsidRPr="00E27F35">
        <w:rPr>
          <w:bCs/>
          <w:sz w:val="22"/>
          <w:szCs w:val="22"/>
        </w:rPr>
        <w:t>SPEs</w:t>
      </w:r>
      <w:proofErr w:type="spellEnd"/>
      <w:r w:rsidR="00E27F35" w:rsidRPr="00E27F35">
        <w:rPr>
          <w:bCs/>
          <w:sz w:val="22"/>
          <w:szCs w:val="22"/>
        </w:rPr>
        <w:t xml:space="preserve"> (“</w:t>
      </w:r>
      <w:r w:rsidR="00E27F35" w:rsidRPr="00BA381D">
        <w:rPr>
          <w:bCs/>
          <w:sz w:val="22"/>
          <w:szCs w:val="22"/>
          <w:u w:val="single"/>
        </w:rPr>
        <w:t>Contrato de Penhor de Ações</w:t>
      </w:r>
      <w:r w:rsidR="00E27F35" w:rsidRPr="00E27F35">
        <w:rPr>
          <w:bCs/>
          <w:sz w:val="22"/>
          <w:szCs w:val="22"/>
        </w:rPr>
        <w:t>”</w:t>
      </w:r>
      <w:r w:rsidR="00E27F35">
        <w:rPr>
          <w:bCs/>
          <w:sz w:val="22"/>
          <w:szCs w:val="22"/>
        </w:rPr>
        <w:t xml:space="preserve"> e “</w:t>
      </w:r>
      <w:r w:rsidR="00E27F35" w:rsidRPr="00BA381D">
        <w:rPr>
          <w:bCs/>
          <w:sz w:val="22"/>
          <w:szCs w:val="22"/>
          <w:u w:val="single"/>
        </w:rPr>
        <w:t>Penhor de Ações</w:t>
      </w:r>
      <w:r w:rsidR="00E27F35">
        <w:rPr>
          <w:bCs/>
          <w:sz w:val="22"/>
          <w:szCs w:val="22"/>
        </w:rPr>
        <w:t>” respectivamente</w:t>
      </w:r>
      <w:r w:rsidR="00E27F35" w:rsidRPr="00E27F35">
        <w:rPr>
          <w:bCs/>
          <w:sz w:val="22"/>
          <w:szCs w:val="22"/>
        </w:rPr>
        <w:t>)</w:t>
      </w:r>
      <w:r w:rsidRPr="002F5A22">
        <w:rPr>
          <w:bCs/>
          <w:sz w:val="22"/>
          <w:szCs w:val="22"/>
        </w:rPr>
        <w:t>;</w:t>
      </w:r>
      <w:r>
        <w:rPr>
          <w:bCs/>
          <w:sz w:val="22"/>
          <w:szCs w:val="22"/>
        </w:rPr>
        <w:t xml:space="preserve"> </w:t>
      </w:r>
      <w:r w:rsidRPr="00473C1D">
        <w:rPr>
          <w:b/>
          <w:bCs/>
          <w:sz w:val="22"/>
          <w:szCs w:val="22"/>
        </w:rPr>
        <w:t>2.</w:t>
      </w:r>
      <w:r>
        <w:rPr>
          <w:bCs/>
          <w:sz w:val="22"/>
          <w:szCs w:val="22"/>
        </w:rPr>
        <w:t xml:space="preserve"> </w:t>
      </w:r>
      <w:r w:rsidR="00E27F35" w:rsidRPr="00E27F35">
        <w:rPr>
          <w:bCs/>
          <w:sz w:val="22"/>
          <w:szCs w:val="22"/>
        </w:rPr>
        <w:t xml:space="preserve">penhor, em primeiro grau, das máquinas e equipamentos relativos ao Projeto, de propriedade das </w:t>
      </w:r>
      <w:proofErr w:type="spellStart"/>
      <w:r w:rsidR="00E27F35" w:rsidRPr="00E27F35">
        <w:rPr>
          <w:bCs/>
          <w:sz w:val="22"/>
          <w:szCs w:val="22"/>
        </w:rPr>
        <w:t>SPEs</w:t>
      </w:r>
      <w:proofErr w:type="spellEnd"/>
      <w:r w:rsidR="00E27F35" w:rsidRPr="00E27F35">
        <w:rPr>
          <w:bCs/>
          <w:sz w:val="22"/>
          <w:szCs w:val="22"/>
        </w:rPr>
        <w:t xml:space="preserve"> adquiridos, montados ou construídos, ou a serem adquiridos, montados ou construídos com os recursos decorrentes desta Emissão e provenientes do Contrato de Financiamento com o BNDES, e de quaisquer outros dos quais venham a se tornar titulares, a qualquer tempo no futuro, nos termos do </w:t>
      </w:r>
      <w:r w:rsidR="00CE1138" w:rsidRPr="00CE1138">
        <w:rPr>
          <w:bCs/>
          <w:sz w:val="22"/>
          <w:szCs w:val="22"/>
        </w:rPr>
        <w:t xml:space="preserve">Contrato </w:t>
      </w:r>
      <w:r w:rsidR="00CE1138">
        <w:rPr>
          <w:bCs/>
          <w:sz w:val="22"/>
          <w:szCs w:val="22"/>
        </w:rPr>
        <w:t>d</w:t>
      </w:r>
      <w:r w:rsidR="00CE1138" w:rsidRPr="00CE1138">
        <w:rPr>
          <w:bCs/>
          <w:sz w:val="22"/>
          <w:szCs w:val="22"/>
        </w:rPr>
        <w:t xml:space="preserve">e Penhor </w:t>
      </w:r>
      <w:r w:rsidR="00CE1138">
        <w:rPr>
          <w:bCs/>
          <w:sz w:val="22"/>
          <w:szCs w:val="22"/>
        </w:rPr>
        <w:t>d</w:t>
      </w:r>
      <w:r w:rsidR="00CE1138" w:rsidRPr="00CE1138">
        <w:rPr>
          <w:bCs/>
          <w:sz w:val="22"/>
          <w:szCs w:val="22"/>
        </w:rPr>
        <w:t xml:space="preserve">e Máquinas </w:t>
      </w:r>
      <w:r w:rsidR="00CE1138">
        <w:rPr>
          <w:bCs/>
          <w:sz w:val="22"/>
          <w:szCs w:val="22"/>
        </w:rPr>
        <w:t>e</w:t>
      </w:r>
      <w:r w:rsidR="00CE1138" w:rsidRPr="00CE1138">
        <w:rPr>
          <w:bCs/>
          <w:sz w:val="22"/>
          <w:szCs w:val="22"/>
        </w:rPr>
        <w:t xml:space="preserve"> Equipamentos </w:t>
      </w:r>
      <w:r w:rsidR="00CE1138">
        <w:rPr>
          <w:bCs/>
          <w:sz w:val="22"/>
          <w:szCs w:val="22"/>
        </w:rPr>
        <w:t>e</w:t>
      </w:r>
      <w:r w:rsidR="00CE1138" w:rsidRPr="00CE1138">
        <w:rPr>
          <w:bCs/>
          <w:sz w:val="22"/>
          <w:szCs w:val="22"/>
        </w:rPr>
        <w:t xml:space="preserve"> Outras Avenças Nº 17.2.0274.4</w:t>
      </w:r>
      <w:r w:rsidR="00CE1138">
        <w:rPr>
          <w:bCs/>
          <w:sz w:val="22"/>
          <w:szCs w:val="22"/>
        </w:rPr>
        <w:t>,</w:t>
      </w:r>
      <w:r w:rsidR="00E27F35" w:rsidRPr="00E27F35">
        <w:rPr>
          <w:bCs/>
          <w:sz w:val="22"/>
          <w:szCs w:val="22"/>
        </w:rPr>
        <w:t xml:space="preserve"> a ser celebrado entre as </w:t>
      </w:r>
      <w:proofErr w:type="spellStart"/>
      <w:r w:rsidR="00E27F35" w:rsidRPr="00E27F35">
        <w:rPr>
          <w:bCs/>
          <w:sz w:val="22"/>
          <w:szCs w:val="22"/>
        </w:rPr>
        <w:t>SPEs</w:t>
      </w:r>
      <w:proofErr w:type="spellEnd"/>
      <w:r w:rsidR="00E27F35" w:rsidRPr="00E27F35">
        <w:rPr>
          <w:bCs/>
          <w:sz w:val="22"/>
          <w:szCs w:val="22"/>
        </w:rPr>
        <w:t xml:space="preserve">, o Agente Fiduciário, o BNDES e a </w:t>
      </w:r>
      <w:r w:rsidR="00E27F35">
        <w:rPr>
          <w:bCs/>
          <w:sz w:val="22"/>
          <w:szCs w:val="22"/>
        </w:rPr>
        <w:t>Companhia</w:t>
      </w:r>
      <w:r w:rsidR="00E27F35" w:rsidRPr="00E27F35">
        <w:rPr>
          <w:bCs/>
          <w:sz w:val="22"/>
          <w:szCs w:val="22"/>
        </w:rPr>
        <w:t xml:space="preserve"> </w:t>
      </w:r>
      <w:r w:rsidR="00E27F35" w:rsidRPr="00E27F35">
        <w:rPr>
          <w:bCs/>
          <w:sz w:val="22"/>
          <w:szCs w:val="22"/>
        </w:rPr>
        <w:lastRenderedPageBreak/>
        <w:t>(“</w:t>
      </w:r>
      <w:r w:rsidR="00E27F35" w:rsidRPr="00EC6CAF">
        <w:rPr>
          <w:bCs/>
          <w:sz w:val="22"/>
          <w:szCs w:val="22"/>
          <w:u w:val="single"/>
        </w:rPr>
        <w:t>Contrato de Penhor de Máquinas e Equipamentos</w:t>
      </w:r>
      <w:r w:rsidR="00E27F35" w:rsidRPr="00E27F35">
        <w:rPr>
          <w:bCs/>
          <w:sz w:val="22"/>
          <w:szCs w:val="22"/>
        </w:rPr>
        <w:t>”</w:t>
      </w:r>
      <w:r w:rsidR="00EC6CAF">
        <w:rPr>
          <w:bCs/>
          <w:sz w:val="22"/>
          <w:szCs w:val="22"/>
        </w:rPr>
        <w:t xml:space="preserve"> e “</w:t>
      </w:r>
      <w:r w:rsidR="00EC6CAF" w:rsidRPr="00EC6CAF">
        <w:rPr>
          <w:bCs/>
          <w:sz w:val="22"/>
          <w:szCs w:val="22"/>
          <w:u w:val="single"/>
        </w:rPr>
        <w:t>Penhor de Máquinas e Equipamentos</w:t>
      </w:r>
      <w:r w:rsidR="00EC6CAF">
        <w:rPr>
          <w:bCs/>
          <w:sz w:val="22"/>
          <w:szCs w:val="22"/>
        </w:rPr>
        <w:t>” respectivamente</w:t>
      </w:r>
      <w:r w:rsidR="00E27F35" w:rsidRPr="00E27F35">
        <w:rPr>
          <w:bCs/>
          <w:sz w:val="22"/>
          <w:szCs w:val="22"/>
        </w:rPr>
        <w:t>)</w:t>
      </w:r>
      <w:r>
        <w:rPr>
          <w:bCs/>
          <w:sz w:val="22"/>
          <w:szCs w:val="22"/>
        </w:rPr>
        <w:t xml:space="preserve">; </w:t>
      </w:r>
      <w:r w:rsidRPr="00912D8A">
        <w:rPr>
          <w:b/>
          <w:bCs/>
          <w:sz w:val="22"/>
          <w:szCs w:val="22"/>
        </w:rPr>
        <w:t>3.</w:t>
      </w:r>
      <w:r>
        <w:rPr>
          <w:bCs/>
          <w:sz w:val="22"/>
          <w:szCs w:val="22"/>
        </w:rPr>
        <w:t xml:space="preserve"> </w:t>
      </w:r>
      <w:r w:rsidR="00CE1138" w:rsidRPr="00CE1138">
        <w:rPr>
          <w:bCs/>
          <w:sz w:val="22"/>
          <w:szCs w:val="22"/>
        </w:rPr>
        <w:t>cess</w:t>
      </w:r>
      <w:r w:rsidR="00CE1138">
        <w:rPr>
          <w:bCs/>
          <w:sz w:val="22"/>
          <w:szCs w:val="22"/>
        </w:rPr>
        <w:t>ã</w:t>
      </w:r>
      <w:r w:rsidR="00CE1138" w:rsidRPr="00CE1138">
        <w:rPr>
          <w:bCs/>
          <w:sz w:val="22"/>
          <w:szCs w:val="22"/>
        </w:rPr>
        <w:t xml:space="preserve">o fiduciária, pelas </w:t>
      </w:r>
      <w:proofErr w:type="spellStart"/>
      <w:r w:rsidR="00CE1138" w:rsidRPr="00CE1138">
        <w:rPr>
          <w:bCs/>
          <w:sz w:val="22"/>
          <w:szCs w:val="22"/>
        </w:rPr>
        <w:t>SPEs</w:t>
      </w:r>
      <w:proofErr w:type="spellEnd"/>
      <w:r w:rsidR="00CE1138" w:rsidRPr="00CE1138">
        <w:rPr>
          <w:bCs/>
          <w:sz w:val="22"/>
          <w:szCs w:val="22"/>
        </w:rPr>
        <w:t xml:space="preserve">, nos termos do artigo 66-B da Lei nº 4.728, de 14 de julho de 1965, conforme alterada, dos seguintes direitos creditórios de sua titularidade, nos termos do Aditivo Nº 02 </w:t>
      </w:r>
      <w:r w:rsidR="00CE1138">
        <w:rPr>
          <w:bCs/>
          <w:sz w:val="22"/>
          <w:szCs w:val="22"/>
        </w:rPr>
        <w:t>a</w:t>
      </w:r>
      <w:r w:rsidR="00CE1138" w:rsidRPr="00CE1138">
        <w:rPr>
          <w:bCs/>
          <w:sz w:val="22"/>
          <w:szCs w:val="22"/>
        </w:rPr>
        <w:t xml:space="preserve">o Contrato </w:t>
      </w:r>
      <w:r w:rsidR="00CE1138">
        <w:rPr>
          <w:bCs/>
          <w:sz w:val="22"/>
          <w:szCs w:val="22"/>
        </w:rPr>
        <w:t>d</w:t>
      </w:r>
      <w:r w:rsidR="00CE1138" w:rsidRPr="00CE1138">
        <w:rPr>
          <w:bCs/>
          <w:sz w:val="22"/>
          <w:szCs w:val="22"/>
        </w:rPr>
        <w:t xml:space="preserve">e Cessão Fiduciária </w:t>
      </w:r>
      <w:r w:rsidR="00CE1138">
        <w:rPr>
          <w:bCs/>
          <w:sz w:val="22"/>
          <w:szCs w:val="22"/>
        </w:rPr>
        <w:t>d</w:t>
      </w:r>
      <w:r w:rsidR="00CE1138" w:rsidRPr="00CE1138">
        <w:rPr>
          <w:bCs/>
          <w:sz w:val="22"/>
          <w:szCs w:val="22"/>
        </w:rPr>
        <w:t xml:space="preserve">e Direitos, Administração </w:t>
      </w:r>
      <w:r w:rsidR="00CE1138">
        <w:rPr>
          <w:bCs/>
          <w:sz w:val="22"/>
          <w:szCs w:val="22"/>
        </w:rPr>
        <w:t>d</w:t>
      </w:r>
      <w:r w:rsidR="00CE1138" w:rsidRPr="00CE1138">
        <w:rPr>
          <w:bCs/>
          <w:sz w:val="22"/>
          <w:szCs w:val="22"/>
        </w:rPr>
        <w:t xml:space="preserve">e Contas </w:t>
      </w:r>
      <w:r w:rsidR="00CE1138">
        <w:rPr>
          <w:bCs/>
          <w:sz w:val="22"/>
          <w:szCs w:val="22"/>
        </w:rPr>
        <w:t>e</w:t>
      </w:r>
      <w:r w:rsidR="00CE1138" w:rsidRPr="00CE1138">
        <w:rPr>
          <w:bCs/>
          <w:sz w:val="22"/>
          <w:szCs w:val="22"/>
        </w:rPr>
        <w:t xml:space="preserve"> Outras Avenças N° 17.2.0274.2, a ser celebrado entre o BNDES, a </w:t>
      </w:r>
      <w:r w:rsidR="00BA381D">
        <w:rPr>
          <w:bCs/>
          <w:sz w:val="22"/>
          <w:szCs w:val="22"/>
        </w:rPr>
        <w:t>Companhia</w:t>
      </w:r>
      <w:r w:rsidR="00CE1138" w:rsidRPr="00CE1138">
        <w:rPr>
          <w:bCs/>
          <w:sz w:val="22"/>
          <w:szCs w:val="22"/>
        </w:rPr>
        <w:t xml:space="preserve">, as </w:t>
      </w:r>
      <w:proofErr w:type="spellStart"/>
      <w:r w:rsidR="00CE1138" w:rsidRPr="00CE1138">
        <w:rPr>
          <w:bCs/>
          <w:sz w:val="22"/>
          <w:szCs w:val="22"/>
        </w:rPr>
        <w:t>SPEs</w:t>
      </w:r>
      <w:proofErr w:type="spellEnd"/>
      <w:r w:rsidR="00CE1138" w:rsidRPr="00CE1138">
        <w:rPr>
          <w:bCs/>
          <w:sz w:val="22"/>
          <w:szCs w:val="22"/>
        </w:rPr>
        <w:t>, o Banco Bradesco S.A. (“</w:t>
      </w:r>
      <w:r w:rsidR="00CE1138" w:rsidRPr="00BA381D">
        <w:rPr>
          <w:bCs/>
          <w:sz w:val="22"/>
          <w:szCs w:val="22"/>
          <w:u w:val="single"/>
        </w:rPr>
        <w:t>Banco Administrador</w:t>
      </w:r>
      <w:r w:rsidR="00CE1138" w:rsidRPr="00CE1138">
        <w:rPr>
          <w:bCs/>
          <w:sz w:val="22"/>
          <w:szCs w:val="22"/>
        </w:rPr>
        <w:t>”) e o Agente Fiduciário (“</w:t>
      </w:r>
      <w:r w:rsidR="00CE1138" w:rsidRPr="00BA381D">
        <w:rPr>
          <w:bCs/>
          <w:sz w:val="22"/>
          <w:szCs w:val="22"/>
          <w:u w:val="single"/>
        </w:rPr>
        <w:t>Aditamento e Consolidação ao Contrato de Cessão Fiduciária</w:t>
      </w:r>
      <w:r w:rsidR="00CE1138" w:rsidRPr="00CE1138">
        <w:rPr>
          <w:bCs/>
          <w:sz w:val="22"/>
          <w:szCs w:val="22"/>
        </w:rPr>
        <w:t>”</w:t>
      </w:r>
      <w:r w:rsidR="00CE1138">
        <w:rPr>
          <w:bCs/>
          <w:sz w:val="22"/>
          <w:szCs w:val="22"/>
        </w:rPr>
        <w:t>)</w:t>
      </w:r>
      <w:r w:rsidR="00CE1138" w:rsidRPr="00CE1138">
        <w:rPr>
          <w:bCs/>
          <w:sz w:val="22"/>
          <w:szCs w:val="22"/>
        </w:rPr>
        <w:t xml:space="preserve">: (a) os direitos creditórios, provenientes dos Contratos de Compra e Venda de Energia celebrados entre as </w:t>
      </w:r>
      <w:proofErr w:type="spellStart"/>
      <w:r w:rsidR="00CE1138" w:rsidRPr="00CE1138">
        <w:rPr>
          <w:bCs/>
          <w:sz w:val="22"/>
          <w:szCs w:val="22"/>
        </w:rPr>
        <w:t>SPEs</w:t>
      </w:r>
      <w:proofErr w:type="spellEnd"/>
      <w:r w:rsidR="00CE1138" w:rsidRPr="00CE1138">
        <w:rPr>
          <w:bCs/>
          <w:sz w:val="22"/>
          <w:szCs w:val="22"/>
        </w:rPr>
        <w:t xml:space="preserve"> e a Vale S.A. em 1º de setembro de 2016 (“</w:t>
      </w:r>
      <w:proofErr w:type="spellStart"/>
      <w:r w:rsidR="00CE1138" w:rsidRPr="00BA381D">
        <w:rPr>
          <w:bCs/>
          <w:sz w:val="22"/>
          <w:szCs w:val="22"/>
          <w:u w:val="single"/>
        </w:rPr>
        <w:t>CCVEs</w:t>
      </w:r>
      <w:proofErr w:type="spellEnd"/>
      <w:r w:rsidR="00CE1138" w:rsidRPr="00CE1138">
        <w:rPr>
          <w:bCs/>
          <w:sz w:val="22"/>
          <w:szCs w:val="22"/>
        </w:rPr>
        <w:t xml:space="preserve">”); (b) os direitos creditórios, provenientes de quaisquer outros contratos de venda de energia que venham a ser celebrados pelas </w:t>
      </w:r>
      <w:proofErr w:type="spellStart"/>
      <w:r w:rsidR="00CE1138" w:rsidRPr="00CE1138">
        <w:rPr>
          <w:bCs/>
          <w:sz w:val="22"/>
          <w:szCs w:val="22"/>
        </w:rPr>
        <w:t>SPEs</w:t>
      </w:r>
      <w:proofErr w:type="spellEnd"/>
      <w:r w:rsidR="00CE1138" w:rsidRPr="00CE1138">
        <w:rPr>
          <w:bCs/>
          <w:sz w:val="22"/>
          <w:szCs w:val="22"/>
        </w:rPr>
        <w:t xml:space="preserve"> no Ambiente de Contratação Livre (“</w:t>
      </w:r>
      <w:r w:rsidR="00CE1138" w:rsidRPr="00BA381D">
        <w:rPr>
          <w:bCs/>
          <w:sz w:val="22"/>
          <w:szCs w:val="22"/>
          <w:u w:val="single"/>
        </w:rPr>
        <w:t>ACL</w:t>
      </w:r>
      <w:r w:rsidR="00CE1138" w:rsidRPr="00CE1138">
        <w:rPr>
          <w:bCs/>
          <w:sz w:val="22"/>
          <w:szCs w:val="22"/>
        </w:rPr>
        <w:t>”) ou no Ambiente de Contratação Regulado (“</w:t>
      </w:r>
      <w:r w:rsidR="00CE1138" w:rsidRPr="00BA381D">
        <w:rPr>
          <w:bCs/>
          <w:sz w:val="22"/>
          <w:szCs w:val="22"/>
          <w:u w:val="single"/>
        </w:rPr>
        <w:t>ACR</w:t>
      </w:r>
      <w:r w:rsidR="00CE1138" w:rsidRPr="00CE1138">
        <w:rPr>
          <w:bCs/>
          <w:sz w:val="22"/>
          <w:szCs w:val="22"/>
        </w:rPr>
        <w:t xml:space="preserve">”) decorrentes do Projeto; (c) quaisquer outros direitos e/ou receitas que sejam decorrentes do Projeto, inclusive aqueles relativos a operações no mercado de curto prazo e/ou de operação em teste; (d) os créditos que venham a ser depositados nas Contas Centralizadoras </w:t>
      </w:r>
      <w:proofErr w:type="spellStart"/>
      <w:r w:rsidR="00CE1138" w:rsidRPr="00CE1138">
        <w:rPr>
          <w:bCs/>
          <w:sz w:val="22"/>
          <w:szCs w:val="22"/>
        </w:rPr>
        <w:t>SPEs</w:t>
      </w:r>
      <w:proofErr w:type="spellEnd"/>
      <w:r w:rsidR="00CE1138" w:rsidRPr="00CE1138">
        <w:rPr>
          <w:bCs/>
          <w:sz w:val="22"/>
          <w:szCs w:val="22"/>
        </w:rPr>
        <w:t xml:space="preserve"> (conforme definição a ser prevista no Aditamento e Consolidação ao Contrato de Cessão Fiduciária de Direitos Creditórios e Outras Avenças), e nas Contas Reserva de O&amp;M de </w:t>
      </w:r>
      <w:proofErr w:type="spellStart"/>
      <w:r w:rsidR="00CE1138" w:rsidRPr="00CE1138">
        <w:rPr>
          <w:bCs/>
          <w:sz w:val="22"/>
          <w:szCs w:val="22"/>
        </w:rPr>
        <w:t>titulatidade</w:t>
      </w:r>
      <w:proofErr w:type="spellEnd"/>
      <w:r w:rsidR="00CE1138" w:rsidRPr="00CE1138">
        <w:rPr>
          <w:bCs/>
          <w:sz w:val="22"/>
          <w:szCs w:val="22"/>
        </w:rPr>
        <w:t xml:space="preserve"> de cada SPE; (e) os direitos emergentes decorrentes das autorizações emitidas pela AN</w:t>
      </w:r>
      <w:r w:rsidR="00CE1138">
        <w:rPr>
          <w:bCs/>
          <w:sz w:val="22"/>
          <w:szCs w:val="22"/>
        </w:rPr>
        <w:t>E</w:t>
      </w:r>
      <w:r w:rsidR="00CE1138" w:rsidRPr="00CE1138">
        <w:rPr>
          <w:bCs/>
          <w:sz w:val="22"/>
          <w:szCs w:val="22"/>
        </w:rPr>
        <w:t xml:space="preserve">EL listadas a seguir e/ou eventuais portarias e/ou despachos expedidas pela ANEEL e/ou MME que venham a ser emitidos, incluindo as suas subsequentes alterações, pelo prazo em que as mesmas estejam vigentes: Resoluções Autorizativas </w:t>
      </w:r>
      <w:proofErr w:type="spellStart"/>
      <w:r w:rsidR="00CE1138" w:rsidRPr="00CE1138">
        <w:rPr>
          <w:bCs/>
          <w:sz w:val="22"/>
          <w:szCs w:val="22"/>
        </w:rPr>
        <w:t>nºs</w:t>
      </w:r>
      <w:proofErr w:type="spellEnd"/>
      <w:r w:rsidR="00CE1138" w:rsidRPr="00CE1138">
        <w:rPr>
          <w:bCs/>
          <w:sz w:val="22"/>
          <w:szCs w:val="22"/>
        </w:rPr>
        <w:t xml:space="preserve"> 5.873, 5.872, 5.871 e 5.874, expedidas em 07 de junho de 2016; (em conjunto, “</w:t>
      </w:r>
      <w:r w:rsidR="00CE1138" w:rsidRPr="00BA381D">
        <w:rPr>
          <w:bCs/>
          <w:sz w:val="22"/>
          <w:szCs w:val="22"/>
          <w:u w:val="single"/>
        </w:rPr>
        <w:t>Autorizações</w:t>
      </w:r>
      <w:r w:rsidR="00CE1138" w:rsidRPr="00CE1138">
        <w:rPr>
          <w:bCs/>
          <w:sz w:val="22"/>
          <w:szCs w:val="22"/>
        </w:rPr>
        <w:t>”); (f) os direitos creditórios de titularidade de cada SPE provenientes dos contratos listados no Aditamento e Consolidação ao Contrato de Cessão Fiduciária</w:t>
      </w:r>
      <w:r w:rsidR="00EC6CAF">
        <w:rPr>
          <w:bCs/>
          <w:sz w:val="22"/>
          <w:szCs w:val="22"/>
        </w:rPr>
        <w:t xml:space="preserve"> (“</w:t>
      </w:r>
      <w:r w:rsidR="00EC6CAF" w:rsidRPr="00EC6CAF">
        <w:rPr>
          <w:bCs/>
          <w:sz w:val="22"/>
          <w:szCs w:val="22"/>
          <w:u w:val="single"/>
        </w:rPr>
        <w:t>Cessão Fiduciária</w:t>
      </w:r>
      <w:r w:rsidR="00EC6CAF">
        <w:rPr>
          <w:bCs/>
          <w:sz w:val="22"/>
          <w:szCs w:val="22"/>
        </w:rPr>
        <w:t>”)</w:t>
      </w:r>
      <w:r w:rsidR="00CE1138" w:rsidRPr="00CE1138">
        <w:rPr>
          <w:bCs/>
          <w:sz w:val="22"/>
          <w:szCs w:val="22"/>
        </w:rPr>
        <w:t>.</w:t>
      </w:r>
      <w:r w:rsidRPr="002F5A22">
        <w:rPr>
          <w:bCs/>
          <w:sz w:val="22"/>
          <w:szCs w:val="22"/>
        </w:rPr>
        <w:t xml:space="preserve"> e </w:t>
      </w:r>
      <w:r w:rsidRPr="00912D8A">
        <w:rPr>
          <w:b/>
          <w:bCs/>
          <w:sz w:val="22"/>
          <w:szCs w:val="22"/>
        </w:rPr>
        <w:t>4.</w:t>
      </w:r>
      <w:r>
        <w:rPr>
          <w:bCs/>
          <w:sz w:val="22"/>
          <w:szCs w:val="22"/>
        </w:rPr>
        <w:t xml:space="preserve"> </w:t>
      </w:r>
      <w:r w:rsidRPr="002F5A22">
        <w:rPr>
          <w:bCs/>
          <w:sz w:val="22"/>
          <w:szCs w:val="22"/>
        </w:rPr>
        <w:t xml:space="preserve">cessão fiduciária, pela </w:t>
      </w:r>
      <w:r w:rsidR="003A4828">
        <w:rPr>
          <w:bCs/>
          <w:sz w:val="22"/>
          <w:szCs w:val="22"/>
        </w:rPr>
        <w:t>Companhia</w:t>
      </w:r>
      <w:r w:rsidRPr="002F5A22">
        <w:rPr>
          <w:bCs/>
          <w:sz w:val="22"/>
          <w:szCs w:val="22"/>
        </w:rPr>
        <w:t xml:space="preserve">, nos termos do parágrafo 3º do artigo 66-B da Lei nº 4.728, de 14 de julho de 1965, conforme alterada, dos direitos creditórios de sua titularidade sobre a Conta Centralizadora, nos termos do </w:t>
      </w:r>
      <w:r w:rsidR="00CE1138">
        <w:rPr>
          <w:bCs/>
          <w:sz w:val="22"/>
          <w:szCs w:val="22"/>
        </w:rPr>
        <w:t>Aditamento e Consolidação ao Contrato de Cessão Fiduciária</w:t>
      </w:r>
      <w:r w:rsidR="00EC6CAF">
        <w:rPr>
          <w:bCs/>
          <w:sz w:val="22"/>
          <w:szCs w:val="22"/>
        </w:rPr>
        <w:t xml:space="preserve"> (“</w:t>
      </w:r>
      <w:r w:rsidR="00EC6CAF" w:rsidRPr="00EC6CAF">
        <w:rPr>
          <w:bCs/>
          <w:sz w:val="22"/>
          <w:szCs w:val="22"/>
          <w:u w:val="single"/>
        </w:rPr>
        <w:t>Cessão Fiduciária</w:t>
      </w:r>
      <w:r w:rsidR="00EC6CAF">
        <w:rPr>
          <w:bCs/>
          <w:sz w:val="22"/>
          <w:szCs w:val="22"/>
          <w:u w:val="single"/>
        </w:rPr>
        <w:t xml:space="preserve"> Conta Vinculada</w:t>
      </w:r>
      <w:r w:rsidR="00EC6CAF">
        <w:rPr>
          <w:bCs/>
          <w:sz w:val="22"/>
          <w:szCs w:val="22"/>
        </w:rPr>
        <w:t>”) (</w:t>
      </w:r>
      <w:r w:rsidRPr="002F5A22">
        <w:rPr>
          <w:bCs/>
          <w:sz w:val="22"/>
          <w:szCs w:val="22"/>
        </w:rPr>
        <w:t xml:space="preserve">em conjunto com o Contrato de Penhor de Ações, </w:t>
      </w:r>
      <w:r w:rsidR="00CE1138">
        <w:rPr>
          <w:bCs/>
          <w:sz w:val="22"/>
          <w:szCs w:val="22"/>
        </w:rPr>
        <w:t xml:space="preserve">e </w:t>
      </w:r>
      <w:r w:rsidRPr="002F5A22">
        <w:rPr>
          <w:bCs/>
          <w:sz w:val="22"/>
          <w:szCs w:val="22"/>
        </w:rPr>
        <w:t>o Contrato de Penhor de Máquinas e Equipamentos, os “</w:t>
      </w:r>
      <w:r w:rsidRPr="002F5A22">
        <w:rPr>
          <w:bCs/>
          <w:sz w:val="22"/>
          <w:szCs w:val="22"/>
          <w:u w:val="single"/>
        </w:rPr>
        <w:t>Contratos de Garantia</w:t>
      </w:r>
      <w:r w:rsidRPr="002F5A22">
        <w:rPr>
          <w:bCs/>
          <w:sz w:val="22"/>
          <w:szCs w:val="22"/>
        </w:rPr>
        <w:t xml:space="preserve">”). </w:t>
      </w:r>
    </w:p>
    <w:p w14:paraId="6F40260C" w14:textId="77777777" w:rsidR="002F5A22" w:rsidRPr="00096117" w:rsidRDefault="002F5A22" w:rsidP="002F5A22">
      <w:pPr>
        <w:tabs>
          <w:tab w:val="left" w:pos="567"/>
        </w:tabs>
        <w:ind w:left="720" w:hanging="11"/>
        <w:jc w:val="both"/>
        <w:rPr>
          <w:bCs/>
          <w:sz w:val="22"/>
          <w:szCs w:val="22"/>
          <w:u w:val="single"/>
        </w:rPr>
      </w:pPr>
    </w:p>
    <w:p w14:paraId="0B008F53" w14:textId="2AFACDEB" w:rsidR="002F5A22" w:rsidRPr="00096117" w:rsidRDefault="002F5A22" w:rsidP="002F5A22">
      <w:pPr>
        <w:numPr>
          <w:ilvl w:val="0"/>
          <w:numId w:val="46"/>
        </w:numPr>
        <w:tabs>
          <w:tab w:val="left" w:pos="567"/>
        </w:tabs>
        <w:ind w:left="720" w:hanging="11"/>
        <w:jc w:val="both"/>
        <w:rPr>
          <w:bCs/>
          <w:sz w:val="22"/>
          <w:szCs w:val="22"/>
        </w:rPr>
      </w:pPr>
      <w:r w:rsidRPr="00096117">
        <w:rPr>
          <w:bCs/>
          <w:sz w:val="22"/>
          <w:szCs w:val="22"/>
          <w:u w:val="single"/>
        </w:rPr>
        <w:t>Espécie</w:t>
      </w:r>
      <w:r w:rsidRPr="00096117">
        <w:rPr>
          <w:bCs/>
          <w:sz w:val="22"/>
          <w:szCs w:val="22"/>
        </w:rPr>
        <w:t xml:space="preserve">: As Debêntures serão da espécie </w:t>
      </w:r>
      <w:r w:rsidR="003A4828">
        <w:rPr>
          <w:bCs/>
          <w:sz w:val="22"/>
          <w:szCs w:val="22"/>
        </w:rPr>
        <w:t>com garantia real</w:t>
      </w:r>
      <w:r w:rsidRPr="00096117">
        <w:rPr>
          <w:bCs/>
          <w:sz w:val="22"/>
          <w:szCs w:val="22"/>
        </w:rPr>
        <w:t xml:space="preserve">. </w:t>
      </w:r>
    </w:p>
    <w:p w14:paraId="2F872B76" w14:textId="77777777" w:rsidR="002F5A22" w:rsidRPr="00096117" w:rsidRDefault="002F5A22" w:rsidP="002F5A22">
      <w:pPr>
        <w:tabs>
          <w:tab w:val="left" w:pos="567"/>
        </w:tabs>
        <w:ind w:left="720" w:hanging="11"/>
        <w:jc w:val="both"/>
        <w:rPr>
          <w:bCs/>
          <w:sz w:val="22"/>
          <w:szCs w:val="22"/>
          <w:u w:val="single"/>
        </w:rPr>
      </w:pPr>
    </w:p>
    <w:p w14:paraId="6F9B0C34" w14:textId="4768ACD2" w:rsidR="002F5A22" w:rsidRPr="00096117" w:rsidRDefault="002F5A22" w:rsidP="002F5A22">
      <w:pPr>
        <w:numPr>
          <w:ilvl w:val="0"/>
          <w:numId w:val="47"/>
        </w:numPr>
        <w:tabs>
          <w:tab w:val="left" w:pos="567"/>
        </w:tabs>
        <w:ind w:left="720" w:hanging="11"/>
        <w:jc w:val="both"/>
        <w:rPr>
          <w:bCs/>
          <w:sz w:val="22"/>
          <w:szCs w:val="22"/>
        </w:rPr>
      </w:pPr>
      <w:r w:rsidRPr="00096117">
        <w:rPr>
          <w:bCs/>
          <w:sz w:val="22"/>
          <w:szCs w:val="22"/>
          <w:u w:val="single"/>
        </w:rPr>
        <w:t>Prazo e Data de Vencimento</w:t>
      </w:r>
      <w:r w:rsidRPr="00096117">
        <w:rPr>
          <w:bCs/>
          <w:sz w:val="22"/>
          <w:szCs w:val="22"/>
        </w:rPr>
        <w:t xml:space="preserve">: </w:t>
      </w:r>
      <w:r w:rsidR="003A4828" w:rsidRPr="003A4828">
        <w:rPr>
          <w:bCs/>
          <w:sz w:val="22"/>
          <w:szCs w:val="22"/>
        </w:rPr>
        <w:t xml:space="preserve">Ressalvadas as hipóteses de vencimento antecipado e resgate antecipado das Debêntures (caso venha a ser autorizado pelo CMN e observado o disposto na Escritura de Emissão), ocasiões em que a </w:t>
      </w:r>
      <w:r w:rsidR="003A4828">
        <w:rPr>
          <w:bCs/>
          <w:sz w:val="22"/>
          <w:szCs w:val="22"/>
        </w:rPr>
        <w:t>Companhia</w:t>
      </w:r>
      <w:r w:rsidR="003A4828" w:rsidRPr="003A4828">
        <w:rPr>
          <w:bCs/>
          <w:sz w:val="22"/>
          <w:szCs w:val="22"/>
        </w:rPr>
        <w:t xml:space="preserve"> obriga-se a proceder ao pagamento das Debêntures pelo Valor Nominal Unitário Atualizado </w:t>
      </w:r>
      <w:r w:rsidR="003A4828">
        <w:rPr>
          <w:bCs/>
          <w:sz w:val="22"/>
          <w:szCs w:val="22"/>
        </w:rPr>
        <w:t>(conforme abaixo definidos)</w:t>
      </w:r>
      <w:r w:rsidR="003A4828" w:rsidRPr="003A4828">
        <w:rPr>
          <w:bCs/>
          <w:sz w:val="22"/>
          <w:szCs w:val="22"/>
        </w:rPr>
        <w:t>, acrescido dos Juros Remuneratórios</w:t>
      </w:r>
      <w:r w:rsidR="003A4828">
        <w:rPr>
          <w:bCs/>
          <w:sz w:val="22"/>
          <w:szCs w:val="22"/>
        </w:rPr>
        <w:t xml:space="preserve"> (conforme abaixo definidos)</w:t>
      </w:r>
      <w:r w:rsidR="003A4828" w:rsidRPr="003A4828">
        <w:rPr>
          <w:bCs/>
          <w:sz w:val="22"/>
          <w:szCs w:val="22"/>
        </w:rPr>
        <w:t xml:space="preserve"> e eventuais encargos moratórios, conforme o caso, e em observância à regulamentação aplicável, as Debêntures terão o prazo de vencimento de </w:t>
      </w:r>
      <w:r w:rsidR="00CE1138" w:rsidRPr="003A4828">
        <w:rPr>
          <w:bCs/>
          <w:sz w:val="22"/>
          <w:szCs w:val="22"/>
        </w:rPr>
        <w:t>1</w:t>
      </w:r>
      <w:r w:rsidR="00CE1138">
        <w:rPr>
          <w:bCs/>
          <w:sz w:val="22"/>
          <w:szCs w:val="22"/>
        </w:rPr>
        <w:t>0</w:t>
      </w:r>
      <w:r w:rsidR="00CE1138" w:rsidRPr="003A4828">
        <w:rPr>
          <w:bCs/>
          <w:sz w:val="22"/>
          <w:szCs w:val="22"/>
        </w:rPr>
        <w:t xml:space="preserve"> </w:t>
      </w:r>
      <w:r w:rsidR="003A4828" w:rsidRPr="003A4828">
        <w:rPr>
          <w:bCs/>
          <w:sz w:val="22"/>
          <w:szCs w:val="22"/>
        </w:rPr>
        <w:t>(</w:t>
      </w:r>
      <w:r w:rsidR="00CE1138">
        <w:rPr>
          <w:bCs/>
          <w:sz w:val="22"/>
          <w:szCs w:val="22"/>
        </w:rPr>
        <w:t>dez</w:t>
      </w:r>
      <w:r w:rsidR="003A4828" w:rsidRPr="003A4828">
        <w:rPr>
          <w:bCs/>
          <w:sz w:val="22"/>
          <w:szCs w:val="22"/>
        </w:rPr>
        <w:t>) anos</w:t>
      </w:r>
      <w:r w:rsidR="00CE1138">
        <w:rPr>
          <w:bCs/>
          <w:sz w:val="22"/>
          <w:szCs w:val="22"/>
        </w:rPr>
        <w:t xml:space="preserve"> e 6 (seis) meses</w:t>
      </w:r>
      <w:r w:rsidR="003A4828" w:rsidRPr="003A4828">
        <w:rPr>
          <w:bCs/>
          <w:sz w:val="22"/>
          <w:szCs w:val="22"/>
        </w:rPr>
        <w:t xml:space="preserve">, vencendo-se, portanto, em </w:t>
      </w:r>
      <w:r w:rsidR="00E34C88" w:rsidRPr="00E34C88">
        <w:rPr>
          <w:bCs/>
          <w:sz w:val="22"/>
          <w:szCs w:val="22"/>
          <w:highlight w:val="yellow"/>
        </w:rPr>
        <w:t>[●]</w:t>
      </w:r>
      <w:r w:rsidR="003A4828" w:rsidRPr="003A4828">
        <w:rPr>
          <w:bCs/>
          <w:sz w:val="22"/>
          <w:szCs w:val="22"/>
        </w:rPr>
        <w:t xml:space="preserve"> de </w:t>
      </w:r>
      <w:r w:rsidR="00E34C88" w:rsidRPr="00E34C88">
        <w:rPr>
          <w:bCs/>
          <w:sz w:val="22"/>
          <w:szCs w:val="22"/>
          <w:highlight w:val="yellow"/>
        </w:rPr>
        <w:t>[●]</w:t>
      </w:r>
      <w:r w:rsidR="003A4828" w:rsidRPr="003A4828">
        <w:rPr>
          <w:bCs/>
          <w:sz w:val="22"/>
          <w:szCs w:val="22"/>
        </w:rPr>
        <w:t xml:space="preserve"> de </w:t>
      </w:r>
      <w:r w:rsidR="00CE1138" w:rsidRPr="003A4828">
        <w:rPr>
          <w:bCs/>
          <w:sz w:val="22"/>
          <w:szCs w:val="22"/>
        </w:rPr>
        <w:t>20</w:t>
      </w:r>
      <w:r w:rsidR="00CE1138">
        <w:rPr>
          <w:bCs/>
          <w:sz w:val="22"/>
          <w:szCs w:val="22"/>
        </w:rPr>
        <w:t>29</w:t>
      </w:r>
      <w:r w:rsidR="00CE1138" w:rsidRPr="003A4828">
        <w:rPr>
          <w:bCs/>
          <w:sz w:val="22"/>
          <w:szCs w:val="22"/>
        </w:rPr>
        <w:t xml:space="preserve"> </w:t>
      </w:r>
      <w:r w:rsidR="003A4828" w:rsidRPr="003A4828">
        <w:rPr>
          <w:bCs/>
          <w:sz w:val="22"/>
          <w:szCs w:val="22"/>
        </w:rPr>
        <w:t>(“</w:t>
      </w:r>
      <w:r w:rsidR="003A4828" w:rsidRPr="003A4828">
        <w:rPr>
          <w:bCs/>
          <w:sz w:val="22"/>
          <w:szCs w:val="22"/>
          <w:u w:val="single"/>
        </w:rPr>
        <w:t>Data de Vencimento das Debêntures</w:t>
      </w:r>
      <w:r w:rsidR="003A4828" w:rsidRPr="003A4828">
        <w:rPr>
          <w:bCs/>
          <w:sz w:val="22"/>
          <w:szCs w:val="22"/>
        </w:rPr>
        <w:t>”)</w:t>
      </w:r>
      <w:r w:rsidRPr="00096117">
        <w:rPr>
          <w:bCs/>
          <w:sz w:val="22"/>
          <w:szCs w:val="22"/>
        </w:rPr>
        <w:t xml:space="preserve">. </w:t>
      </w:r>
    </w:p>
    <w:p w14:paraId="2A302BE4" w14:textId="77777777" w:rsidR="002F5A22" w:rsidRPr="00096117" w:rsidRDefault="002F5A22" w:rsidP="002F5A22">
      <w:pPr>
        <w:pStyle w:val="PargrafodaLista"/>
        <w:tabs>
          <w:tab w:val="left" w:pos="567"/>
        </w:tabs>
        <w:ind w:hanging="11"/>
        <w:rPr>
          <w:bCs/>
          <w:sz w:val="22"/>
          <w:szCs w:val="22"/>
          <w:highlight w:val="green"/>
        </w:rPr>
      </w:pPr>
    </w:p>
    <w:p w14:paraId="15108D31" w14:textId="4C3477A3" w:rsidR="002F5A22" w:rsidRDefault="003A4828" w:rsidP="002F5A22">
      <w:pPr>
        <w:numPr>
          <w:ilvl w:val="0"/>
          <w:numId w:val="47"/>
        </w:numPr>
        <w:tabs>
          <w:tab w:val="left" w:pos="567"/>
        </w:tabs>
        <w:ind w:left="720" w:hanging="11"/>
        <w:jc w:val="both"/>
        <w:rPr>
          <w:bCs/>
          <w:sz w:val="22"/>
          <w:szCs w:val="22"/>
        </w:rPr>
      </w:pPr>
      <w:r>
        <w:rPr>
          <w:bCs/>
          <w:sz w:val="22"/>
          <w:szCs w:val="22"/>
          <w:u w:val="single"/>
        </w:rPr>
        <w:t xml:space="preserve">Prazo, </w:t>
      </w:r>
      <w:r w:rsidR="002F5A22" w:rsidRPr="006B55C5">
        <w:rPr>
          <w:bCs/>
          <w:sz w:val="22"/>
          <w:szCs w:val="22"/>
          <w:u w:val="single"/>
        </w:rPr>
        <w:t>Forma</w:t>
      </w:r>
      <w:r w:rsidR="002F5A22">
        <w:rPr>
          <w:bCs/>
          <w:sz w:val="22"/>
          <w:szCs w:val="22"/>
          <w:u w:val="single"/>
        </w:rPr>
        <w:t>,</w:t>
      </w:r>
      <w:r w:rsidR="002F5A22" w:rsidRPr="006B55C5">
        <w:rPr>
          <w:bCs/>
          <w:sz w:val="22"/>
          <w:szCs w:val="22"/>
          <w:u w:val="single"/>
        </w:rPr>
        <w:t xml:space="preserve"> Preço</w:t>
      </w:r>
      <w:r w:rsidR="002F5A22">
        <w:rPr>
          <w:bCs/>
          <w:sz w:val="22"/>
          <w:szCs w:val="22"/>
          <w:u w:val="single"/>
        </w:rPr>
        <w:t xml:space="preserve"> </w:t>
      </w:r>
      <w:r w:rsidR="002F5A22" w:rsidRPr="006B55C5">
        <w:rPr>
          <w:bCs/>
          <w:sz w:val="22"/>
          <w:szCs w:val="22"/>
          <w:u w:val="single"/>
        </w:rPr>
        <w:t>de Integralização</w:t>
      </w:r>
      <w:r w:rsidR="002F5A22" w:rsidRPr="006B55C5">
        <w:rPr>
          <w:bCs/>
          <w:sz w:val="22"/>
          <w:szCs w:val="22"/>
        </w:rPr>
        <w:t xml:space="preserve">: </w:t>
      </w:r>
      <w:r w:rsidRPr="003A4828">
        <w:rPr>
          <w:bCs/>
          <w:sz w:val="22"/>
          <w:szCs w:val="22"/>
        </w:rPr>
        <w:t xml:space="preserve">As Debêntures serão subscritas e integralizadas à vista, em moeda corrente nacional, no ato da subscrição, pelo Valor Nominal Unitário, sendo considerada </w:t>
      </w:r>
      <w:r>
        <w:rPr>
          <w:bCs/>
          <w:sz w:val="22"/>
          <w:szCs w:val="22"/>
        </w:rPr>
        <w:t>(</w:t>
      </w:r>
      <w:r w:rsidRPr="003A4828">
        <w:rPr>
          <w:bCs/>
          <w:sz w:val="22"/>
          <w:szCs w:val="22"/>
        </w:rPr>
        <w:t>“</w:t>
      </w:r>
      <w:r w:rsidRPr="003A4828">
        <w:rPr>
          <w:bCs/>
          <w:sz w:val="22"/>
          <w:szCs w:val="22"/>
          <w:u w:val="single"/>
        </w:rPr>
        <w:t>Data de Subscrição</w:t>
      </w:r>
      <w:r w:rsidRPr="003A4828">
        <w:rPr>
          <w:bCs/>
          <w:sz w:val="22"/>
          <w:szCs w:val="22"/>
        </w:rPr>
        <w:t>”</w:t>
      </w:r>
      <w:r>
        <w:rPr>
          <w:bCs/>
          <w:sz w:val="22"/>
          <w:szCs w:val="22"/>
        </w:rPr>
        <w:t>)</w:t>
      </w:r>
      <w:r w:rsidRPr="003A4828">
        <w:rPr>
          <w:bCs/>
          <w:sz w:val="22"/>
          <w:szCs w:val="22"/>
        </w:rPr>
        <w:t>, para fins da Escritura de Emissão, a data da primeira subscrição e integralização das Debêntures. Caso ocorra a integralização das Debêntures em mais de uma data, o preço de subscrição para as Debêntures que foram integralizadas após a Data de Subscrição será o Valor Nominal Unitário Atualizado (conforme abaixo</w:t>
      </w:r>
      <w:r>
        <w:rPr>
          <w:bCs/>
          <w:sz w:val="22"/>
          <w:szCs w:val="22"/>
        </w:rPr>
        <w:t xml:space="preserve"> definido</w:t>
      </w:r>
      <w:r w:rsidRPr="003A4828">
        <w:rPr>
          <w:bCs/>
          <w:sz w:val="22"/>
          <w:szCs w:val="22"/>
        </w:rPr>
        <w:t xml:space="preserve">), acrescido dos Juros Remuneratórios, calculados </w:t>
      </w:r>
      <w:r w:rsidRPr="003A4828">
        <w:rPr>
          <w:bCs/>
          <w:i/>
          <w:sz w:val="22"/>
          <w:szCs w:val="22"/>
        </w:rPr>
        <w:t>pro rata temporis</w:t>
      </w:r>
      <w:r w:rsidRPr="003A4828">
        <w:rPr>
          <w:bCs/>
          <w:sz w:val="22"/>
          <w:szCs w:val="22"/>
        </w:rPr>
        <w:t xml:space="preserve"> desde a Data de Subscrição até a data de sua efetiva integralização. As Debêntures poderão ser subscritas com ágio ou deságio a ser definido no ato de subscrição das Debêntures, sendo certo que, caso aplicável, o ágio ou o deságio, conforme o caso, será o mesmo para todas as Debêntures.</w:t>
      </w:r>
    </w:p>
    <w:p w14:paraId="37054F97" w14:textId="77777777" w:rsidR="002F5A22" w:rsidRPr="006B55C5" w:rsidRDefault="002F5A22" w:rsidP="002F5A22">
      <w:pPr>
        <w:tabs>
          <w:tab w:val="left" w:pos="567"/>
        </w:tabs>
        <w:ind w:left="720"/>
        <w:jc w:val="both"/>
        <w:rPr>
          <w:bCs/>
          <w:sz w:val="22"/>
          <w:szCs w:val="22"/>
        </w:rPr>
      </w:pPr>
    </w:p>
    <w:p w14:paraId="61CB35EF" w14:textId="03F55FF7" w:rsidR="002F5A22" w:rsidRPr="001527C2" w:rsidRDefault="002F5A22" w:rsidP="002F5A22">
      <w:pPr>
        <w:numPr>
          <w:ilvl w:val="0"/>
          <w:numId w:val="47"/>
        </w:numPr>
        <w:tabs>
          <w:tab w:val="left" w:pos="567"/>
        </w:tabs>
        <w:ind w:left="720" w:hanging="11"/>
        <w:jc w:val="both"/>
        <w:rPr>
          <w:bCs/>
          <w:sz w:val="22"/>
          <w:szCs w:val="22"/>
        </w:rPr>
      </w:pPr>
      <w:r w:rsidRPr="00096117">
        <w:rPr>
          <w:bCs/>
          <w:sz w:val="22"/>
          <w:szCs w:val="22"/>
          <w:u w:val="single"/>
        </w:rPr>
        <w:t>Amortização do Valor Nominal Unitário</w:t>
      </w:r>
      <w:r w:rsidR="003A4828">
        <w:rPr>
          <w:bCs/>
          <w:sz w:val="22"/>
          <w:szCs w:val="22"/>
          <w:u w:val="single"/>
        </w:rPr>
        <w:t xml:space="preserve"> Atualizado</w:t>
      </w:r>
      <w:r w:rsidRPr="00096117">
        <w:rPr>
          <w:bCs/>
          <w:sz w:val="22"/>
          <w:szCs w:val="22"/>
        </w:rPr>
        <w:t xml:space="preserve">: </w:t>
      </w:r>
      <w:r w:rsidR="003A4828" w:rsidRPr="003A4828">
        <w:rPr>
          <w:bCs/>
          <w:sz w:val="22"/>
          <w:szCs w:val="22"/>
        </w:rPr>
        <w:t>O Valor Nominal Unitário Atualizado</w:t>
      </w:r>
      <w:r w:rsidR="003A4828">
        <w:rPr>
          <w:bCs/>
          <w:sz w:val="22"/>
          <w:szCs w:val="22"/>
        </w:rPr>
        <w:t xml:space="preserve"> (conforme abaixo definido)</w:t>
      </w:r>
      <w:r w:rsidR="003A4828" w:rsidRPr="003A4828">
        <w:rPr>
          <w:bCs/>
          <w:sz w:val="22"/>
          <w:szCs w:val="22"/>
        </w:rPr>
        <w:t xml:space="preserve"> das Debêntures será amortizado em 20 (vinte) parcelas, sendo a primeira parcela devida em </w:t>
      </w:r>
      <w:r w:rsidR="00CE1138" w:rsidRPr="00BA381D">
        <w:rPr>
          <w:bCs/>
          <w:sz w:val="22"/>
          <w:szCs w:val="22"/>
          <w:highlight w:val="yellow"/>
        </w:rPr>
        <w:t>[</w:t>
      </w:r>
      <w:r w:rsidR="003A4828" w:rsidRPr="00BA381D">
        <w:rPr>
          <w:bCs/>
          <w:sz w:val="22"/>
          <w:szCs w:val="22"/>
          <w:highlight w:val="yellow"/>
        </w:rPr>
        <w:t>20</w:t>
      </w:r>
      <w:r w:rsidR="00CE1138" w:rsidRPr="00BA381D">
        <w:rPr>
          <w:bCs/>
          <w:sz w:val="22"/>
          <w:szCs w:val="22"/>
          <w:highlight w:val="yellow"/>
        </w:rPr>
        <w:t>]</w:t>
      </w:r>
      <w:r w:rsidR="003A4828" w:rsidRPr="003A4828">
        <w:rPr>
          <w:bCs/>
          <w:sz w:val="22"/>
          <w:szCs w:val="22"/>
        </w:rPr>
        <w:t xml:space="preserve"> de julho de 2020 e as demais parcelas serão devidas de forma semestral e consecutiva, nas respectivas datas de amortização até a última </w:t>
      </w:r>
      <w:r w:rsidR="003A4828" w:rsidRPr="003A4828">
        <w:rPr>
          <w:bCs/>
          <w:sz w:val="22"/>
          <w:szCs w:val="22"/>
        </w:rPr>
        <w:lastRenderedPageBreak/>
        <w:t xml:space="preserve">parcela, na Data de Vencimento das Debêntures, conforme cronograma </w:t>
      </w:r>
      <w:r w:rsidR="003A4828">
        <w:rPr>
          <w:bCs/>
          <w:sz w:val="22"/>
          <w:szCs w:val="22"/>
        </w:rPr>
        <w:t>descrito na Escritura de Emissão.</w:t>
      </w:r>
      <w:r w:rsidRPr="001527C2">
        <w:rPr>
          <w:bCs/>
          <w:sz w:val="22"/>
          <w:szCs w:val="22"/>
        </w:rPr>
        <w:t xml:space="preserve"> </w:t>
      </w:r>
    </w:p>
    <w:p w14:paraId="4BE1091C" w14:textId="77777777" w:rsidR="002F5A22" w:rsidRPr="001527C2" w:rsidRDefault="002F5A22" w:rsidP="002F5A22">
      <w:pPr>
        <w:tabs>
          <w:tab w:val="left" w:pos="567"/>
        </w:tabs>
        <w:ind w:left="720" w:hanging="11"/>
        <w:jc w:val="both"/>
        <w:rPr>
          <w:bCs/>
          <w:sz w:val="22"/>
          <w:szCs w:val="22"/>
        </w:rPr>
      </w:pPr>
    </w:p>
    <w:p w14:paraId="1327579C" w14:textId="6C323E78" w:rsidR="002F5A22" w:rsidRDefault="002F5A22" w:rsidP="002F5A22">
      <w:pPr>
        <w:numPr>
          <w:ilvl w:val="0"/>
          <w:numId w:val="47"/>
        </w:numPr>
        <w:tabs>
          <w:tab w:val="left" w:pos="567"/>
        </w:tabs>
        <w:ind w:left="720" w:hanging="11"/>
        <w:jc w:val="both"/>
        <w:rPr>
          <w:bCs/>
          <w:sz w:val="22"/>
          <w:szCs w:val="22"/>
        </w:rPr>
      </w:pPr>
      <w:r w:rsidRPr="006B55C5">
        <w:rPr>
          <w:bCs/>
          <w:sz w:val="22"/>
          <w:szCs w:val="22"/>
          <w:u w:val="single"/>
        </w:rPr>
        <w:t>Local de Pagamento</w:t>
      </w:r>
      <w:r w:rsidRPr="006B55C5">
        <w:rPr>
          <w:bCs/>
          <w:sz w:val="22"/>
          <w:szCs w:val="22"/>
        </w:rPr>
        <w:t xml:space="preserve">: </w:t>
      </w:r>
      <w:r w:rsidR="003A4828" w:rsidRPr="003A4828">
        <w:rPr>
          <w:bCs/>
          <w:sz w:val="22"/>
          <w:szCs w:val="22"/>
        </w:rPr>
        <w:t xml:space="preserve">Os pagamentos a que fizerem jus as Debêntures serão efetuados pela </w:t>
      </w:r>
      <w:r w:rsidR="003A4828">
        <w:rPr>
          <w:bCs/>
          <w:sz w:val="22"/>
          <w:szCs w:val="22"/>
        </w:rPr>
        <w:t>Companhia</w:t>
      </w:r>
      <w:r w:rsidR="003A4828" w:rsidRPr="003A4828">
        <w:rPr>
          <w:bCs/>
          <w:sz w:val="22"/>
          <w:szCs w:val="22"/>
        </w:rPr>
        <w:t xml:space="preserve"> utilizando-se, conforme o caso: (a) os procedimentos adotados pela B3, para as Debêntures custodiadas eletronicamente na B3; ou (b) os procedimentos adotados pelo Banco Liquidante, para as Debêntures que eventualmente não estejam custodiadas eletronicamente na B3 ou, conforme o caso, pela instituição financeira contratada para este fim, ou ainda na sede da </w:t>
      </w:r>
      <w:r w:rsidR="003A4828">
        <w:rPr>
          <w:bCs/>
          <w:sz w:val="22"/>
          <w:szCs w:val="22"/>
        </w:rPr>
        <w:t>Companhia</w:t>
      </w:r>
      <w:r w:rsidR="003A4828" w:rsidRPr="003A4828">
        <w:rPr>
          <w:bCs/>
          <w:sz w:val="22"/>
          <w:szCs w:val="22"/>
        </w:rPr>
        <w:t>, se for o caso.</w:t>
      </w:r>
    </w:p>
    <w:p w14:paraId="6758A661" w14:textId="77777777" w:rsidR="002F5A22" w:rsidRPr="006B55C5" w:rsidRDefault="002F5A22" w:rsidP="002F5A22">
      <w:pPr>
        <w:tabs>
          <w:tab w:val="left" w:pos="567"/>
        </w:tabs>
        <w:ind w:left="720"/>
        <w:jc w:val="both"/>
        <w:rPr>
          <w:bCs/>
          <w:sz w:val="22"/>
          <w:szCs w:val="22"/>
        </w:rPr>
      </w:pPr>
      <w:r w:rsidRPr="008F2123">
        <w:rPr>
          <w:bCs/>
          <w:sz w:val="22"/>
          <w:szCs w:val="22"/>
        </w:rPr>
        <w:t xml:space="preserve"> </w:t>
      </w:r>
      <w:r w:rsidRPr="008F2123">
        <w:rPr>
          <w:bCs/>
          <w:iCs/>
          <w:sz w:val="22"/>
          <w:szCs w:val="22"/>
        </w:rPr>
        <w:t xml:space="preserve"> </w:t>
      </w:r>
    </w:p>
    <w:p w14:paraId="4EF3C59B" w14:textId="2E9AC50B" w:rsidR="002F5A22" w:rsidRDefault="002F5A22" w:rsidP="002F5A22">
      <w:pPr>
        <w:numPr>
          <w:ilvl w:val="0"/>
          <w:numId w:val="47"/>
        </w:numPr>
        <w:tabs>
          <w:tab w:val="left" w:pos="567"/>
        </w:tabs>
        <w:ind w:left="709" w:firstLine="0"/>
        <w:jc w:val="both"/>
        <w:rPr>
          <w:bCs/>
          <w:sz w:val="22"/>
          <w:szCs w:val="22"/>
        </w:rPr>
      </w:pPr>
      <w:r>
        <w:rPr>
          <w:bCs/>
          <w:sz w:val="22"/>
          <w:szCs w:val="22"/>
          <w:u w:val="single"/>
        </w:rPr>
        <w:t>Atualização Monetária</w:t>
      </w:r>
      <w:r w:rsidRPr="00096117">
        <w:rPr>
          <w:bCs/>
          <w:sz w:val="22"/>
          <w:szCs w:val="22"/>
        </w:rPr>
        <w:t xml:space="preserve">: </w:t>
      </w:r>
      <w:r w:rsidR="003A4828" w:rsidRPr="003A4828">
        <w:rPr>
          <w:bCs/>
          <w:sz w:val="22"/>
          <w:szCs w:val="22"/>
        </w:rPr>
        <w:t>O Valor Nominal Unitário ou o saldo do Valor Nominal Unitário, conforme aplicável, das Debêntures será atualizado monetariamente pela variação acumulada do Índice Nacional de Preços ao Consumidor Amplo (“</w:t>
      </w:r>
      <w:r w:rsidR="003A4828" w:rsidRPr="003A4828">
        <w:rPr>
          <w:bCs/>
          <w:sz w:val="22"/>
          <w:szCs w:val="22"/>
          <w:u w:val="single"/>
        </w:rPr>
        <w:t>IPCA</w:t>
      </w:r>
      <w:r w:rsidR="003A4828" w:rsidRPr="003A4828">
        <w:rPr>
          <w:bCs/>
          <w:sz w:val="22"/>
          <w:szCs w:val="22"/>
        </w:rPr>
        <w:t>”), apurado e divulgado mensalmente pelo Instituto Brasileiro de Geografia e Estatística (“</w:t>
      </w:r>
      <w:r w:rsidR="003A4828" w:rsidRPr="003A4828">
        <w:rPr>
          <w:bCs/>
          <w:sz w:val="22"/>
          <w:szCs w:val="22"/>
          <w:u w:val="single"/>
        </w:rPr>
        <w:t>IBGE</w:t>
      </w:r>
      <w:r w:rsidR="003A4828" w:rsidRPr="003A4828">
        <w:rPr>
          <w:bCs/>
          <w:sz w:val="22"/>
          <w:szCs w:val="22"/>
        </w:rPr>
        <w:t>”), desde a Data de Subscrição, ou da última Data de Amortização das Debêntures até a próxima Data de Amortização das Debêntures ou a data do efetivo pagamento (“</w:t>
      </w:r>
      <w:r w:rsidR="003A4828" w:rsidRPr="003A4828">
        <w:rPr>
          <w:bCs/>
          <w:sz w:val="22"/>
          <w:szCs w:val="22"/>
          <w:u w:val="single"/>
        </w:rPr>
        <w:t>Atualização Monetária</w:t>
      </w:r>
      <w:r w:rsidR="003A4828" w:rsidRPr="003A4828">
        <w:rPr>
          <w:bCs/>
          <w:sz w:val="22"/>
          <w:szCs w:val="22"/>
        </w:rPr>
        <w:t>”), sendo o produto da Atualização Monetária automaticamente incorporado ao Valor Nominal Unitário das Debêntures ou, se for o caso, ao saldo do Valor Nominal Unitário das Debêntures, conforme aplicável (“</w:t>
      </w:r>
      <w:r w:rsidR="003A4828" w:rsidRPr="003A4828">
        <w:rPr>
          <w:bCs/>
          <w:sz w:val="22"/>
          <w:szCs w:val="22"/>
          <w:u w:val="single"/>
        </w:rPr>
        <w:t>Valor Nominal Unitário Atualizado</w:t>
      </w:r>
      <w:r w:rsidR="003A4828" w:rsidRPr="003A4828">
        <w:rPr>
          <w:bCs/>
          <w:sz w:val="22"/>
          <w:szCs w:val="22"/>
        </w:rPr>
        <w:t xml:space="preserve">”), calculado de forma </w:t>
      </w:r>
      <w:r w:rsidR="003A4828" w:rsidRPr="003A4828">
        <w:rPr>
          <w:bCs/>
          <w:i/>
          <w:sz w:val="22"/>
          <w:szCs w:val="22"/>
        </w:rPr>
        <w:t>pro rata temporis</w:t>
      </w:r>
      <w:r w:rsidR="003A4828" w:rsidRPr="003A4828">
        <w:rPr>
          <w:bCs/>
          <w:sz w:val="22"/>
          <w:szCs w:val="22"/>
        </w:rPr>
        <w:t xml:space="preserve"> por Dias Úteis</w:t>
      </w:r>
      <w:r w:rsidR="003A4828">
        <w:rPr>
          <w:bCs/>
          <w:sz w:val="22"/>
          <w:szCs w:val="22"/>
        </w:rPr>
        <w:t xml:space="preserve"> (conforme definido na Escritura de Emissão)</w:t>
      </w:r>
      <w:r w:rsidR="003A4828" w:rsidRPr="003A4828">
        <w:rPr>
          <w:bCs/>
          <w:sz w:val="22"/>
          <w:szCs w:val="22"/>
        </w:rPr>
        <w:t xml:space="preserve"> conforme a fórmula</w:t>
      </w:r>
      <w:r>
        <w:rPr>
          <w:bCs/>
          <w:sz w:val="22"/>
          <w:szCs w:val="22"/>
        </w:rPr>
        <w:t xml:space="preserve"> prevista na Escritura de Emissão</w:t>
      </w:r>
      <w:r w:rsidRPr="00096117">
        <w:rPr>
          <w:bCs/>
          <w:sz w:val="22"/>
          <w:szCs w:val="22"/>
        </w:rPr>
        <w:t>.</w:t>
      </w:r>
    </w:p>
    <w:p w14:paraId="6755AC0F" w14:textId="77777777" w:rsidR="003A4828" w:rsidRDefault="003A4828" w:rsidP="003A4828">
      <w:pPr>
        <w:pStyle w:val="PargrafodaLista"/>
        <w:rPr>
          <w:bCs/>
          <w:sz w:val="22"/>
          <w:szCs w:val="22"/>
        </w:rPr>
      </w:pPr>
    </w:p>
    <w:p w14:paraId="0285F005" w14:textId="7B071494" w:rsidR="003A4828" w:rsidRPr="00096117" w:rsidRDefault="003A4828" w:rsidP="002F5A22">
      <w:pPr>
        <w:numPr>
          <w:ilvl w:val="0"/>
          <w:numId w:val="47"/>
        </w:numPr>
        <w:tabs>
          <w:tab w:val="left" w:pos="567"/>
        </w:tabs>
        <w:ind w:left="709" w:firstLine="0"/>
        <w:jc w:val="both"/>
        <w:rPr>
          <w:bCs/>
          <w:sz w:val="22"/>
          <w:szCs w:val="22"/>
        </w:rPr>
      </w:pPr>
      <w:r w:rsidRPr="003A4828">
        <w:rPr>
          <w:bCs/>
          <w:sz w:val="22"/>
          <w:szCs w:val="22"/>
          <w:u w:val="single"/>
        </w:rPr>
        <w:t>Juros Remuneratórios das Debêntures</w:t>
      </w:r>
      <w:r>
        <w:rPr>
          <w:bCs/>
          <w:sz w:val="22"/>
          <w:szCs w:val="22"/>
        </w:rPr>
        <w:t xml:space="preserve">: </w:t>
      </w:r>
      <w:r w:rsidRPr="003A4828">
        <w:rPr>
          <w:bCs/>
          <w:sz w:val="22"/>
          <w:szCs w:val="22"/>
        </w:rPr>
        <w:t xml:space="preserve">Sobre o Valor Nominal Unitário Atualizado das Debêntures incidirão juros remuneratórios prefixados, com base em 252 (duzentos e cinquenta e dois) Dias Úteis, a ser definido de acordo com o Procedimento de </w:t>
      </w:r>
      <w:r w:rsidRPr="003A4828">
        <w:rPr>
          <w:bCs/>
          <w:i/>
          <w:sz w:val="22"/>
          <w:szCs w:val="22"/>
        </w:rPr>
        <w:t>Bookbuilding</w:t>
      </w:r>
      <w:r w:rsidRPr="003A4828">
        <w:rPr>
          <w:bCs/>
          <w:sz w:val="22"/>
          <w:szCs w:val="22"/>
        </w:rPr>
        <w:t>, limitados à maior taxa, a ser verificada no Dia Útil imediatamente</w:t>
      </w:r>
      <w:r w:rsidR="00CE1138">
        <w:rPr>
          <w:bCs/>
          <w:sz w:val="22"/>
          <w:szCs w:val="22"/>
        </w:rPr>
        <w:t xml:space="preserve"> anterior</w:t>
      </w:r>
      <w:r w:rsidRPr="003A4828">
        <w:rPr>
          <w:bCs/>
          <w:sz w:val="22"/>
          <w:szCs w:val="22"/>
        </w:rPr>
        <w:t xml:space="preserve"> à data do Procedimento de </w:t>
      </w:r>
      <w:r w:rsidRPr="003A4828">
        <w:rPr>
          <w:bCs/>
          <w:i/>
          <w:sz w:val="22"/>
          <w:szCs w:val="22"/>
        </w:rPr>
        <w:t>Bookbuilding</w:t>
      </w:r>
      <w:r w:rsidRPr="003A4828">
        <w:rPr>
          <w:bCs/>
          <w:sz w:val="22"/>
          <w:szCs w:val="22"/>
        </w:rPr>
        <w:t xml:space="preserve">, entre: (i) o percentual correspondente à taxa interna de retorno do Título Público Tesouro IPCA+ com Juros Semestrais (NTN-B), com vencimento em </w:t>
      </w:r>
      <w:r w:rsidR="00CE1138">
        <w:rPr>
          <w:bCs/>
          <w:sz w:val="22"/>
          <w:szCs w:val="22"/>
        </w:rPr>
        <w:t>15</w:t>
      </w:r>
      <w:r w:rsidR="00CE1138" w:rsidRPr="003A4828">
        <w:rPr>
          <w:bCs/>
          <w:sz w:val="22"/>
          <w:szCs w:val="22"/>
        </w:rPr>
        <w:t xml:space="preserve"> </w:t>
      </w:r>
      <w:r w:rsidRPr="003A4828">
        <w:rPr>
          <w:bCs/>
          <w:sz w:val="22"/>
          <w:szCs w:val="22"/>
        </w:rPr>
        <w:t xml:space="preserve">de </w:t>
      </w:r>
      <w:r w:rsidR="00CE1138">
        <w:rPr>
          <w:bCs/>
          <w:sz w:val="22"/>
          <w:szCs w:val="22"/>
        </w:rPr>
        <w:t>agosto</w:t>
      </w:r>
      <w:r w:rsidR="00CE1138" w:rsidRPr="003A4828">
        <w:rPr>
          <w:bCs/>
          <w:sz w:val="22"/>
          <w:szCs w:val="22"/>
        </w:rPr>
        <w:t xml:space="preserve"> </w:t>
      </w:r>
      <w:r w:rsidRPr="003A4828">
        <w:rPr>
          <w:bCs/>
          <w:sz w:val="22"/>
          <w:szCs w:val="22"/>
        </w:rPr>
        <w:t>de 2026, conforme as taxas indicativas divulgadas pela ANBIMA em sua página na internet (</w:t>
      </w:r>
      <w:r w:rsidRPr="00BA381D">
        <w:rPr>
          <w:bCs/>
          <w:i/>
          <w:sz w:val="22"/>
          <w:szCs w:val="22"/>
        </w:rPr>
        <w:t>http://www.anbima.com.br</w:t>
      </w:r>
      <w:r w:rsidRPr="003A4828">
        <w:rPr>
          <w:bCs/>
          <w:sz w:val="22"/>
          <w:szCs w:val="22"/>
        </w:rPr>
        <w:t xml:space="preserve">), acrescida exponencialmente de um </w:t>
      </w:r>
      <w:r w:rsidRPr="00BA381D">
        <w:rPr>
          <w:bCs/>
          <w:i/>
          <w:sz w:val="22"/>
          <w:szCs w:val="22"/>
        </w:rPr>
        <w:t>spread</w:t>
      </w:r>
      <w:r w:rsidRPr="003A4828">
        <w:rPr>
          <w:bCs/>
          <w:sz w:val="22"/>
          <w:szCs w:val="22"/>
        </w:rPr>
        <w:t xml:space="preserve">, no máximo, de até 0,15% (quinze centésimos por cento) ao ano, base 252 (duzentos e cinquenta e dois) Dias Úteis; </w:t>
      </w:r>
      <w:r w:rsidR="0050094D">
        <w:rPr>
          <w:bCs/>
          <w:sz w:val="22"/>
          <w:szCs w:val="22"/>
        </w:rPr>
        <w:t xml:space="preserve">e </w:t>
      </w:r>
      <w:r w:rsidRPr="003A4828">
        <w:rPr>
          <w:bCs/>
          <w:sz w:val="22"/>
          <w:szCs w:val="22"/>
        </w:rPr>
        <w:t>(</w:t>
      </w:r>
      <w:proofErr w:type="spellStart"/>
      <w:r w:rsidRPr="003A4828">
        <w:rPr>
          <w:bCs/>
          <w:sz w:val="22"/>
          <w:szCs w:val="22"/>
        </w:rPr>
        <w:t>ii</w:t>
      </w:r>
      <w:proofErr w:type="spellEnd"/>
      <w:r w:rsidRPr="003A4828">
        <w:rPr>
          <w:bCs/>
          <w:sz w:val="22"/>
          <w:szCs w:val="22"/>
        </w:rPr>
        <w:t>) 4,45% (quatro inteiros e quarenta e cinco centésimos por cento) ao ano, base 252 (duzentos e cinquenta e dois) Dias Úteis (“</w:t>
      </w:r>
      <w:r w:rsidRPr="003A4828">
        <w:rPr>
          <w:bCs/>
          <w:sz w:val="22"/>
          <w:szCs w:val="22"/>
          <w:u w:val="single"/>
        </w:rPr>
        <w:t>Juros Remuneratórios</w:t>
      </w:r>
      <w:r w:rsidRPr="003A4828">
        <w:rPr>
          <w:bCs/>
          <w:sz w:val="22"/>
          <w:szCs w:val="22"/>
        </w:rPr>
        <w:t>”)</w:t>
      </w:r>
      <w:r>
        <w:rPr>
          <w:bCs/>
          <w:sz w:val="22"/>
          <w:szCs w:val="22"/>
        </w:rPr>
        <w:t xml:space="preserve">. </w:t>
      </w:r>
      <w:r w:rsidRPr="003A4828">
        <w:rPr>
          <w:bCs/>
          <w:sz w:val="22"/>
          <w:szCs w:val="22"/>
        </w:rPr>
        <w:t xml:space="preserve">Os Juros Remuneratórios serão incidentes sobre o Valor Nominal Unitário Atualizado das Debêntures a partir da Data de Subscrição ou da Data de Pagamento dos Juros Remuneratórios (conforme </w:t>
      </w:r>
      <w:r>
        <w:rPr>
          <w:bCs/>
          <w:sz w:val="22"/>
          <w:szCs w:val="22"/>
        </w:rPr>
        <w:t xml:space="preserve">abaixo </w:t>
      </w:r>
      <w:r w:rsidRPr="003A4828">
        <w:rPr>
          <w:bCs/>
          <w:sz w:val="22"/>
          <w:szCs w:val="22"/>
        </w:rPr>
        <w:t>definido</w:t>
      </w:r>
      <w:r>
        <w:rPr>
          <w:bCs/>
          <w:sz w:val="22"/>
          <w:szCs w:val="22"/>
        </w:rPr>
        <w:t>)</w:t>
      </w:r>
      <w:r w:rsidRPr="003A4828">
        <w:rPr>
          <w:bCs/>
          <w:sz w:val="22"/>
          <w:szCs w:val="22"/>
        </w:rPr>
        <w:t xml:space="preserve"> imediatamente anterior, conforme o caso, e pagos, conforme aplicável, ao final de cada Período de Capitalização (conforme </w:t>
      </w:r>
      <w:r>
        <w:rPr>
          <w:bCs/>
          <w:sz w:val="22"/>
          <w:szCs w:val="22"/>
        </w:rPr>
        <w:t>definido</w:t>
      </w:r>
      <w:r w:rsidR="0050094D">
        <w:rPr>
          <w:bCs/>
          <w:sz w:val="22"/>
          <w:szCs w:val="22"/>
        </w:rPr>
        <w:t xml:space="preserve"> na Escritura de Emissão</w:t>
      </w:r>
      <w:r w:rsidRPr="003A4828">
        <w:rPr>
          <w:bCs/>
          <w:sz w:val="22"/>
          <w:szCs w:val="22"/>
        </w:rPr>
        <w:t xml:space="preserve">), calculado em regime de capitalização composta </w:t>
      </w:r>
      <w:r w:rsidRPr="003A4828">
        <w:rPr>
          <w:bCs/>
          <w:i/>
          <w:sz w:val="22"/>
          <w:szCs w:val="22"/>
        </w:rPr>
        <w:t>pro rata temporis</w:t>
      </w:r>
      <w:r w:rsidRPr="003A4828">
        <w:rPr>
          <w:bCs/>
          <w:sz w:val="22"/>
          <w:szCs w:val="22"/>
        </w:rPr>
        <w:t xml:space="preserve"> por Dias Úteis de acordo com a fórmula</w:t>
      </w:r>
      <w:r>
        <w:rPr>
          <w:bCs/>
          <w:sz w:val="22"/>
          <w:szCs w:val="22"/>
        </w:rPr>
        <w:t xml:space="preserve"> prevista na Escritura de Emissão.</w:t>
      </w:r>
    </w:p>
    <w:p w14:paraId="78F0BA80" w14:textId="77777777" w:rsidR="002F5A22" w:rsidRPr="00096117" w:rsidRDefault="002F5A22" w:rsidP="002F5A22">
      <w:pPr>
        <w:pStyle w:val="PargrafodaLista"/>
        <w:tabs>
          <w:tab w:val="left" w:pos="567"/>
        </w:tabs>
        <w:ind w:hanging="11"/>
        <w:rPr>
          <w:bCs/>
          <w:sz w:val="22"/>
          <w:szCs w:val="22"/>
        </w:rPr>
      </w:pPr>
    </w:p>
    <w:p w14:paraId="462FAF9E" w14:textId="6F8EFB8E" w:rsidR="002F5A22" w:rsidRPr="00096117" w:rsidRDefault="002F5A22" w:rsidP="002F5A22">
      <w:pPr>
        <w:numPr>
          <w:ilvl w:val="0"/>
          <w:numId w:val="47"/>
        </w:numPr>
        <w:tabs>
          <w:tab w:val="left" w:pos="567"/>
        </w:tabs>
        <w:ind w:left="720" w:hanging="11"/>
        <w:jc w:val="both"/>
        <w:rPr>
          <w:bCs/>
          <w:sz w:val="22"/>
          <w:szCs w:val="22"/>
        </w:rPr>
      </w:pPr>
      <w:r w:rsidRPr="00096117">
        <w:rPr>
          <w:bCs/>
          <w:sz w:val="22"/>
          <w:szCs w:val="22"/>
          <w:u w:val="single"/>
        </w:rPr>
        <w:t xml:space="preserve">Pagamento </w:t>
      </w:r>
      <w:r w:rsidR="003A4828">
        <w:rPr>
          <w:bCs/>
          <w:sz w:val="22"/>
          <w:szCs w:val="22"/>
          <w:u w:val="single"/>
        </w:rPr>
        <w:t>dos Juros Remuneratórios</w:t>
      </w:r>
      <w:r w:rsidRPr="00096117">
        <w:rPr>
          <w:bCs/>
          <w:sz w:val="22"/>
          <w:szCs w:val="22"/>
        </w:rPr>
        <w:t>:</w:t>
      </w:r>
      <w:r w:rsidRPr="00096117">
        <w:rPr>
          <w:b/>
          <w:bCs/>
          <w:sz w:val="22"/>
          <w:szCs w:val="22"/>
        </w:rPr>
        <w:t xml:space="preserve"> </w:t>
      </w:r>
      <w:r w:rsidR="003A4828" w:rsidRPr="003A4828">
        <w:rPr>
          <w:bCs/>
          <w:sz w:val="22"/>
          <w:szCs w:val="22"/>
        </w:rPr>
        <w:t xml:space="preserve">O primeiro pagamento de Juros Remuneratórios será realizado em </w:t>
      </w:r>
      <w:r w:rsidR="00E34C88" w:rsidRPr="00E34C88">
        <w:rPr>
          <w:bCs/>
          <w:sz w:val="22"/>
          <w:szCs w:val="22"/>
          <w:highlight w:val="yellow"/>
        </w:rPr>
        <w:t>[●]</w:t>
      </w:r>
      <w:r w:rsidR="003A4828" w:rsidRPr="003A4828">
        <w:rPr>
          <w:bCs/>
          <w:sz w:val="22"/>
          <w:szCs w:val="22"/>
        </w:rPr>
        <w:t xml:space="preserve"> de </w:t>
      </w:r>
      <w:r w:rsidR="00E34C88" w:rsidRPr="00E34C88">
        <w:rPr>
          <w:bCs/>
          <w:sz w:val="22"/>
          <w:szCs w:val="22"/>
          <w:highlight w:val="yellow"/>
        </w:rPr>
        <w:t>[●]</w:t>
      </w:r>
      <w:r w:rsidR="003A4828" w:rsidRPr="003A4828">
        <w:rPr>
          <w:bCs/>
          <w:sz w:val="22"/>
          <w:szCs w:val="22"/>
        </w:rPr>
        <w:t xml:space="preserve"> de 2020</w:t>
      </w:r>
      <w:r w:rsidR="0050094D">
        <w:rPr>
          <w:bCs/>
          <w:sz w:val="22"/>
          <w:szCs w:val="22"/>
        </w:rPr>
        <w:t xml:space="preserve">, </w:t>
      </w:r>
      <w:r w:rsidR="0050094D" w:rsidRPr="0050094D">
        <w:rPr>
          <w:bCs/>
          <w:sz w:val="22"/>
          <w:szCs w:val="22"/>
        </w:rPr>
        <w:t>sendo certo que os Juros Remuneratórios referentes aos 6 (seis) primeiros meses, contados da Data de Emissão, serão capitalizados no Valor Nominal Unitário das Debêntures</w:t>
      </w:r>
      <w:r w:rsidR="0050094D">
        <w:rPr>
          <w:bCs/>
          <w:sz w:val="22"/>
          <w:szCs w:val="22"/>
        </w:rPr>
        <w:t>,</w:t>
      </w:r>
      <w:r w:rsidR="003A4828" w:rsidRPr="003A4828">
        <w:rPr>
          <w:bCs/>
          <w:sz w:val="22"/>
          <w:szCs w:val="22"/>
        </w:rPr>
        <w:t xml:space="preserve"> e os demais pagamentos de Juros Remuneratórios serão realizados semestralmente, sempre no dia </w:t>
      </w:r>
      <w:r w:rsidR="00E34C88" w:rsidRPr="00E34C88">
        <w:rPr>
          <w:bCs/>
          <w:sz w:val="22"/>
          <w:szCs w:val="22"/>
          <w:highlight w:val="yellow"/>
        </w:rPr>
        <w:t>[●]</w:t>
      </w:r>
      <w:r w:rsidR="003A4828" w:rsidRPr="003A4828">
        <w:rPr>
          <w:bCs/>
          <w:sz w:val="22"/>
          <w:szCs w:val="22"/>
        </w:rPr>
        <w:t xml:space="preserve"> (</w:t>
      </w:r>
      <w:r w:rsidR="00E34C88" w:rsidRPr="00E34C88">
        <w:rPr>
          <w:bCs/>
          <w:sz w:val="22"/>
          <w:szCs w:val="22"/>
          <w:highlight w:val="yellow"/>
        </w:rPr>
        <w:t>[●]</w:t>
      </w:r>
      <w:r w:rsidR="003A4828" w:rsidRPr="003A4828">
        <w:rPr>
          <w:bCs/>
          <w:sz w:val="22"/>
          <w:szCs w:val="22"/>
        </w:rPr>
        <w:t xml:space="preserve">) dos meses de </w:t>
      </w:r>
      <w:r w:rsidR="00E34C88" w:rsidRPr="00E34C88">
        <w:rPr>
          <w:bCs/>
          <w:sz w:val="22"/>
          <w:szCs w:val="22"/>
          <w:highlight w:val="yellow"/>
        </w:rPr>
        <w:t>[●]</w:t>
      </w:r>
      <w:r w:rsidR="003A4828" w:rsidRPr="003A4828">
        <w:rPr>
          <w:bCs/>
          <w:sz w:val="22"/>
          <w:szCs w:val="22"/>
        </w:rPr>
        <w:t xml:space="preserve"> e </w:t>
      </w:r>
      <w:r w:rsidR="00E34C88" w:rsidRPr="00E34C88">
        <w:rPr>
          <w:bCs/>
          <w:sz w:val="22"/>
          <w:szCs w:val="22"/>
          <w:highlight w:val="yellow"/>
        </w:rPr>
        <w:t>[●]</w:t>
      </w:r>
      <w:r w:rsidR="003A4828" w:rsidRPr="003A4828">
        <w:rPr>
          <w:bCs/>
          <w:sz w:val="22"/>
          <w:szCs w:val="22"/>
        </w:rPr>
        <w:t xml:space="preserve"> de cada ano, sucessivamente até o último pagamento realizado na Data de Vencimento das Debêntures (cada uma dessas datas uma “</w:t>
      </w:r>
      <w:r w:rsidR="003A4828" w:rsidRPr="003A4828">
        <w:rPr>
          <w:bCs/>
          <w:sz w:val="22"/>
          <w:szCs w:val="22"/>
          <w:u w:val="single"/>
        </w:rPr>
        <w:t>Data de Pagamento dos Juros Remuneratórios</w:t>
      </w:r>
      <w:r w:rsidR="003A4828" w:rsidRPr="003A4828">
        <w:rPr>
          <w:bCs/>
          <w:sz w:val="22"/>
          <w:szCs w:val="22"/>
        </w:rPr>
        <w:t>”)</w:t>
      </w:r>
      <w:r w:rsidR="003A4828">
        <w:rPr>
          <w:bCs/>
          <w:sz w:val="22"/>
          <w:szCs w:val="22"/>
        </w:rPr>
        <w:t>.</w:t>
      </w:r>
    </w:p>
    <w:p w14:paraId="2E7128A0" w14:textId="77777777" w:rsidR="002F5A22" w:rsidRPr="00096117" w:rsidRDefault="002F5A22" w:rsidP="002F5A22">
      <w:pPr>
        <w:pStyle w:val="PargrafodaLista"/>
        <w:tabs>
          <w:tab w:val="left" w:pos="567"/>
        </w:tabs>
        <w:ind w:hanging="11"/>
        <w:rPr>
          <w:bCs/>
          <w:sz w:val="22"/>
          <w:szCs w:val="22"/>
        </w:rPr>
      </w:pPr>
    </w:p>
    <w:p w14:paraId="46539AC7" w14:textId="2B9D53A2" w:rsidR="002F5A22" w:rsidRDefault="002F5A22" w:rsidP="00CA3BB7">
      <w:pPr>
        <w:numPr>
          <w:ilvl w:val="0"/>
          <w:numId w:val="47"/>
        </w:numPr>
        <w:tabs>
          <w:tab w:val="left" w:pos="567"/>
        </w:tabs>
        <w:ind w:left="720" w:hanging="11"/>
        <w:jc w:val="both"/>
        <w:rPr>
          <w:bCs/>
          <w:sz w:val="22"/>
          <w:szCs w:val="22"/>
        </w:rPr>
      </w:pPr>
      <w:r w:rsidRPr="003A4828">
        <w:rPr>
          <w:bCs/>
          <w:sz w:val="22"/>
          <w:szCs w:val="22"/>
          <w:u w:val="single"/>
        </w:rPr>
        <w:t>Resgate Antecipado Facultativo</w:t>
      </w:r>
      <w:r w:rsidRPr="003A4828">
        <w:rPr>
          <w:bCs/>
          <w:sz w:val="22"/>
          <w:szCs w:val="22"/>
        </w:rPr>
        <w:t>:</w:t>
      </w:r>
      <w:r w:rsidR="003A4828" w:rsidRPr="003A4828">
        <w:rPr>
          <w:bCs/>
          <w:sz w:val="22"/>
          <w:szCs w:val="22"/>
        </w:rPr>
        <w:t xml:space="preserve"> </w:t>
      </w:r>
      <w:r w:rsidR="0050094D" w:rsidRPr="0050094D">
        <w:rPr>
          <w:bCs/>
          <w:sz w:val="22"/>
          <w:szCs w:val="22"/>
        </w:rPr>
        <w:t xml:space="preserve">Na data </w:t>
      </w:r>
      <w:r w:rsidR="00BA381D">
        <w:rPr>
          <w:bCs/>
          <w:sz w:val="22"/>
          <w:szCs w:val="22"/>
        </w:rPr>
        <w:t>da Escritura</w:t>
      </w:r>
      <w:r w:rsidR="0050094D" w:rsidRPr="0050094D">
        <w:rPr>
          <w:bCs/>
          <w:sz w:val="22"/>
          <w:szCs w:val="22"/>
        </w:rPr>
        <w:t xml:space="preserve"> de Emissão não é permitida a realização de resgate antecipado facultativo das Debêntures. No entanto, caso durante a vigência da presente Emissão as Debêntures deixem de gozar do tratamento tributário previsto na Lei 12.431, a </w:t>
      </w:r>
      <w:r w:rsidR="00BA381D">
        <w:rPr>
          <w:bCs/>
          <w:sz w:val="22"/>
          <w:szCs w:val="22"/>
        </w:rPr>
        <w:t>Companhia</w:t>
      </w:r>
      <w:r w:rsidR="0050094D" w:rsidRPr="0050094D">
        <w:rPr>
          <w:bCs/>
          <w:sz w:val="22"/>
          <w:szCs w:val="22"/>
        </w:rPr>
        <w:t xml:space="preserve"> poderá, a seu exclusivo critério, a qualquer tempo, mediante Comunicação de Resgate Antecipado Facultativo (conforme definido abaixo) aos Debenturistas, promover o resgate antecipado total das Debêntures, ficando vedado o resgate antecipado parcial das Debêntures, com o consequente cancelamento das Debêntures objeto do resgate (“</w:t>
      </w:r>
      <w:r w:rsidR="0050094D" w:rsidRPr="00BA381D">
        <w:rPr>
          <w:bCs/>
          <w:sz w:val="22"/>
          <w:szCs w:val="22"/>
          <w:u w:val="single"/>
        </w:rPr>
        <w:t>Resgate Antecipado Facultativo</w:t>
      </w:r>
      <w:r w:rsidR="0050094D" w:rsidRPr="0050094D">
        <w:rPr>
          <w:bCs/>
          <w:sz w:val="22"/>
          <w:szCs w:val="22"/>
        </w:rPr>
        <w:t>”)</w:t>
      </w:r>
      <w:r w:rsidRPr="003A4828">
        <w:rPr>
          <w:bCs/>
          <w:sz w:val="22"/>
          <w:szCs w:val="22"/>
        </w:rPr>
        <w:t>.</w:t>
      </w:r>
      <w:r w:rsidR="0050094D">
        <w:rPr>
          <w:bCs/>
          <w:sz w:val="22"/>
          <w:szCs w:val="22"/>
        </w:rPr>
        <w:t xml:space="preserve"> </w:t>
      </w:r>
      <w:r w:rsidR="0050094D" w:rsidRPr="0050094D">
        <w:rPr>
          <w:bCs/>
          <w:sz w:val="22"/>
          <w:szCs w:val="22"/>
        </w:rPr>
        <w:t xml:space="preserve">O Resgate Antecipado Facultativo somente </w:t>
      </w:r>
      <w:r w:rsidR="0050094D" w:rsidRPr="0050094D">
        <w:rPr>
          <w:bCs/>
          <w:sz w:val="22"/>
          <w:szCs w:val="22"/>
        </w:rPr>
        <w:lastRenderedPageBreak/>
        <w:t xml:space="preserve">poderá ocorrer mediante o envio de comunicação individual a todos os Debenturistas titulares das Debêntures objeto do Resgate Antecipado Facultativo, com cópia para o Agente Fiduciário, ou publicação de anúncio da </w:t>
      </w:r>
      <w:r w:rsidR="00BA381D">
        <w:rPr>
          <w:bCs/>
          <w:sz w:val="22"/>
          <w:szCs w:val="22"/>
        </w:rPr>
        <w:t>Companhia</w:t>
      </w:r>
      <w:r w:rsidR="0050094D" w:rsidRPr="0050094D">
        <w:rPr>
          <w:bCs/>
          <w:sz w:val="22"/>
          <w:szCs w:val="22"/>
        </w:rPr>
        <w:t xml:space="preserve"> dirigido aos Debenturistas titulares das Debêntures objeto do Resgate Antecipado Facultativo (“</w:t>
      </w:r>
      <w:r w:rsidR="0050094D" w:rsidRPr="00BA381D">
        <w:rPr>
          <w:bCs/>
          <w:sz w:val="22"/>
          <w:szCs w:val="22"/>
          <w:u w:val="single"/>
        </w:rPr>
        <w:t>Comunicação de Resgate Antecipado Facultativo</w:t>
      </w:r>
      <w:r w:rsidR="0050094D" w:rsidRPr="0050094D">
        <w:rPr>
          <w:bCs/>
          <w:sz w:val="22"/>
          <w:szCs w:val="22"/>
        </w:rPr>
        <w:t>”), com antecedência mínima de 3 (três) Dias Úteis contados da data prevista para realização do efetivo Resgate Antecipado Facultativo (“</w:t>
      </w:r>
      <w:r w:rsidR="0050094D" w:rsidRPr="00BA381D">
        <w:rPr>
          <w:bCs/>
          <w:sz w:val="22"/>
          <w:szCs w:val="22"/>
          <w:u w:val="single"/>
        </w:rPr>
        <w:t>Data do Resgate Antecipado Facultativo</w:t>
      </w:r>
      <w:r w:rsidR="0050094D" w:rsidRPr="0050094D">
        <w:rPr>
          <w:bCs/>
          <w:sz w:val="22"/>
          <w:szCs w:val="22"/>
        </w:rPr>
        <w:t>”) que deverá, necessariamente, ser um Dia Útil. Na Comunicação de Resgate Antecipado Facultativo deverão constar (i) a Data do Resgate Antecipado Facultativo; (</w:t>
      </w:r>
      <w:proofErr w:type="spellStart"/>
      <w:r w:rsidR="0050094D" w:rsidRPr="0050094D">
        <w:rPr>
          <w:bCs/>
          <w:sz w:val="22"/>
          <w:szCs w:val="22"/>
        </w:rPr>
        <w:t>ii</w:t>
      </w:r>
      <w:proofErr w:type="spellEnd"/>
      <w:r w:rsidR="0050094D" w:rsidRPr="0050094D">
        <w:rPr>
          <w:bCs/>
          <w:sz w:val="22"/>
          <w:szCs w:val="22"/>
        </w:rPr>
        <w:t>) a forma de cálculo do valor do Resgate Antecipado Facultativo; (</w:t>
      </w:r>
      <w:proofErr w:type="spellStart"/>
      <w:r w:rsidR="0050094D" w:rsidRPr="0050094D">
        <w:rPr>
          <w:bCs/>
          <w:sz w:val="22"/>
          <w:szCs w:val="22"/>
        </w:rPr>
        <w:t>iii</w:t>
      </w:r>
      <w:proofErr w:type="spellEnd"/>
      <w:r w:rsidR="0050094D" w:rsidRPr="0050094D">
        <w:rPr>
          <w:bCs/>
          <w:sz w:val="22"/>
          <w:szCs w:val="22"/>
        </w:rPr>
        <w:t>) quaisquer outras informações necessárias à operacionalização do Resgate Antecipado Facultativo.</w:t>
      </w:r>
      <w:r w:rsidR="0050094D">
        <w:rPr>
          <w:bCs/>
          <w:sz w:val="22"/>
          <w:szCs w:val="22"/>
        </w:rPr>
        <w:t xml:space="preserve"> </w:t>
      </w:r>
      <w:r w:rsidR="0050094D" w:rsidRPr="0050094D">
        <w:rPr>
          <w:bCs/>
          <w:sz w:val="22"/>
          <w:szCs w:val="22"/>
        </w:rPr>
        <w:t xml:space="preserve">O valor do Resgate Antecipado Facultativo será equivalente ao Valor Nominal Unitário Atualizado acrescido dos Juros Remuneratórios devidos até a data do efetivo Resgate Antecipado Facultativo, calculados </w:t>
      </w:r>
      <w:r w:rsidR="0050094D" w:rsidRPr="00EC6CAF">
        <w:rPr>
          <w:bCs/>
          <w:i/>
          <w:sz w:val="22"/>
          <w:szCs w:val="22"/>
        </w:rPr>
        <w:t xml:space="preserve">pro rata </w:t>
      </w:r>
      <w:proofErr w:type="spellStart"/>
      <w:r w:rsidR="0050094D" w:rsidRPr="00EC6CAF">
        <w:rPr>
          <w:bCs/>
          <w:i/>
          <w:sz w:val="22"/>
          <w:szCs w:val="22"/>
        </w:rPr>
        <w:t>temporis</w:t>
      </w:r>
      <w:proofErr w:type="spellEnd"/>
      <w:r w:rsidR="0050094D" w:rsidRPr="0050094D">
        <w:rPr>
          <w:bCs/>
          <w:sz w:val="22"/>
          <w:szCs w:val="22"/>
        </w:rPr>
        <w:t>, a partir da Data de Subscrição ou da Data de Pagamento dos Juros Remuneratórios imediatamente anterior (“</w:t>
      </w:r>
      <w:r w:rsidR="0050094D" w:rsidRPr="00BA381D">
        <w:rPr>
          <w:bCs/>
          <w:sz w:val="22"/>
          <w:szCs w:val="22"/>
          <w:u w:val="single"/>
        </w:rPr>
        <w:t>Valor do Resgate Antecipado Facultativo</w:t>
      </w:r>
      <w:r w:rsidR="0050094D" w:rsidRPr="0050094D">
        <w:rPr>
          <w:bCs/>
          <w:sz w:val="22"/>
          <w:szCs w:val="22"/>
        </w:rPr>
        <w:t>”)</w:t>
      </w:r>
    </w:p>
    <w:p w14:paraId="7F709449" w14:textId="77777777" w:rsidR="003A4828" w:rsidRDefault="003A4828" w:rsidP="003A4828">
      <w:pPr>
        <w:pStyle w:val="PargrafodaLista"/>
        <w:rPr>
          <w:bCs/>
          <w:sz w:val="22"/>
          <w:szCs w:val="22"/>
        </w:rPr>
      </w:pPr>
    </w:p>
    <w:p w14:paraId="10658DBA" w14:textId="66EE55B5" w:rsidR="002F5A22" w:rsidRDefault="002F5A22" w:rsidP="002F5A22">
      <w:pPr>
        <w:numPr>
          <w:ilvl w:val="0"/>
          <w:numId w:val="47"/>
        </w:numPr>
        <w:tabs>
          <w:tab w:val="left" w:pos="567"/>
        </w:tabs>
        <w:ind w:left="720" w:hanging="11"/>
        <w:jc w:val="both"/>
        <w:rPr>
          <w:bCs/>
          <w:sz w:val="22"/>
          <w:szCs w:val="22"/>
        </w:rPr>
      </w:pPr>
      <w:r w:rsidRPr="008E133E">
        <w:rPr>
          <w:bCs/>
          <w:sz w:val="22"/>
          <w:szCs w:val="22"/>
          <w:u w:val="single"/>
        </w:rPr>
        <w:t xml:space="preserve">Amortização Extraordinária Facultativa: </w:t>
      </w:r>
      <w:r w:rsidR="003A4828" w:rsidRPr="003A4828">
        <w:rPr>
          <w:bCs/>
          <w:sz w:val="22"/>
          <w:szCs w:val="22"/>
        </w:rPr>
        <w:t xml:space="preserve">As Debêntures não estarão sujeitas a amortização extraordinária pela </w:t>
      </w:r>
      <w:r w:rsidR="003A4828">
        <w:rPr>
          <w:bCs/>
          <w:sz w:val="22"/>
          <w:szCs w:val="22"/>
        </w:rPr>
        <w:t>Companhia</w:t>
      </w:r>
      <w:r w:rsidR="003A4828" w:rsidRPr="003A4828">
        <w:rPr>
          <w:bCs/>
          <w:sz w:val="22"/>
          <w:szCs w:val="22"/>
        </w:rPr>
        <w:t>.</w:t>
      </w:r>
    </w:p>
    <w:p w14:paraId="22FACC59" w14:textId="77777777" w:rsidR="002F5A22" w:rsidRDefault="002F5A22" w:rsidP="002F5A22">
      <w:pPr>
        <w:tabs>
          <w:tab w:val="left" w:pos="567"/>
        </w:tabs>
        <w:ind w:left="720"/>
        <w:jc w:val="both"/>
        <w:rPr>
          <w:bCs/>
          <w:sz w:val="22"/>
          <w:szCs w:val="22"/>
        </w:rPr>
      </w:pPr>
    </w:p>
    <w:p w14:paraId="1AAF9D1C" w14:textId="63437640" w:rsidR="003A4828" w:rsidRPr="00096117" w:rsidRDefault="002F5A22" w:rsidP="003A4828">
      <w:pPr>
        <w:numPr>
          <w:ilvl w:val="0"/>
          <w:numId w:val="47"/>
        </w:numPr>
        <w:tabs>
          <w:tab w:val="left" w:pos="567"/>
        </w:tabs>
        <w:ind w:left="709" w:firstLine="0"/>
        <w:jc w:val="both"/>
        <w:rPr>
          <w:bCs/>
          <w:sz w:val="22"/>
          <w:szCs w:val="22"/>
        </w:rPr>
      </w:pPr>
      <w:r w:rsidRPr="00E95E76">
        <w:rPr>
          <w:bCs/>
          <w:sz w:val="22"/>
          <w:szCs w:val="22"/>
          <w:u w:val="single"/>
        </w:rPr>
        <w:t>Oferta de Resgate Antecipado:</w:t>
      </w:r>
      <w:r>
        <w:rPr>
          <w:bCs/>
          <w:sz w:val="22"/>
          <w:szCs w:val="22"/>
          <w:u w:val="single"/>
        </w:rPr>
        <w:t xml:space="preserve"> </w:t>
      </w:r>
      <w:r w:rsidR="003A4828" w:rsidRPr="003A4828">
        <w:rPr>
          <w:bCs/>
          <w:sz w:val="22"/>
          <w:szCs w:val="22"/>
        </w:rPr>
        <w:t xml:space="preserve">Na data </w:t>
      </w:r>
      <w:r w:rsidR="003A4828">
        <w:rPr>
          <w:bCs/>
          <w:sz w:val="22"/>
          <w:szCs w:val="22"/>
        </w:rPr>
        <w:t xml:space="preserve">de celebração </w:t>
      </w:r>
      <w:r w:rsidR="003A4828" w:rsidRPr="003A4828">
        <w:rPr>
          <w:bCs/>
          <w:sz w:val="22"/>
          <w:szCs w:val="22"/>
        </w:rPr>
        <w:t xml:space="preserve">da Escritura de Emissão não é permitida a realização de oferta de resgate antecipado. No entanto, desde que permitido e devidamente regulamentado pelo CMN, nos termos da </w:t>
      </w:r>
      <w:r w:rsidR="00BD1A9C" w:rsidRPr="00BD1A9C">
        <w:rPr>
          <w:bCs/>
          <w:sz w:val="22"/>
          <w:szCs w:val="22"/>
        </w:rPr>
        <w:t>Lei nº 12.431, de 24 de junho de 2011, conforme alterada (“</w:t>
      </w:r>
      <w:r w:rsidR="00BD1A9C" w:rsidRPr="00BD1A9C">
        <w:rPr>
          <w:bCs/>
          <w:sz w:val="22"/>
          <w:szCs w:val="22"/>
          <w:u w:val="single"/>
        </w:rPr>
        <w:t>Lei 12.431</w:t>
      </w:r>
      <w:r w:rsidR="00BD1A9C" w:rsidRPr="00BD1A9C">
        <w:rPr>
          <w:bCs/>
          <w:sz w:val="22"/>
          <w:szCs w:val="22"/>
        </w:rPr>
        <w:t>”)</w:t>
      </w:r>
      <w:r w:rsidR="003A4828" w:rsidRPr="003A4828">
        <w:rPr>
          <w:bCs/>
          <w:sz w:val="22"/>
          <w:szCs w:val="22"/>
        </w:rPr>
        <w:t xml:space="preserve">, a </w:t>
      </w:r>
      <w:r w:rsidR="003A4828">
        <w:rPr>
          <w:bCs/>
          <w:sz w:val="22"/>
          <w:szCs w:val="22"/>
        </w:rPr>
        <w:t>Companhia</w:t>
      </w:r>
      <w:r w:rsidR="003A4828" w:rsidRPr="003A4828">
        <w:rPr>
          <w:bCs/>
          <w:sz w:val="22"/>
          <w:szCs w:val="22"/>
        </w:rPr>
        <w:t xml:space="preserve"> poderá realizar, a seu exclusivo critério, oferta de resgate antecipado da totalidade das Debêntures, com o consequente cancelamento das Debêntures resgatadas (“</w:t>
      </w:r>
      <w:r w:rsidR="003A4828" w:rsidRPr="003A4828">
        <w:rPr>
          <w:bCs/>
          <w:sz w:val="22"/>
          <w:szCs w:val="22"/>
          <w:u w:val="single"/>
        </w:rPr>
        <w:t>Oferta de Resgate Antecipado</w:t>
      </w:r>
      <w:r w:rsidR="003A4828" w:rsidRPr="003A4828">
        <w:rPr>
          <w:bCs/>
          <w:sz w:val="22"/>
          <w:szCs w:val="22"/>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o resgate antecipado das Debêntures de que forem titulares, de acordo com os termos e condições previstos </w:t>
      </w:r>
      <w:r w:rsidR="003A4828">
        <w:rPr>
          <w:bCs/>
          <w:sz w:val="22"/>
          <w:szCs w:val="22"/>
        </w:rPr>
        <w:t xml:space="preserve">na Escritura de Emissão. </w:t>
      </w:r>
      <w:r w:rsidR="003A4828" w:rsidRPr="003A4828">
        <w:rPr>
          <w:bCs/>
          <w:sz w:val="22"/>
          <w:szCs w:val="22"/>
        </w:rPr>
        <w:t xml:space="preserve">A </w:t>
      </w:r>
      <w:r w:rsidR="003A4828">
        <w:rPr>
          <w:bCs/>
          <w:sz w:val="22"/>
          <w:szCs w:val="22"/>
        </w:rPr>
        <w:t>Companhia</w:t>
      </w:r>
      <w:r w:rsidR="003A4828" w:rsidRPr="003A4828">
        <w:rPr>
          <w:bCs/>
          <w:sz w:val="22"/>
          <w:szCs w:val="22"/>
        </w:rPr>
        <w:t xml:space="preserve"> realizará a Oferta de Resgate Antecipado por meio de comunicação enviada ao Agente Fiduciário, devendo, a seu exclusivo critério, (a) enviar correspondência endereçada à totalidade dos Debenturistas, com cópia para o Agente Fiduciário, ou (b) publicar, nos termos </w:t>
      </w:r>
      <w:r w:rsidR="005A377E">
        <w:rPr>
          <w:bCs/>
          <w:sz w:val="22"/>
          <w:szCs w:val="22"/>
        </w:rPr>
        <w:t>Escritura de Emissão</w:t>
      </w:r>
      <w:r w:rsidR="003A4828" w:rsidRPr="003A4828">
        <w:rPr>
          <w:bCs/>
          <w:sz w:val="22"/>
          <w:szCs w:val="22"/>
        </w:rPr>
        <w:t>, na data de envio da referida comunicação, anúncio aos Debenturistas (“</w:t>
      </w:r>
      <w:r w:rsidR="003A4828" w:rsidRPr="005A377E">
        <w:rPr>
          <w:bCs/>
          <w:sz w:val="22"/>
          <w:szCs w:val="22"/>
          <w:u w:val="single"/>
        </w:rPr>
        <w:t>Edital de Oferta de Resgate Antecipado</w:t>
      </w:r>
      <w:r w:rsidR="003A4828" w:rsidRPr="003A4828">
        <w:rPr>
          <w:bCs/>
          <w:sz w:val="22"/>
          <w:szCs w:val="22"/>
        </w:rPr>
        <w:t>”), no qual deverá descrever os termos e condições da Oferta de Resgate Antecipado, incluindo: (</w:t>
      </w:r>
      <w:r w:rsidR="003C7A05">
        <w:rPr>
          <w:bCs/>
          <w:sz w:val="22"/>
          <w:szCs w:val="22"/>
        </w:rPr>
        <w:t>I</w:t>
      </w:r>
      <w:r w:rsidR="003A4828" w:rsidRPr="003A4828">
        <w:rPr>
          <w:bCs/>
          <w:sz w:val="22"/>
          <w:szCs w:val="22"/>
        </w:rPr>
        <w:t xml:space="preserve">) o valor do prêmio de resgate antecipado a ser oferecido pela </w:t>
      </w:r>
      <w:r w:rsidR="003A4828">
        <w:rPr>
          <w:bCs/>
          <w:sz w:val="22"/>
          <w:szCs w:val="22"/>
        </w:rPr>
        <w:t>Companhia</w:t>
      </w:r>
      <w:r w:rsidR="003A4828" w:rsidRPr="003A4828">
        <w:rPr>
          <w:bCs/>
          <w:sz w:val="22"/>
          <w:szCs w:val="22"/>
        </w:rPr>
        <w:t>, se houver, e que não poderá ser negativo; (</w:t>
      </w:r>
      <w:r w:rsidR="003C7A05">
        <w:rPr>
          <w:bCs/>
          <w:sz w:val="22"/>
          <w:szCs w:val="22"/>
        </w:rPr>
        <w:t>II</w:t>
      </w:r>
      <w:r w:rsidR="003A4828" w:rsidRPr="003A4828">
        <w:rPr>
          <w:bCs/>
          <w:sz w:val="22"/>
          <w:szCs w:val="22"/>
        </w:rPr>
        <w:t xml:space="preserve">) a forma para manifestação à </w:t>
      </w:r>
      <w:r w:rsidR="003A4828">
        <w:rPr>
          <w:bCs/>
          <w:sz w:val="22"/>
          <w:szCs w:val="22"/>
        </w:rPr>
        <w:t>Companhia</w:t>
      </w:r>
      <w:r w:rsidR="003A4828" w:rsidRPr="003A4828">
        <w:rPr>
          <w:bCs/>
          <w:sz w:val="22"/>
          <w:szCs w:val="22"/>
        </w:rPr>
        <w:t xml:space="preserve"> dos Debenturistas que optarem pela adesão à Oferta de Resgate Antecipado, observado o disposto na </w:t>
      </w:r>
      <w:r w:rsidR="005A377E">
        <w:rPr>
          <w:bCs/>
          <w:sz w:val="22"/>
          <w:szCs w:val="22"/>
        </w:rPr>
        <w:t>Escritura de Emissão</w:t>
      </w:r>
      <w:r w:rsidR="003A4828" w:rsidRPr="003A4828">
        <w:rPr>
          <w:bCs/>
          <w:sz w:val="22"/>
          <w:szCs w:val="22"/>
        </w:rPr>
        <w:t>; (</w:t>
      </w:r>
      <w:r w:rsidR="003C7A05">
        <w:rPr>
          <w:bCs/>
          <w:sz w:val="22"/>
          <w:szCs w:val="22"/>
        </w:rPr>
        <w:t>III</w:t>
      </w:r>
      <w:r w:rsidR="003A4828" w:rsidRPr="003A4828">
        <w:rPr>
          <w:bCs/>
          <w:sz w:val="22"/>
          <w:szCs w:val="22"/>
        </w:rPr>
        <w:t xml:space="preserve">) a data efetiva para o resgate antecipado das Debêntures e o pagamento das quantias devidas aos Debenturistas nos termos da </w:t>
      </w:r>
      <w:r w:rsidR="005A377E">
        <w:rPr>
          <w:bCs/>
          <w:sz w:val="22"/>
          <w:szCs w:val="22"/>
        </w:rPr>
        <w:t>Escritura de Emissão</w:t>
      </w:r>
      <w:r w:rsidR="003A4828" w:rsidRPr="003A4828">
        <w:rPr>
          <w:bCs/>
          <w:sz w:val="22"/>
          <w:szCs w:val="22"/>
        </w:rPr>
        <w:t>; e (</w:t>
      </w:r>
      <w:r w:rsidR="003C7A05">
        <w:rPr>
          <w:bCs/>
          <w:sz w:val="22"/>
          <w:szCs w:val="22"/>
        </w:rPr>
        <w:t>IV</w:t>
      </w:r>
      <w:r w:rsidR="003A4828" w:rsidRPr="003A4828">
        <w:rPr>
          <w:bCs/>
          <w:sz w:val="22"/>
          <w:szCs w:val="22"/>
        </w:rPr>
        <w:t>) as demais informações necessárias para a tomada de decisão pelos Debenturistas e para a operacionalização da Oferta de Resgate Antecipado.</w:t>
      </w:r>
      <w:r w:rsidR="003A4828">
        <w:rPr>
          <w:bCs/>
          <w:sz w:val="22"/>
          <w:szCs w:val="22"/>
        </w:rPr>
        <w:t xml:space="preserve"> </w:t>
      </w:r>
      <w:r w:rsidR="003A4828" w:rsidRPr="003A4828">
        <w:rPr>
          <w:bCs/>
          <w:sz w:val="22"/>
          <w:szCs w:val="22"/>
        </w:rPr>
        <w:t>O valor a ser pago em relação a cada uma das Debêntures será equivalente ao Valor Nominal Unitário Atualizado acrescido (</w:t>
      </w:r>
      <w:r w:rsidR="003C7A05">
        <w:rPr>
          <w:bCs/>
          <w:sz w:val="22"/>
          <w:szCs w:val="22"/>
        </w:rPr>
        <w:t>I</w:t>
      </w:r>
      <w:r w:rsidR="003A4828" w:rsidRPr="003A4828">
        <w:rPr>
          <w:bCs/>
          <w:sz w:val="22"/>
          <w:szCs w:val="22"/>
        </w:rPr>
        <w:t xml:space="preserve">) dos Juros Remuneratórios devidos até a data do efetivo resgate, calculados </w:t>
      </w:r>
      <w:r w:rsidR="003A4828" w:rsidRPr="005A377E">
        <w:rPr>
          <w:bCs/>
          <w:i/>
          <w:sz w:val="22"/>
          <w:szCs w:val="22"/>
        </w:rPr>
        <w:t>pro rata temporis</w:t>
      </w:r>
      <w:r w:rsidR="003A4828" w:rsidRPr="003A4828">
        <w:rPr>
          <w:bCs/>
          <w:sz w:val="22"/>
          <w:szCs w:val="22"/>
        </w:rPr>
        <w:t>, a partir da Data de Subscrição ou da Data de Pagamento dos Juros Remuneratórios imediatamente anterior; e (</w:t>
      </w:r>
      <w:r w:rsidR="003C7A05">
        <w:rPr>
          <w:bCs/>
          <w:sz w:val="22"/>
          <w:szCs w:val="22"/>
        </w:rPr>
        <w:t>II</w:t>
      </w:r>
      <w:r w:rsidR="003A4828" w:rsidRPr="003A4828">
        <w:rPr>
          <w:bCs/>
          <w:sz w:val="22"/>
          <w:szCs w:val="22"/>
        </w:rPr>
        <w:t>) se for o caso, do prêmio de resgate indicado no Edital da Oferta de Resgate Antecipado.</w:t>
      </w:r>
    </w:p>
    <w:p w14:paraId="277145DC" w14:textId="77777777" w:rsidR="002F5A22" w:rsidRPr="00096117" w:rsidRDefault="002F5A22" w:rsidP="002F5A22">
      <w:pPr>
        <w:pStyle w:val="PargrafodaLista"/>
        <w:rPr>
          <w:bCs/>
          <w:sz w:val="22"/>
          <w:szCs w:val="22"/>
          <w:u w:val="single"/>
        </w:rPr>
      </w:pPr>
    </w:p>
    <w:p w14:paraId="3F91D8A5" w14:textId="6B6F6A3B" w:rsidR="002F5A22" w:rsidRPr="00096117" w:rsidRDefault="002F5A22" w:rsidP="002F5A22">
      <w:pPr>
        <w:numPr>
          <w:ilvl w:val="0"/>
          <w:numId w:val="47"/>
        </w:numPr>
        <w:tabs>
          <w:tab w:val="left" w:pos="567"/>
        </w:tabs>
        <w:ind w:left="720" w:hanging="11"/>
        <w:jc w:val="both"/>
        <w:rPr>
          <w:bCs/>
          <w:sz w:val="22"/>
          <w:szCs w:val="22"/>
        </w:rPr>
      </w:pPr>
      <w:r w:rsidRPr="00096117">
        <w:rPr>
          <w:bCs/>
          <w:sz w:val="22"/>
          <w:szCs w:val="22"/>
          <w:u w:val="single"/>
        </w:rPr>
        <w:t>Aquisição Facultativa:</w:t>
      </w:r>
      <w:r w:rsidRPr="00096117">
        <w:rPr>
          <w:bCs/>
          <w:sz w:val="22"/>
          <w:szCs w:val="22"/>
        </w:rPr>
        <w:t xml:space="preserve"> </w:t>
      </w:r>
      <w:r w:rsidR="005A377E" w:rsidRPr="005A377E">
        <w:rPr>
          <w:bCs/>
          <w:sz w:val="22"/>
          <w:szCs w:val="22"/>
        </w:rPr>
        <w:t xml:space="preserve">Após decorridos 2 (dois) anos contados da Data de Emissão, observado o disposto na </w:t>
      </w:r>
      <w:r w:rsidR="005A377E" w:rsidRPr="00BD1A9C">
        <w:rPr>
          <w:bCs/>
          <w:sz w:val="22"/>
          <w:szCs w:val="22"/>
        </w:rPr>
        <w:t>Lei 12.431, as Debêntures</w:t>
      </w:r>
      <w:r w:rsidR="005A377E" w:rsidRPr="005A377E">
        <w:rPr>
          <w:bCs/>
          <w:sz w:val="22"/>
          <w:szCs w:val="22"/>
        </w:rPr>
        <w:t xml:space="preserve"> poderão ser adquiridas pela </w:t>
      </w:r>
      <w:r w:rsidR="005A377E">
        <w:rPr>
          <w:bCs/>
          <w:sz w:val="22"/>
          <w:szCs w:val="22"/>
        </w:rPr>
        <w:t>Companhia</w:t>
      </w:r>
      <w:r w:rsidR="005A377E" w:rsidRPr="005A377E">
        <w:rPr>
          <w:bCs/>
          <w:sz w:val="22"/>
          <w:szCs w:val="22"/>
        </w:rPr>
        <w:t>, no mercado secundário, a qualquer momento, condicionado ao aceite do respectivo Debenturista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w:t>
      </w:r>
      <w:r w:rsidR="003C7A05">
        <w:rPr>
          <w:bCs/>
          <w:sz w:val="22"/>
          <w:szCs w:val="22"/>
        </w:rPr>
        <w:t>I</w:t>
      </w:r>
      <w:r w:rsidR="005A377E" w:rsidRPr="005A377E">
        <w:rPr>
          <w:bCs/>
          <w:sz w:val="22"/>
          <w:szCs w:val="22"/>
        </w:rPr>
        <w:t xml:space="preserve">) ser canceladas, na forma que vier a ser regulamentada pelo CMN, observado e em conformidade com o disposto no </w:t>
      </w:r>
      <w:r w:rsidR="005A377E" w:rsidRPr="005A377E">
        <w:rPr>
          <w:bCs/>
          <w:sz w:val="22"/>
          <w:szCs w:val="22"/>
        </w:rPr>
        <w:lastRenderedPageBreak/>
        <w:t xml:space="preserve">artigo 1°, parágrafo 1°, incisos I e II da </w:t>
      </w:r>
      <w:r w:rsidR="005A377E" w:rsidRPr="00BD1A9C">
        <w:rPr>
          <w:bCs/>
          <w:sz w:val="22"/>
          <w:szCs w:val="22"/>
        </w:rPr>
        <w:t>Lei 12.431</w:t>
      </w:r>
      <w:r w:rsidR="005A377E" w:rsidRPr="005A377E">
        <w:rPr>
          <w:bCs/>
          <w:sz w:val="22"/>
          <w:szCs w:val="22"/>
        </w:rPr>
        <w:t>; (</w:t>
      </w:r>
      <w:r w:rsidR="003C7A05">
        <w:rPr>
          <w:bCs/>
          <w:sz w:val="22"/>
          <w:szCs w:val="22"/>
        </w:rPr>
        <w:t>II</w:t>
      </w:r>
      <w:r w:rsidR="005A377E" w:rsidRPr="005A377E">
        <w:rPr>
          <w:bCs/>
          <w:sz w:val="22"/>
          <w:szCs w:val="22"/>
        </w:rPr>
        <w:t xml:space="preserve">) permanecer na tesouraria da </w:t>
      </w:r>
      <w:r w:rsidR="005A377E">
        <w:rPr>
          <w:bCs/>
          <w:sz w:val="22"/>
          <w:szCs w:val="22"/>
        </w:rPr>
        <w:t>Companhia</w:t>
      </w:r>
      <w:r w:rsidR="005A377E" w:rsidRPr="005A377E">
        <w:rPr>
          <w:bCs/>
          <w:sz w:val="22"/>
          <w:szCs w:val="22"/>
        </w:rPr>
        <w:t>; ou (</w:t>
      </w:r>
      <w:r w:rsidR="003C7A05">
        <w:rPr>
          <w:bCs/>
          <w:sz w:val="22"/>
          <w:szCs w:val="22"/>
        </w:rPr>
        <w:t>III</w:t>
      </w:r>
      <w:r w:rsidR="005A377E" w:rsidRPr="005A377E">
        <w:rPr>
          <w:bCs/>
          <w:sz w:val="22"/>
          <w:szCs w:val="22"/>
        </w:rPr>
        <w:t xml:space="preserve">) ser novamente colocadas no mercado. As Debêntures adquiridas pela </w:t>
      </w:r>
      <w:r w:rsidR="005A377E">
        <w:rPr>
          <w:bCs/>
          <w:sz w:val="22"/>
          <w:szCs w:val="22"/>
        </w:rPr>
        <w:t>Companhia</w:t>
      </w:r>
      <w:r w:rsidR="005A377E" w:rsidRPr="005A377E">
        <w:rPr>
          <w:bCs/>
          <w:sz w:val="22"/>
          <w:szCs w:val="22"/>
        </w:rPr>
        <w:t xml:space="preserve"> para permanência em tesouraria nos termos </w:t>
      </w:r>
      <w:r w:rsidR="005A377E">
        <w:rPr>
          <w:bCs/>
          <w:sz w:val="22"/>
          <w:szCs w:val="22"/>
        </w:rPr>
        <w:t>da Escritura de Emissão</w:t>
      </w:r>
      <w:r w:rsidR="005A377E" w:rsidRPr="005A377E">
        <w:rPr>
          <w:bCs/>
          <w:sz w:val="22"/>
          <w:szCs w:val="22"/>
        </w:rPr>
        <w:t>, se e quando recolocadas no mercado, farão jus aos mesmos valores de Atualização Monetária e Juros Remuneratórios das demais Debêntures. Na hipótese de cancelamento das Debêntures, a Escritura de Emissão deverá ser aditada para refletir tal cancelamento.</w:t>
      </w:r>
    </w:p>
    <w:p w14:paraId="593115F8" w14:textId="77777777" w:rsidR="002F5A22" w:rsidRPr="00096117" w:rsidRDefault="002F5A22" w:rsidP="002F5A22">
      <w:pPr>
        <w:pStyle w:val="PargrafodaLista"/>
        <w:rPr>
          <w:sz w:val="22"/>
          <w:szCs w:val="22"/>
        </w:rPr>
      </w:pPr>
    </w:p>
    <w:p w14:paraId="4B24B7BD" w14:textId="77777777" w:rsidR="002F5A22" w:rsidRPr="00096117" w:rsidRDefault="002F5A22" w:rsidP="002F5A22">
      <w:pPr>
        <w:numPr>
          <w:ilvl w:val="0"/>
          <w:numId w:val="47"/>
        </w:numPr>
        <w:tabs>
          <w:tab w:val="left" w:pos="567"/>
        </w:tabs>
        <w:ind w:left="720" w:hanging="11"/>
        <w:jc w:val="both"/>
        <w:rPr>
          <w:bCs/>
          <w:sz w:val="22"/>
          <w:szCs w:val="22"/>
        </w:rPr>
      </w:pPr>
      <w:r w:rsidRPr="00096117">
        <w:rPr>
          <w:bCs/>
          <w:sz w:val="22"/>
          <w:szCs w:val="22"/>
          <w:u w:val="single"/>
        </w:rPr>
        <w:t>Repactuação Programada</w:t>
      </w:r>
      <w:r w:rsidRPr="00096117">
        <w:rPr>
          <w:bCs/>
          <w:sz w:val="22"/>
          <w:szCs w:val="22"/>
        </w:rPr>
        <w:t xml:space="preserve">: Não haverá repactuação programada das </w:t>
      </w:r>
      <w:r>
        <w:rPr>
          <w:bCs/>
          <w:sz w:val="22"/>
          <w:szCs w:val="22"/>
        </w:rPr>
        <w:t>Debêntures</w:t>
      </w:r>
      <w:r w:rsidRPr="00096117">
        <w:rPr>
          <w:bCs/>
          <w:sz w:val="22"/>
          <w:szCs w:val="22"/>
        </w:rPr>
        <w:t>.</w:t>
      </w:r>
    </w:p>
    <w:p w14:paraId="5AA9B609" w14:textId="77777777" w:rsidR="002F5A22" w:rsidRPr="00096117" w:rsidRDefault="002F5A22" w:rsidP="002F5A22">
      <w:pPr>
        <w:pStyle w:val="PargrafodaLista"/>
        <w:rPr>
          <w:bCs/>
          <w:sz w:val="22"/>
          <w:szCs w:val="22"/>
          <w:u w:val="single"/>
        </w:rPr>
      </w:pPr>
    </w:p>
    <w:p w14:paraId="3BB95215" w14:textId="64FF6363" w:rsidR="002F5A22" w:rsidRDefault="002F5A22" w:rsidP="002F5A22">
      <w:pPr>
        <w:numPr>
          <w:ilvl w:val="0"/>
          <w:numId w:val="47"/>
        </w:numPr>
        <w:tabs>
          <w:tab w:val="left" w:pos="567"/>
        </w:tabs>
        <w:ind w:left="720" w:firstLine="0"/>
        <w:jc w:val="both"/>
        <w:rPr>
          <w:bCs/>
          <w:sz w:val="22"/>
          <w:szCs w:val="22"/>
        </w:rPr>
      </w:pPr>
      <w:r w:rsidRPr="006B55C5">
        <w:rPr>
          <w:bCs/>
          <w:sz w:val="22"/>
          <w:szCs w:val="22"/>
          <w:u w:val="single"/>
        </w:rPr>
        <w:t>Vencimento Antecipado:</w:t>
      </w:r>
      <w:r w:rsidRPr="006B55C5">
        <w:rPr>
          <w:rFonts w:ascii="Arial" w:eastAsia="Calibri" w:hAnsi="Arial" w:cs="Arial"/>
          <w:bCs/>
          <w:sz w:val="22"/>
          <w:szCs w:val="22"/>
          <w:lang w:eastAsia="en-US"/>
        </w:rPr>
        <w:t xml:space="preserve"> </w:t>
      </w:r>
      <w:r w:rsidRPr="005F1904">
        <w:rPr>
          <w:bCs/>
          <w:sz w:val="22"/>
          <w:szCs w:val="22"/>
        </w:rPr>
        <w:t>As Debêntures terão o seu vencimento antecipado declarado nas hipóteses previstas na Escritura de Emissão</w:t>
      </w:r>
      <w:r w:rsidRPr="008F2123">
        <w:rPr>
          <w:bCs/>
          <w:sz w:val="22"/>
          <w:szCs w:val="22"/>
        </w:rPr>
        <w:t>.</w:t>
      </w:r>
      <w:bookmarkStart w:id="1" w:name="_DV_M606"/>
      <w:bookmarkEnd w:id="1"/>
    </w:p>
    <w:p w14:paraId="4F8ECF29" w14:textId="77777777" w:rsidR="002F5A22" w:rsidRDefault="002F5A22" w:rsidP="002F5A22">
      <w:pPr>
        <w:tabs>
          <w:tab w:val="left" w:pos="567"/>
        </w:tabs>
        <w:ind w:left="720"/>
        <w:jc w:val="both"/>
        <w:rPr>
          <w:bCs/>
          <w:sz w:val="22"/>
          <w:szCs w:val="22"/>
        </w:rPr>
      </w:pPr>
    </w:p>
    <w:p w14:paraId="34AE4870" w14:textId="70E88947" w:rsidR="002F5A22" w:rsidRPr="0068264E" w:rsidRDefault="002F5A22" w:rsidP="002F5A22">
      <w:pPr>
        <w:numPr>
          <w:ilvl w:val="0"/>
          <w:numId w:val="47"/>
        </w:numPr>
        <w:tabs>
          <w:tab w:val="left" w:pos="567"/>
        </w:tabs>
        <w:ind w:left="720" w:firstLine="0"/>
        <w:jc w:val="both"/>
        <w:rPr>
          <w:bCs/>
          <w:sz w:val="22"/>
          <w:szCs w:val="22"/>
        </w:rPr>
      </w:pPr>
      <w:r w:rsidRPr="0068264E">
        <w:rPr>
          <w:bCs/>
          <w:sz w:val="22"/>
          <w:szCs w:val="22"/>
          <w:u w:val="single"/>
        </w:rPr>
        <w:t>Destinação dos Recursos</w:t>
      </w:r>
      <w:r w:rsidRPr="0068264E">
        <w:rPr>
          <w:bCs/>
          <w:sz w:val="22"/>
          <w:szCs w:val="22"/>
        </w:rPr>
        <w:t xml:space="preserve">: </w:t>
      </w:r>
      <w:r w:rsidR="005A377E" w:rsidRPr="005A377E">
        <w:rPr>
          <w:bCs/>
          <w:sz w:val="22"/>
          <w:szCs w:val="22"/>
        </w:rPr>
        <w:t>Nos termos do artigo 2º, parágrafos 1º e 1º-B, da Lei 12.431, do Decreto Presidencial nº 8.874, de 11 de outubro de 2016, e da Resolução do Conselho Monetário Nacional (“</w:t>
      </w:r>
      <w:r w:rsidR="005A377E" w:rsidRPr="005A377E">
        <w:rPr>
          <w:bCs/>
          <w:sz w:val="22"/>
          <w:szCs w:val="22"/>
          <w:u w:val="single"/>
        </w:rPr>
        <w:t>CMN</w:t>
      </w:r>
      <w:r w:rsidR="005A377E" w:rsidRPr="005A377E">
        <w:rPr>
          <w:bCs/>
          <w:sz w:val="22"/>
          <w:szCs w:val="22"/>
        </w:rPr>
        <w:t>”) nº 3.947, de 27 de janeiro de 2011 (“</w:t>
      </w:r>
      <w:r w:rsidR="005A377E" w:rsidRPr="005A377E">
        <w:rPr>
          <w:bCs/>
          <w:sz w:val="22"/>
          <w:szCs w:val="22"/>
          <w:u w:val="single"/>
        </w:rPr>
        <w:t>Resolução CMN 3.947</w:t>
      </w:r>
      <w:r w:rsidR="005A377E" w:rsidRPr="005A377E">
        <w:rPr>
          <w:bCs/>
          <w:sz w:val="22"/>
          <w:szCs w:val="22"/>
        </w:rPr>
        <w:t xml:space="preserve">”), os recursos captados pela </w:t>
      </w:r>
      <w:r w:rsidR="005A377E">
        <w:rPr>
          <w:bCs/>
          <w:sz w:val="22"/>
          <w:szCs w:val="22"/>
        </w:rPr>
        <w:t>Companhia</w:t>
      </w:r>
      <w:r w:rsidR="005A377E" w:rsidRPr="005A377E">
        <w:rPr>
          <w:bCs/>
          <w:sz w:val="22"/>
          <w:szCs w:val="22"/>
        </w:rPr>
        <w:t xml:space="preserve"> por meio da Emissão das Debêntures serão utilizados exclusivamente para a implantação e/ou reembolso de gastos, despesas ou dívidas, direta ou indiretamente, relacionados ao Projeto</w:t>
      </w:r>
      <w:r w:rsidR="005A377E">
        <w:rPr>
          <w:bCs/>
          <w:sz w:val="22"/>
          <w:szCs w:val="22"/>
        </w:rPr>
        <w:t xml:space="preserve"> (conforme definido na Escritura de Emissão)</w:t>
      </w:r>
      <w:r w:rsidR="005A377E" w:rsidRPr="005A377E">
        <w:rPr>
          <w:bCs/>
          <w:sz w:val="22"/>
          <w:szCs w:val="22"/>
        </w:rPr>
        <w:t>, despendidos no Projeto</w:t>
      </w:r>
      <w:r w:rsidR="005A377E">
        <w:rPr>
          <w:bCs/>
          <w:sz w:val="22"/>
          <w:szCs w:val="22"/>
        </w:rPr>
        <w:t xml:space="preserve"> (conforme definido na Escritura de Emissão)</w:t>
      </w:r>
      <w:r w:rsidR="005A377E" w:rsidRPr="005A377E">
        <w:rPr>
          <w:bCs/>
          <w:sz w:val="22"/>
          <w:szCs w:val="22"/>
        </w:rPr>
        <w:t xml:space="preserve"> no período igual ou inferior a 24 (vinte e quatro) meses antes do encerramento da Oferta Restrita, conforme</w:t>
      </w:r>
      <w:r>
        <w:rPr>
          <w:bCs/>
          <w:sz w:val="22"/>
          <w:szCs w:val="22"/>
        </w:rPr>
        <w:t xml:space="preserve"> </w:t>
      </w:r>
      <w:r w:rsidR="005A377E">
        <w:rPr>
          <w:bCs/>
          <w:sz w:val="22"/>
          <w:szCs w:val="22"/>
        </w:rPr>
        <w:t>descrito na Escritura de Emissão</w:t>
      </w:r>
      <w:r w:rsidR="0050094D">
        <w:rPr>
          <w:bCs/>
          <w:sz w:val="22"/>
          <w:szCs w:val="22"/>
        </w:rPr>
        <w:t xml:space="preserve"> (“</w:t>
      </w:r>
      <w:r w:rsidR="0050094D" w:rsidRPr="00BA381D">
        <w:rPr>
          <w:bCs/>
          <w:sz w:val="22"/>
          <w:szCs w:val="22"/>
          <w:u w:val="single"/>
        </w:rPr>
        <w:t>Projeto</w:t>
      </w:r>
      <w:r w:rsidR="0050094D">
        <w:rPr>
          <w:bCs/>
          <w:sz w:val="22"/>
          <w:szCs w:val="22"/>
        </w:rPr>
        <w:t>”)</w:t>
      </w:r>
      <w:r w:rsidR="005A377E">
        <w:rPr>
          <w:bCs/>
          <w:sz w:val="22"/>
          <w:szCs w:val="22"/>
        </w:rPr>
        <w:t>.</w:t>
      </w:r>
    </w:p>
    <w:p w14:paraId="1D1DC3C9" w14:textId="77777777" w:rsidR="002F5A22" w:rsidRPr="00096117" w:rsidRDefault="002F5A22" w:rsidP="002F5A22">
      <w:pPr>
        <w:pStyle w:val="PargrafodaLista"/>
        <w:tabs>
          <w:tab w:val="left" w:pos="567"/>
        </w:tabs>
        <w:ind w:hanging="11"/>
        <w:rPr>
          <w:bCs/>
          <w:sz w:val="22"/>
          <w:szCs w:val="22"/>
        </w:rPr>
      </w:pPr>
    </w:p>
    <w:p w14:paraId="49E60B90" w14:textId="337D1398" w:rsidR="00F45A5D" w:rsidRPr="00F45A5D" w:rsidRDefault="002F5A22" w:rsidP="00F45A5D">
      <w:pPr>
        <w:numPr>
          <w:ilvl w:val="0"/>
          <w:numId w:val="47"/>
        </w:numPr>
        <w:tabs>
          <w:tab w:val="left" w:pos="567"/>
        </w:tabs>
        <w:ind w:left="720" w:firstLine="0"/>
        <w:jc w:val="both"/>
        <w:rPr>
          <w:bCs/>
          <w:sz w:val="22"/>
          <w:szCs w:val="22"/>
        </w:rPr>
      </w:pPr>
      <w:r w:rsidRPr="00F45A5D">
        <w:rPr>
          <w:bCs/>
          <w:sz w:val="22"/>
          <w:szCs w:val="22"/>
          <w:u w:val="single"/>
        </w:rPr>
        <w:t>Colocação e Plano de Distribuição:</w:t>
      </w:r>
      <w:r w:rsidRPr="00F45A5D">
        <w:rPr>
          <w:bCs/>
          <w:sz w:val="22"/>
          <w:szCs w:val="22"/>
        </w:rPr>
        <w:t xml:space="preserve"> As Debêntures serão objeto de distribuição pública com esforços restritos de distribuição, nos termos da Instrução CVM 476 e do Contrato de Distribuição</w:t>
      </w:r>
      <w:r w:rsidR="005A377E" w:rsidRPr="00F45A5D">
        <w:rPr>
          <w:bCs/>
          <w:sz w:val="22"/>
          <w:szCs w:val="22"/>
        </w:rPr>
        <w:t xml:space="preserve"> (conforme definido na Escritura de Emissão)</w:t>
      </w:r>
      <w:r w:rsidRPr="00F45A5D">
        <w:rPr>
          <w:bCs/>
          <w:sz w:val="22"/>
          <w:szCs w:val="22"/>
        </w:rPr>
        <w:t xml:space="preserve">, sob o regime de garantia firme de distribuição para a totalidade das Debêntures, </w:t>
      </w:r>
      <w:r w:rsidRPr="00F45A5D">
        <w:rPr>
          <w:sz w:val="22"/>
          <w:szCs w:val="22"/>
        </w:rPr>
        <w:t xml:space="preserve">tendo como público alvo investidores profissionais, nos termos do artigo 9º-A da Instrução CVM nº 539, de </w:t>
      </w:r>
      <w:smartTag w:uri="urn:schemas-microsoft-com:office:smarttags" w:element="date">
        <w:smartTagPr>
          <w:attr w:name="ls" w:val="trans"/>
          <w:attr w:name="Month" w:val="11"/>
          <w:attr w:name="Day" w:val="13"/>
          <w:attr w:name="Year" w:val="2013"/>
        </w:smartTagPr>
        <w:r w:rsidRPr="00F45A5D">
          <w:rPr>
            <w:sz w:val="22"/>
            <w:szCs w:val="22"/>
          </w:rPr>
          <w:t>13 de novembro de 2013</w:t>
        </w:r>
      </w:smartTag>
      <w:r w:rsidRPr="00F45A5D">
        <w:rPr>
          <w:sz w:val="22"/>
          <w:szCs w:val="22"/>
        </w:rPr>
        <w:t>, conforme alterada (“</w:t>
      </w:r>
      <w:r w:rsidRPr="00F45A5D">
        <w:rPr>
          <w:sz w:val="22"/>
          <w:szCs w:val="22"/>
          <w:u w:val="single"/>
        </w:rPr>
        <w:t xml:space="preserve">Instrução CVM </w:t>
      </w:r>
      <w:smartTag w:uri="urn:schemas-microsoft-com:office:smarttags" w:element="metricconverter">
        <w:smartTagPr>
          <w:attr w:name="ProductID" w:val="539”"/>
        </w:smartTagPr>
        <w:r w:rsidRPr="00F45A5D">
          <w:rPr>
            <w:sz w:val="22"/>
            <w:szCs w:val="22"/>
            <w:u w:val="single"/>
          </w:rPr>
          <w:t>539</w:t>
        </w:r>
        <w:r w:rsidRPr="00F45A5D">
          <w:rPr>
            <w:sz w:val="22"/>
            <w:szCs w:val="22"/>
          </w:rPr>
          <w:t>”</w:t>
        </w:r>
      </w:smartTag>
      <w:r w:rsidRPr="00F45A5D">
        <w:rPr>
          <w:sz w:val="22"/>
          <w:szCs w:val="22"/>
        </w:rPr>
        <w:t>) e do artigo 2º da Instrução CVM 476</w:t>
      </w:r>
      <w:r w:rsidR="006337E2">
        <w:rPr>
          <w:sz w:val="22"/>
          <w:szCs w:val="22"/>
        </w:rPr>
        <w:t xml:space="preserve"> (“</w:t>
      </w:r>
      <w:r w:rsidR="006337E2" w:rsidRPr="006337E2">
        <w:rPr>
          <w:sz w:val="22"/>
          <w:szCs w:val="22"/>
          <w:u w:val="single"/>
        </w:rPr>
        <w:t>Investidores Profissionais</w:t>
      </w:r>
      <w:r w:rsidR="006337E2">
        <w:rPr>
          <w:sz w:val="22"/>
          <w:szCs w:val="22"/>
        </w:rPr>
        <w:t>”)</w:t>
      </w:r>
      <w:r w:rsidRPr="00F45A5D">
        <w:rPr>
          <w:sz w:val="22"/>
          <w:szCs w:val="22"/>
        </w:rPr>
        <w:t>.</w:t>
      </w:r>
      <w:r w:rsidRPr="00F45A5D">
        <w:rPr>
          <w:bCs/>
          <w:sz w:val="22"/>
          <w:szCs w:val="22"/>
        </w:rPr>
        <w:t xml:space="preserve"> </w:t>
      </w:r>
      <w:r w:rsidR="00F45A5D" w:rsidRPr="00F45A5D">
        <w:rPr>
          <w:bCs/>
          <w:sz w:val="22"/>
          <w:szCs w:val="22"/>
        </w:rPr>
        <w:t>Nos termos do Contrato de Distribuição</w:t>
      </w:r>
      <w:r w:rsidR="00F45A5D">
        <w:rPr>
          <w:bCs/>
          <w:sz w:val="22"/>
          <w:szCs w:val="22"/>
        </w:rPr>
        <w:t xml:space="preserve"> (conforme definido na Escritura de Emissão)</w:t>
      </w:r>
      <w:r w:rsidR="00F45A5D" w:rsidRPr="00F45A5D">
        <w:rPr>
          <w:bCs/>
          <w:sz w:val="22"/>
          <w:szCs w:val="22"/>
        </w:rPr>
        <w:t>, o Coordenador Líder</w:t>
      </w:r>
      <w:r w:rsidR="00F45A5D">
        <w:rPr>
          <w:bCs/>
          <w:sz w:val="22"/>
          <w:szCs w:val="22"/>
        </w:rPr>
        <w:t xml:space="preserve"> (conforme definido no Contrato de Distribuição)</w:t>
      </w:r>
      <w:r w:rsidR="00F45A5D" w:rsidRPr="00F45A5D">
        <w:rPr>
          <w:bCs/>
          <w:sz w:val="22"/>
          <w:szCs w:val="22"/>
        </w:rPr>
        <w:t xml:space="preserve"> organizará o procedimento de coleta de intenções de investimento, sem recebimento de reservas, sem lotes mínimos ou máximos, observado o disposto no artigo 3º da Instrução CVM 476, para verificação, junto aos Investidores Profissionais, da demanda pelas Debêntures em diferentes níveis de taxas de juros (“</w:t>
      </w:r>
      <w:r w:rsidR="00F45A5D" w:rsidRPr="006337E2">
        <w:rPr>
          <w:bCs/>
          <w:sz w:val="22"/>
          <w:szCs w:val="22"/>
          <w:u w:val="single"/>
        </w:rPr>
        <w:t>Procedimento de Bookbuilding</w:t>
      </w:r>
      <w:r w:rsidR="00F45A5D" w:rsidRPr="00F45A5D">
        <w:rPr>
          <w:bCs/>
          <w:sz w:val="22"/>
          <w:szCs w:val="22"/>
        </w:rPr>
        <w:t xml:space="preserve">”), de forma a definir os Juros Remuneratórios aplicáveis. O resultado do Procedimento de Bookbuilding será ratificado por meio de aditamento </w:t>
      </w:r>
      <w:r w:rsidR="006337E2">
        <w:rPr>
          <w:bCs/>
          <w:sz w:val="22"/>
          <w:szCs w:val="22"/>
        </w:rPr>
        <w:t>à</w:t>
      </w:r>
      <w:r w:rsidR="00F45A5D" w:rsidRPr="00F45A5D">
        <w:rPr>
          <w:bCs/>
          <w:sz w:val="22"/>
          <w:szCs w:val="22"/>
        </w:rPr>
        <w:t xml:space="preserve"> Escritura de Emissão, que deverá ser levado a registro perante a J</w:t>
      </w:r>
      <w:r w:rsidR="006337E2">
        <w:rPr>
          <w:bCs/>
          <w:sz w:val="22"/>
          <w:szCs w:val="22"/>
        </w:rPr>
        <w:t>unta Comercial de Minas Gerais</w:t>
      </w:r>
      <w:r w:rsidR="00F45A5D" w:rsidRPr="00F45A5D">
        <w:rPr>
          <w:bCs/>
          <w:sz w:val="22"/>
          <w:szCs w:val="22"/>
        </w:rPr>
        <w:t xml:space="preserve">, conforme </w:t>
      </w:r>
      <w:r w:rsidR="006337E2">
        <w:rPr>
          <w:bCs/>
          <w:sz w:val="22"/>
          <w:szCs w:val="22"/>
        </w:rPr>
        <w:t>previsto na Escritura de Emissão</w:t>
      </w:r>
      <w:r w:rsidR="00F45A5D" w:rsidRPr="00F45A5D">
        <w:rPr>
          <w:bCs/>
          <w:sz w:val="22"/>
          <w:szCs w:val="22"/>
        </w:rPr>
        <w:t xml:space="preserve">, estando desde já </w:t>
      </w:r>
      <w:r w:rsidR="006337E2">
        <w:rPr>
          <w:bCs/>
          <w:sz w:val="22"/>
          <w:szCs w:val="22"/>
        </w:rPr>
        <w:t>a Companhia</w:t>
      </w:r>
      <w:r w:rsidR="00F45A5D" w:rsidRPr="00F45A5D">
        <w:rPr>
          <w:bCs/>
          <w:sz w:val="22"/>
          <w:szCs w:val="22"/>
        </w:rPr>
        <w:t xml:space="preserve"> </w:t>
      </w:r>
      <w:r w:rsidR="006337E2">
        <w:rPr>
          <w:bCs/>
          <w:sz w:val="22"/>
          <w:szCs w:val="22"/>
        </w:rPr>
        <w:t xml:space="preserve">e as SPEs devidamente </w:t>
      </w:r>
      <w:r w:rsidR="00F45A5D" w:rsidRPr="00F45A5D">
        <w:rPr>
          <w:bCs/>
          <w:sz w:val="22"/>
          <w:szCs w:val="22"/>
        </w:rPr>
        <w:t>autorizada</w:t>
      </w:r>
      <w:r w:rsidR="006337E2">
        <w:rPr>
          <w:bCs/>
          <w:sz w:val="22"/>
          <w:szCs w:val="22"/>
        </w:rPr>
        <w:t>s</w:t>
      </w:r>
      <w:r w:rsidR="00F45A5D" w:rsidRPr="00F45A5D">
        <w:rPr>
          <w:bCs/>
          <w:sz w:val="22"/>
          <w:szCs w:val="22"/>
        </w:rPr>
        <w:t xml:space="preserve"> e obrigada</w:t>
      </w:r>
      <w:r w:rsidR="006337E2">
        <w:rPr>
          <w:bCs/>
          <w:sz w:val="22"/>
          <w:szCs w:val="22"/>
        </w:rPr>
        <w:t>s</w:t>
      </w:r>
      <w:r w:rsidR="00F45A5D" w:rsidRPr="00F45A5D">
        <w:rPr>
          <w:bCs/>
          <w:sz w:val="22"/>
          <w:szCs w:val="22"/>
        </w:rPr>
        <w:t xml:space="preserve"> a celebrar tal aditamento, sem a necessidade de prévia aprovação societária e sem necessidade de prévia Assembleia Geral de Debenturistas. </w:t>
      </w:r>
    </w:p>
    <w:p w14:paraId="19ECBA5B" w14:textId="0C9FC95F" w:rsidR="002F5A22" w:rsidRPr="00096117" w:rsidRDefault="002F5A22" w:rsidP="00BA381D">
      <w:pPr>
        <w:tabs>
          <w:tab w:val="left" w:pos="567"/>
        </w:tabs>
        <w:ind w:left="720"/>
        <w:jc w:val="both"/>
        <w:rPr>
          <w:bCs/>
          <w:sz w:val="22"/>
          <w:szCs w:val="22"/>
        </w:rPr>
      </w:pPr>
    </w:p>
    <w:p w14:paraId="29B601B6" w14:textId="77777777" w:rsidR="002F5A22" w:rsidRPr="00096117" w:rsidRDefault="002F5A22" w:rsidP="002F5A22">
      <w:pPr>
        <w:tabs>
          <w:tab w:val="left" w:pos="567"/>
        </w:tabs>
        <w:ind w:left="720" w:hanging="11"/>
        <w:jc w:val="both"/>
        <w:rPr>
          <w:bCs/>
          <w:sz w:val="22"/>
          <w:szCs w:val="22"/>
        </w:rPr>
      </w:pPr>
    </w:p>
    <w:p w14:paraId="466C75FD" w14:textId="77777777" w:rsidR="002F5A22" w:rsidRPr="00096117" w:rsidRDefault="002F5A22" w:rsidP="002F5A22">
      <w:pPr>
        <w:numPr>
          <w:ilvl w:val="0"/>
          <w:numId w:val="47"/>
        </w:numPr>
        <w:tabs>
          <w:tab w:val="left" w:pos="567"/>
        </w:tabs>
        <w:ind w:left="720" w:hanging="11"/>
        <w:jc w:val="both"/>
        <w:rPr>
          <w:bCs/>
          <w:sz w:val="22"/>
          <w:szCs w:val="22"/>
        </w:rPr>
      </w:pPr>
      <w:r w:rsidRPr="00096117">
        <w:rPr>
          <w:bCs/>
          <w:sz w:val="22"/>
          <w:szCs w:val="22"/>
          <w:u w:val="single"/>
        </w:rPr>
        <w:t>Negociação</w:t>
      </w:r>
      <w:r w:rsidRPr="00096117">
        <w:rPr>
          <w:bCs/>
          <w:sz w:val="22"/>
          <w:szCs w:val="22"/>
        </w:rPr>
        <w:t xml:space="preserve">: As Debêntures serão depositadas para negociação no mercado secundário através do Módulo CETIP21 – Títulos e Valores Mobiliários, administrado e operacionalizado pela CETIP, sendo as negociações liquidadas financeiramente e as Debêntures depositadas eletronicamente na CETIP. As Debêntures somente poderão ser negociadas nos mercados </w:t>
      </w:r>
      <w:r>
        <w:rPr>
          <w:bCs/>
          <w:sz w:val="22"/>
          <w:szCs w:val="22"/>
        </w:rPr>
        <w:t xml:space="preserve">de balcão organizado, </w:t>
      </w:r>
      <w:r w:rsidRPr="00096117">
        <w:rPr>
          <w:bCs/>
          <w:sz w:val="22"/>
          <w:szCs w:val="22"/>
        </w:rPr>
        <w:t>entre investidores qualificados, conforme definidos no artigo 9º-B da Instrução CVM 539 e depois de decorridos 90 (noventa) dias de cada subscrição ou aquisição pelos investidores, nos termos dos artigos 13 e 15 da Instrução CVM 476 e observado o cumprimento, pela Companhia, do artigo 17 da referida Instrução CVM 476 e das demais disposições legais e regulamentares aplicáveis.</w:t>
      </w:r>
      <w:r>
        <w:rPr>
          <w:bCs/>
          <w:sz w:val="22"/>
          <w:szCs w:val="22"/>
        </w:rPr>
        <w:t xml:space="preserve"> </w:t>
      </w:r>
    </w:p>
    <w:p w14:paraId="49F740B4" w14:textId="77777777" w:rsidR="002F5A22" w:rsidRPr="00096117" w:rsidRDefault="002F5A22" w:rsidP="002F5A22">
      <w:pPr>
        <w:pStyle w:val="PargrafodaLista"/>
        <w:rPr>
          <w:bCs/>
          <w:sz w:val="22"/>
          <w:szCs w:val="22"/>
        </w:rPr>
      </w:pPr>
    </w:p>
    <w:p w14:paraId="2D7A1268" w14:textId="29B447E0" w:rsidR="002F5A22" w:rsidRPr="00096117" w:rsidRDefault="002F5A22" w:rsidP="002F5A22">
      <w:pPr>
        <w:numPr>
          <w:ilvl w:val="0"/>
          <w:numId w:val="47"/>
        </w:numPr>
        <w:tabs>
          <w:tab w:val="left" w:pos="567"/>
        </w:tabs>
        <w:ind w:left="709" w:firstLine="0"/>
        <w:jc w:val="both"/>
        <w:rPr>
          <w:bCs/>
          <w:sz w:val="22"/>
          <w:szCs w:val="22"/>
        </w:rPr>
      </w:pPr>
      <w:r w:rsidRPr="00096117">
        <w:rPr>
          <w:bCs/>
          <w:sz w:val="22"/>
          <w:szCs w:val="22"/>
          <w:u w:val="single"/>
        </w:rPr>
        <w:t>Encargos Moratórios:</w:t>
      </w:r>
      <w:r w:rsidRPr="00096117">
        <w:rPr>
          <w:bCs/>
          <w:sz w:val="22"/>
          <w:szCs w:val="22"/>
        </w:rPr>
        <w:t xml:space="preserve"> </w:t>
      </w:r>
      <w:r w:rsidR="005A377E" w:rsidRPr="005A377E">
        <w:rPr>
          <w:bCs/>
          <w:sz w:val="22"/>
          <w:szCs w:val="22"/>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w:t>
      </w:r>
      <w:r w:rsidR="005A377E" w:rsidRPr="005A377E">
        <w:rPr>
          <w:bCs/>
          <w:sz w:val="22"/>
          <w:szCs w:val="22"/>
        </w:rPr>
        <w:lastRenderedPageBreak/>
        <w:t>judicial ou extrajudicial, a: (a) juros moratórios à razão de 1% (um por cento) ao mês sobre o montante devido calculados pro rata temporis; e (b) multa convencional, irredutível e de natureza não compensatória, de 2% (dois por cento) sobre o valor devido e não pago (“</w:t>
      </w:r>
      <w:r w:rsidR="005A377E" w:rsidRPr="005A377E">
        <w:rPr>
          <w:bCs/>
          <w:sz w:val="22"/>
          <w:szCs w:val="22"/>
          <w:u w:val="single"/>
        </w:rPr>
        <w:t>Encargos Moratórios</w:t>
      </w:r>
      <w:r w:rsidR="005A377E" w:rsidRPr="005A377E">
        <w:rPr>
          <w:bCs/>
          <w:sz w:val="22"/>
          <w:szCs w:val="22"/>
        </w:rPr>
        <w:t>”)</w:t>
      </w:r>
      <w:r w:rsidRPr="00096117">
        <w:rPr>
          <w:bCs/>
          <w:sz w:val="22"/>
          <w:szCs w:val="22"/>
        </w:rPr>
        <w:t xml:space="preserve">. </w:t>
      </w:r>
    </w:p>
    <w:p w14:paraId="3F20F187" w14:textId="77777777" w:rsidR="002F5A22" w:rsidRPr="00096117" w:rsidRDefault="002F5A22" w:rsidP="002F5A22">
      <w:pPr>
        <w:pStyle w:val="PargrafodaLista"/>
        <w:rPr>
          <w:bCs/>
          <w:sz w:val="22"/>
          <w:szCs w:val="22"/>
        </w:rPr>
      </w:pPr>
    </w:p>
    <w:p w14:paraId="6DDEA866" w14:textId="10C593D5" w:rsidR="002F5A22" w:rsidRPr="00096117" w:rsidRDefault="002F5A22" w:rsidP="002F5A22">
      <w:pPr>
        <w:numPr>
          <w:ilvl w:val="0"/>
          <w:numId w:val="47"/>
        </w:numPr>
        <w:tabs>
          <w:tab w:val="left" w:pos="567"/>
        </w:tabs>
        <w:ind w:left="709" w:firstLine="0"/>
        <w:jc w:val="both"/>
        <w:rPr>
          <w:bCs/>
          <w:sz w:val="22"/>
          <w:szCs w:val="22"/>
        </w:rPr>
      </w:pPr>
      <w:r w:rsidRPr="00096117">
        <w:rPr>
          <w:bCs/>
          <w:sz w:val="22"/>
          <w:szCs w:val="22"/>
          <w:u w:val="single"/>
        </w:rPr>
        <w:t>Prorrogação de Prazos</w:t>
      </w:r>
      <w:r w:rsidRPr="00096117">
        <w:rPr>
          <w:bCs/>
          <w:sz w:val="22"/>
          <w:szCs w:val="22"/>
        </w:rPr>
        <w:t xml:space="preserve">: </w:t>
      </w:r>
      <w:r w:rsidR="005A377E" w:rsidRPr="005A377E">
        <w:rPr>
          <w:bCs/>
          <w:sz w:val="22"/>
          <w:szCs w:val="22"/>
        </w:rPr>
        <w:t>Considerar-se-ão automaticamente prorrogados até o primeiro Dia Útil subsequente, sem acréscimo de juros ou de qualquer outro encargo moratório aos valores a serem pagos, os prazos para pagamento de qualquer obrigação prevista ou decorrente da Escritura de Emissão, quando a data de tais pagamentos coincidir com sábado, domingo ou feriado declarado nacional.</w:t>
      </w:r>
      <w:r w:rsidRPr="00096117">
        <w:rPr>
          <w:bCs/>
          <w:sz w:val="22"/>
          <w:szCs w:val="22"/>
        </w:rPr>
        <w:t xml:space="preserve"> </w:t>
      </w:r>
    </w:p>
    <w:p w14:paraId="11EF4186" w14:textId="77777777" w:rsidR="002F5A22" w:rsidRPr="00096117" w:rsidRDefault="002F5A22" w:rsidP="002F5A22">
      <w:pPr>
        <w:tabs>
          <w:tab w:val="left" w:pos="567"/>
        </w:tabs>
        <w:ind w:left="720" w:hanging="11"/>
        <w:jc w:val="both"/>
        <w:rPr>
          <w:bCs/>
          <w:sz w:val="22"/>
          <w:szCs w:val="22"/>
        </w:rPr>
      </w:pPr>
    </w:p>
    <w:p w14:paraId="22B17DE2" w14:textId="44BCB001" w:rsidR="002F5A22" w:rsidRPr="00096117" w:rsidRDefault="002F5A22" w:rsidP="002F5A22">
      <w:pPr>
        <w:numPr>
          <w:ilvl w:val="0"/>
          <w:numId w:val="47"/>
        </w:numPr>
        <w:tabs>
          <w:tab w:val="left" w:pos="567"/>
        </w:tabs>
        <w:ind w:left="720" w:hanging="11"/>
        <w:jc w:val="both"/>
        <w:rPr>
          <w:bCs/>
          <w:sz w:val="22"/>
          <w:szCs w:val="22"/>
        </w:rPr>
      </w:pPr>
      <w:r w:rsidRPr="00096117">
        <w:rPr>
          <w:bCs/>
          <w:sz w:val="22"/>
          <w:szCs w:val="22"/>
          <w:u w:val="single"/>
        </w:rPr>
        <w:t>Demais Características</w:t>
      </w:r>
      <w:r w:rsidRPr="00096117">
        <w:rPr>
          <w:bCs/>
          <w:sz w:val="22"/>
          <w:szCs w:val="22"/>
        </w:rPr>
        <w:t xml:space="preserve">: As demais características das Debêntures e da Emissão encontrar-se-ão descritas na </w:t>
      </w:r>
      <w:r>
        <w:rPr>
          <w:bCs/>
          <w:sz w:val="22"/>
          <w:szCs w:val="22"/>
        </w:rPr>
        <w:t>E</w:t>
      </w:r>
      <w:r w:rsidRPr="00096117">
        <w:rPr>
          <w:bCs/>
          <w:sz w:val="22"/>
          <w:szCs w:val="22"/>
        </w:rPr>
        <w:t xml:space="preserve">scritura de </w:t>
      </w:r>
      <w:r>
        <w:rPr>
          <w:bCs/>
          <w:sz w:val="22"/>
          <w:szCs w:val="22"/>
        </w:rPr>
        <w:t>E</w:t>
      </w:r>
      <w:r w:rsidRPr="00096117">
        <w:rPr>
          <w:bCs/>
          <w:sz w:val="22"/>
          <w:szCs w:val="22"/>
        </w:rPr>
        <w:t>missão</w:t>
      </w:r>
      <w:r w:rsidR="005A377E">
        <w:rPr>
          <w:bCs/>
          <w:sz w:val="22"/>
          <w:szCs w:val="22"/>
        </w:rPr>
        <w:t>, nos Contratos de Garantia</w:t>
      </w:r>
      <w:r w:rsidRPr="00096117">
        <w:rPr>
          <w:bCs/>
          <w:sz w:val="22"/>
          <w:szCs w:val="22"/>
        </w:rPr>
        <w:t xml:space="preserve"> e nos demais documentos da Emissão. </w:t>
      </w:r>
    </w:p>
    <w:p w14:paraId="339D3A28" w14:textId="31CCD40B" w:rsidR="00B265D1" w:rsidRDefault="00B265D1" w:rsidP="006441DB">
      <w:pPr>
        <w:widowControl w:val="0"/>
        <w:tabs>
          <w:tab w:val="left" w:pos="142"/>
        </w:tabs>
        <w:spacing w:line="260" w:lineRule="exact"/>
        <w:jc w:val="both"/>
        <w:rPr>
          <w:sz w:val="22"/>
          <w:szCs w:val="22"/>
        </w:rPr>
      </w:pPr>
    </w:p>
    <w:p w14:paraId="67CCA7EF" w14:textId="36CE5A91" w:rsidR="00FD5E91" w:rsidRDefault="00B265D1" w:rsidP="006441DB">
      <w:pPr>
        <w:widowControl w:val="0"/>
        <w:tabs>
          <w:tab w:val="left" w:pos="142"/>
        </w:tabs>
        <w:spacing w:line="260" w:lineRule="exact"/>
        <w:jc w:val="both"/>
        <w:rPr>
          <w:sz w:val="22"/>
          <w:szCs w:val="22"/>
        </w:rPr>
      </w:pPr>
      <w:r w:rsidRPr="00930E3A">
        <w:rPr>
          <w:b/>
          <w:sz w:val="22"/>
          <w:szCs w:val="22"/>
        </w:rPr>
        <w:t>5.2</w:t>
      </w:r>
      <w:r>
        <w:rPr>
          <w:sz w:val="22"/>
          <w:szCs w:val="22"/>
        </w:rPr>
        <w:t xml:space="preserve"> </w:t>
      </w:r>
      <w:r w:rsidRPr="00B265D1">
        <w:rPr>
          <w:sz w:val="22"/>
          <w:szCs w:val="22"/>
        </w:rPr>
        <w:t>Aprovar</w:t>
      </w:r>
      <w:r w:rsidR="005A377E">
        <w:rPr>
          <w:sz w:val="22"/>
          <w:szCs w:val="22"/>
        </w:rPr>
        <w:t xml:space="preserve">, nos termos do </w:t>
      </w:r>
      <w:r w:rsidR="00E34C88">
        <w:rPr>
          <w:sz w:val="22"/>
          <w:szCs w:val="22"/>
        </w:rPr>
        <w:t xml:space="preserve">Inciso (viii) do </w:t>
      </w:r>
      <w:r w:rsidR="005A377E">
        <w:rPr>
          <w:sz w:val="22"/>
          <w:szCs w:val="22"/>
        </w:rPr>
        <w:t xml:space="preserve">Artigo </w:t>
      </w:r>
      <w:r w:rsidR="00E34C88">
        <w:rPr>
          <w:sz w:val="22"/>
          <w:szCs w:val="22"/>
        </w:rPr>
        <w:t>8º do Estatuto Social da Companhia,</w:t>
      </w:r>
      <w:r w:rsidRPr="00B265D1">
        <w:rPr>
          <w:sz w:val="22"/>
          <w:szCs w:val="22"/>
        </w:rPr>
        <w:t xml:space="preserve"> </w:t>
      </w:r>
      <w:r w:rsidR="00731B1E">
        <w:rPr>
          <w:sz w:val="22"/>
          <w:szCs w:val="22"/>
        </w:rPr>
        <w:t>a outorga</w:t>
      </w:r>
      <w:r w:rsidR="005A377E">
        <w:rPr>
          <w:sz w:val="22"/>
          <w:szCs w:val="22"/>
        </w:rPr>
        <w:t xml:space="preserve"> e/ou o compartilhamento, no âmbito da Emissão,</w:t>
      </w:r>
      <w:r w:rsidR="00731B1E">
        <w:rPr>
          <w:sz w:val="22"/>
          <w:szCs w:val="22"/>
        </w:rPr>
        <w:t xml:space="preserve"> </w:t>
      </w:r>
      <w:r w:rsidR="005A377E">
        <w:rPr>
          <w:sz w:val="22"/>
          <w:szCs w:val="22"/>
        </w:rPr>
        <w:t>pela Companhia e/ou pelas SPEs, conforme aplicável, das garantias reais constituídas por: (</w:t>
      </w:r>
      <w:r w:rsidR="003C7A05">
        <w:rPr>
          <w:sz w:val="22"/>
          <w:szCs w:val="22"/>
        </w:rPr>
        <w:t>I</w:t>
      </w:r>
      <w:r w:rsidR="005A377E">
        <w:rPr>
          <w:sz w:val="22"/>
          <w:szCs w:val="22"/>
        </w:rPr>
        <w:t>) Penhor de Ações, (</w:t>
      </w:r>
      <w:r w:rsidR="003C7A05">
        <w:rPr>
          <w:sz w:val="22"/>
          <w:szCs w:val="22"/>
        </w:rPr>
        <w:t>II</w:t>
      </w:r>
      <w:r w:rsidR="005A377E">
        <w:rPr>
          <w:sz w:val="22"/>
          <w:szCs w:val="22"/>
        </w:rPr>
        <w:t xml:space="preserve">) Penhor de </w:t>
      </w:r>
      <w:r w:rsidR="0050094D">
        <w:rPr>
          <w:sz w:val="22"/>
          <w:szCs w:val="22"/>
        </w:rPr>
        <w:t xml:space="preserve">Máquinas e </w:t>
      </w:r>
      <w:r w:rsidR="005A377E">
        <w:rPr>
          <w:sz w:val="22"/>
          <w:szCs w:val="22"/>
        </w:rPr>
        <w:t>Equipamentos; (</w:t>
      </w:r>
      <w:r w:rsidR="003C7A05">
        <w:rPr>
          <w:sz w:val="22"/>
          <w:szCs w:val="22"/>
        </w:rPr>
        <w:t>III</w:t>
      </w:r>
      <w:r w:rsidR="005A377E">
        <w:rPr>
          <w:sz w:val="22"/>
          <w:szCs w:val="22"/>
        </w:rPr>
        <w:t>) Cessão Fiduciária; e (</w:t>
      </w:r>
      <w:r w:rsidR="003C7A05">
        <w:rPr>
          <w:sz w:val="22"/>
          <w:szCs w:val="22"/>
        </w:rPr>
        <w:t>IV</w:t>
      </w:r>
      <w:r w:rsidR="005A377E">
        <w:rPr>
          <w:sz w:val="22"/>
          <w:szCs w:val="22"/>
        </w:rPr>
        <w:t xml:space="preserve">) Cessão Fiduciária Conta Vinculada; conforme os termos e condições constantes dos Contratos de </w:t>
      </w:r>
      <w:r w:rsidR="00E34C88">
        <w:rPr>
          <w:sz w:val="22"/>
          <w:szCs w:val="22"/>
        </w:rPr>
        <w:t>Garantia</w:t>
      </w:r>
      <w:r w:rsidR="003C7A05">
        <w:rPr>
          <w:sz w:val="22"/>
          <w:szCs w:val="22"/>
        </w:rPr>
        <w:t>, bem como, orientar o voto dos representantes da Companhia nas respectivas assembleias gerais de acionistas das SPEs que tenham como ordem do dia deliberar sobre as matérias elencadas acima.</w:t>
      </w:r>
      <w:r w:rsidR="00731B1E">
        <w:rPr>
          <w:sz w:val="22"/>
          <w:szCs w:val="22"/>
        </w:rPr>
        <w:t xml:space="preserve"> </w:t>
      </w:r>
    </w:p>
    <w:p w14:paraId="71D8EE43" w14:textId="2A3966FE" w:rsidR="00731B1E" w:rsidRDefault="00731B1E" w:rsidP="006441DB">
      <w:pPr>
        <w:widowControl w:val="0"/>
        <w:tabs>
          <w:tab w:val="left" w:pos="142"/>
        </w:tabs>
        <w:spacing w:line="260" w:lineRule="exact"/>
        <w:jc w:val="both"/>
        <w:rPr>
          <w:sz w:val="22"/>
          <w:szCs w:val="22"/>
        </w:rPr>
      </w:pPr>
    </w:p>
    <w:p w14:paraId="7730F26A" w14:textId="4B3373B8" w:rsidR="00731B1E" w:rsidRPr="00731B1E" w:rsidRDefault="00731B1E" w:rsidP="006441DB">
      <w:pPr>
        <w:widowControl w:val="0"/>
        <w:tabs>
          <w:tab w:val="left" w:pos="142"/>
        </w:tabs>
        <w:spacing w:line="260" w:lineRule="exact"/>
        <w:jc w:val="both"/>
        <w:rPr>
          <w:sz w:val="22"/>
          <w:szCs w:val="22"/>
        </w:rPr>
      </w:pPr>
      <w:r w:rsidRPr="00731B1E">
        <w:rPr>
          <w:b/>
          <w:sz w:val="22"/>
          <w:szCs w:val="22"/>
        </w:rPr>
        <w:t>5.3</w:t>
      </w:r>
      <w:r>
        <w:rPr>
          <w:sz w:val="22"/>
          <w:szCs w:val="22"/>
        </w:rPr>
        <w:t xml:space="preserve"> </w:t>
      </w:r>
      <w:bookmarkStart w:id="2" w:name="_Hlk6394340"/>
      <w:r w:rsidR="002F5A22" w:rsidRPr="00096117">
        <w:rPr>
          <w:sz w:val="22"/>
          <w:szCs w:val="22"/>
        </w:rPr>
        <w:t xml:space="preserve">Autorizar os demais atos conexos e correlatos </w:t>
      </w:r>
      <w:r w:rsidR="00B47B74">
        <w:rPr>
          <w:sz w:val="22"/>
          <w:szCs w:val="22"/>
        </w:rPr>
        <w:t xml:space="preserve">praticados pelos membros da Diretoria da Companhia e/ou </w:t>
      </w:r>
      <w:r w:rsidR="007C75F8">
        <w:rPr>
          <w:sz w:val="22"/>
          <w:szCs w:val="22"/>
        </w:rPr>
        <w:t>pelos</w:t>
      </w:r>
      <w:r w:rsidR="00B47B74">
        <w:rPr>
          <w:sz w:val="22"/>
          <w:szCs w:val="22"/>
        </w:rPr>
        <w:t xml:space="preserve"> representantes legais</w:t>
      </w:r>
      <w:r w:rsidR="007C75F8">
        <w:rPr>
          <w:sz w:val="22"/>
          <w:szCs w:val="22"/>
        </w:rPr>
        <w:t xml:space="preserve"> da Companhia</w:t>
      </w:r>
      <w:bookmarkStart w:id="3" w:name="_GoBack"/>
      <w:bookmarkEnd w:id="3"/>
      <w:r w:rsidR="00B47B74">
        <w:rPr>
          <w:sz w:val="22"/>
          <w:szCs w:val="22"/>
        </w:rPr>
        <w:t xml:space="preserve">, </w:t>
      </w:r>
      <w:r w:rsidR="002F5A22" w:rsidRPr="00096117">
        <w:rPr>
          <w:sz w:val="22"/>
          <w:szCs w:val="22"/>
        </w:rPr>
        <w:t>necessários para a efetivação da Oferta e da Emissão, inclusive (a) contratação d</w:t>
      </w:r>
      <w:r w:rsidR="002F5A22">
        <w:rPr>
          <w:sz w:val="22"/>
          <w:szCs w:val="22"/>
        </w:rPr>
        <w:t xml:space="preserve">e </w:t>
      </w:r>
      <w:r w:rsidR="002F5A22" w:rsidRPr="00D908B3">
        <w:rPr>
          <w:sz w:val="22"/>
          <w:szCs w:val="22"/>
        </w:rPr>
        <w:t>instituições financeiras integrantes do sistema de distribuição de valores mobiliários responsáveis pela distribuição das Debêntures</w:t>
      </w:r>
      <w:r w:rsidR="002F5A22" w:rsidRPr="00096117">
        <w:rPr>
          <w:sz w:val="22"/>
          <w:szCs w:val="22"/>
        </w:rPr>
        <w:t xml:space="preserve">; (b) contratação dos </w:t>
      </w:r>
      <w:r w:rsidR="002F5A22">
        <w:rPr>
          <w:sz w:val="22"/>
          <w:szCs w:val="22"/>
        </w:rPr>
        <w:t>P</w:t>
      </w:r>
      <w:r w:rsidR="002F5A22" w:rsidRPr="00096117">
        <w:rPr>
          <w:sz w:val="22"/>
          <w:szCs w:val="22"/>
        </w:rPr>
        <w:t xml:space="preserve">restadores de </w:t>
      </w:r>
      <w:r w:rsidR="002F5A22">
        <w:rPr>
          <w:sz w:val="22"/>
          <w:szCs w:val="22"/>
        </w:rPr>
        <w:t>S</w:t>
      </w:r>
      <w:r w:rsidR="002F5A22" w:rsidRPr="00096117">
        <w:rPr>
          <w:sz w:val="22"/>
          <w:szCs w:val="22"/>
        </w:rPr>
        <w:t xml:space="preserve">erviço, podendo, para tanto, negociar os </w:t>
      </w:r>
      <w:r w:rsidR="002F5A22" w:rsidRPr="001527C2">
        <w:rPr>
          <w:sz w:val="22"/>
          <w:szCs w:val="22"/>
        </w:rPr>
        <w:t xml:space="preserve">respectivos contratos e fixar-lhes os respectivos honorários; (c) negociar e celebrar todos os documentos relativos à Emissão e à Oferta, bem como aditamentos a eles que se fizerem necessários e documentos deles decorrentes, incluindo, entre outros, a Escritura </w:t>
      </w:r>
      <w:r w:rsidR="002F5A22" w:rsidRPr="000E409A">
        <w:rPr>
          <w:sz w:val="22"/>
          <w:szCs w:val="22"/>
        </w:rPr>
        <w:t xml:space="preserve">de </w:t>
      </w:r>
      <w:r w:rsidR="002F5A22" w:rsidRPr="00785BF0">
        <w:rPr>
          <w:sz w:val="22"/>
          <w:szCs w:val="22"/>
        </w:rPr>
        <w:t>Emissão</w:t>
      </w:r>
      <w:r w:rsidR="00E34C88">
        <w:rPr>
          <w:sz w:val="22"/>
          <w:szCs w:val="22"/>
        </w:rPr>
        <w:t>, os Contratos de Garantia</w:t>
      </w:r>
      <w:r w:rsidR="002F5A22" w:rsidRPr="00785BF0">
        <w:rPr>
          <w:sz w:val="22"/>
          <w:szCs w:val="22"/>
        </w:rPr>
        <w:t xml:space="preserve"> </w:t>
      </w:r>
      <w:r w:rsidR="002F5A22" w:rsidRPr="008E133E">
        <w:rPr>
          <w:sz w:val="22"/>
          <w:szCs w:val="22"/>
        </w:rPr>
        <w:t>e o Contrato</w:t>
      </w:r>
      <w:r w:rsidR="002F5A22" w:rsidRPr="00096117">
        <w:rPr>
          <w:sz w:val="22"/>
          <w:szCs w:val="22"/>
        </w:rPr>
        <w:t xml:space="preserve"> de </w:t>
      </w:r>
      <w:r w:rsidR="002F5A22">
        <w:rPr>
          <w:sz w:val="22"/>
          <w:szCs w:val="22"/>
        </w:rPr>
        <w:t>Colocação</w:t>
      </w:r>
      <w:r w:rsidR="002F5A22" w:rsidRPr="00096117">
        <w:rPr>
          <w:sz w:val="22"/>
          <w:szCs w:val="22"/>
        </w:rPr>
        <w:t>.</w:t>
      </w:r>
      <w:bookmarkEnd w:id="2"/>
    </w:p>
    <w:p w14:paraId="3FB00DDB" w14:textId="77777777" w:rsidR="00B37A7D" w:rsidRPr="00B92794" w:rsidRDefault="00B37A7D" w:rsidP="006441DB">
      <w:pPr>
        <w:autoSpaceDE w:val="0"/>
        <w:autoSpaceDN w:val="0"/>
        <w:adjustRightInd w:val="0"/>
        <w:spacing w:line="260" w:lineRule="exact"/>
        <w:jc w:val="both"/>
        <w:rPr>
          <w:b/>
          <w:sz w:val="22"/>
          <w:szCs w:val="22"/>
        </w:rPr>
      </w:pPr>
    </w:p>
    <w:p w14:paraId="7C7EEAB1" w14:textId="77B67D89" w:rsidR="000A22F1" w:rsidRPr="00B92794" w:rsidRDefault="008A225A" w:rsidP="006441DB">
      <w:pPr>
        <w:autoSpaceDE w:val="0"/>
        <w:autoSpaceDN w:val="0"/>
        <w:adjustRightInd w:val="0"/>
        <w:spacing w:line="260" w:lineRule="exact"/>
        <w:jc w:val="both"/>
        <w:rPr>
          <w:b/>
          <w:sz w:val="22"/>
          <w:szCs w:val="22"/>
        </w:rPr>
      </w:pPr>
      <w:r w:rsidRPr="00B92794">
        <w:rPr>
          <w:b/>
          <w:sz w:val="22"/>
          <w:szCs w:val="22"/>
        </w:rPr>
        <w:t>6</w:t>
      </w:r>
      <w:r w:rsidR="000A22F1" w:rsidRPr="00B92794">
        <w:rPr>
          <w:b/>
          <w:sz w:val="22"/>
          <w:szCs w:val="22"/>
        </w:rPr>
        <w:t>.</w:t>
      </w:r>
      <w:r w:rsidR="000A22F1" w:rsidRPr="00B92794">
        <w:rPr>
          <w:b/>
          <w:sz w:val="22"/>
          <w:szCs w:val="22"/>
        </w:rPr>
        <w:tab/>
        <w:t>ENCERRAMENTO:</w:t>
      </w:r>
      <w:r w:rsidR="000A22F1" w:rsidRPr="00B92794">
        <w:rPr>
          <w:sz w:val="22"/>
          <w:szCs w:val="22"/>
        </w:rPr>
        <w:t xml:space="preserve"> Oferecida a palavra a quem dela quisesse fazer uso e, como ninguém se manifestou, foram </w:t>
      </w:r>
      <w:r w:rsidR="00CA2890" w:rsidRPr="00B92794">
        <w:rPr>
          <w:sz w:val="22"/>
          <w:szCs w:val="22"/>
        </w:rPr>
        <w:t xml:space="preserve">suspensos </w:t>
      </w:r>
      <w:r w:rsidR="000A22F1" w:rsidRPr="00B92794">
        <w:rPr>
          <w:sz w:val="22"/>
          <w:szCs w:val="22"/>
        </w:rPr>
        <w:t>os trabalhos pelo tempo necessário à lavratura da presente ata, a qual, depois de reaberta a sessão, foi lida, achada conforme, aprovada e assinada por todos os presentes, ficando autorizada sua lavratura em forma de sumário nos termos do art. 130, §1º</w:t>
      </w:r>
      <w:r w:rsidR="00485E1F">
        <w:rPr>
          <w:sz w:val="22"/>
          <w:szCs w:val="22"/>
        </w:rPr>
        <w:t>,</w:t>
      </w:r>
      <w:r w:rsidR="000A22F1" w:rsidRPr="00B92794">
        <w:rPr>
          <w:sz w:val="22"/>
          <w:szCs w:val="22"/>
        </w:rPr>
        <w:t xml:space="preserve"> da Lei 6.404/</w:t>
      </w:r>
      <w:r w:rsidR="00BD0812">
        <w:rPr>
          <w:sz w:val="22"/>
          <w:szCs w:val="22"/>
        </w:rPr>
        <w:t>19</w:t>
      </w:r>
      <w:r w:rsidR="000A22F1" w:rsidRPr="00B92794">
        <w:rPr>
          <w:sz w:val="22"/>
          <w:szCs w:val="22"/>
        </w:rPr>
        <w:t>76.</w:t>
      </w:r>
    </w:p>
    <w:p w14:paraId="320B0B25" w14:textId="77777777" w:rsidR="000A22F1" w:rsidRPr="00B92794" w:rsidRDefault="000A22F1" w:rsidP="006441DB">
      <w:pPr>
        <w:spacing w:line="260" w:lineRule="exact"/>
        <w:jc w:val="both"/>
        <w:rPr>
          <w:sz w:val="22"/>
          <w:szCs w:val="22"/>
        </w:rPr>
      </w:pPr>
    </w:p>
    <w:p w14:paraId="5BC3B02A" w14:textId="62EA3895" w:rsidR="006441DB" w:rsidRDefault="006441DB" w:rsidP="006441DB">
      <w:pPr>
        <w:spacing w:line="260" w:lineRule="exact"/>
        <w:jc w:val="both"/>
        <w:rPr>
          <w:b/>
          <w:sz w:val="22"/>
          <w:szCs w:val="22"/>
        </w:rPr>
      </w:pPr>
      <w:r w:rsidRPr="006B33A9">
        <w:rPr>
          <w:b/>
          <w:sz w:val="22"/>
          <w:szCs w:val="22"/>
        </w:rPr>
        <w:t>Assinaturas:</w:t>
      </w:r>
    </w:p>
    <w:p w14:paraId="4E898BE3" w14:textId="77777777" w:rsidR="00712350" w:rsidRPr="006B33A9" w:rsidRDefault="00712350" w:rsidP="006441DB">
      <w:pPr>
        <w:spacing w:line="260" w:lineRule="exact"/>
        <w:jc w:val="both"/>
        <w:rPr>
          <w:b/>
          <w:sz w:val="22"/>
          <w:szCs w:val="22"/>
        </w:rPr>
      </w:pPr>
    </w:p>
    <w:p w14:paraId="1E6BA502" w14:textId="77777777" w:rsidR="006441DB" w:rsidRPr="006B33A9" w:rsidRDefault="006441DB" w:rsidP="006441DB">
      <w:pPr>
        <w:spacing w:line="260" w:lineRule="exact"/>
        <w:jc w:val="both"/>
        <w:rPr>
          <w:b/>
          <w:sz w:val="22"/>
          <w:szCs w:val="22"/>
        </w:rPr>
      </w:pPr>
      <w:r w:rsidRPr="006B33A9">
        <w:rPr>
          <w:b/>
          <w:sz w:val="22"/>
          <w:szCs w:val="22"/>
        </w:rPr>
        <w:t>Mesa:</w:t>
      </w:r>
    </w:p>
    <w:tbl>
      <w:tblPr>
        <w:tblW w:w="0" w:type="auto"/>
        <w:tblLook w:val="04A0" w:firstRow="1" w:lastRow="0" w:firstColumn="1" w:lastColumn="0" w:noHBand="0" w:noVBand="1"/>
      </w:tblPr>
      <w:tblGrid>
        <w:gridCol w:w="4465"/>
        <w:gridCol w:w="4465"/>
      </w:tblGrid>
      <w:tr w:rsidR="006441DB" w:rsidRPr="006B33A9" w14:paraId="549C08FC" w14:textId="77777777" w:rsidTr="00C56591">
        <w:tc>
          <w:tcPr>
            <w:tcW w:w="4465" w:type="dxa"/>
          </w:tcPr>
          <w:p w14:paraId="22A609C8" w14:textId="77777777" w:rsidR="006441DB" w:rsidRPr="006B33A9" w:rsidRDefault="006441DB" w:rsidP="006441DB">
            <w:pPr>
              <w:spacing w:line="260" w:lineRule="exact"/>
              <w:jc w:val="center"/>
              <w:rPr>
                <w:sz w:val="22"/>
                <w:szCs w:val="22"/>
              </w:rPr>
            </w:pPr>
            <w:r w:rsidRPr="006B33A9">
              <w:rPr>
                <w:sz w:val="22"/>
                <w:szCs w:val="22"/>
              </w:rPr>
              <w:t>__________________________________</w:t>
            </w:r>
          </w:p>
          <w:p w14:paraId="56D1FF24" w14:textId="5E85F4B2" w:rsidR="006441DB" w:rsidRPr="006B33A9" w:rsidRDefault="00E34C88" w:rsidP="006441DB">
            <w:pPr>
              <w:spacing w:line="260" w:lineRule="exact"/>
              <w:jc w:val="center"/>
              <w:rPr>
                <w:sz w:val="22"/>
                <w:szCs w:val="22"/>
              </w:rPr>
            </w:pPr>
            <w:r w:rsidRPr="00E34C88">
              <w:rPr>
                <w:sz w:val="22"/>
                <w:szCs w:val="22"/>
                <w:highlight w:val="yellow"/>
              </w:rPr>
              <w:t>[●]</w:t>
            </w:r>
            <w:r w:rsidR="006F63D6">
              <w:rPr>
                <w:sz w:val="22"/>
                <w:szCs w:val="22"/>
              </w:rPr>
              <w:t xml:space="preserve"> </w:t>
            </w:r>
          </w:p>
          <w:p w14:paraId="5135FED7" w14:textId="77777777" w:rsidR="006441DB" w:rsidRPr="006B33A9" w:rsidRDefault="006441DB" w:rsidP="006441DB">
            <w:pPr>
              <w:spacing w:line="260" w:lineRule="exact"/>
              <w:jc w:val="center"/>
              <w:rPr>
                <w:sz w:val="22"/>
                <w:szCs w:val="22"/>
              </w:rPr>
            </w:pPr>
            <w:r w:rsidRPr="006B33A9">
              <w:rPr>
                <w:sz w:val="22"/>
                <w:szCs w:val="22"/>
              </w:rPr>
              <w:t>Presidente</w:t>
            </w:r>
          </w:p>
        </w:tc>
        <w:tc>
          <w:tcPr>
            <w:tcW w:w="4465" w:type="dxa"/>
          </w:tcPr>
          <w:p w14:paraId="1F7E5420" w14:textId="77777777" w:rsidR="006441DB" w:rsidRPr="006B33A9" w:rsidRDefault="006441DB" w:rsidP="006441DB">
            <w:pPr>
              <w:spacing w:line="260" w:lineRule="exact"/>
              <w:jc w:val="center"/>
              <w:rPr>
                <w:sz w:val="22"/>
                <w:szCs w:val="22"/>
              </w:rPr>
            </w:pPr>
            <w:r w:rsidRPr="006B33A9">
              <w:rPr>
                <w:sz w:val="22"/>
                <w:szCs w:val="22"/>
              </w:rPr>
              <w:t>__________________________________</w:t>
            </w:r>
          </w:p>
          <w:p w14:paraId="67B95432" w14:textId="020BE1DF" w:rsidR="00712350" w:rsidRDefault="00E34C88" w:rsidP="006441DB">
            <w:pPr>
              <w:spacing w:line="260" w:lineRule="exact"/>
              <w:jc w:val="center"/>
              <w:rPr>
                <w:sz w:val="22"/>
                <w:szCs w:val="22"/>
              </w:rPr>
            </w:pPr>
            <w:r w:rsidRPr="00E34C88">
              <w:rPr>
                <w:sz w:val="22"/>
                <w:szCs w:val="22"/>
                <w:highlight w:val="yellow"/>
              </w:rPr>
              <w:t>[●]</w:t>
            </w:r>
          </w:p>
          <w:p w14:paraId="367C2B75" w14:textId="63C06A42" w:rsidR="006441DB" w:rsidRPr="006B33A9" w:rsidRDefault="006441DB" w:rsidP="006441DB">
            <w:pPr>
              <w:spacing w:line="260" w:lineRule="exact"/>
              <w:jc w:val="center"/>
              <w:rPr>
                <w:sz w:val="22"/>
                <w:szCs w:val="22"/>
              </w:rPr>
            </w:pPr>
            <w:r w:rsidRPr="006B33A9">
              <w:rPr>
                <w:sz w:val="22"/>
                <w:szCs w:val="22"/>
              </w:rPr>
              <w:t>Secretário</w:t>
            </w:r>
          </w:p>
        </w:tc>
      </w:tr>
    </w:tbl>
    <w:p w14:paraId="2A31CD4F" w14:textId="77777777" w:rsidR="00712350" w:rsidRDefault="00712350" w:rsidP="006441DB">
      <w:pPr>
        <w:spacing w:line="260" w:lineRule="exact"/>
        <w:jc w:val="both"/>
        <w:rPr>
          <w:b/>
          <w:sz w:val="22"/>
          <w:szCs w:val="22"/>
        </w:rPr>
      </w:pPr>
    </w:p>
    <w:p w14:paraId="72AFC734" w14:textId="77777777" w:rsidR="00712350" w:rsidRDefault="00712350" w:rsidP="006441DB">
      <w:pPr>
        <w:spacing w:line="260" w:lineRule="exact"/>
        <w:jc w:val="both"/>
        <w:rPr>
          <w:b/>
          <w:sz w:val="22"/>
          <w:szCs w:val="22"/>
        </w:rPr>
      </w:pPr>
    </w:p>
    <w:p w14:paraId="502A856F" w14:textId="77777777" w:rsidR="00712350" w:rsidRDefault="00712350" w:rsidP="006441DB">
      <w:pPr>
        <w:spacing w:line="260" w:lineRule="exact"/>
        <w:jc w:val="both"/>
        <w:rPr>
          <w:b/>
          <w:sz w:val="22"/>
          <w:szCs w:val="22"/>
        </w:rPr>
      </w:pPr>
    </w:p>
    <w:p w14:paraId="671AA68A" w14:textId="77777777" w:rsidR="00712350" w:rsidRDefault="00712350" w:rsidP="006441DB">
      <w:pPr>
        <w:spacing w:line="260" w:lineRule="exact"/>
        <w:jc w:val="both"/>
        <w:rPr>
          <w:b/>
          <w:sz w:val="22"/>
          <w:szCs w:val="22"/>
        </w:rPr>
      </w:pPr>
    </w:p>
    <w:p w14:paraId="01119174" w14:textId="10E6349C" w:rsidR="006441DB" w:rsidRDefault="006441DB" w:rsidP="006441DB">
      <w:pPr>
        <w:spacing w:line="260" w:lineRule="exact"/>
        <w:jc w:val="both"/>
        <w:rPr>
          <w:b/>
          <w:sz w:val="22"/>
          <w:szCs w:val="22"/>
        </w:rPr>
      </w:pPr>
      <w:r w:rsidRPr="006B33A9">
        <w:rPr>
          <w:b/>
          <w:sz w:val="22"/>
          <w:szCs w:val="22"/>
        </w:rPr>
        <w:t>Acionistas:</w:t>
      </w:r>
    </w:p>
    <w:p w14:paraId="6A7D057C" w14:textId="59484475" w:rsidR="00712350" w:rsidRDefault="00712350" w:rsidP="006441DB">
      <w:pPr>
        <w:spacing w:line="260" w:lineRule="exact"/>
        <w:jc w:val="both"/>
        <w:rPr>
          <w:b/>
          <w:sz w:val="22"/>
          <w:szCs w:val="22"/>
        </w:rPr>
      </w:pPr>
    </w:p>
    <w:tbl>
      <w:tblPr>
        <w:tblW w:w="0" w:type="auto"/>
        <w:tblLook w:val="04A0" w:firstRow="1" w:lastRow="0" w:firstColumn="1" w:lastColumn="0" w:noHBand="0" w:noVBand="1"/>
      </w:tblPr>
      <w:tblGrid>
        <w:gridCol w:w="4465"/>
        <w:gridCol w:w="4465"/>
      </w:tblGrid>
      <w:tr w:rsidR="00712350" w:rsidRPr="006B33A9" w14:paraId="0B703BDC" w14:textId="77777777" w:rsidTr="00FE22F3">
        <w:tc>
          <w:tcPr>
            <w:tcW w:w="4465" w:type="dxa"/>
          </w:tcPr>
          <w:p w14:paraId="26DD8870" w14:textId="77777777" w:rsidR="00712350" w:rsidRPr="006B33A9" w:rsidRDefault="00712350" w:rsidP="00FE22F3">
            <w:pPr>
              <w:spacing w:line="260" w:lineRule="exact"/>
              <w:jc w:val="center"/>
              <w:rPr>
                <w:sz w:val="22"/>
                <w:szCs w:val="22"/>
              </w:rPr>
            </w:pPr>
            <w:r w:rsidRPr="006B33A9">
              <w:rPr>
                <w:sz w:val="22"/>
                <w:szCs w:val="22"/>
              </w:rPr>
              <w:t>__________________________________</w:t>
            </w:r>
          </w:p>
          <w:p w14:paraId="5109B753" w14:textId="6A85A728" w:rsidR="00712350" w:rsidRPr="006B33A9" w:rsidRDefault="00712350" w:rsidP="00712350">
            <w:pPr>
              <w:spacing w:line="260" w:lineRule="exact"/>
              <w:jc w:val="center"/>
              <w:rPr>
                <w:sz w:val="22"/>
                <w:szCs w:val="22"/>
              </w:rPr>
            </w:pPr>
            <w:r w:rsidRPr="006B33A9">
              <w:rPr>
                <w:sz w:val="22"/>
                <w:szCs w:val="22"/>
              </w:rPr>
              <w:t>Vale S.A.</w:t>
            </w:r>
          </w:p>
          <w:p w14:paraId="7CCAD88B" w14:textId="3DC07683" w:rsidR="00712350" w:rsidRPr="00BA381D" w:rsidRDefault="00712350" w:rsidP="00712350">
            <w:pPr>
              <w:spacing w:line="260" w:lineRule="exact"/>
              <w:rPr>
                <w:b/>
                <w:bCs/>
                <w:sz w:val="22"/>
                <w:szCs w:val="22"/>
              </w:rPr>
            </w:pPr>
            <w:r w:rsidRPr="00BA381D">
              <w:rPr>
                <w:sz w:val="22"/>
                <w:szCs w:val="22"/>
              </w:rPr>
              <w:t xml:space="preserve">       </w:t>
            </w:r>
            <w:proofErr w:type="spellStart"/>
            <w:r w:rsidRPr="00BA381D">
              <w:rPr>
                <w:sz w:val="22"/>
                <w:szCs w:val="22"/>
              </w:rPr>
              <w:t>p.p</w:t>
            </w:r>
            <w:proofErr w:type="spellEnd"/>
            <w:r w:rsidRPr="00BA381D">
              <w:rPr>
                <w:sz w:val="22"/>
                <w:szCs w:val="22"/>
              </w:rPr>
              <w:t xml:space="preserve">. </w:t>
            </w:r>
            <w:r w:rsidR="00B47B74">
              <w:rPr>
                <w:sz w:val="22"/>
                <w:szCs w:val="22"/>
              </w:rPr>
              <w:t>Maurício Pereira Vasconcelos</w:t>
            </w:r>
          </w:p>
          <w:p w14:paraId="1BC7EF68" w14:textId="26CE3D13" w:rsidR="00712350" w:rsidRPr="006B33A9" w:rsidRDefault="00712350" w:rsidP="00712350">
            <w:pPr>
              <w:spacing w:line="260" w:lineRule="exact"/>
              <w:jc w:val="center"/>
              <w:rPr>
                <w:sz w:val="22"/>
                <w:szCs w:val="22"/>
              </w:rPr>
            </w:pPr>
          </w:p>
          <w:p w14:paraId="60381D87" w14:textId="5D85D6C4" w:rsidR="00712350" w:rsidRPr="006B33A9" w:rsidRDefault="00712350" w:rsidP="00FE22F3">
            <w:pPr>
              <w:spacing w:line="260" w:lineRule="exact"/>
              <w:jc w:val="center"/>
              <w:rPr>
                <w:sz w:val="22"/>
                <w:szCs w:val="22"/>
              </w:rPr>
            </w:pPr>
          </w:p>
        </w:tc>
        <w:tc>
          <w:tcPr>
            <w:tcW w:w="4465" w:type="dxa"/>
          </w:tcPr>
          <w:p w14:paraId="63D1BF73" w14:textId="77777777" w:rsidR="00712350" w:rsidRPr="006B33A9" w:rsidRDefault="00712350" w:rsidP="00FE22F3">
            <w:pPr>
              <w:spacing w:line="260" w:lineRule="exact"/>
              <w:jc w:val="center"/>
              <w:rPr>
                <w:sz w:val="22"/>
                <w:szCs w:val="22"/>
              </w:rPr>
            </w:pPr>
            <w:r w:rsidRPr="006B33A9">
              <w:rPr>
                <w:sz w:val="22"/>
                <w:szCs w:val="22"/>
              </w:rPr>
              <w:t>__________________________________</w:t>
            </w:r>
          </w:p>
          <w:p w14:paraId="4153CEB5" w14:textId="77777777" w:rsidR="00712350" w:rsidRDefault="00712350" w:rsidP="00712350">
            <w:pPr>
              <w:spacing w:line="260" w:lineRule="exact"/>
              <w:jc w:val="center"/>
              <w:rPr>
                <w:sz w:val="22"/>
                <w:szCs w:val="22"/>
              </w:rPr>
            </w:pPr>
            <w:r w:rsidRPr="006B33A9">
              <w:rPr>
                <w:sz w:val="22"/>
                <w:szCs w:val="22"/>
              </w:rPr>
              <w:t>Cemig Geração e Transmissão S.A.</w:t>
            </w:r>
          </w:p>
          <w:p w14:paraId="44FF5CB8" w14:textId="1C9FA7C1" w:rsidR="00712350" w:rsidRPr="00712350" w:rsidRDefault="00712350" w:rsidP="00712350">
            <w:pPr>
              <w:spacing w:line="260" w:lineRule="exact"/>
              <w:rPr>
                <w:spacing w:val="-2"/>
                <w:sz w:val="22"/>
                <w:szCs w:val="22"/>
              </w:rPr>
            </w:pPr>
            <w:r>
              <w:rPr>
                <w:sz w:val="22"/>
                <w:szCs w:val="22"/>
              </w:rPr>
              <w:t xml:space="preserve">       </w:t>
            </w:r>
            <w:r w:rsidRPr="006B33A9">
              <w:rPr>
                <w:sz w:val="22"/>
                <w:szCs w:val="22"/>
              </w:rPr>
              <w:t xml:space="preserve">p.p. </w:t>
            </w:r>
            <w:r w:rsidR="00E34C88" w:rsidRPr="00E34C88">
              <w:rPr>
                <w:sz w:val="22"/>
                <w:szCs w:val="22"/>
                <w:highlight w:val="yellow"/>
              </w:rPr>
              <w:t>[●]</w:t>
            </w:r>
          </w:p>
          <w:p w14:paraId="27D0AC57" w14:textId="29B6B1B7" w:rsidR="00712350" w:rsidRPr="006B33A9" w:rsidRDefault="00712350" w:rsidP="00FE22F3">
            <w:pPr>
              <w:spacing w:line="260" w:lineRule="exact"/>
              <w:jc w:val="center"/>
              <w:rPr>
                <w:sz w:val="22"/>
                <w:szCs w:val="22"/>
              </w:rPr>
            </w:pPr>
            <w:r>
              <w:rPr>
                <w:sz w:val="22"/>
                <w:szCs w:val="22"/>
              </w:rPr>
              <w:t xml:space="preserve"> </w:t>
            </w:r>
          </w:p>
        </w:tc>
      </w:tr>
    </w:tbl>
    <w:p w14:paraId="20E6A5BC" w14:textId="32150FD0" w:rsidR="00FD5E91" w:rsidRPr="00712350" w:rsidRDefault="00FD5E91" w:rsidP="00E34C88">
      <w:pPr>
        <w:spacing w:line="260" w:lineRule="exact"/>
        <w:rPr>
          <w:i/>
          <w:sz w:val="22"/>
          <w:szCs w:val="22"/>
        </w:rPr>
      </w:pPr>
    </w:p>
    <w:sectPr w:rsidR="00FD5E91" w:rsidRPr="00712350" w:rsidSect="00CF1D39">
      <w:headerReference w:type="even" r:id="rId10"/>
      <w:headerReference w:type="default" r:id="rId11"/>
      <w:footerReference w:type="even" r:id="rId12"/>
      <w:footerReference w:type="default" r:id="rId13"/>
      <w:pgSz w:w="11907" w:h="16840" w:code="9"/>
      <w:pgMar w:top="1134" w:right="1418" w:bottom="1418" w:left="1559"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6032F" w14:textId="77777777" w:rsidR="00381708" w:rsidRDefault="00381708">
      <w:r>
        <w:separator/>
      </w:r>
    </w:p>
  </w:endnote>
  <w:endnote w:type="continuationSeparator" w:id="0">
    <w:p w14:paraId="54FC1909" w14:textId="77777777" w:rsidR="00381708" w:rsidRDefault="00381708">
      <w:r>
        <w:continuationSeparator/>
      </w:r>
    </w:p>
  </w:endnote>
  <w:endnote w:type="continuationNotice" w:id="1">
    <w:p w14:paraId="09D42FFC" w14:textId="77777777" w:rsidR="00381708" w:rsidRDefault="00381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A992A" w14:textId="77777777" w:rsidR="00A60B04" w:rsidRDefault="00A60B04" w:rsidP="0075702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1029F58" w14:textId="77777777" w:rsidR="00A60B04" w:rsidRDefault="00A60B04" w:rsidP="00557E3E">
    <w:pPr>
      <w:pStyle w:val="Rodap"/>
      <w:ind w:right="360"/>
      <w:jc w:val="center"/>
      <w:rPr>
        <w:rFonts w:ascii="Britannic Bold" w:hAnsi="Britannic Bold"/>
        <w:sz w:val="16"/>
      </w:rPr>
    </w:pPr>
    <w:r>
      <w:rPr>
        <w:rFonts w:ascii="Britannic Bold" w:hAnsi="Britannic Bold"/>
        <w:sz w:val="16"/>
      </w:rPr>
      <w:t xml:space="preserve">AV. BRIG. FARIA LIMA, 1.656, 6º ANDAR - CEP 01474-900 SÃO PAULO BR  - FONE 816-4300 - FAX 816-6392  </w:t>
    </w:r>
  </w:p>
  <w:p w14:paraId="0CA7F0ED" w14:textId="77777777" w:rsidR="00A60B04" w:rsidRDefault="00A60B04">
    <w:pPr>
      <w:pStyle w:val="Rodap"/>
      <w:jc w:val="center"/>
    </w:pPr>
    <w:r>
      <w:rPr>
        <w:rFonts w:ascii="Britannic Bold" w:hAnsi="Britannic Bold"/>
        <w:sz w:val="16"/>
      </w:rPr>
      <w:t>e-mail: podias@mandic.com.br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8076376"/>
      <w:docPartObj>
        <w:docPartGallery w:val="Page Numbers (Bottom of Page)"/>
        <w:docPartUnique/>
      </w:docPartObj>
    </w:sdtPr>
    <w:sdtEndPr>
      <w:rPr>
        <w:rFonts w:ascii="Times New Roman" w:hAnsi="Times New Roman"/>
        <w:sz w:val="22"/>
      </w:rPr>
    </w:sdtEndPr>
    <w:sdtContent>
      <w:p w14:paraId="331172D3" w14:textId="1A9ADCF8" w:rsidR="00E34C88" w:rsidRPr="00E34C88" w:rsidRDefault="00E34C88">
        <w:pPr>
          <w:pStyle w:val="Rodap"/>
          <w:jc w:val="center"/>
          <w:rPr>
            <w:rFonts w:ascii="Times New Roman" w:hAnsi="Times New Roman"/>
            <w:sz w:val="22"/>
          </w:rPr>
        </w:pPr>
        <w:r w:rsidRPr="00E34C88">
          <w:rPr>
            <w:rFonts w:ascii="Times New Roman" w:hAnsi="Times New Roman"/>
            <w:sz w:val="22"/>
          </w:rPr>
          <w:fldChar w:fldCharType="begin"/>
        </w:r>
        <w:r w:rsidRPr="00E34C88">
          <w:rPr>
            <w:rFonts w:ascii="Times New Roman" w:hAnsi="Times New Roman"/>
            <w:sz w:val="22"/>
          </w:rPr>
          <w:instrText>PAGE   \* MERGEFORMAT</w:instrText>
        </w:r>
        <w:r w:rsidRPr="00E34C88">
          <w:rPr>
            <w:rFonts w:ascii="Times New Roman" w:hAnsi="Times New Roman"/>
            <w:sz w:val="22"/>
          </w:rPr>
          <w:fldChar w:fldCharType="separate"/>
        </w:r>
        <w:r w:rsidRPr="00E34C88">
          <w:rPr>
            <w:rFonts w:ascii="Times New Roman" w:hAnsi="Times New Roman"/>
            <w:sz w:val="22"/>
            <w:lang w:val="pt-BR"/>
          </w:rPr>
          <w:t>2</w:t>
        </w:r>
        <w:r w:rsidRPr="00E34C88">
          <w:rPr>
            <w:rFonts w:ascii="Times New Roman" w:hAnsi="Times New Roman"/>
            <w:sz w:val="22"/>
          </w:rPr>
          <w:fldChar w:fldCharType="end"/>
        </w:r>
      </w:p>
    </w:sdtContent>
  </w:sdt>
  <w:p w14:paraId="21D06D93" w14:textId="77777777" w:rsidR="00A60B04" w:rsidRPr="00AF219C" w:rsidRDefault="00A60B04" w:rsidP="00AF219C">
    <w:pPr>
      <w:pStyle w:val="Rodap"/>
      <w:jc w:val="center"/>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AE5C6" w14:textId="77777777" w:rsidR="00381708" w:rsidRDefault="00381708">
      <w:r>
        <w:separator/>
      </w:r>
    </w:p>
  </w:footnote>
  <w:footnote w:type="continuationSeparator" w:id="0">
    <w:p w14:paraId="4D2E5107" w14:textId="77777777" w:rsidR="00381708" w:rsidRDefault="00381708">
      <w:r>
        <w:continuationSeparator/>
      </w:r>
    </w:p>
  </w:footnote>
  <w:footnote w:type="continuationNotice" w:id="1">
    <w:p w14:paraId="38F26E39" w14:textId="77777777" w:rsidR="00381708" w:rsidRDefault="003817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7E100" w14:textId="77777777" w:rsidR="00A60B04" w:rsidRDefault="00A60B0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6B3F79FD" w14:textId="77777777" w:rsidR="00A60B04" w:rsidRDefault="00A60B04">
    <w:pPr>
      <w:jc w:val="center"/>
      <w:rPr>
        <w:rFonts w:ascii="Britannic Bold" w:hAnsi="Britannic Bold"/>
        <w:b/>
      </w:rPr>
    </w:pPr>
    <w:r>
      <w:rPr>
        <w:rFonts w:ascii="Britannic Bold" w:hAnsi="Britannic Bold"/>
        <w:b/>
      </w:rPr>
      <w:t>PIRES DE OLIVEIRA DIAS &amp; CIPULLO</w:t>
    </w:r>
  </w:p>
  <w:p w14:paraId="7D37D990" w14:textId="77777777" w:rsidR="00A60B04" w:rsidRDefault="00A60B04">
    <w:pPr>
      <w:pStyle w:val="Cabealho"/>
      <w:ind w:right="360"/>
      <w:jc w:val="center"/>
    </w:pPr>
    <w:r>
      <w:rPr>
        <w:rFonts w:ascii="Britannic Bold" w:hAnsi="Britannic Bold"/>
        <w:b/>
        <w:sz w:val="20"/>
      </w:rPr>
      <w:t>ADVOGADOS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667AF" w14:textId="77777777" w:rsidR="008138CC" w:rsidRPr="008138CC" w:rsidRDefault="008138CC" w:rsidP="008138CC">
    <w:pPr>
      <w:pStyle w:val="Cabealho"/>
      <w:jc w:val="right"/>
      <w:rPr>
        <w:rFonts w:ascii="Times New Roman" w:hAnsi="Times New Roman"/>
        <w: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D98"/>
    <w:multiLevelType w:val="hybridMultilevel"/>
    <w:tmpl w:val="502C2826"/>
    <w:lvl w:ilvl="0" w:tplc="7422A576">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473DC4"/>
    <w:multiLevelType w:val="hybridMultilevel"/>
    <w:tmpl w:val="973C823C"/>
    <w:lvl w:ilvl="0" w:tplc="CD326BB6">
      <w:start w:val="1"/>
      <w:numFmt w:val="lowerRoman"/>
      <w:lvlText w:val="(%1)"/>
      <w:lvlJc w:val="left"/>
      <w:pPr>
        <w:ind w:left="1068" w:hanging="360"/>
      </w:pPr>
      <w:rPr>
        <w:rFonts w:cs="Times New Roman" w:hint="default"/>
        <w:b w:val="0"/>
        <w:i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3573E63"/>
    <w:multiLevelType w:val="hybridMultilevel"/>
    <w:tmpl w:val="7D78E184"/>
    <w:lvl w:ilvl="0" w:tplc="D412503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796726"/>
    <w:multiLevelType w:val="hybridMultilevel"/>
    <w:tmpl w:val="E870D0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360048"/>
    <w:multiLevelType w:val="hybridMultilevel"/>
    <w:tmpl w:val="24C888B4"/>
    <w:lvl w:ilvl="0" w:tplc="CE6804F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9D611F"/>
    <w:multiLevelType w:val="hybridMultilevel"/>
    <w:tmpl w:val="38EC23D4"/>
    <w:lvl w:ilvl="0" w:tplc="7E88843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0FE31E61"/>
    <w:multiLevelType w:val="hybridMultilevel"/>
    <w:tmpl w:val="FB8CD79A"/>
    <w:lvl w:ilvl="0" w:tplc="C9241C6A">
      <w:start w:val="1"/>
      <w:numFmt w:val="lowerRoman"/>
      <w:lvlText w:val="(%1)"/>
      <w:lvlJc w:val="left"/>
      <w:pPr>
        <w:tabs>
          <w:tab w:val="num" w:pos="1428"/>
        </w:tabs>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7" w15:restartNumberingAfterBreak="0">
    <w:nsid w:val="159E0154"/>
    <w:multiLevelType w:val="hybridMultilevel"/>
    <w:tmpl w:val="2368D64A"/>
    <w:lvl w:ilvl="0" w:tplc="CD326BB6">
      <w:start w:val="1"/>
      <w:numFmt w:val="lowerRoman"/>
      <w:lvlText w:val="(%1)"/>
      <w:lvlJc w:val="left"/>
      <w:pPr>
        <w:ind w:left="1068" w:hanging="360"/>
      </w:pPr>
      <w:rPr>
        <w:rFonts w:cs="Times New Roman" w:hint="default"/>
        <w:b w:val="0"/>
        <w:i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16FB47D3"/>
    <w:multiLevelType w:val="hybridMultilevel"/>
    <w:tmpl w:val="EB6880E8"/>
    <w:lvl w:ilvl="0" w:tplc="9BA2258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2B7433"/>
    <w:multiLevelType w:val="hybridMultilevel"/>
    <w:tmpl w:val="146491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8D0514"/>
    <w:multiLevelType w:val="hybridMultilevel"/>
    <w:tmpl w:val="38EC23D4"/>
    <w:lvl w:ilvl="0" w:tplc="7E88843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1945190A"/>
    <w:multiLevelType w:val="hybridMultilevel"/>
    <w:tmpl w:val="6F22D2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930A72"/>
    <w:multiLevelType w:val="hybridMultilevel"/>
    <w:tmpl w:val="DC44CBA0"/>
    <w:lvl w:ilvl="0" w:tplc="CD326BB6">
      <w:start w:val="1"/>
      <w:numFmt w:val="lowerRoman"/>
      <w:lvlText w:val="(%1)"/>
      <w:lvlJc w:val="left"/>
      <w:pPr>
        <w:ind w:left="1068" w:hanging="360"/>
      </w:pPr>
      <w:rPr>
        <w:rFonts w:cs="Times New Roman" w:hint="default"/>
        <w:b w:val="0"/>
        <w:i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242427C7"/>
    <w:multiLevelType w:val="multilevel"/>
    <w:tmpl w:val="FD4C164E"/>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A20DDD"/>
    <w:multiLevelType w:val="hybridMultilevel"/>
    <w:tmpl w:val="9E78D0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DD56B8"/>
    <w:multiLevelType w:val="hybridMultilevel"/>
    <w:tmpl w:val="1C78922C"/>
    <w:lvl w:ilvl="0" w:tplc="1652BA30">
      <w:start w:val="1"/>
      <w:numFmt w:val="lowerRoman"/>
      <w:pStyle w:val="Ttulo3"/>
      <w:lvlText w:val="(%1)"/>
      <w:lvlJc w:val="left"/>
      <w:pPr>
        <w:ind w:left="720" w:hanging="360"/>
      </w:pPr>
      <w:rPr>
        <w:rFonts w:ascii="Arial" w:hAnsi="Arial"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0C22C9"/>
    <w:multiLevelType w:val="hybridMultilevel"/>
    <w:tmpl w:val="3710BD14"/>
    <w:lvl w:ilvl="0" w:tplc="0E24E2E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546BA6"/>
    <w:multiLevelType w:val="hybridMultilevel"/>
    <w:tmpl w:val="31608268"/>
    <w:lvl w:ilvl="0" w:tplc="528E64B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B0C309E"/>
    <w:multiLevelType w:val="hybridMultilevel"/>
    <w:tmpl w:val="29342C8A"/>
    <w:lvl w:ilvl="0" w:tplc="79E02A5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322166C3"/>
    <w:multiLevelType w:val="hybridMultilevel"/>
    <w:tmpl w:val="ADF4F46C"/>
    <w:lvl w:ilvl="0" w:tplc="2B2218E8">
      <w:start w:val="1"/>
      <w:numFmt w:val="lowerRoman"/>
      <w:lvlText w:val="(%1)"/>
      <w:lvlJc w:val="left"/>
      <w:pPr>
        <w:ind w:left="1571" w:hanging="720"/>
      </w:pPr>
      <w:rPr>
        <w:rFonts w:hint="default"/>
        <w:i w:val="0"/>
        <w:color w:val="auto"/>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3A7600BB"/>
    <w:multiLevelType w:val="hybridMultilevel"/>
    <w:tmpl w:val="C374CD70"/>
    <w:lvl w:ilvl="0" w:tplc="35FC90C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AA2308"/>
    <w:multiLevelType w:val="hybridMultilevel"/>
    <w:tmpl w:val="9B547F50"/>
    <w:lvl w:ilvl="0" w:tplc="2CC27B4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BD0065"/>
    <w:multiLevelType w:val="hybridMultilevel"/>
    <w:tmpl w:val="CA04B40A"/>
    <w:lvl w:ilvl="0" w:tplc="504AAE7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421CD2"/>
    <w:multiLevelType w:val="multilevel"/>
    <w:tmpl w:val="1F1010D8"/>
    <w:lvl w:ilvl="0">
      <w:start w:val="5"/>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445D71EA"/>
    <w:multiLevelType w:val="hybridMultilevel"/>
    <w:tmpl w:val="011607E6"/>
    <w:lvl w:ilvl="0" w:tplc="AEB27E7A">
      <w:start w:val="1"/>
      <w:numFmt w:val="lowerRoman"/>
      <w:lvlText w:val="(%1)"/>
      <w:lvlJc w:val="righ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4A915620"/>
    <w:multiLevelType w:val="hybridMultilevel"/>
    <w:tmpl w:val="80CEF84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6" w15:restartNumberingAfterBreak="0">
    <w:nsid w:val="4B751E8F"/>
    <w:multiLevelType w:val="hybridMultilevel"/>
    <w:tmpl w:val="38EC23D4"/>
    <w:lvl w:ilvl="0" w:tplc="7E88843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4EB376B6"/>
    <w:multiLevelType w:val="hybridMultilevel"/>
    <w:tmpl w:val="45ECC128"/>
    <w:lvl w:ilvl="0" w:tplc="EF2C08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60014ED"/>
    <w:multiLevelType w:val="hybridMultilevel"/>
    <w:tmpl w:val="313AC3BE"/>
    <w:lvl w:ilvl="0" w:tplc="E70E9C2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565C574B"/>
    <w:multiLevelType w:val="hybridMultilevel"/>
    <w:tmpl w:val="3BC8F6F4"/>
    <w:lvl w:ilvl="0" w:tplc="17902E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5F49E1"/>
    <w:multiLevelType w:val="hybridMultilevel"/>
    <w:tmpl w:val="1A34B330"/>
    <w:lvl w:ilvl="0" w:tplc="600AB75E">
      <w:start w:val="1"/>
      <w:numFmt w:val="decimal"/>
      <w:pStyle w:val="Ttulo"/>
      <w:lvlText w:val="6.%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D4B436C"/>
    <w:multiLevelType w:val="hybridMultilevel"/>
    <w:tmpl w:val="A56EE564"/>
    <w:lvl w:ilvl="0" w:tplc="C77C99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E5E0A43"/>
    <w:multiLevelType w:val="multilevel"/>
    <w:tmpl w:val="D424F2EE"/>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8D41FE"/>
    <w:multiLevelType w:val="hybridMultilevel"/>
    <w:tmpl w:val="F0DE2164"/>
    <w:lvl w:ilvl="0" w:tplc="C20E19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0A14C31"/>
    <w:multiLevelType w:val="hybridMultilevel"/>
    <w:tmpl w:val="7360B502"/>
    <w:lvl w:ilvl="0" w:tplc="9BF45A96">
      <w:start w:val="1"/>
      <w:numFmt w:val="lowerLetter"/>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165F49"/>
    <w:multiLevelType w:val="singleLevel"/>
    <w:tmpl w:val="CD326BB6"/>
    <w:lvl w:ilvl="0">
      <w:start w:val="1"/>
      <w:numFmt w:val="lowerRoman"/>
      <w:lvlText w:val="(%1)"/>
      <w:lvlJc w:val="left"/>
      <w:pPr>
        <w:tabs>
          <w:tab w:val="num" w:pos="1713"/>
        </w:tabs>
        <w:ind w:left="1713" w:hanging="720"/>
      </w:pPr>
      <w:rPr>
        <w:rFonts w:cs="Times New Roman" w:hint="default"/>
        <w:b w:val="0"/>
        <w:i w:val="0"/>
      </w:rPr>
    </w:lvl>
  </w:abstractNum>
  <w:abstractNum w:abstractNumId="36" w15:restartNumberingAfterBreak="0">
    <w:nsid w:val="62C44887"/>
    <w:multiLevelType w:val="hybridMultilevel"/>
    <w:tmpl w:val="40F41AFE"/>
    <w:lvl w:ilvl="0" w:tplc="0F1263C6">
      <w:start w:val="1"/>
      <w:numFmt w:val="lowerRoman"/>
      <w:lvlText w:val="%1)"/>
      <w:lvlJc w:val="left"/>
      <w:pPr>
        <w:ind w:left="2130" w:hanging="720"/>
      </w:pPr>
      <w:rPr>
        <w:rFonts w:hint="default"/>
        <w:u w:val="single"/>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7" w15:restartNumberingAfterBreak="0">
    <w:nsid w:val="676F5525"/>
    <w:multiLevelType w:val="hybridMultilevel"/>
    <w:tmpl w:val="569E642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8" w15:restartNumberingAfterBreak="0">
    <w:nsid w:val="68D04E06"/>
    <w:multiLevelType w:val="hybridMultilevel"/>
    <w:tmpl w:val="FE24747E"/>
    <w:lvl w:ilvl="0" w:tplc="04160009">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9" w15:restartNumberingAfterBreak="0">
    <w:nsid w:val="69537304"/>
    <w:multiLevelType w:val="hybridMultilevel"/>
    <w:tmpl w:val="9B406380"/>
    <w:lvl w:ilvl="0" w:tplc="B64292EA">
      <w:start w:val="10"/>
      <w:numFmt w:val="lowerLetter"/>
      <w:lvlText w:val="%1)"/>
      <w:lvlJc w:val="left"/>
      <w:pPr>
        <w:ind w:left="1774" w:hanging="360"/>
      </w:pPr>
      <w:rPr>
        <w:rFonts w:hint="default"/>
        <w:u w:val="none"/>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40" w15:restartNumberingAfterBreak="0">
    <w:nsid w:val="6AC021F8"/>
    <w:multiLevelType w:val="hybridMultilevel"/>
    <w:tmpl w:val="5054F4DA"/>
    <w:lvl w:ilvl="0" w:tplc="2192407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6E5501DF"/>
    <w:multiLevelType w:val="hybridMultilevel"/>
    <w:tmpl w:val="D2825F00"/>
    <w:lvl w:ilvl="0" w:tplc="4E6E29EE">
      <w:start w:val="1"/>
      <w:numFmt w:val="upperRoman"/>
      <w:pStyle w:val="Parties"/>
      <w:lvlText w:val="%1."/>
      <w:lvlJc w:val="left"/>
      <w:pPr>
        <w:tabs>
          <w:tab w:val="num" w:pos="709"/>
        </w:tabs>
        <w:ind w:left="709" w:hanging="709"/>
      </w:pPr>
      <w:rPr>
        <w:b/>
        <w:i w:val="0"/>
      </w:rPr>
    </w:lvl>
    <w:lvl w:ilvl="1" w:tplc="00A62734">
      <w:start w:val="1"/>
      <w:numFmt w:val="decimal"/>
      <w:lvlText w:val="%2."/>
      <w:lvlJc w:val="left"/>
      <w:pPr>
        <w:tabs>
          <w:tab w:val="num" w:pos="1440"/>
        </w:tabs>
        <w:ind w:left="1440" w:hanging="360"/>
      </w:pPr>
    </w:lvl>
    <w:lvl w:ilvl="2" w:tplc="6802AA8C">
      <w:start w:val="1"/>
      <w:numFmt w:val="decimal"/>
      <w:lvlText w:val="%3."/>
      <w:lvlJc w:val="left"/>
      <w:pPr>
        <w:tabs>
          <w:tab w:val="num" w:pos="2160"/>
        </w:tabs>
        <w:ind w:left="2160" w:hanging="360"/>
      </w:pPr>
    </w:lvl>
    <w:lvl w:ilvl="3" w:tplc="5FDE57DC">
      <w:start w:val="1"/>
      <w:numFmt w:val="decimal"/>
      <w:lvlText w:val="%4."/>
      <w:lvlJc w:val="left"/>
      <w:pPr>
        <w:tabs>
          <w:tab w:val="num" w:pos="2880"/>
        </w:tabs>
        <w:ind w:left="2880" w:hanging="360"/>
      </w:pPr>
    </w:lvl>
    <w:lvl w:ilvl="4" w:tplc="092ADC9A">
      <w:start w:val="1"/>
      <w:numFmt w:val="decimal"/>
      <w:lvlText w:val="%5."/>
      <w:lvlJc w:val="left"/>
      <w:pPr>
        <w:tabs>
          <w:tab w:val="num" w:pos="3600"/>
        </w:tabs>
        <w:ind w:left="3600" w:hanging="360"/>
      </w:pPr>
    </w:lvl>
    <w:lvl w:ilvl="5" w:tplc="87D0D55C">
      <w:start w:val="1"/>
      <w:numFmt w:val="decimal"/>
      <w:lvlText w:val="%6."/>
      <w:lvlJc w:val="left"/>
      <w:pPr>
        <w:tabs>
          <w:tab w:val="num" w:pos="4320"/>
        </w:tabs>
        <w:ind w:left="4320" w:hanging="360"/>
      </w:pPr>
    </w:lvl>
    <w:lvl w:ilvl="6" w:tplc="B6268272">
      <w:start w:val="1"/>
      <w:numFmt w:val="decimal"/>
      <w:lvlText w:val="%7."/>
      <w:lvlJc w:val="left"/>
      <w:pPr>
        <w:tabs>
          <w:tab w:val="num" w:pos="5040"/>
        </w:tabs>
        <w:ind w:left="5040" w:hanging="360"/>
      </w:pPr>
    </w:lvl>
    <w:lvl w:ilvl="7" w:tplc="ADFC3B10">
      <w:start w:val="1"/>
      <w:numFmt w:val="decimal"/>
      <w:lvlText w:val="%8."/>
      <w:lvlJc w:val="left"/>
      <w:pPr>
        <w:tabs>
          <w:tab w:val="num" w:pos="5760"/>
        </w:tabs>
        <w:ind w:left="5760" w:hanging="360"/>
      </w:pPr>
    </w:lvl>
    <w:lvl w:ilvl="8" w:tplc="5658C98C">
      <w:start w:val="1"/>
      <w:numFmt w:val="decimal"/>
      <w:lvlText w:val="%9."/>
      <w:lvlJc w:val="left"/>
      <w:pPr>
        <w:tabs>
          <w:tab w:val="num" w:pos="6480"/>
        </w:tabs>
        <w:ind w:left="6480" w:hanging="360"/>
      </w:pPr>
    </w:lvl>
  </w:abstractNum>
  <w:abstractNum w:abstractNumId="42" w15:restartNumberingAfterBreak="0">
    <w:nsid w:val="71907B19"/>
    <w:multiLevelType w:val="multilevel"/>
    <w:tmpl w:val="75DCDFF4"/>
    <w:lvl w:ilvl="0">
      <w:start w:val="6"/>
      <w:numFmt w:val="decimal"/>
      <w:lvlText w:val="(%1."/>
      <w:lvlJc w:val="left"/>
      <w:pPr>
        <w:ind w:left="630" w:hanging="630"/>
      </w:pPr>
      <w:rPr>
        <w:rFonts w:hint="default"/>
      </w:rPr>
    </w:lvl>
    <w:lvl w:ilvl="1">
      <w:start w:val="1"/>
      <w:numFmt w:val="decimal"/>
      <w:lvlText w:val="(%1.%2."/>
      <w:lvlJc w:val="left"/>
      <w:pPr>
        <w:ind w:left="787" w:hanging="720"/>
      </w:pPr>
      <w:rPr>
        <w:rFonts w:hint="default"/>
      </w:rPr>
    </w:lvl>
    <w:lvl w:ilvl="2">
      <w:start w:val="2"/>
      <w:numFmt w:val="decimal"/>
      <w:lvlText w:val="(%1.%2.%3)"/>
      <w:lvlJc w:val="left"/>
      <w:pPr>
        <w:ind w:left="854" w:hanging="720"/>
      </w:pPr>
      <w:rPr>
        <w:rFonts w:hint="default"/>
      </w:rPr>
    </w:lvl>
    <w:lvl w:ilvl="3">
      <w:start w:val="1"/>
      <w:numFmt w:val="decimal"/>
      <w:lvlText w:val="(%1.%2.%3)%4."/>
      <w:lvlJc w:val="left"/>
      <w:pPr>
        <w:ind w:left="1281" w:hanging="108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775" w:hanging="144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43" w15:restartNumberingAfterBreak="0">
    <w:nsid w:val="73542215"/>
    <w:multiLevelType w:val="hybridMultilevel"/>
    <w:tmpl w:val="94BA4A00"/>
    <w:lvl w:ilvl="0" w:tplc="AC4ED1A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AC766BB"/>
    <w:multiLevelType w:val="hybridMultilevel"/>
    <w:tmpl w:val="272AF7A0"/>
    <w:lvl w:ilvl="0" w:tplc="0292E95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B1E7B69"/>
    <w:multiLevelType w:val="hybridMultilevel"/>
    <w:tmpl w:val="83666602"/>
    <w:lvl w:ilvl="0" w:tplc="4A7E503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9B6F62"/>
    <w:multiLevelType w:val="hybridMultilevel"/>
    <w:tmpl w:val="BD8E6C82"/>
    <w:lvl w:ilvl="0" w:tplc="14461592">
      <w:start w:val="1"/>
      <w:numFmt w:val="lowerLetter"/>
      <w:lvlText w:val="(%1)"/>
      <w:lvlJc w:val="left"/>
      <w:pPr>
        <w:ind w:left="495" w:hanging="360"/>
      </w:pPr>
      <w:rPr>
        <w:rFonts w:hint="default"/>
        <w:b/>
      </w:rPr>
    </w:lvl>
    <w:lvl w:ilvl="1" w:tplc="04160019" w:tentative="1">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tentative="1">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num w:numId="1">
    <w:abstractNumId w:val="41"/>
  </w:num>
  <w:num w:numId="2">
    <w:abstractNumId w:val="30"/>
  </w:num>
  <w:num w:numId="3">
    <w:abstractNumId w:val="34"/>
  </w:num>
  <w:num w:numId="4">
    <w:abstractNumId w:val="2"/>
  </w:num>
  <w:num w:numId="5">
    <w:abstractNumId w:val="4"/>
  </w:num>
  <w:num w:numId="6">
    <w:abstractNumId w:val="15"/>
  </w:num>
  <w:num w:numId="7">
    <w:abstractNumId w:val="35"/>
  </w:num>
  <w:num w:numId="8">
    <w:abstractNumId w:val="19"/>
  </w:num>
  <w:num w:numId="9">
    <w:abstractNumId w:val="3"/>
  </w:num>
  <w:num w:numId="10">
    <w:abstractNumId w:val="44"/>
  </w:num>
  <w:num w:numId="11">
    <w:abstractNumId w:val="22"/>
  </w:num>
  <w:num w:numId="12">
    <w:abstractNumId w:val="6"/>
  </w:num>
  <w:num w:numId="13">
    <w:abstractNumId w:val="33"/>
  </w:num>
  <w:num w:numId="14">
    <w:abstractNumId w:val="20"/>
  </w:num>
  <w:num w:numId="15">
    <w:abstractNumId w:val="14"/>
  </w:num>
  <w:num w:numId="16">
    <w:abstractNumId w:val="18"/>
  </w:num>
  <w:num w:numId="17">
    <w:abstractNumId w:val="37"/>
  </w:num>
  <w:num w:numId="18">
    <w:abstractNumId w:val="25"/>
  </w:num>
  <w:num w:numId="19">
    <w:abstractNumId w:val="21"/>
  </w:num>
  <w:num w:numId="20">
    <w:abstractNumId w:val="9"/>
  </w:num>
  <w:num w:numId="21">
    <w:abstractNumId w:val="16"/>
  </w:num>
  <w:num w:numId="22">
    <w:abstractNumId w:val="11"/>
  </w:num>
  <w:num w:numId="23">
    <w:abstractNumId w:val="28"/>
  </w:num>
  <w:num w:numId="24">
    <w:abstractNumId w:val="5"/>
  </w:num>
  <w:num w:numId="25">
    <w:abstractNumId w:val="10"/>
  </w:num>
  <w:num w:numId="26">
    <w:abstractNumId w:val="26"/>
  </w:num>
  <w:num w:numId="27">
    <w:abstractNumId w:val="1"/>
  </w:num>
  <w:num w:numId="28">
    <w:abstractNumId w:val="24"/>
  </w:num>
  <w:num w:numId="29">
    <w:abstractNumId w:val="12"/>
  </w:num>
  <w:num w:numId="30">
    <w:abstractNumId w:val="7"/>
  </w:num>
  <w:num w:numId="31">
    <w:abstractNumId w:val="27"/>
  </w:num>
  <w:num w:numId="32">
    <w:abstractNumId w:val="17"/>
  </w:num>
  <w:num w:numId="33">
    <w:abstractNumId w:val="38"/>
  </w:num>
  <w:num w:numId="34">
    <w:abstractNumId w:val="8"/>
  </w:num>
  <w:num w:numId="35">
    <w:abstractNumId w:val="32"/>
  </w:num>
  <w:num w:numId="36">
    <w:abstractNumId w:val="13"/>
  </w:num>
  <w:num w:numId="37">
    <w:abstractNumId w:val="40"/>
  </w:num>
  <w:num w:numId="38">
    <w:abstractNumId w:val="42"/>
  </w:num>
  <w:num w:numId="39">
    <w:abstractNumId w:val="43"/>
  </w:num>
  <w:num w:numId="40">
    <w:abstractNumId w:val="29"/>
  </w:num>
  <w:num w:numId="41">
    <w:abstractNumId w:val="46"/>
  </w:num>
  <w:num w:numId="42">
    <w:abstractNumId w:val="31"/>
  </w:num>
  <w:num w:numId="43">
    <w:abstractNumId w:val="0"/>
  </w:num>
  <w:num w:numId="44">
    <w:abstractNumId w:val="45"/>
  </w:num>
  <w:num w:numId="45">
    <w:abstractNumId w:val="23"/>
  </w:num>
  <w:num w:numId="46">
    <w:abstractNumId w:val="36"/>
  </w:num>
  <w:num w:numId="47">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91D"/>
    <w:rsid w:val="00000466"/>
    <w:rsid w:val="00000941"/>
    <w:rsid w:val="00001758"/>
    <w:rsid w:val="00004F21"/>
    <w:rsid w:val="00005797"/>
    <w:rsid w:val="000069CC"/>
    <w:rsid w:val="00010967"/>
    <w:rsid w:val="0001201A"/>
    <w:rsid w:val="000123A1"/>
    <w:rsid w:val="00013247"/>
    <w:rsid w:val="00016ADA"/>
    <w:rsid w:val="00017A32"/>
    <w:rsid w:val="000211EF"/>
    <w:rsid w:val="000214D1"/>
    <w:rsid w:val="0002419B"/>
    <w:rsid w:val="000250C3"/>
    <w:rsid w:val="000254C1"/>
    <w:rsid w:val="000270D6"/>
    <w:rsid w:val="00030DFB"/>
    <w:rsid w:val="00030F2D"/>
    <w:rsid w:val="000426AD"/>
    <w:rsid w:val="00044A48"/>
    <w:rsid w:val="0004547F"/>
    <w:rsid w:val="000455F0"/>
    <w:rsid w:val="0004575E"/>
    <w:rsid w:val="0004650B"/>
    <w:rsid w:val="00046E0A"/>
    <w:rsid w:val="00047EFF"/>
    <w:rsid w:val="00055BBE"/>
    <w:rsid w:val="00055E4D"/>
    <w:rsid w:val="00057E65"/>
    <w:rsid w:val="00061FB2"/>
    <w:rsid w:val="000631B0"/>
    <w:rsid w:val="00063C43"/>
    <w:rsid w:val="000647ED"/>
    <w:rsid w:val="00065674"/>
    <w:rsid w:val="00066028"/>
    <w:rsid w:val="00066939"/>
    <w:rsid w:val="00070427"/>
    <w:rsid w:val="00073A29"/>
    <w:rsid w:val="0007431C"/>
    <w:rsid w:val="000753CF"/>
    <w:rsid w:val="00076586"/>
    <w:rsid w:val="00076A7F"/>
    <w:rsid w:val="00080AB9"/>
    <w:rsid w:val="000813E4"/>
    <w:rsid w:val="00081788"/>
    <w:rsid w:val="0008237C"/>
    <w:rsid w:val="00082582"/>
    <w:rsid w:val="000826EF"/>
    <w:rsid w:val="0008337C"/>
    <w:rsid w:val="000833EA"/>
    <w:rsid w:val="000846AA"/>
    <w:rsid w:val="000850F6"/>
    <w:rsid w:val="00085246"/>
    <w:rsid w:val="00085A72"/>
    <w:rsid w:val="00086596"/>
    <w:rsid w:val="000868A0"/>
    <w:rsid w:val="00087DAF"/>
    <w:rsid w:val="00090329"/>
    <w:rsid w:val="00090491"/>
    <w:rsid w:val="00090643"/>
    <w:rsid w:val="00093FBF"/>
    <w:rsid w:val="000958D9"/>
    <w:rsid w:val="000972DC"/>
    <w:rsid w:val="000A2130"/>
    <w:rsid w:val="000A22F1"/>
    <w:rsid w:val="000A2AB9"/>
    <w:rsid w:val="000A687A"/>
    <w:rsid w:val="000A6A30"/>
    <w:rsid w:val="000A6F82"/>
    <w:rsid w:val="000B04B3"/>
    <w:rsid w:val="000B0DB1"/>
    <w:rsid w:val="000B17B8"/>
    <w:rsid w:val="000B2A0C"/>
    <w:rsid w:val="000B2A4F"/>
    <w:rsid w:val="000B43A7"/>
    <w:rsid w:val="000B4664"/>
    <w:rsid w:val="000B4977"/>
    <w:rsid w:val="000B742F"/>
    <w:rsid w:val="000B7A2E"/>
    <w:rsid w:val="000C3F5E"/>
    <w:rsid w:val="000C5303"/>
    <w:rsid w:val="000C5EE5"/>
    <w:rsid w:val="000C65B3"/>
    <w:rsid w:val="000C6935"/>
    <w:rsid w:val="000D0032"/>
    <w:rsid w:val="000D385E"/>
    <w:rsid w:val="000D6644"/>
    <w:rsid w:val="000D70C1"/>
    <w:rsid w:val="000D7EBD"/>
    <w:rsid w:val="000E3C9D"/>
    <w:rsid w:val="000E45DB"/>
    <w:rsid w:val="000E51BC"/>
    <w:rsid w:val="000E5344"/>
    <w:rsid w:val="000E58F0"/>
    <w:rsid w:val="000E5F0D"/>
    <w:rsid w:val="000E6185"/>
    <w:rsid w:val="000E6506"/>
    <w:rsid w:val="000E65A8"/>
    <w:rsid w:val="000E7A58"/>
    <w:rsid w:val="000F1AAA"/>
    <w:rsid w:val="000F1BA5"/>
    <w:rsid w:val="000F1F44"/>
    <w:rsid w:val="000F4C5D"/>
    <w:rsid w:val="000F55E7"/>
    <w:rsid w:val="000F5600"/>
    <w:rsid w:val="000F6842"/>
    <w:rsid w:val="000F6CBD"/>
    <w:rsid w:val="000F721D"/>
    <w:rsid w:val="0010043B"/>
    <w:rsid w:val="00100D9E"/>
    <w:rsid w:val="001018D5"/>
    <w:rsid w:val="001019DC"/>
    <w:rsid w:val="00101ECF"/>
    <w:rsid w:val="0010213E"/>
    <w:rsid w:val="0010274F"/>
    <w:rsid w:val="00102F94"/>
    <w:rsid w:val="00103902"/>
    <w:rsid w:val="00103AC8"/>
    <w:rsid w:val="0010432D"/>
    <w:rsid w:val="00105DFF"/>
    <w:rsid w:val="00110145"/>
    <w:rsid w:val="00110887"/>
    <w:rsid w:val="0011097B"/>
    <w:rsid w:val="00112BD4"/>
    <w:rsid w:val="00113032"/>
    <w:rsid w:val="00113434"/>
    <w:rsid w:val="0011516C"/>
    <w:rsid w:val="00117E9D"/>
    <w:rsid w:val="001204A6"/>
    <w:rsid w:val="001210E8"/>
    <w:rsid w:val="00121491"/>
    <w:rsid w:val="001218C1"/>
    <w:rsid w:val="001250EA"/>
    <w:rsid w:val="001251DF"/>
    <w:rsid w:val="00126871"/>
    <w:rsid w:val="00127CA8"/>
    <w:rsid w:val="00130B35"/>
    <w:rsid w:val="0013176C"/>
    <w:rsid w:val="00132B8B"/>
    <w:rsid w:val="00133227"/>
    <w:rsid w:val="00133A4A"/>
    <w:rsid w:val="001340D1"/>
    <w:rsid w:val="00134E46"/>
    <w:rsid w:val="00140E9A"/>
    <w:rsid w:val="0014213B"/>
    <w:rsid w:val="00143201"/>
    <w:rsid w:val="00143B8C"/>
    <w:rsid w:val="00144577"/>
    <w:rsid w:val="00147020"/>
    <w:rsid w:val="0014743E"/>
    <w:rsid w:val="001505FF"/>
    <w:rsid w:val="001507E8"/>
    <w:rsid w:val="0015285B"/>
    <w:rsid w:val="00155EA8"/>
    <w:rsid w:val="00156336"/>
    <w:rsid w:val="00156D8E"/>
    <w:rsid w:val="001603D6"/>
    <w:rsid w:val="00161039"/>
    <w:rsid w:val="0016145C"/>
    <w:rsid w:val="0016248C"/>
    <w:rsid w:val="001645F2"/>
    <w:rsid w:val="00165E51"/>
    <w:rsid w:val="0016644E"/>
    <w:rsid w:val="00172990"/>
    <w:rsid w:val="001753C2"/>
    <w:rsid w:val="00176D7F"/>
    <w:rsid w:val="00180FDD"/>
    <w:rsid w:val="00184D03"/>
    <w:rsid w:val="00185E7E"/>
    <w:rsid w:val="001861FE"/>
    <w:rsid w:val="0018681A"/>
    <w:rsid w:val="00186EE6"/>
    <w:rsid w:val="00187131"/>
    <w:rsid w:val="00187D7D"/>
    <w:rsid w:val="00190BCD"/>
    <w:rsid w:val="00191415"/>
    <w:rsid w:val="0019253A"/>
    <w:rsid w:val="00192D88"/>
    <w:rsid w:val="00193FF9"/>
    <w:rsid w:val="00194012"/>
    <w:rsid w:val="001972B1"/>
    <w:rsid w:val="001974C4"/>
    <w:rsid w:val="00197824"/>
    <w:rsid w:val="001A08C8"/>
    <w:rsid w:val="001A2749"/>
    <w:rsid w:val="001A5748"/>
    <w:rsid w:val="001A5F00"/>
    <w:rsid w:val="001A64DA"/>
    <w:rsid w:val="001A7382"/>
    <w:rsid w:val="001A7524"/>
    <w:rsid w:val="001A792E"/>
    <w:rsid w:val="001B0666"/>
    <w:rsid w:val="001B367F"/>
    <w:rsid w:val="001B4265"/>
    <w:rsid w:val="001B4FF1"/>
    <w:rsid w:val="001B66FD"/>
    <w:rsid w:val="001B6F8F"/>
    <w:rsid w:val="001B7F0C"/>
    <w:rsid w:val="001C0530"/>
    <w:rsid w:val="001C0715"/>
    <w:rsid w:val="001C0B35"/>
    <w:rsid w:val="001C0E29"/>
    <w:rsid w:val="001C2ACA"/>
    <w:rsid w:val="001C4F86"/>
    <w:rsid w:val="001C4FA9"/>
    <w:rsid w:val="001C57FE"/>
    <w:rsid w:val="001C6A82"/>
    <w:rsid w:val="001C6D2D"/>
    <w:rsid w:val="001C7558"/>
    <w:rsid w:val="001C76DC"/>
    <w:rsid w:val="001D1479"/>
    <w:rsid w:val="001D26AA"/>
    <w:rsid w:val="001D276B"/>
    <w:rsid w:val="001E27D7"/>
    <w:rsid w:val="001E3B72"/>
    <w:rsid w:val="001E42B6"/>
    <w:rsid w:val="001E4DE9"/>
    <w:rsid w:val="001E505D"/>
    <w:rsid w:val="001F0B67"/>
    <w:rsid w:val="001F116C"/>
    <w:rsid w:val="001F69A2"/>
    <w:rsid w:val="001F7F49"/>
    <w:rsid w:val="0020000B"/>
    <w:rsid w:val="00200685"/>
    <w:rsid w:val="00200F30"/>
    <w:rsid w:val="0020282A"/>
    <w:rsid w:val="00202ADC"/>
    <w:rsid w:val="00203482"/>
    <w:rsid w:val="00207A2E"/>
    <w:rsid w:val="00210B8E"/>
    <w:rsid w:val="0021173E"/>
    <w:rsid w:val="00212247"/>
    <w:rsid w:val="00212354"/>
    <w:rsid w:val="00212895"/>
    <w:rsid w:val="002152CA"/>
    <w:rsid w:val="00216FF6"/>
    <w:rsid w:val="002200FD"/>
    <w:rsid w:val="002208A8"/>
    <w:rsid w:val="00223547"/>
    <w:rsid w:val="0022429C"/>
    <w:rsid w:val="00224724"/>
    <w:rsid w:val="00224D77"/>
    <w:rsid w:val="00225636"/>
    <w:rsid w:val="00226044"/>
    <w:rsid w:val="00231518"/>
    <w:rsid w:val="002346C7"/>
    <w:rsid w:val="0023719A"/>
    <w:rsid w:val="002416FE"/>
    <w:rsid w:val="00242056"/>
    <w:rsid w:val="00242861"/>
    <w:rsid w:val="00247673"/>
    <w:rsid w:val="0024769F"/>
    <w:rsid w:val="002500FF"/>
    <w:rsid w:val="00251BC1"/>
    <w:rsid w:val="00254E10"/>
    <w:rsid w:val="0025761A"/>
    <w:rsid w:val="00260042"/>
    <w:rsid w:val="00260F40"/>
    <w:rsid w:val="00261310"/>
    <w:rsid w:val="00261A28"/>
    <w:rsid w:val="00261FD5"/>
    <w:rsid w:val="0026288F"/>
    <w:rsid w:val="002634DC"/>
    <w:rsid w:val="00263B86"/>
    <w:rsid w:val="00263D24"/>
    <w:rsid w:val="002667FC"/>
    <w:rsid w:val="00266FEE"/>
    <w:rsid w:val="00270707"/>
    <w:rsid w:val="002715B7"/>
    <w:rsid w:val="00271CD9"/>
    <w:rsid w:val="0027235E"/>
    <w:rsid w:val="00273673"/>
    <w:rsid w:val="00273D13"/>
    <w:rsid w:val="002749A0"/>
    <w:rsid w:val="002757CA"/>
    <w:rsid w:val="00275E1B"/>
    <w:rsid w:val="00276FBA"/>
    <w:rsid w:val="00281822"/>
    <w:rsid w:val="00281BE4"/>
    <w:rsid w:val="00285B58"/>
    <w:rsid w:val="00286D92"/>
    <w:rsid w:val="002901F8"/>
    <w:rsid w:val="0029059E"/>
    <w:rsid w:val="00291F54"/>
    <w:rsid w:val="00292E06"/>
    <w:rsid w:val="002941B7"/>
    <w:rsid w:val="00294646"/>
    <w:rsid w:val="00294B7B"/>
    <w:rsid w:val="002955C5"/>
    <w:rsid w:val="00295BEA"/>
    <w:rsid w:val="00295D61"/>
    <w:rsid w:val="00296502"/>
    <w:rsid w:val="0029723B"/>
    <w:rsid w:val="002A108D"/>
    <w:rsid w:val="002A1B8B"/>
    <w:rsid w:val="002A2CF6"/>
    <w:rsid w:val="002A37EB"/>
    <w:rsid w:val="002A403A"/>
    <w:rsid w:val="002A451D"/>
    <w:rsid w:val="002A4661"/>
    <w:rsid w:val="002A481B"/>
    <w:rsid w:val="002A5589"/>
    <w:rsid w:val="002A5E7F"/>
    <w:rsid w:val="002A6A07"/>
    <w:rsid w:val="002B14CF"/>
    <w:rsid w:val="002B1EB0"/>
    <w:rsid w:val="002B3887"/>
    <w:rsid w:val="002B442E"/>
    <w:rsid w:val="002B5A2D"/>
    <w:rsid w:val="002C1816"/>
    <w:rsid w:val="002C2BCA"/>
    <w:rsid w:val="002C3296"/>
    <w:rsid w:val="002C42C6"/>
    <w:rsid w:val="002C4A09"/>
    <w:rsid w:val="002C5E53"/>
    <w:rsid w:val="002C6E6E"/>
    <w:rsid w:val="002D01F3"/>
    <w:rsid w:val="002D158B"/>
    <w:rsid w:val="002D2257"/>
    <w:rsid w:val="002D2C4C"/>
    <w:rsid w:val="002D5208"/>
    <w:rsid w:val="002D5E6E"/>
    <w:rsid w:val="002D6089"/>
    <w:rsid w:val="002D7C19"/>
    <w:rsid w:val="002E151B"/>
    <w:rsid w:val="002E1944"/>
    <w:rsid w:val="002E1CC0"/>
    <w:rsid w:val="002E2FBF"/>
    <w:rsid w:val="002E3122"/>
    <w:rsid w:val="002E38D6"/>
    <w:rsid w:val="002E3A60"/>
    <w:rsid w:val="002E3DF3"/>
    <w:rsid w:val="002E77F5"/>
    <w:rsid w:val="002E7992"/>
    <w:rsid w:val="002E7B7F"/>
    <w:rsid w:val="002F03E2"/>
    <w:rsid w:val="002F1C1C"/>
    <w:rsid w:val="002F2203"/>
    <w:rsid w:val="002F4398"/>
    <w:rsid w:val="002F4D98"/>
    <w:rsid w:val="002F4F06"/>
    <w:rsid w:val="002F5126"/>
    <w:rsid w:val="002F5A22"/>
    <w:rsid w:val="002F6F1B"/>
    <w:rsid w:val="002F7214"/>
    <w:rsid w:val="003012D1"/>
    <w:rsid w:val="00301C64"/>
    <w:rsid w:val="003037FB"/>
    <w:rsid w:val="003039B5"/>
    <w:rsid w:val="00303C05"/>
    <w:rsid w:val="00304165"/>
    <w:rsid w:val="00306717"/>
    <w:rsid w:val="00307514"/>
    <w:rsid w:val="003101DF"/>
    <w:rsid w:val="00310837"/>
    <w:rsid w:val="00312450"/>
    <w:rsid w:val="00312C70"/>
    <w:rsid w:val="003131F3"/>
    <w:rsid w:val="00313450"/>
    <w:rsid w:val="00315E6C"/>
    <w:rsid w:val="00316CBC"/>
    <w:rsid w:val="00316CDD"/>
    <w:rsid w:val="00317AE8"/>
    <w:rsid w:val="00317D59"/>
    <w:rsid w:val="00320534"/>
    <w:rsid w:val="00320A0F"/>
    <w:rsid w:val="00321A1B"/>
    <w:rsid w:val="003253C1"/>
    <w:rsid w:val="0032574E"/>
    <w:rsid w:val="00325A83"/>
    <w:rsid w:val="00326520"/>
    <w:rsid w:val="00326AEB"/>
    <w:rsid w:val="00326E16"/>
    <w:rsid w:val="00327B3F"/>
    <w:rsid w:val="003304A0"/>
    <w:rsid w:val="00331A86"/>
    <w:rsid w:val="00335ED7"/>
    <w:rsid w:val="00336107"/>
    <w:rsid w:val="0033709D"/>
    <w:rsid w:val="00337132"/>
    <w:rsid w:val="0033783C"/>
    <w:rsid w:val="00337B50"/>
    <w:rsid w:val="003425E5"/>
    <w:rsid w:val="00342665"/>
    <w:rsid w:val="003434EB"/>
    <w:rsid w:val="003446F9"/>
    <w:rsid w:val="00346428"/>
    <w:rsid w:val="00346D3C"/>
    <w:rsid w:val="00347389"/>
    <w:rsid w:val="0035330D"/>
    <w:rsid w:val="0035447C"/>
    <w:rsid w:val="00355432"/>
    <w:rsid w:val="00355D51"/>
    <w:rsid w:val="00356522"/>
    <w:rsid w:val="0035751B"/>
    <w:rsid w:val="003607E5"/>
    <w:rsid w:val="00361171"/>
    <w:rsid w:val="00361F17"/>
    <w:rsid w:val="00362068"/>
    <w:rsid w:val="00362CE7"/>
    <w:rsid w:val="00363C83"/>
    <w:rsid w:val="003647D3"/>
    <w:rsid w:val="0037136F"/>
    <w:rsid w:val="0037274A"/>
    <w:rsid w:val="0037341F"/>
    <w:rsid w:val="00373E99"/>
    <w:rsid w:val="00375CFC"/>
    <w:rsid w:val="00376BA1"/>
    <w:rsid w:val="00376C85"/>
    <w:rsid w:val="00381708"/>
    <w:rsid w:val="00384D64"/>
    <w:rsid w:val="00385506"/>
    <w:rsid w:val="00390483"/>
    <w:rsid w:val="00390EAA"/>
    <w:rsid w:val="003937E7"/>
    <w:rsid w:val="003948F7"/>
    <w:rsid w:val="003962A0"/>
    <w:rsid w:val="00396EFF"/>
    <w:rsid w:val="003A09E8"/>
    <w:rsid w:val="003A118F"/>
    <w:rsid w:val="003A1677"/>
    <w:rsid w:val="003A1EE7"/>
    <w:rsid w:val="003A20D5"/>
    <w:rsid w:val="003A38F0"/>
    <w:rsid w:val="003A4828"/>
    <w:rsid w:val="003A559A"/>
    <w:rsid w:val="003A6A23"/>
    <w:rsid w:val="003A6B07"/>
    <w:rsid w:val="003B1065"/>
    <w:rsid w:val="003B1888"/>
    <w:rsid w:val="003B35A6"/>
    <w:rsid w:val="003B4DE8"/>
    <w:rsid w:val="003B559F"/>
    <w:rsid w:val="003B6AF6"/>
    <w:rsid w:val="003B6CAD"/>
    <w:rsid w:val="003C0350"/>
    <w:rsid w:val="003C0449"/>
    <w:rsid w:val="003C0BD8"/>
    <w:rsid w:val="003C125C"/>
    <w:rsid w:val="003C277E"/>
    <w:rsid w:val="003C2C11"/>
    <w:rsid w:val="003C2C17"/>
    <w:rsid w:val="003C3E1E"/>
    <w:rsid w:val="003C43D6"/>
    <w:rsid w:val="003C49BF"/>
    <w:rsid w:val="003C5C8E"/>
    <w:rsid w:val="003C6B49"/>
    <w:rsid w:val="003C71A5"/>
    <w:rsid w:val="003C7A05"/>
    <w:rsid w:val="003C7C6F"/>
    <w:rsid w:val="003D09FD"/>
    <w:rsid w:val="003D10F2"/>
    <w:rsid w:val="003D1B0F"/>
    <w:rsid w:val="003D2ECF"/>
    <w:rsid w:val="003D330F"/>
    <w:rsid w:val="003D5DB9"/>
    <w:rsid w:val="003D6239"/>
    <w:rsid w:val="003E01CA"/>
    <w:rsid w:val="003E06D7"/>
    <w:rsid w:val="003E0DDB"/>
    <w:rsid w:val="003E15F9"/>
    <w:rsid w:val="003E224F"/>
    <w:rsid w:val="003E44C0"/>
    <w:rsid w:val="003E4585"/>
    <w:rsid w:val="003F2467"/>
    <w:rsid w:val="003F28E3"/>
    <w:rsid w:val="003F3238"/>
    <w:rsid w:val="003F3EA7"/>
    <w:rsid w:val="003F493E"/>
    <w:rsid w:val="003F4BCF"/>
    <w:rsid w:val="00400E80"/>
    <w:rsid w:val="004016A2"/>
    <w:rsid w:val="0040223D"/>
    <w:rsid w:val="004033E8"/>
    <w:rsid w:val="0040367A"/>
    <w:rsid w:val="00407CEC"/>
    <w:rsid w:val="00411A6D"/>
    <w:rsid w:val="0041453A"/>
    <w:rsid w:val="004162F6"/>
    <w:rsid w:val="0041744A"/>
    <w:rsid w:val="00422DA7"/>
    <w:rsid w:val="00424923"/>
    <w:rsid w:val="00424FE1"/>
    <w:rsid w:val="004259A8"/>
    <w:rsid w:val="00426FE4"/>
    <w:rsid w:val="00427CE2"/>
    <w:rsid w:val="00431906"/>
    <w:rsid w:val="004320DA"/>
    <w:rsid w:val="00432628"/>
    <w:rsid w:val="0043550C"/>
    <w:rsid w:val="00436460"/>
    <w:rsid w:val="00436B13"/>
    <w:rsid w:val="004376BD"/>
    <w:rsid w:val="004379B4"/>
    <w:rsid w:val="0044317D"/>
    <w:rsid w:val="00444428"/>
    <w:rsid w:val="004449CC"/>
    <w:rsid w:val="00445B69"/>
    <w:rsid w:val="00446464"/>
    <w:rsid w:val="00450A3C"/>
    <w:rsid w:val="00451BCC"/>
    <w:rsid w:val="00451F03"/>
    <w:rsid w:val="00453205"/>
    <w:rsid w:val="00453B80"/>
    <w:rsid w:val="00456EBB"/>
    <w:rsid w:val="004577D5"/>
    <w:rsid w:val="00457DA5"/>
    <w:rsid w:val="00460320"/>
    <w:rsid w:val="00460E13"/>
    <w:rsid w:val="0046314E"/>
    <w:rsid w:val="00467518"/>
    <w:rsid w:val="00467715"/>
    <w:rsid w:val="004707BB"/>
    <w:rsid w:val="00470DC8"/>
    <w:rsid w:val="00472C4A"/>
    <w:rsid w:val="004732B3"/>
    <w:rsid w:val="00473C1D"/>
    <w:rsid w:val="00475B7B"/>
    <w:rsid w:val="004771B8"/>
    <w:rsid w:val="00480198"/>
    <w:rsid w:val="00481ECC"/>
    <w:rsid w:val="00482D08"/>
    <w:rsid w:val="00484303"/>
    <w:rsid w:val="00484421"/>
    <w:rsid w:val="0048587C"/>
    <w:rsid w:val="00485E1F"/>
    <w:rsid w:val="0048607A"/>
    <w:rsid w:val="00487183"/>
    <w:rsid w:val="00490046"/>
    <w:rsid w:val="00490CD3"/>
    <w:rsid w:val="004929BF"/>
    <w:rsid w:val="004931E7"/>
    <w:rsid w:val="00493B32"/>
    <w:rsid w:val="00494A6F"/>
    <w:rsid w:val="0049577C"/>
    <w:rsid w:val="004979AE"/>
    <w:rsid w:val="004A23E9"/>
    <w:rsid w:val="004A2628"/>
    <w:rsid w:val="004A2892"/>
    <w:rsid w:val="004A34A6"/>
    <w:rsid w:val="004A3A48"/>
    <w:rsid w:val="004A4850"/>
    <w:rsid w:val="004B1172"/>
    <w:rsid w:val="004B1FE2"/>
    <w:rsid w:val="004B2A9D"/>
    <w:rsid w:val="004B4983"/>
    <w:rsid w:val="004B5FDE"/>
    <w:rsid w:val="004C031B"/>
    <w:rsid w:val="004C1FD7"/>
    <w:rsid w:val="004C27C1"/>
    <w:rsid w:val="004C3708"/>
    <w:rsid w:val="004C4368"/>
    <w:rsid w:val="004C4666"/>
    <w:rsid w:val="004C4A2F"/>
    <w:rsid w:val="004C52A8"/>
    <w:rsid w:val="004C6C1D"/>
    <w:rsid w:val="004D16FF"/>
    <w:rsid w:val="004D34F3"/>
    <w:rsid w:val="004D3848"/>
    <w:rsid w:val="004D6D81"/>
    <w:rsid w:val="004D739B"/>
    <w:rsid w:val="004D77BB"/>
    <w:rsid w:val="004E0F08"/>
    <w:rsid w:val="004E2DCB"/>
    <w:rsid w:val="004E5D6E"/>
    <w:rsid w:val="004E66F0"/>
    <w:rsid w:val="004E6F78"/>
    <w:rsid w:val="004F018D"/>
    <w:rsid w:val="004F0569"/>
    <w:rsid w:val="004F158F"/>
    <w:rsid w:val="004F1826"/>
    <w:rsid w:val="004F4612"/>
    <w:rsid w:val="004F5DBB"/>
    <w:rsid w:val="004F7195"/>
    <w:rsid w:val="005002A1"/>
    <w:rsid w:val="0050094D"/>
    <w:rsid w:val="00500C31"/>
    <w:rsid w:val="005023A1"/>
    <w:rsid w:val="00502694"/>
    <w:rsid w:val="00503216"/>
    <w:rsid w:val="005040DD"/>
    <w:rsid w:val="0050425B"/>
    <w:rsid w:val="00505C8F"/>
    <w:rsid w:val="005070BF"/>
    <w:rsid w:val="00507723"/>
    <w:rsid w:val="00511686"/>
    <w:rsid w:val="00512167"/>
    <w:rsid w:val="00517C26"/>
    <w:rsid w:val="00520312"/>
    <w:rsid w:val="005216C0"/>
    <w:rsid w:val="00522A59"/>
    <w:rsid w:val="005230E8"/>
    <w:rsid w:val="005316A3"/>
    <w:rsid w:val="005342B1"/>
    <w:rsid w:val="00534A84"/>
    <w:rsid w:val="0053504B"/>
    <w:rsid w:val="005360F2"/>
    <w:rsid w:val="00536966"/>
    <w:rsid w:val="00540BCC"/>
    <w:rsid w:val="005418DB"/>
    <w:rsid w:val="00541985"/>
    <w:rsid w:val="0054271C"/>
    <w:rsid w:val="00542901"/>
    <w:rsid w:val="00542E53"/>
    <w:rsid w:val="00542E68"/>
    <w:rsid w:val="00543399"/>
    <w:rsid w:val="00544C0B"/>
    <w:rsid w:val="00544D38"/>
    <w:rsid w:val="00546F89"/>
    <w:rsid w:val="00550A65"/>
    <w:rsid w:val="00550E72"/>
    <w:rsid w:val="00552157"/>
    <w:rsid w:val="00553366"/>
    <w:rsid w:val="005535B1"/>
    <w:rsid w:val="00553E1E"/>
    <w:rsid w:val="005551E9"/>
    <w:rsid w:val="0055665C"/>
    <w:rsid w:val="00557E3E"/>
    <w:rsid w:val="00561605"/>
    <w:rsid w:val="005624B6"/>
    <w:rsid w:val="005703FE"/>
    <w:rsid w:val="00570C92"/>
    <w:rsid w:val="00570D8A"/>
    <w:rsid w:val="00573498"/>
    <w:rsid w:val="005737FD"/>
    <w:rsid w:val="00574688"/>
    <w:rsid w:val="00576167"/>
    <w:rsid w:val="005767CE"/>
    <w:rsid w:val="00577085"/>
    <w:rsid w:val="00577CDE"/>
    <w:rsid w:val="0058137E"/>
    <w:rsid w:val="00581586"/>
    <w:rsid w:val="00581E65"/>
    <w:rsid w:val="00582938"/>
    <w:rsid w:val="00582AFB"/>
    <w:rsid w:val="005833C3"/>
    <w:rsid w:val="005870ED"/>
    <w:rsid w:val="00590386"/>
    <w:rsid w:val="0059051D"/>
    <w:rsid w:val="00590DF6"/>
    <w:rsid w:val="00591D67"/>
    <w:rsid w:val="00592245"/>
    <w:rsid w:val="00593E30"/>
    <w:rsid w:val="00594522"/>
    <w:rsid w:val="00595013"/>
    <w:rsid w:val="00595F9C"/>
    <w:rsid w:val="005963CA"/>
    <w:rsid w:val="005A0049"/>
    <w:rsid w:val="005A2480"/>
    <w:rsid w:val="005A377E"/>
    <w:rsid w:val="005A40C9"/>
    <w:rsid w:val="005A502F"/>
    <w:rsid w:val="005A6FCC"/>
    <w:rsid w:val="005B00D3"/>
    <w:rsid w:val="005B1A9D"/>
    <w:rsid w:val="005B3330"/>
    <w:rsid w:val="005B3845"/>
    <w:rsid w:val="005B3A2A"/>
    <w:rsid w:val="005B3F1D"/>
    <w:rsid w:val="005B641A"/>
    <w:rsid w:val="005C08B0"/>
    <w:rsid w:val="005C1079"/>
    <w:rsid w:val="005C1C1B"/>
    <w:rsid w:val="005C1F21"/>
    <w:rsid w:val="005C25C8"/>
    <w:rsid w:val="005C2C7F"/>
    <w:rsid w:val="005C3E44"/>
    <w:rsid w:val="005C44C2"/>
    <w:rsid w:val="005C5F91"/>
    <w:rsid w:val="005C7BB0"/>
    <w:rsid w:val="005D0645"/>
    <w:rsid w:val="005D10C0"/>
    <w:rsid w:val="005D3F55"/>
    <w:rsid w:val="005D475C"/>
    <w:rsid w:val="005D5AC3"/>
    <w:rsid w:val="005E2A4A"/>
    <w:rsid w:val="005E2C76"/>
    <w:rsid w:val="005E2F34"/>
    <w:rsid w:val="005E3456"/>
    <w:rsid w:val="005E3C34"/>
    <w:rsid w:val="005E4F7A"/>
    <w:rsid w:val="005F09EA"/>
    <w:rsid w:val="005F0AB9"/>
    <w:rsid w:val="005F0DCB"/>
    <w:rsid w:val="005F1DCB"/>
    <w:rsid w:val="005F36B0"/>
    <w:rsid w:val="005F4484"/>
    <w:rsid w:val="005F48A2"/>
    <w:rsid w:val="005F4D61"/>
    <w:rsid w:val="005F5983"/>
    <w:rsid w:val="005F5F76"/>
    <w:rsid w:val="005F7086"/>
    <w:rsid w:val="005F71EB"/>
    <w:rsid w:val="005F758F"/>
    <w:rsid w:val="00600E2E"/>
    <w:rsid w:val="00602145"/>
    <w:rsid w:val="00603525"/>
    <w:rsid w:val="00604471"/>
    <w:rsid w:val="006046E4"/>
    <w:rsid w:val="006060E3"/>
    <w:rsid w:val="0060615B"/>
    <w:rsid w:val="00607578"/>
    <w:rsid w:val="0061484E"/>
    <w:rsid w:val="006161C5"/>
    <w:rsid w:val="00617501"/>
    <w:rsid w:val="00617DA6"/>
    <w:rsid w:val="00620028"/>
    <w:rsid w:val="0062077F"/>
    <w:rsid w:val="00620E20"/>
    <w:rsid w:val="00622A48"/>
    <w:rsid w:val="00622D94"/>
    <w:rsid w:val="006247F1"/>
    <w:rsid w:val="00627CCA"/>
    <w:rsid w:val="00627DFC"/>
    <w:rsid w:val="006309CF"/>
    <w:rsid w:val="006310CC"/>
    <w:rsid w:val="006337E2"/>
    <w:rsid w:val="00635C4B"/>
    <w:rsid w:val="00635D7F"/>
    <w:rsid w:val="00635E92"/>
    <w:rsid w:val="00642166"/>
    <w:rsid w:val="0064239A"/>
    <w:rsid w:val="006441DB"/>
    <w:rsid w:val="00645D18"/>
    <w:rsid w:val="00645F23"/>
    <w:rsid w:val="006464B7"/>
    <w:rsid w:val="006500C6"/>
    <w:rsid w:val="0065188D"/>
    <w:rsid w:val="00651DB5"/>
    <w:rsid w:val="00652E48"/>
    <w:rsid w:val="00653059"/>
    <w:rsid w:val="00654188"/>
    <w:rsid w:val="00656798"/>
    <w:rsid w:val="006567B2"/>
    <w:rsid w:val="00660405"/>
    <w:rsid w:val="00662119"/>
    <w:rsid w:val="00666637"/>
    <w:rsid w:val="006679F9"/>
    <w:rsid w:val="00671B99"/>
    <w:rsid w:val="00672695"/>
    <w:rsid w:val="00674082"/>
    <w:rsid w:val="006746C6"/>
    <w:rsid w:val="00674A49"/>
    <w:rsid w:val="00674E73"/>
    <w:rsid w:val="00676761"/>
    <w:rsid w:val="006775FF"/>
    <w:rsid w:val="0067779E"/>
    <w:rsid w:val="00677EA1"/>
    <w:rsid w:val="00680294"/>
    <w:rsid w:val="006807E7"/>
    <w:rsid w:val="00681A0C"/>
    <w:rsid w:val="00686322"/>
    <w:rsid w:val="00687D0D"/>
    <w:rsid w:val="00693097"/>
    <w:rsid w:val="00693BBC"/>
    <w:rsid w:val="00695470"/>
    <w:rsid w:val="00695782"/>
    <w:rsid w:val="006970D9"/>
    <w:rsid w:val="00697751"/>
    <w:rsid w:val="00697CF1"/>
    <w:rsid w:val="00697D80"/>
    <w:rsid w:val="006A0DCE"/>
    <w:rsid w:val="006A1110"/>
    <w:rsid w:val="006A17B4"/>
    <w:rsid w:val="006A2915"/>
    <w:rsid w:val="006A2BA0"/>
    <w:rsid w:val="006A30C3"/>
    <w:rsid w:val="006A3C31"/>
    <w:rsid w:val="006A41AE"/>
    <w:rsid w:val="006A4DC7"/>
    <w:rsid w:val="006A5708"/>
    <w:rsid w:val="006A5E67"/>
    <w:rsid w:val="006B0656"/>
    <w:rsid w:val="006B2084"/>
    <w:rsid w:val="006B2FF9"/>
    <w:rsid w:val="006B4B09"/>
    <w:rsid w:val="006B5B40"/>
    <w:rsid w:val="006B6DF5"/>
    <w:rsid w:val="006C09AB"/>
    <w:rsid w:val="006C1DD9"/>
    <w:rsid w:val="006C2113"/>
    <w:rsid w:val="006C29E9"/>
    <w:rsid w:val="006C3666"/>
    <w:rsid w:val="006C3E65"/>
    <w:rsid w:val="006C49D7"/>
    <w:rsid w:val="006C75C7"/>
    <w:rsid w:val="006C7F98"/>
    <w:rsid w:val="006D2270"/>
    <w:rsid w:val="006D3B70"/>
    <w:rsid w:val="006D4E5D"/>
    <w:rsid w:val="006D6485"/>
    <w:rsid w:val="006D6B2D"/>
    <w:rsid w:val="006D74B9"/>
    <w:rsid w:val="006D7F56"/>
    <w:rsid w:val="006E022B"/>
    <w:rsid w:val="006E2590"/>
    <w:rsid w:val="006E2D29"/>
    <w:rsid w:val="006E44E2"/>
    <w:rsid w:val="006E6487"/>
    <w:rsid w:val="006E6AD7"/>
    <w:rsid w:val="006E7128"/>
    <w:rsid w:val="006E7A19"/>
    <w:rsid w:val="006F018D"/>
    <w:rsid w:val="006F160A"/>
    <w:rsid w:val="006F57C1"/>
    <w:rsid w:val="006F5C67"/>
    <w:rsid w:val="006F63D6"/>
    <w:rsid w:val="006F7268"/>
    <w:rsid w:val="00700E73"/>
    <w:rsid w:val="00701A47"/>
    <w:rsid w:val="00706934"/>
    <w:rsid w:val="00712350"/>
    <w:rsid w:val="00713239"/>
    <w:rsid w:val="007159EE"/>
    <w:rsid w:val="00715DB9"/>
    <w:rsid w:val="00716F1E"/>
    <w:rsid w:val="00717AF3"/>
    <w:rsid w:val="007200F7"/>
    <w:rsid w:val="007204F4"/>
    <w:rsid w:val="00720DBE"/>
    <w:rsid w:val="00721714"/>
    <w:rsid w:val="0072187B"/>
    <w:rsid w:val="0072302A"/>
    <w:rsid w:val="00723BEB"/>
    <w:rsid w:val="007240EB"/>
    <w:rsid w:val="007249F9"/>
    <w:rsid w:val="00724E17"/>
    <w:rsid w:val="00725482"/>
    <w:rsid w:val="00725903"/>
    <w:rsid w:val="007277A1"/>
    <w:rsid w:val="007279FD"/>
    <w:rsid w:val="00730DC9"/>
    <w:rsid w:val="00731B1E"/>
    <w:rsid w:val="00732A0E"/>
    <w:rsid w:val="00732A60"/>
    <w:rsid w:val="00732E43"/>
    <w:rsid w:val="00733412"/>
    <w:rsid w:val="007347B7"/>
    <w:rsid w:val="00734C23"/>
    <w:rsid w:val="00737974"/>
    <w:rsid w:val="00740789"/>
    <w:rsid w:val="00744609"/>
    <w:rsid w:val="00744A69"/>
    <w:rsid w:val="00746EA7"/>
    <w:rsid w:val="0075221A"/>
    <w:rsid w:val="00753D84"/>
    <w:rsid w:val="007540B5"/>
    <w:rsid w:val="007561E3"/>
    <w:rsid w:val="00756F94"/>
    <w:rsid w:val="0075702E"/>
    <w:rsid w:val="0076090C"/>
    <w:rsid w:val="00761CE0"/>
    <w:rsid w:val="007629B9"/>
    <w:rsid w:val="00762C59"/>
    <w:rsid w:val="00766401"/>
    <w:rsid w:val="00770237"/>
    <w:rsid w:val="00771368"/>
    <w:rsid w:val="007728AE"/>
    <w:rsid w:val="007730AD"/>
    <w:rsid w:val="007732D5"/>
    <w:rsid w:val="00775280"/>
    <w:rsid w:val="0077616C"/>
    <w:rsid w:val="00776827"/>
    <w:rsid w:val="0077754E"/>
    <w:rsid w:val="00777DBF"/>
    <w:rsid w:val="00780689"/>
    <w:rsid w:val="00782443"/>
    <w:rsid w:val="00783857"/>
    <w:rsid w:val="007847E1"/>
    <w:rsid w:val="00785CA8"/>
    <w:rsid w:val="00786276"/>
    <w:rsid w:val="00786492"/>
    <w:rsid w:val="007864EC"/>
    <w:rsid w:val="0078678A"/>
    <w:rsid w:val="00786C7C"/>
    <w:rsid w:val="00791855"/>
    <w:rsid w:val="00791B7E"/>
    <w:rsid w:val="00792D2E"/>
    <w:rsid w:val="0079451F"/>
    <w:rsid w:val="00795756"/>
    <w:rsid w:val="00796581"/>
    <w:rsid w:val="00796A9F"/>
    <w:rsid w:val="00796B48"/>
    <w:rsid w:val="007A045C"/>
    <w:rsid w:val="007A05D3"/>
    <w:rsid w:val="007A0ED1"/>
    <w:rsid w:val="007A4111"/>
    <w:rsid w:val="007A6B73"/>
    <w:rsid w:val="007A74F7"/>
    <w:rsid w:val="007B400E"/>
    <w:rsid w:val="007B60B0"/>
    <w:rsid w:val="007B68BF"/>
    <w:rsid w:val="007B6D3F"/>
    <w:rsid w:val="007B75C1"/>
    <w:rsid w:val="007B7864"/>
    <w:rsid w:val="007C0488"/>
    <w:rsid w:val="007C265C"/>
    <w:rsid w:val="007C6F3F"/>
    <w:rsid w:val="007C75F8"/>
    <w:rsid w:val="007D0C42"/>
    <w:rsid w:val="007D0DC5"/>
    <w:rsid w:val="007D1988"/>
    <w:rsid w:val="007D3523"/>
    <w:rsid w:val="007D3648"/>
    <w:rsid w:val="007D4749"/>
    <w:rsid w:val="007D48B6"/>
    <w:rsid w:val="007D5622"/>
    <w:rsid w:val="007D582C"/>
    <w:rsid w:val="007D5A3C"/>
    <w:rsid w:val="007D5CA0"/>
    <w:rsid w:val="007D608C"/>
    <w:rsid w:val="007D679E"/>
    <w:rsid w:val="007E08E5"/>
    <w:rsid w:val="007E1D12"/>
    <w:rsid w:val="007E2E4E"/>
    <w:rsid w:val="007E5DFA"/>
    <w:rsid w:val="007F05EE"/>
    <w:rsid w:val="007F1422"/>
    <w:rsid w:val="007F2572"/>
    <w:rsid w:val="007F3611"/>
    <w:rsid w:val="007F370A"/>
    <w:rsid w:val="007F3DE3"/>
    <w:rsid w:val="007F4852"/>
    <w:rsid w:val="007F673B"/>
    <w:rsid w:val="007F6979"/>
    <w:rsid w:val="007F7AF9"/>
    <w:rsid w:val="007F7D8B"/>
    <w:rsid w:val="00801EF7"/>
    <w:rsid w:val="0080306F"/>
    <w:rsid w:val="00803A73"/>
    <w:rsid w:val="00803FC3"/>
    <w:rsid w:val="00804748"/>
    <w:rsid w:val="008049BF"/>
    <w:rsid w:val="00806304"/>
    <w:rsid w:val="00806663"/>
    <w:rsid w:val="00806778"/>
    <w:rsid w:val="0081011E"/>
    <w:rsid w:val="008108E3"/>
    <w:rsid w:val="00811582"/>
    <w:rsid w:val="00812200"/>
    <w:rsid w:val="008138CC"/>
    <w:rsid w:val="008139DC"/>
    <w:rsid w:val="00814C9C"/>
    <w:rsid w:val="00814EA3"/>
    <w:rsid w:val="0081587C"/>
    <w:rsid w:val="00816218"/>
    <w:rsid w:val="00816749"/>
    <w:rsid w:val="008169D1"/>
    <w:rsid w:val="00817C44"/>
    <w:rsid w:val="0082041D"/>
    <w:rsid w:val="00822391"/>
    <w:rsid w:val="00822DF9"/>
    <w:rsid w:val="00823079"/>
    <w:rsid w:val="00824ABA"/>
    <w:rsid w:val="00824D2C"/>
    <w:rsid w:val="00824EB7"/>
    <w:rsid w:val="008254FE"/>
    <w:rsid w:val="00827022"/>
    <w:rsid w:val="0083062E"/>
    <w:rsid w:val="0083300B"/>
    <w:rsid w:val="008426F2"/>
    <w:rsid w:val="0084310B"/>
    <w:rsid w:val="008439AD"/>
    <w:rsid w:val="00843CFA"/>
    <w:rsid w:val="00844ADD"/>
    <w:rsid w:val="00845886"/>
    <w:rsid w:val="0084654E"/>
    <w:rsid w:val="00846CA9"/>
    <w:rsid w:val="0084726E"/>
    <w:rsid w:val="00847CA0"/>
    <w:rsid w:val="00851E36"/>
    <w:rsid w:val="00852360"/>
    <w:rsid w:val="00856936"/>
    <w:rsid w:val="00857FDA"/>
    <w:rsid w:val="00860BFF"/>
    <w:rsid w:val="00861462"/>
    <w:rsid w:val="0086205E"/>
    <w:rsid w:val="0086412A"/>
    <w:rsid w:val="0086496E"/>
    <w:rsid w:val="008654A4"/>
    <w:rsid w:val="00866579"/>
    <w:rsid w:val="00866CA7"/>
    <w:rsid w:val="00870AE8"/>
    <w:rsid w:val="00871927"/>
    <w:rsid w:val="008745EA"/>
    <w:rsid w:val="00875090"/>
    <w:rsid w:val="0087516A"/>
    <w:rsid w:val="00875706"/>
    <w:rsid w:val="00880CB9"/>
    <w:rsid w:val="008810DF"/>
    <w:rsid w:val="00882236"/>
    <w:rsid w:val="00882727"/>
    <w:rsid w:val="008830C2"/>
    <w:rsid w:val="00884343"/>
    <w:rsid w:val="00884C0A"/>
    <w:rsid w:val="00885963"/>
    <w:rsid w:val="00887B20"/>
    <w:rsid w:val="00891C52"/>
    <w:rsid w:val="00892D28"/>
    <w:rsid w:val="0089378D"/>
    <w:rsid w:val="00893C4F"/>
    <w:rsid w:val="00894E1A"/>
    <w:rsid w:val="008956B3"/>
    <w:rsid w:val="0089601B"/>
    <w:rsid w:val="0089603C"/>
    <w:rsid w:val="0089728C"/>
    <w:rsid w:val="008A08F8"/>
    <w:rsid w:val="008A1A4A"/>
    <w:rsid w:val="008A225A"/>
    <w:rsid w:val="008A24A0"/>
    <w:rsid w:val="008A2F82"/>
    <w:rsid w:val="008A6F5E"/>
    <w:rsid w:val="008B0893"/>
    <w:rsid w:val="008B10C8"/>
    <w:rsid w:val="008B2226"/>
    <w:rsid w:val="008B2B4E"/>
    <w:rsid w:val="008B41ED"/>
    <w:rsid w:val="008B4741"/>
    <w:rsid w:val="008B607C"/>
    <w:rsid w:val="008B76A9"/>
    <w:rsid w:val="008B77EA"/>
    <w:rsid w:val="008B7AEA"/>
    <w:rsid w:val="008C19DB"/>
    <w:rsid w:val="008C1CAC"/>
    <w:rsid w:val="008C232E"/>
    <w:rsid w:val="008C4FDB"/>
    <w:rsid w:val="008C53E2"/>
    <w:rsid w:val="008C5585"/>
    <w:rsid w:val="008C612F"/>
    <w:rsid w:val="008C674B"/>
    <w:rsid w:val="008D05ED"/>
    <w:rsid w:val="008D094E"/>
    <w:rsid w:val="008D1140"/>
    <w:rsid w:val="008D20B5"/>
    <w:rsid w:val="008D2D07"/>
    <w:rsid w:val="008D5A73"/>
    <w:rsid w:val="008D7460"/>
    <w:rsid w:val="008E16AA"/>
    <w:rsid w:val="008E2666"/>
    <w:rsid w:val="008E3159"/>
    <w:rsid w:val="008E3F23"/>
    <w:rsid w:val="008E59C9"/>
    <w:rsid w:val="008F0297"/>
    <w:rsid w:val="008F16C3"/>
    <w:rsid w:val="008F304E"/>
    <w:rsid w:val="008F499D"/>
    <w:rsid w:val="00900451"/>
    <w:rsid w:val="00900E16"/>
    <w:rsid w:val="00903358"/>
    <w:rsid w:val="00904026"/>
    <w:rsid w:val="009053C1"/>
    <w:rsid w:val="00905723"/>
    <w:rsid w:val="00905DF4"/>
    <w:rsid w:val="009060F0"/>
    <w:rsid w:val="00906541"/>
    <w:rsid w:val="00907D6A"/>
    <w:rsid w:val="00910DCA"/>
    <w:rsid w:val="009114BE"/>
    <w:rsid w:val="0091188F"/>
    <w:rsid w:val="00912419"/>
    <w:rsid w:val="00912D8A"/>
    <w:rsid w:val="00913471"/>
    <w:rsid w:val="00915207"/>
    <w:rsid w:val="00915D2C"/>
    <w:rsid w:val="00916AB4"/>
    <w:rsid w:val="00925474"/>
    <w:rsid w:val="00926965"/>
    <w:rsid w:val="00927BB8"/>
    <w:rsid w:val="00930CF2"/>
    <w:rsid w:val="00930E3A"/>
    <w:rsid w:val="00932615"/>
    <w:rsid w:val="00932D2F"/>
    <w:rsid w:val="009339CB"/>
    <w:rsid w:val="00933D4D"/>
    <w:rsid w:val="0093549A"/>
    <w:rsid w:val="009362D1"/>
    <w:rsid w:val="0093780B"/>
    <w:rsid w:val="00937BC3"/>
    <w:rsid w:val="009429A8"/>
    <w:rsid w:val="00943FFF"/>
    <w:rsid w:val="00944488"/>
    <w:rsid w:val="0094673B"/>
    <w:rsid w:val="00946CEE"/>
    <w:rsid w:val="00947CC6"/>
    <w:rsid w:val="00950F76"/>
    <w:rsid w:val="00951C0E"/>
    <w:rsid w:val="00953749"/>
    <w:rsid w:val="00954612"/>
    <w:rsid w:val="00954BC8"/>
    <w:rsid w:val="00957253"/>
    <w:rsid w:val="00960C66"/>
    <w:rsid w:val="009622CD"/>
    <w:rsid w:val="009623C5"/>
    <w:rsid w:val="009624A8"/>
    <w:rsid w:val="00963E2F"/>
    <w:rsid w:val="0096502E"/>
    <w:rsid w:val="00966CF0"/>
    <w:rsid w:val="00967943"/>
    <w:rsid w:val="00970042"/>
    <w:rsid w:val="00970908"/>
    <w:rsid w:val="00971400"/>
    <w:rsid w:val="00972684"/>
    <w:rsid w:val="00972BA7"/>
    <w:rsid w:val="00973A96"/>
    <w:rsid w:val="00974D97"/>
    <w:rsid w:val="00976F15"/>
    <w:rsid w:val="00976FD1"/>
    <w:rsid w:val="0098151D"/>
    <w:rsid w:val="00981A23"/>
    <w:rsid w:val="00984E85"/>
    <w:rsid w:val="0098548B"/>
    <w:rsid w:val="00986A08"/>
    <w:rsid w:val="00987392"/>
    <w:rsid w:val="00990C7E"/>
    <w:rsid w:val="0099186A"/>
    <w:rsid w:val="009922AA"/>
    <w:rsid w:val="0099273A"/>
    <w:rsid w:val="00994F59"/>
    <w:rsid w:val="009952D1"/>
    <w:rsid w:val="009A0BE5"/>
    <w:rsid w:val="009A2646"/>
    <w:rsid w:val="009A519F"/>
    <w:rsid w:val="009A592E"/>
    <w:rsid w:val="009A5F09"/>
    <w:rsid w:val="009A677A"/>
    <w:rsid w:val="009A7B68"/>
    <w:rsid w:val="009B073C"/>
    <w:rsid w:val="009B2B3A"/>
    <w:rsid w:val="009B325E"/>
    <w:rsid w:val="009B4679"/>
    <w:rsid w:val="009B4A6C"/>
    <w:rsid w:val="009B5A07"/>
    <w:rsid w:val="009B61F4"/>
    <w:rsid w:val="009B7B1C"/>
    <w:rsid w:val="009B7FDE"/>
    <w:rsid w:val="009C0875"/>
    <w:rsid w:val="009C302B"/>
    <w:rsid w:val="009C4AE5"/>
    <w:rsid w:val="009C68D5"/>
    <w:rsid w:val="009C7A02"/>
    <w:rsid w:val="009D010F"/>
    <w:rsid w:val="009D275C"/>
    <w:rsid w:val="009D28A8"/>
    <w:rsid w:val="009D2CE3"/>
    <w:rsid w:val="009D7246"/>
    <w:rsid w:val="009E16B6"/>
    <w:rsid w:val="009E2357"/>
    <w:rsid w:val="009E3B8F"/>
    <w:rsid w:val="009E6D82"/>
    <w:rsid w:val="009E6E9D"/>
    <w:rsid w:val="009F1D23"/>
    <w:rsid w:val="009F285D"/>
    <w:rsid w:val="009F2921"/>
    <w:rsid w:val="009F29F5"/>
    <w:rsid w:val="009F4B93"/>
    <w:rsid w:val="009F64CF"/>
    <w:rsid w:val="009F785A"/>
    <w:rsid w:val="00A0112B"/>
    <w:rsid w:val="00A01D60"/>
    <w:rsid w:val="00A01F0A"/>
    <w:rsid w:val="00A03F31"/>
    <w:rsid w:val="00A057EA"/>
    <w:rsid w:val="00A0605E"/>
    <w:rsid w:val="00A06C56"/>
    <w:rsid w:val="00A07688"/>
    <w:rsid w:val="00A07B85"/>
    <w:rsid w:val="00A107D1"/>
    <w:rsid w:val="00A11102"/>
    <w:rsid w:val="00A113AB"/>
    <w:rsid w:val="00A13AF5"/>
    <w:rsid w:val="00A13D98"/>
    <w:rsid w:val="00A14E89"/>
    <w:rsid w:val="00A17DB5"/>
    <w:rsid w:val="00A2037F"/>
    <w:rsid w:val="00A20B0F"/>
    <w:rsid w:val="00A20F14"/>
    <w:rsid w:val="00A2110A"/>
    <w:rsid w:val="00A21D34"/>
    <w:rsid w:val="00A21FAA"/>
    <w:rsid w:val="00A22B8B"/>
    <w:rsid w:val="00A238E4"/>
    <w:rsid w:val="00A23A80"/>
    <w:rsid w:val="00A23C57"/>
    <w:rsid w:val="00A26BCF"/>
    <w:rsid w:val="00A27296"/>
    <w:rsid w:val="00A32F09"/>
    <w:rsid w:val="00A3388C"/>
    <w:rsid w:val="00A33955"/>
    <w:rsid w:val="00A375BC"/>
    <w:rsid w:val="00A413AD"/>
    <w:rsid w:val="00A41DE6"/>
    <w:rsid w:val="00A43984"/>
    <w:rsid w:val="00A44DAB"/>
    <w:rsid w:val="00A453B5"/>
    <w:rsid w:val="00A45540"/>
    <w:rsid w:val="00A47621"/>
    <w:rsid w:val="00A52C81"/>
    <w:rsid w:val="00A53F3C"/>
    <w:rsid w:val="00A5420C"/>
    <w:rsid w:val="00A549E3"/>
    <w:rsid w:val="00A56102"/>
    <w:rsid w:val="00A565F0"/>
    <w:rsid w:val="00A56E76"/>
    <w:rsid w:val="00A57D32"/>
    <w:rsid w:val="00A60540"/>
    <w:rsid w:val="00A60B04"/>
    <w:rsid w:val="00A62228"/>
    <w:rsid w:val="00A65AA3"/>
    <w:rsid w:val="00A7013E"/>
    <w:rsid w:val="00A706D7"/>
    <w:rsid w:val="00A708EA"/>
    <w:rsid w:val="00A70C10"/>
    <w:rsid w:val="00A71C91"/>
    <w:rsid w:val="00A720CC"/>
    <w:rsid w:val="00A724C3"/>
    <w:rsid w:val="00A74B70"/>
    <w:rsid w:val="00A7540D"/>
    <w:rsid w:val="00A75F60"/>
    <w:rsid w:val="00A77744"/>
    <w:rsid w:val="00A77D4F"/>
    <w:rsid w:val="00A80AC0"/>
    <w:rsid w:val="00A8218F"/>
    <w:rsid w:val="00A851FC"/>
    <w:rsid w:val="00A86428"/>
    <w:rsid w:val="00A86AF3"/>
    <w:rsid w:val="00A86AF5"/>
    <w:rsid w:val="00A86EA0"/>
    <w:rsid w:val="00A87157"/>
    <w:rsid w:val="00A91045"/>
    <w:rsid w:val="00A92206"/>
    <w:rsid w:val="00A92B59"/>
    <w:rsid w:val="00A94456"/>
    <w:rsid w:val="00A9575F"/>
    <w:rsid w:val="00A966A0"/>
    <w:rsid w:val="00A97011"/>
    <w:rsid w:val="00A970A4"/>
    <w:rsid w:val="00AA0B17"/>
    <w:rsid w:val="00AA1A34"/>
    <w:rsid w:val="00AA1DCC"/>
    <w:rsid w:val="00AA239E"/>
    <w:rsid w:val="00AA3357"/>
    <w:rsid w:val="00AA5ADF"/>
    <w:rsid w:val="00AA5ED0"/>
    <w:rsid w:val="00AA628E"/>
    <w:rsid w:val="00AA6964"/>
    <w:rsid w:val="00AA7133"/>
    <w:rsid w:val="00AB0C16"/>
    <w:rsid w:val="00AB3DC0"/>
    <w:rsid w:val="00AB55FF"/>
    <w:rsid w:val="00AB56E5"/>
    <w:rsid w:val="00AB63EE"/>
    <w:rsid w:val="00AB6D2A"/>
    <w:rsid w:val="00AC2918"/>
    <w:rsid w:val="00AC39EE"/>
    <w:rsid w:val="00AC47CA"/>
    <w:rsid w:val="00AC57B8"/>
    <w:rsid w:val="00AC57E6"/>
    <w:rsid w:val="00AC6241"/>
    <w:rsid w:val="00AC65A4"/>
    <w:rsid w:val="00AD41B3"/>
    <w:rsid w:val="00AD4F62"/>
    <w:rsid w:val="00AD56B1"/>
    <w:rsid w:val="00AD5B85"/>
    <w:rsid w:val="00AD63DC"/>
    <w:rsid w:val="00AD723E"/>
    <w:rsid w:val="00AE066D"/>
    <w:rsid w:val="00AE1F70"/>
    <w:rsid w:val="00AE2485"/>
    <w:rsid w:val="00AE2D95"/>
    <w:rsid w:val="00AE5384"/>
    <w:rsid w:val="00AE5F16"/>
    <w:rsid w:val="00AE6AC0"/>
    <w:rsid w:val="00AE6E73"/>
    <w:rsid w:val="00AE7101"/>
    <w:rsid w:val="00AF219C"/>
    <w:rsid w:val="00AF5BDB"/>
    <w:rsid w:val="00AF716F"/>
    <w:rsid w:val="00AF79C9"/>
    <w:rsid w:val="00AF7D3F"/>
    <w:rsid w:val="00AF7E82"/>
    <w:rsid w:val="00B006F9"/>
    <w:rsid w:val="00B00F19"/>
    <w:rsid w:val="00B02471"/>
    <w:rsid w:val="00B03803"/>
    <w:rsid w:val="00B03EA7"/>
    <w:rsid w:val="00B04664"/>
    <w:rsid w:val="00B0518A"/>
    <w:rsid w:val="00B071BF"/>
    <w:rsid w:val="00B07810"/>
    <w:rsid w:val="00B07F82"/>
    <w:rsid w:val="00B10372"/>
    <w:rsid w:val="00B10AD8"/>
    <w:rsid w:val="00B12B45"/>
    <w:rsid w:val="00B12BA0"/>
    <w:rsid w:val="00B13B22"/>
    <w:rsid w:val="00B1474C"/>
    <w:rsid w:val="00B16037"/>
    <w:rsid w:val="00B163BB"/>
    <w:rsid w:val="00B17578"/>
    <w:rsid w:val="00B1761D"/>
    <w:rsid w:val="00B17666"/>
    <w:rsid w:val="00B20F8B"/>
    <w:rsid w:val="00B22AFB"/>
    <w:rsid w:val="00B231E1"/>
    <w:rsid w:val="00B23927"/>
    <w:rsid w:val="00B23AA3"/>
    <w:rsid w:val="00B242C0"/>
    <w:rsid w:val="00B24D3E"/>
    <w:rsid w:val="00B25534"/>
    <w:rsid w:val="00B256D8"/>
    <w:rsid w:val="00B25DEA"/>
    <w:rsid w:val="00B26574"/>
    <w:rsid w:val="00B265D1"/>
    <w:rsid w:val="00B26969"/>
    <w:rsid w:val="00B27BA7"/>
    <w:rsid w:val="00B30D7F"/>
    <w:rsid w:val="00B34E63"/>
    <w:rsid w:val="00B353CC"/>
    <w:rsid w:val="00B35857"/>
    <w:rsid w:val="00B3598E"/>
    <w:rsid w:val="00B37A7D"/>
    <w:rsid w:val="00B37DCB"/>
    <w:rsid w:val="00B412DF"/>
    <w:rsid w:val="00B41406"/>
    <w:rsid w:val="00B42146"/>
    <w:rsid w:val="00B4344E"/>
    <w:rsid w:val="00B43D24"/>
    <w:rsid w:val="00B4451B"/>
    <w:rsid w:val="00B452B6"/>
    <w:rsid w:val="00B46788"/>
    <w:rsid w:val="00B47B74"/>
    <w:rsid w:val="00B47E86"/>
    <w:rsid w:val="00B50F95"/>
    <w:rsid w:val="00B51DD2"/>
    <w:rsid w:val="00B55584"/>
    <w:rsid w:val="00B60C5D"/>
    <w:rsid w:val="00B6221E"/>
    <w:rsid w:val="00B631EA"/>
    <w:rsid w:val="00B63368"/>
    <w:rsid w:val="00B639E4"/>
    <w:rsid w:val="00B63A1F"/>
    <w:rsid w:val="00B646E2"/>
    <w:rsid w:val="00B64AA9"/>
    <w:rsid w:val="00B64B24"/>
    <w:rsid w:val="00B65976"/>
    <w:rsid w:val="00B65B1A"/>
    <w:rsid w:val="00B711DC"/>
    <w:rsid w:val="00B7494E"/>
    <w:rsid w:val="00B75044"/>
    <w:rsid w:val="00B75F7A"/>
    <w:rsid w:val="00B75FFD"/>
    <w:rsid w:val="00B768F9"/>
    <w:rsid w:val="00B80E20"/>
    <w:rsid w:val="00B811C5"/>
    <w:rsid w:val="00B8145C"/>
    <w:rsid w:val="00B8160B"/>
    <w:rsid w:val="00B81E64"/>
    <w:rsid w:val="00B82351"/>
    <w:rsid w:val="00B82479"/>
    <w:rsid w:val="00B8545A"/>
    <w:rsid w:val="00B863F4"/>
    <w:rsid w:val="00B91181"/>
    <w:rsid w:val="00B92405"/>
    <w:rsid w:val="00B92794"/>
    <w:rsid w:val="00B92A62"/>
    <w:rsid w:val="00B94194"/>
    <w:rsid w:val="00B941F2"/>
    <w:rsid w:val="00B94AF1"/>
    <w:rsid w:val="00B94E34"/>
    <w:rsid w:val="00B97509"/>
    <w:rsid w:val="00BA0558"/>
    <w:rsid w:val="00BA1028"/>
    <w:rsid w:val="00BA179B"/>
    <w:rsid w:val="00BA32BF"/>
    <w:rsid w:val="00BA3611"/>
    <w:rsid w:val="00BA381D"/>
    <w:rsid w:val="00BA556E"/>
    <w:rsid w:val="00BB0F03"/>
    <w:rsid w:val="00BB1131"/>
    <w:rsid w:val="00BB3373"/>
    <w:rsid w:val="00BB3563"/>
    <w:rsid w:val="00BB3753"/>
    <w:rsid w:val="00BB3964"/>
    <w:rsid w:val="00BB41A3"/>
    <w:rsid w:val="00BB4CE7"/>
    <w:rsid w:val="00BB631A"/>
    <w:rsid w:val="00BB7B2D"/>
    <w:rsid w:val="00BC1658"/>
    <w:rsid w:val="00BC2282"/>
    <w:rsid w:val="00BC2516"/>
    <w:rsid w:val="00BC63DF"/>
    <w:rsid w:val="00BD0438"/>
    <w:rsid w:val="00BD0812"/>
    <w:rsid w:val="00BD0833"/>
    <w:rsid w:val="00BD1A9C"/>
    <w:rsid w:val="00BD23AA"/>
    <w:rsid w:val="00BD35F5"/>
    <w:rsid w:val="00BD3C63"/>
    <w:rsid w:val="00BD6DDD"/>
    <w:rsid w:val="00BE00F2"/>
    <w:rsid w:val="00BE19B8"/>
    <w:rsid w:val="00BE1F98"/>
    <w:rsid w:val="00BE276B"/>
    <w:rsid w:val="00BE3BF2"/>
    <w:rsid w:val="00BE5285"/>
    <w:rsid w:val="00BE53F9"/>
    <w:rsid w:val="00BE5685"/>
    <w:rsid w:val="00BE69EF"/>
    <w:rsid w:val="00BF047C"/>
    <w:rsid w:val="00BF09EB"/>
    <w:rsid w:val="00BF121B"/>
    <w:rsid w:val="00BF4455"/>
    <w:rsid w:val="00BF4EA6"/>
    <w:rsid w:val="00BF5108"/>
    <w:rsid w:val="00BF5916"/>
    <w:rsid w:val="00BF70F8"/>
    <w:rsid w:val="00C00CAE"/>
    <w:rsid w:val="00C01D3D"/>
    <w:rsid w:val="00C03618"/>
    <w:rsid w:val="00C04E16"/>
    <w:rsid w:val="00C05153"/>
    <w:rsid w:val="00C10594"/>
    <w:rsid w:val="00C10D97"/>
    <w:rsid w:val="00C1296E"/>
    <w:rsid w:val="00C16FCA"/>
    <w:rsid w:val="00C17C86"/>
    <w:rsid w:val="00C210AB"/>
    <w:rsid w:val="00C21A32"/>
    <w:rsid w:val="00C227F7"/>
    <w:rsid w:val="00C22AA9"/>
    <w:rsid w:val="00C250BA"/>
    <w:rsid w:val="00C25180"/>
    <w:rsid w:val="00C25A21"/>
    <w:rsid w:val="00C25E22"/>
    <w:rsid w:val="00C260A6"/>
    <w:rsid w:val="00C30305"/>
    <w:rsid w:val="00C32A40"/>
    <w:rsid w:val="00C35B2C"/>
    <w:rsid w:val="00C35EB5"/>
    <w:rsid w:val="00C401BB"/>
    <w:rsid w:val="00C40C09"/>
    <w:rsid w:val="00C40FC2"/>
    <w:rsid w:val="00C41989"/>
    <w:rsid w:val="00C42D3E"/>
    <w:rsid w:val="00C43356"/>
    <w:rsid w:val="00C43708"/>
    <w:rsid w:val="00C4483F"/>
    <w:rsid w:val="00C44FC9"/>
    <w:rsid w:val="00C4553B"/>
    <w:rsid w:val="00C5132F"/>
    <w:rsid w:val="00C518CC"/>
    <w:rsid w:val="00C51AA5"/>
    <w:rsid w:val="00C51AF4"/>
    <w:rsid w:val="00C52173"/>
    <w:rsid w:val="00C52E19"/>
    <w:rsid w:val="00C5378B"/>
    <w:rsid w:val="00C55469"/>
    <w:rsid w:val="00C57674"/>
    <w:rsid w:val="00C614C8"/>
    <w:rsid w:val="00C6189A"/>
    <w:rsid w:val="00C61E87"/>
    <w:rsid w:val="00C632D6"/>
    <w:rsid w:val="00C63DB5"/>
    <w:rsid w:val="00C6537A"/>
    <w:rsid w:val="00C65BC1"/>
    <w:rsid w:val="00C663D0"/>
    <w:rsid w:val="00C66690"/>
    <w:rsid w:val="00C708A6"/>
    <w:rsid w:val="00C70B21"/>
    <w:rsid w:val="00C72D38"/>
    <w:rsid w:val="00C75639"/>
    <w:rsid w:val="00C770C1"/>
    <w:rsid w:val="00C8031F"/>
    <w:rsid w:val="00C8037C"/>
    <w:rsid w:val="00C80428"/>
    <w:rsid w:val="00C81D34"/>
    <w:rsid w:val="00C81D8E"/>
    <w:rsid w:val="00C85E6C"/>
    <w:rsid w:val="00C862AF"/>
    <w:rsid w:val="00C86CB9"/>
    <w:rsid w:val="00C86F34"/>
    <w:rsid w:val="00C87C44"/>
    <w:rsid w:val="00C90B03"/>
    <w:rsid w:val="00C90B5F"/>
    <w:rsid w:val="00C915B4"/>
    <w:rsid w:val="00C92402"/>
    <w:rsid w:val="00C924FC"/>
    <w:rsid w:val="00C927B0"/>
    <w:rsid w:val="00C93651"/>
    <w:rsid w:val="00C9407A"/>
    <w:rsid w:val="00C952C1"/>
    <w:rsid w:val="00C95E8B"/>
    <w:rsid w:val="00C97FF7"/>
    <w:rsid w:val="00CA2890"/>
    <w:rsid w:val="00CB0E7B"/>
    <w:rsid w:val="00CB1CAA"/>
    <w:rsid w:val="00CB26EA"/>
    <w:rsid w:val="00CB3BD9"/>
    <w:rsid w:val="00CB4202"/>
    <w:rsid w:val="00CB593A"/>
    <w:rsid w:val="00CB5997"/>
    <w:rsid w:val="00CB6FF7"/>
    <w:rsid w:val="00CB7A27"/>
    <w:rsid w:val="00CC1E58"/>
    <w:rsid w:val="00CC4C96"/>
    <w:rsid w:val="00CD0BCE"/>
    <w:rsid w:val="00CD16D5"/>
    <w:rsid w:val="00CD197E"/>
    <w:rsid w:val="00CD1FD6"/>
    <w:rsid w:val="00CD3986"/>
    <w:rsid w:val="00CD4BBC"/>
    <w:rsid w:val="00CD5247"/>
    <w:rsid w:val="00CD6158"/>
    <w:rsid w:val="00CD6480"/>
    <w:rsid w:val="00CE0A38"/>
    <w:rsid w:val="00CE0A4E"/>
    <w:rsid w:val="00CE1138"/>
    <w:rsid w:val="00CE1682"/>
    <w:rsid w:val="00CE2788"/>
    <w:rsid w:val="00CE3EF9"/>
    <w:rsid w:val="00CE4D24"/>
    <w:rsid w:val="00CE615B"/>
    <w:rsid w:val="00CE6A62"/>
    <w:rsid w:val="00CE6EA6"/>
    <w:rsid w:val="00CE7C72"/>
    <w:rsid w:val="00CF0228"/>
    <w:rsid w:val="00CF089D"/>
    <w:rsid w:val="00CF1D39"/>
    <w:rsid w:val="00CF3DFF"/>
    <w:rsid w:val="00CF67D5"/>
    <w:rsid w:val="00CF7E60"/>
    <w:rsid w:val="00D00053"/>
    <w:rsid w:val="00D01D9A"/>
    <w:rsid w:val="00D0304E"/>
    <w:rsid w:val="00D034E3"/>
    <w:rsid w:val="00D04399"/>
    <w:rsid w:val="00D0442E"/>
    <w:rsid w:val="00D04F6E"/>
    <w:rsid w:val="00D05235"/>
    <w:rsid w:val="00D0597D"/>
    <w:rsid w:val="00D05A4F"/>
    <w:rsid w:val="00D0664F"/>
    <w:rsid w:val="00D10773"/>
    <w:rsid w:val="00D13FF9"/>
    <w:rsid w:val="00D144C3"/>
    <w:rsid w:val="00D14ABD"/>
    <w:rsid w:val="00D158F0"/>
    <w:rsid w:val="00D15C9C"/>
    <w:rsid w:val="00D17797"/>
    <w:rsid w:val="00D20E67"/>
    <w:rsid w:val="00D2132F"/>
    <w:rsid w:val="00D2273E"/>
    <w:rsid w:val="00D238EB"/>
    <w:rsid w:val="00D25120"/>
    <w:rsid w:val="00D25F91"/>
    <w:rsid w:val="00D269DC"/>
    <w:rsid w:val="00D26EAE"/>
    <w:rsid w:val="00D27326"/>
    <w:rsid w:val="00D27943"/>
    <w:rsid w:val="00D31243"/>
    <w:rsid w:val="00D32099"/>
    <w:rsid w:val="00D32364"/>
    <w:rsid w:val="00D33EEA"/>
    <w:rsid w:val="00D33F6F"/>
    <w:rsid w:val="00D360B7"/>
    <w:rsid w:val="00D363A4"/>
    <w:rsid w:val="00D36FC2"/>
    <w:rsid w:val="00D400C7"/>
    <w:rsid w:val="00D4093A"/>
    <w:rsid w:val="00D423CA"/>
    <w:rsid w:val="00D42E5A"/>
    <w:rsid w:val="00D42FAE"/>
    <w:rsid w:val="00D43131"/>
    <w:rsid w:val="00D4552B"/>
    <w:rsid w:val="00D45D94"/>
    <w:rsid w:val="00D45DD5"/>
    <w:rsid w:val="00D47C84"/>
    <w:rsid w:val="00D47EE4"/>
    <w:rsid w:val="00D5026C"/>
    <w:rsid w:val="00D51770"/>
    <w:rsid w:val="00D55031"/>
    <w:rsid w:val="00D56C18"/>
    <w:rsid w:val="00D57337"/>
    <w:rsid w:val="00D57C0B"/>
    <w:rsid w:val="00D600B3"/>
    <w:rsid w:val="00D6099E"/>
    <w:rsid w:val="00D6100E"/>
    <w:rsid w:val="00D62B90"/>
    <w:rsid w:val="00D63074"/>
    <w:rsid w:val="00D639D9"/>
    <w:rsid w:val="00D647C8"/>
    <w:rsid w:val="00D65D07"/>
    <w:rsid w:val="00D663B0"/>
    <w:rsid w:val="00D66692"/>
    <w:rsid w:val="00D6684A"/>
    <w:rsid w:val="00D6781B"/>
    <w:rsid w:val="00D71470"/>
    <w:rsid w:val="00D717BE"/>
    <w:rsid w:val="00D718BF"/>
    <w:rsid w:val="00D72C44"/>
    <w:rsid w:val="00D7416D"/>
    <w:rsid w:val="00D74C81"/>
    <w:rsid w:val="00D75236"/>
    <w:rsid w:val="00D770BF"/>
    <w:rsid w:val="00D7743B"/>
    <w:rsid w:val="00D8005D"/>
    <w:rsid w:val="00D83937"/>
    <w:rsid w:val="00D83AE2"/>
    <w:rsid w:val="00D83B50"/>
    <w:rsid w:val="00D866B1"/>
    <w:rsid w:val="00D87A5D"/>
    <w:rsid w:val="00D87AB3"/>
    <w:rsid w:val="00D90790"/>
    <w:rsid w:val="00D92A29"/>
    <w:rsid w:val="00D93E3F"/>
    <w:rsid w:val="00D93FFB"/>
    <w:rsid w:val="00D95CA6"/>
    <w:rsid w:val="00D96B19"/>
    <w:rsid w:val="00DA215B"/>
    <w:rsid w:val="00DA22E2"/>
    <w:rsid w:val="00DA59B8"/>
    <w:rsid w:val="00DB0E6A"/>
    <w:rsid w:val="00DB1FD5"/>
    <w:rsid w:val="00DB33D1"/>
    <w:rsid w:val="00DB43B8"/>
    <w:rsid w:val="00DB6572"/>
    <w:rsid w:val="00DC12A9"/>
    <w:rsid w:val="00DC1C56"/>
    <w:rsid w:val="00DC212E"/>
    <w:rsid w:val="00DC2B6A"/>
    <w:rsid w:val="00DC2D78"/>
    <w:rsid w:val="00DC2FBE"/>
    <w:rsid w:val="00DC35F6"/>
    <w:rsid w:val="00DC3A40"/>
    <w:rsid w:val="00DC4B69"/>
    <w:rsid w:val="00DC4FB4"/>
    <w:rsid w:val="00DC7BCE"/>
    <w:rsid w:val="00DD0683"/>
    <w:rsid w:val="00DD0FA3"/>
    <w:rsid w:val="00DD3850"/>
    <w:rsid w:val="00DD5058"/>
    <w:rsid w:val="00DD5884"/>
    <w:rsid w:val="00DE10C2"/>
    <w:rsid w:val="00DE1CEA"/>
    <w:rsid w:val="00DE4915"/>
    <w:rsid w:val="00DE6DB6"/>
    <w:rsid w:val="00DF02B0"/>
    <w:rsid w:val="00DF1991"/>
    <w:rsid w:val="00DF1B33"/>
    <w:rsid w:val="00DF3F3B"/>
    <w:rsid w:val="00DF4D37"/>
    <w:rsid w:val="00DF66E7"/>
    <w:rsid w:val="00DF7278"/>
    <w:rsid w:val="00E00D8D"/>
    <w:rsid w:val="00E02F2E"/>
    <w:rsid w:val="00E03B8E"/>
    <w:rsid w:val="00E05208"/>
    <w:rsid w:val="00E07819"/>
    <w:rsid w:val="00E07B99"/>
    <w:rsid w:val="00E110C9"/>
    <w:rsid w:val="00E113B6"/>
    <w:rsid w:val="00E11E9F"/>
    <w:rsid w:val="00E123DC"/>
    <w:rsid w:val="00E14622"/>
    <w:rsid w:val="00E14FB1"/>
    <w:rsid w:val="00E15D35"/>
    <w:rsid w:val="00E22DE9"/>
    <w:rsid w:val="00E233CF"/>
    <w:rsid w:val="00E238ED"/>
    <w:rsid w:val="00E24814"/>
    <w:rsid w:val="00E24B37"/>
    <w:rsid w:val="00E255F0"/>
    <w:rsid w:val="00E25AEA"/>
    <w:rsid w:val="00E2694F"/>
    <w:rsid w:val="00E27C0F"/>
    <w:rsid w:val="00E27F35"/>
    <w:rsid w:val="00E27F7D"/>
    <w:rsid w:val="00E3155A"/>
    <w:rsid w:val="00E3343C"/>
    <w:rsid w:val="00E334C7"/>
    <w:rsid w:val="00E33650"/>
    <w:rsid w:val="00E34C88"/>
    <w:rsid w:val="00E34D29"/>
    <w:rsid w:val="00E36321"/>
    <w:rsid w:val="00E36D2F"/>
    <w:rsid w:val="00E402FE"/>
    <w:rsid w:val="00E41E8D"/>
    <w:rsid w:val="00E42A69"/>
    <w:rsid w:val="00E4441F"/>
    <w:rsid w:val="00E46471"/>
    <w:rsid w:val="00E47197"/>
    <w:rsid w:val="00E47BB0"/>
    <w:rsid w:val="00E51190"/>
    <w:rsid w:val="00E53152"/>
    <w:rsid w:val="00E5458E"/>
    <w:rsid w:val="00E564E0"/>
    <w:rsid w:val="00E57848"/>
    <w:rsid w:val="00E6018A"/>
    <w:rsid w:val="00E60ED3"/>
    <w:rsid w:val="00E60EE5"/>
    <w:rsid w:val="00E63E51"/>
    <w:rsid w:val="00E64B72"/>
    <w:rsid w:val="00E6648B"/>
    <w:rsid w:val="00E66C98"/>
    <w:rsid w:val="00E67C30"/>
    <w:rsid w:val="00E67D0B"/>
    <w:rsid w:val="00E7005D"/>
    <w:rsid w:val="00E7159C"/>
    <w:rsid w:val="00E71D06"/>
    <w:rsid w:val="00E72792"/>
    <w:rsid w:val="00E73AAF"/>
    <w:rsid w:val="00E752FE"/>
    <w:rsid w:val="00E75F3D"/>
    <w:rsid w:val="00E769A7"/>
    <w:rsid w:val="00E76B2E"/>
    <w:rsid w:val="00E805B8"/>
    <w:rsid w:val="00E81537"/>
    <w:rsid w:val="00E818E3"/>
    <w:rsid w:val="00E82F89"/>
    <w:rsid w:val="00E84AF9"/>
    <w:rsid w:val="00E85AF9"/>
    <w:rsid w:val="00E8609B"/>
    <w:rsid w:val="00E863B8"/>
    <w:rsid w:val="00E86E17"/>
    <w:rsid w:val="00E870F5"/>
    <w:rsid w:val="00E87B50"/>
    <w:rsid w:val="00E92F09"/>
    <w:rsid w:val="00E93989"/>
    <w:rsid w:val="00E96FCB"/>
    <w:rsid w:val="00E97E95"/>
    <w:rsid w:val="00EA1A1A"/>
    <w:rsid w:val="00EA2E67"/>
    <w:rsid w:val="00EA3AEB"/>
    <w:rsid w:val="00EA4F02"/>
    <w:rsid w:val="00EA4F8E"/>
    <w:rsid w:val="00EA5FB8"/>
    <w:rsid w:val="00EA649C"/>
    <w:rsid w:val="00EA7C0F"/>
    <w:rsid w:val="00EB035C"/>
    <w:rsid w:val="00EB1DDB"/>
    <w:rsid w:val="00EB1F42"/>
    <w:rsid w:val="00EB2257"/>
    <w:rsid w:val="00EB2CB5"/>
    <w:rsid w:val="00EB30C2"/>
    <w:rsid w:val="00EB3479"/>
    <w:rsid w:val="00EB3781"/>
    <w:rsid w:val="00EB38E0"/>
    <w:rsid w:val="00EB583B"/>
    <w:rsid w:val="00EB5CF5"/>
    <w:rsid w:val="00EB7443"/>
    <w:rsid w:val="00EB7966"/>
    <w:rsid w:val="00EC17CE"/>
    <w:rsid w:val="00EC1F6E"/>
    <w:rsid w:val="00EC26BB"/>
    <w:rsid w:val="00EC4854"/>
    <w:rsid w:val="00EC6CAF"/>
    <w:rsid w:val="00EC7EFE"/>
    <w:rsid w:val="00ED1F21"/>
    <w:rsid w:val="00ED203C"/>
    <w:rsid w:val="00ED331A"/>
    <w:rsid w:val="00ED5CC0"/>
    <w:rsid w:val="00ED5E0E"/>
    <w:rsid w:val="00EE0BFF"/>
    <w:rsid w:val="00EE3764"/>
    <w:rsid w:val="00EE3A4F"/>
    <w:rsid w:val="00EE645A"/>
    <w:rsid w:val="00EE76E8"/>
    <w:rsid w:val="00EE777E"/>
    <w:rsid w:val="00EE7F53"/>
    <w:rsid w:val="00EF0C1A"/>
    <w:rsid w:val="00EF0C91"/>
    <w:rsid w:val="00EF1008"/>
    <w:rsid w:val="00EF140D"/>
    <w:rsid w:val="00EF14CA"/>
    <w:rsid w:val="00EF3D59"/>
    <w:rsid w:val="00EF4AB4"/>
    <w:rsid w:val="00EF61CD"/>
    <w:rsid w:val="00EF7114"/>
    <w:rsid w:val="00F00431"/>
    <w:rsid w:val="00F007D2"/>
    <w:rsid w:val="00F0087E"/>
    <w:rsid w:val="00F0091D"/>
    <w:rsid w:val="00F0126B"/>
    <w:rsid w:val="00F04009"/>
    <w:rsid w:val="00F070B8"/>
    <w:rsid w:val="00F076EA"/>
    <w:rsid w:val="00F1073C"/>
    <w:rsid w:val="00F114FA"/>
    <w:rsid w:val="00F12748"/>
    <w:rsid w:val="00F14D96"/>
    <w:rsid w:val="00F1529D"/>
    <w:rsid w:val="00F15707"/>
    <w:rsid w:val="00F15E38"/>
    <w:rsid w:val="00F16C82"/>
    <w:rsid w:val="00F21212"/>
    <w:rsid w:val="00F22B5B"/>
    <w:rsid w:val="00F24C83"/>
    <w:rsid w:val="00F25223"/>
    <w:rsid w:val="00F25605"/>
    <w:rsid w:val="00F25689"/>
    <w:rsid w:val="00F25E27"/>
    <w:rsid w:val="00F2620E"/>
    <w:rsid w:val="00F265D6"/>
    <w:rsid w:val="00F30C1F"/>
    <w:rsid w:val="00F312B9"/>
    <w:rsid w:val="00F3403F"/>
    <w:rsid w:val="00F35058"/>
    <w:rsid w:val="00F350F5"/>
    <w:rsid w:val="00F353C9"/>
    <w:rsid w:val="00F36AD9"/>
    <w:rsid w:val="00F4033E"/>
    <w:rsid w:val="00F41C83"/>
    <w:rsid w:val="00F4327E"/>
    <w:rsid w:val="00F45A5D"/>
    <w:rsid w:val="00F4684B"/>
    <w:rsid w:val="00F468A6"/>
    <w:rsid w:val="00F46F9B"/>
    <w:rsid w:val="00F5029E"/>
    <w:rsid w:val="00F52CBE"/>
    <w:rsid w:val="00F5316D"/>
    <w:rsid w:val="00F5481D"/>
    <w:rsid w:val="00F577C1"/>
    <w:rsid w:val="00F57A9C"/>
    <w:rsid w:val="00F60C15"/>
    <w:rsid w:val="00F612F1"/>
    <w:rsid w:val="00F70D91"/>
    <w:rsid w:val="00F723B3"/>
    <w:rsid w:val="00F7248C"/>
    <w:rsid w:val="00F72FE8"/>
    <w:rsid w:val="00F74BAC"/>
    <w:rsid w:val="00F74E52"/>
    <w:rsid w:val="00F758AB"/>
    <w:rsid w:val="00F75CAE"/>
    <w:rsid w:val="00F76314"/>
    <w:rsid w:val="00F772FD"/>
    <w:rsid w:val="00F82343"/>
    <w:rsid w:val="00F82765"/>
    <w:rsid w:val="00F837E4"/>
    <w:rsid w:val="00F83F30"/>
    <w:rsid w:val="00F84200"/>
    <w:rsid w:val="00F90DA3"/>
    <w:rsid w:val="00F9175F"/>
    <w:rsid w:val="00F91A98"/>
    <w:rsid w:val="00F96BB6"/>
    <w:rsid w:val="00FA1AE7"/>
    <w:rsid w:val="00FA3C85"/>
    <w:rsid w:val="00FA7138"/>
    <w:rsid w:val="00FB1DF1"/>
    <w:rsid w:val="00FB287A"/>
    <w:rsid w:val="00FB3635"/>
    <w:rsid w:val="00FB3E89"/>
    <w:rsid w:val="00FB5311"/>
    <w:rsid w:val="00FB5AE4"/>
    <w:rsid w:val="00FB6037"/>
    <w:rsid w:val="00FB6D0A"/>
    <w:rsid w:val="00FB73E6"/>
    <w:rsid w:val="00FB7526"/>
    <w:rsid w:val="00FB7A5C"/>
    <w:rsid w:val="00FC43FD"/>
    <w:rsid w:val="00FC458A"/>
    <w:rsid w:val="00FC4FAC"/>
    <w:rsid w:val="00FC5254"/>
    <w:rsid w:val="00FC5557"/>
    <w:rsid w:val="00FC6B59"/>
    <w:rsid w:val="00FD1DD0"/>
    <w:rsid w:val="00FD1F63"/>
    <w:rsid w:val="00FD2099"/>
    <w:rsid w:val="00FD4ACE"/>
    <w:rsid w:val="00FD530D"/>
    <w:rsid w:val="00FD5E91"/>
    <w:rsid w:val="00FE005B"/>
    <w:rsid w:val="00FE2ABD"/>
    <w:rsid w:val="00FE2D7D"/>
    <w:rsid w:val="00FE6010"/>
    <w:rsid w:val="00FE6037"/>
    <w:rsid w:val="00FE661B"/>
    <w:rsid w:val="00FF0546"/>
    <w:rsid w:val="00FF12BD"/>
    <w:rsid w:val="00FF13C5"/>
    <w:rsid w:val="00FF1DCF"/>
    <w:rsid w:val="00FF20EA"/>
    <w:rsid w:val="00FF37B9"/>
    <w:rsid w:val="00FF3E6F"/>
    <w:rsid w:val="00FF40CD"/>
    <w:rsid w:val="00FF420F"/>
    <w:rsid w:val="00FF4393"/>
    <w:rsid w:val="00FF4595"/>
    <w:rsid w:val="00FF45D8"/>
    <w:rsid w:val="00FF4E23"/>
    <w:rsid w:val="00FF524E"/>
    <w:rsid w:val="00FF7870"/>
    <w:rsid w:val="00FF7E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14:docId w14:val="2D6E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091D"/>
  </w:style>
  <w:style w:type="paragraph" w:styleId="Ttulo1">
    <w:name w:val="heading 1"/>
    <w:basedOn w:val="Normal"/>
    <w:next w:val="Normal"/>
    <w:qFormat/>
    <w:rsid w:val="000F6842"/>
    <w:pPr>
      <w:keepNext/>
      <w:jc w:val="both"/>
      <w:outlineLvl w:val="0"/>
    </w:pPr>
    <w:rPr>
      <w:b/>
      <w:sz w:val="24"/>
    </w:rPr>
  </w:style>
  <w:style w:type="paragraph" w:styleId="Ttulo2">
    <w:name w:val="heading 2"/>
    <w:basedOn w:val="Normal"/>
    <w:next w:val="Normal"/>
    <w:link w:val="Ttulo2Char"/>
    <w:uiPriority w:val="9"/>
    <w:qFormat/>
    <w:rsid w:val="000F6842"/>
    <w:pPr>
      <w:keepNext/>
      <w:jc w:val="both"/>
      <w:outlineLvl w:val="1"/>
    </w:pPr>
    <w:rPr>
      <w:sz w:val="24"/>
      <w:lang w:val="x-none" w:eastAsia="x-none"/>
    </w:rPr>
  </w:style>
  <w:style w:type="paragraph" w:styleId="Ttulo3">
    <w:name w:val="heading 3"/>
    <w:basedOn w:val="Normal"/>
    <w:next w:val="Normal"/>
    <w:link w:val="Ttulo3Char"/>
    <w:qFormat/>
    <w:rsid w:val="00B64AA9"/>
    <w:pPr>
      <w:keepNext/>
      <w:numPr>
        <w:numId w:val="6"/>
      </w:numPr>
      <w:tabs>
        <w:tab w:val="left" w:pos="1134"/>
      </w:tabs>
      <w:spacing w:before="240" w:after="60"/>
      <w:jc w:val="both"/>
      <w:outlineLvl w:val="2"/>
    </w:pPr>
    <w:rPr>
      <w:bCs/>
      <w:sz w:val="22"/>
      <w:szCs w:val="26"/>
      <w:lang w:val="x-none" w:eastAsia="x-none"/>
    </w:rPr>
  </w:style>
  <w:style w:type="paragraph" w:styleId="Ttulo4">
    <w:name w:val="heading 4"/>
    <w:basedOn w:val="Normal"/>
    <w:next w:val="Normal"/>
    <w:link w:val="Ttulo4Char"/>
    <w:uiPriority w:val="9"/>
    <w:qFormat/>
    <w:rsid w:val="00B64AA9"/>
    <w:pPr>
      <w:keepNext/>
      <w:spacing w:before="240" w:after="60"/>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rsid w:val="00B64AA9"/>
    <w:pPr>
      <w:spacing w:before="240" w:after="60"/>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rsid w:val="00B64AA9"/>
    <w:pPr>
      <w:spacing w:before="240" w:after="60"/>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F0091D"/>
  </w:style>
  <w:style w:type="paragraph" w:styleId="Cabealho">
    <w:name w:val="header"/>
    <w:basedOn w:val="Normal"/>
    <w:link w:val="CabealhoChar"/>
    <w:qFormat/>
    <w:rsid w:val="00F0091D"/>
    <w:pPr>
      <w:tabs>
        <w:tab w:val="center" w:pos="4419"/>
        <w:tab w:val="right" w:pos="8838"/>
      </w:tabs>
    </w:pPr>
    <w:rPr>
      <w:rFonts w:ascii="Arial" w:hAnsi="Arial"/>
      <w:snapToGrid w:val="0"/>
      <w:sz w:val="24"/>
      <w:lang w:val="x-none" w:eastAsia="x-none"/>
    </w:rPr>
  </w:style>
  <w:style w:type="paragraph" w:styleId="Rodap">
    <w:name w:val="footer"/>
    <w:basedOn w:val="Normal"/>
    <w:link w:val="RodapChar"/>
    <w:uiPriority w:val="99"/>
    <w:rsid w:val="00F0091D"/>
    <w:pPr>
      <w:tabs>
        <w:tab w:val="center" w:pos="4419"/>
        <w:tab w:val="right" w:pos="8838"/>
      </w:tabs>
    </w:pPr>
    <w:rPr>
      <w:rFonts w:ascii="Arial" w:hAnsi="Arial"/>
      <w:snapToGrid w:val="0"/>
      <w:sz w:val="24"/>
      <w:lang w:val="x-none" w:eastAsia="x-none"/>
    </w:rPr>
  </w:style>
  <w:style w:type="paragraph" w:customStyle="1" w:styleId="BodyText21">
    <w:name w:val="Body Text 21"/>
    <w:basedOn w:val="Normal"/>
    <w:rsid w:val="00F0091D"/>
    <w:pPr>
      <w:jc w:val="both"/>
    </w:pPr>
    <w:rPr>
      <w:rFonts w:eastAsia="MS Mincho"/>
      <w:sz w:val="24"/>
      <w:lang w:val="en-US"/>
    </w:rPr>
  </w:style>
  <w:style w:type="paragraph" w:styleId="Textodebalo">
    <w:name w:val="Balloon Text"/>
    <w:basedOn w:val="Normal"/>
    <w:link w:val="TextodebaloChar"/>
    <w:uiPriority w:val="99"/>
    <w:semiHidden/>
    <w:rsid w:val="00F22B5B"/>
    <w:rPr>
      <w:rFonts w:ascii="Tahoma" w:hAnsi="Tahoma"/>
      <w:sz w:val="16"/>
      <w:szCs w:val="16"/>
      <w:lang w:val="x-none" w:eastAsia="x-none"/>
    </w:rPr>
  </w:style>
  <w:style w:type="paragraph" w:styleId="Ttulo">
    <w:name w:val="Title"/>
    <w:basedOn w:val="Normal"/>
    <w:qFormat/>
    <w:rsid w:val="00D66692"/>
    <w:pPr>
      <w:numPr>
        <w:numId w:val="2"/>
      </w:numPr>
      <w:ind w:left="0" w:firstLine="0"/>
      <w:jc w:val="center"/>
    </w:pPr>
    <w:rPr>
      <w:rFonts w:ascii="Garamond" w:hAnsi="Garamond"/>
      <w:sz w:val="24"/>
    </w:rPr>
  </w:style>
  <w:style w:type="paragraph" w:styleId="Corpodetexto">
    <w:name w:val="Body Text"/>
    <w:basedOn w:val="Normal"/>
    <w:rsid w:val="000F6842"/>
    <w:pPr>
      <w:jc w:val="both"/>
    </w:pPr>
    <w:rPr>
      <w:sz w:val="24"/>
    </w:rPr>
  </w:style>
  <w:style w:type="character" w:styleId="Refdecomentrio">
    <w:name w:val="annotation reference"/>
    <w:rsid w:val="00CE4D24"/>
    <w:rPr>
      <w:sz w:val="16"/>
      <w:szCs w:val="16"/>
    </w:rPr>
  </w:style>
  <w:style w:type="paragraph" w:styleId="Textodecomentrio">
    <w:name w:val="annotation text"/>
    <w:basedOn w:val="Normal"/>
    <w:link w:val="TextodecomentrioChar"/>
    <w:rsid w:val="00CE4D24"/>
  </w:style>
  <w:style w:type="paragraph" w:styleId="Assuntodocomentrio">
    <w:name w:val="annotation subject"/>
    <w:basedOn w:val="Textodecomentrio"/>
    <w:next w:val="Textodecomentrio"/>
    <w:semiHidden/>
    <w:rsid w:val="00CE4D24"/>
    <w:rPr>
      <w:b/>
      <w:bCs/>
    </w:rPr>
  </w:style>
  <w:style w:type="paragraph" w:customStyle="1" w:styleId="GradeMdia1-nfase21">
    <w:name w:val="Grade Média 1 - Ênfase 21"/>
    <w:basedOn w:val="Normal"/>
    <w:uiPriority w:val="34"/>
    <w:qFormat/>
    <w:rsid w:val="00590DF6"/>
    <w:pPr>
      <w:ind w:left="708"/>
    </w:pPr>
  </w:style>
  <w:style w:type="character" w:customStyle="1" w:styleId="RodapChar">
    <w:name w:val="Rodapé Char"/>
    <w:link w:val="Rodap"/>
    <w:uiPriority w:val="99"/>
    <w:rsid w:val="002F5126"/>
    <w:rPr>
      <w:rFonts w:ascii="Arial" w:hAnsi="Arial"/>
      <w:snapToGrid w:val="0"/>
      <w:sz w:val="24"/>
    </w:rPr>
  </w:style>
  <w:style w:type="character" w:customStyle="1" w:styleId="TextodecomentrioChar">
    <w:name w:val="Texto de comentário Char"/>
    <w:basedOn w:val="Fontepargpadro"/>
    <w:link w:val="Textodecomentrio"/>
    <w:rsid w:val="00295BEA"/>
  </w:style>
  <w:style w:type="paragraph" w:customStyle="1" w:styleId="ListaMdia2-nfase21">
    <w:name w:val="Lista Média 2 - Ênfase 21"/>
    <w:hidden/>
    <w:uiPriority w:val="99"/>
    <w:semiHidden/>
    <w:rsid w:val="008049BF"/>
  </w:style>
  <w:style w:type="paragraph" w:customStyle="1" w:styleId="Parties">
    <w:name w:val="Parties"/>
    <w:basedOn w:val="Normal"/>
    <w:rsid w:val="00225636"/>
    <w:pPr>
      <w:numPr>
        <w:numId w:val="1"/>
      </w:numPr>
      <w:tabs>
        <w:tab w:val="clear" w:pos="709"/>
        <w:tab w:val="num" w:pos="1260"/>
      </w:tabs>
      <w:spacing w:after="240"/>
      <w:ind w:left="1260" w:hanging="180"/>
      <w:jc w:val="both"/>
    </w:pPr>
    <w:rPr>
      <w:bCs/>
      <w:sz w:val="22"/>
      <w:lang w:eastAsia="en-US"/>
    </w:rPr>
  </w:style>
  <w:style w:type="table" w:styleId="Tabelacomgrade">
    <w:name w:val="Table Grid"/>
    <w:basedOn w:val="Tabelanormal"/>
    <w:rsid w:val="005F4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uiPriority w:val="34"/>
    <w:qFormat/>
    <w:rsid w:val="00D718BF"/>
    <w:pPr>
      <w:ind w:left="708"/>
    </w:pPr>
  </w:style>
  <w:style w:type="paragraph" w:styleId="PargrafodaLista">
    <w:name w:val="List Paragraph"/>
    <w:basedOn w:val="Normal"/>
    <w:uiPriority w:val="34"/>
    <w:qFormat/>
    <w:rsid w:val="00A86AF3"/>
    <w:pPr>
      <w:ind w:left="720"/>
      <w:contextualSpacing/>
    </w:pPr>
  </w:style>
  <w:style w:type="paragraph" w:styleId="Corpodetexto3">
    <w:name w:val="Body Text 3"/>
    <w:basedOn w:val="Normal"/>
    <w:link w:val="Corpodetexto3Char"/>
    <w:rsid w:val="00E805B8"/>
    <w:pPr>
      <w:spacing w:after="120"/>
    </w:pPr>
    <w:rPr>
      <w:sz w:val="16"/>
      <w:szCs w:val="16"/>
      <w:lang w:val="x-none" w:eastAsia="x-none"/>
    </w:rPr>
  </w:style>
  <w:style w:type="character" w:customStyle="1" w:styleId="Corpodetexto3Char">
    <w:name w:val="Corpo de texto 3 Char"/>
    <w:link w:val="Corpodetexto3"/>
    <w:rsid w:val="00E805B8"/>
    <w:rPr>
      <w:sz w:val="16"/>
      <w:szCs w:val="16"/>
    </w:rPr>
  </w:style>
  <w:style w:type="character" w:customStyle="1" w:styleId="Ttulo3Char">
    <w:name w:val="Título 3 Char"/>
    <w:link w:val="Ttulo3"/>
    <w:rsid w:val="00B64AA9"/>
    <w:rPr>
      <w:rFonts w:cs="Arial"/>
      <w:bCs/>
      <w:sz w:val="22"/>
      <w:szCs w:val="26"/>
    </w:rPr>
  </w:style>
  <w:style w:type="character" w:customStyle="1" w:styleId="Ttulo4Char">
    <w:name w:val="Título 4 Char"/>
    <w:link w:val="Ttulo4"/>
    <w:uiPriority w:val="9"/>
    <w:rsid w:val="00B64AA9"/>
    <w:rPr>
      <w:rFonts w:ascii="Calibri" w:hAnsi="Calibri"/>
      <w:b/>
      <w:bCs/>
      <w:sz w:val="28"/>
      <w:szCs w:val="28"/>
    </w:rPr>
  </w:style>
  <w:style w:type="character" w:customStyle="1" w:styleId="Ttulo5Char">
    <w:name w:val="Título 5 Char"/>
    <w:link w:val="Ttulo5"/>
    <w:uiPriority w:val="9"/>
    <w:semiHidden/>
    <w:rsid w:val="00B64AA9"/>
    <w:rPr>
      <w:rFonts w:ascii="Calibri" w:hAnsi="Calibri"/>
      <w:b/>
      <w:bCs/>
      <w:i/>
      <w:iCs/>
      <w:sz w:val="26"/>
      <w:szCs w:val="26"/>
    </w:rPr>
  </w:style>
  <w:style w:type="character" w:customStyle="1" w:styleId="Ttulo6Char">
    <w:name w:val="Título 6 Char"/>
    <w:link w:val="Ttulo6"/>
    <w:uiPriority w:val="9"/>
    <w:rsid w:val="00B64AA9"/>
    <w:rPr>
      <w:rFonts w:ascii="Calibri" w:hAnsi="Calibri"/>
      <w:b/>
      <w:bCs/>
      <w:sz w:val="22"/>
      <w:szCs w:val="22"/>
    </w:rPr>
  </w:style>
  <w:style w:type="paragraph" w:styleId="Corpodetexto2">
    <w:name w:val="Body Text 2"/>
    <w:basedOn w:val="Normal"/>
    <w:link w:val="Corpodetexto2Char"/>
    <w:rsid w:val="00B64AA9"/>
    <w:pPr>
      <w:jc w:val="center"/>
    </w:pPr>
    <w:rPr>
      <w:sz w:val="24"/>
      <w:u w:val="single"/>
      <w:lang w:val="x-none" w:eastAsia="x-none"/>
    </w:rPr>
  </w:style>
  <w:style w:type="character" w:customStyle="1" w:styleId="Corpodetexto2Char">
    <w:name w:val="Corpo de texto 2 Char"/>
    <w:link w:val="Corpodetexto2"/>
    <w:rsid w:val="00B64AA9"/>
    <w:rPr>
      <w:sz w:val="24"/>
      <w:u w:val="single"/>
    </w:rPr>
  </w:style>
  <w:style w:type="paragraph" w:styleId="TextosemFormatao">
    <w:name w:val="Plain Text"/>
    <w:basedOn w:val="Normal"/>
    <w:link w:val="TextosemFormataoChar"/>
    <w:unhideWhenUsed/>
    <w:rsid w:val="00B64AA9"/>
    <w:rPr>
      <w:rFonts w:ascii="Courier New" w:hAnsi="Courier New"/>
      <w:lang w:val="x-none" w:eastAsia="x-none"/>
    </w:rPr>
  </w:style>
  <w:style w:type="character" w:customStyle="1" w:styleId="TextosemFormataoChar">
    <w:name w:val="Texto sem Formatação Char"/>
    <w:link w:val="TextosemFormatao"/>
    <w:rsid w:val="00B64AA9"/>
    <w:rPr>
      <w:rFonts w:ascii="Courier New" w:hAnsi="Courier New"/>
    </w:rPr>
  </w:style>
  <w:style w:type="character" w:customStyle="1" w:styleId="Ttulo2Char">
    <w:name w:val="Título 2 Char"/>
    <w:link w:val="Ttulo2"/>
    <w:uiPriority w:val="9"/>
    <w:rsid w:val="00B64AA9"/>
    <w:rPr>
      <w:sz w:val="24"/>
    </w:rPr>
  </w:style>
  <w:style w:type="character" w:customStyle="1" w:styleId="CabealhoChar">
    <w:name w:val="Cabeçalho Char"/>
    <w:link w:val="Cabealho"/>
    <w:rsid w:val="00B64AA9"/>
    <w:rPr>
      <w:rFonts w:ascii="Arial" w:hAnsi="Arial"/>
      <w:snapToGrid w:val="0"/>
      <w:sz w:val="24"/>
    </w:rPr>
  </w:style>
  <w:style w:type="character" w:customStyle="1" w:styleId="DeltaViewInsertion">
    <w:name w:val="DeltaView Insertion"/>
    <w:rsid w:val="00B64AA9"/>
    <w:rPr>
      <w:color w:val="0000FF"/>
      <w:spacing w:val="0"/>
      <w:u w:val="double"/>
    </w:rPr>
  </w:style>
  <w:style w:type="character" w:customStyle="1" w:styleId="TextodebaloChar">
    <w:name w:val="Texto de balão Char"/>
    <w:link w:val="Textodebalo"/>
    <w:uiPriority w:val="99"/>
    <w:semiHidden/>
    <w:rsid w:val="00B64AA9"/>
    <w:rPr>
      <w:rFonts w:ascii="Tahoma" w:hAnsi="Tahoma" w:cs="Tahoma"/>
      <w:sz w:val="16"/>
      <w:szCs w:val="16"/>
    </w:rPr>
  </w:style>
  <w:style w:type="paragraph" w:styleId="Recuodecorpodetexto2">
    <w:name w:val="Body Text Indent 2"/>
    <w:basedOn w:val="Normal"/>
    <w:link w:val="Recuodecorpodetexto2Char"/>
    <w:rsid w:val="00B64AA9"/>
    <w:pPr>
      <w:tabs>
        <w:tab w:val="left" w:pos="1134"/>
      </w:tabs>
      <w:spacing w:after="120" w:line="480" w:lineRule="auto"/>
      <w:ind w:left="283"/>
      <w:jc w:val="both"/>
    </w:pPr>
    <w:rPr>
      <w:sz w:val="24"/>
      <w:szCs w:val="24"/>
      <w:lang w:val="x-none" w:eastAsia="x-none"/>
    </w:rPr>
  </w:style>
  <w:style w:type="character" w:customStyle="1" w:styleId="Recuodecorpodetexto2Char">
    <w:name w:val="Recuo de corpo de texto 2 Char"/>
    <w:link w:val="Recuodecorpodetexto2"/>
    <w:rsid w:val="00B64AA9"/>
    <w:rPr>
      <w:sz w:val="24"/>
      <w:szCs w:val="24"/>
    </w:rPr>
  </w:style>
  <w:style w:type="paragraph" w:customStyle="1" w:styleId="Normal-1">
    <w:name w:val="Normal-1"/>
    <w:basedOn w:val="Normal"/>
    <w:rsid w:val="00B64AA9"/>
    <w:pPr>
      <w:spacing w:before="240"/>
      <w:jc w:val="both"/>
    </w:pPr>
    <w:rPr>
      <w:rFonts w:ascii="Arial" w:hAnsi="Arial"/>
      <w:sz w:val="22"/>
      <w:szCs w:val="22"/>
    </w:rPr>
  </w:style>
  <w:style w:type="paragraph" w:customStyle="1" w:styleId="PargrafodaLista1">
    <w:name w:val="Parágrafo da Lista1"/>
    <w:basedOn w:val="Normal"/>
    <w:qFormat/>
    <w:rsid w:val="00B64AA9"/>
    <w:pPr>
      <w:tabs>
        <w:tab w:val="left" w:pos="1134"/>
      </w:tabs>
      <w:ind w:left="708"/>
      <w:jc w:val="both"/>
    </w:pPr>
    <w:rPr>
      <w:sz w:val="24"/>
      <w:szCs w:val="24"/>
    </w:rPr>
  </w:style>
  <w:style w:type="paragraph" w:styleId="MapadoDocumento">
    <w:name w:val="Document Map"/>
    <w:basedOn w:val="Normal"/>
    <w:link w:val="MapadoDocumentoChar"/>
    <w:uiPriority w:val="99"/>
    <w:unhideWhenUsed/>
    <w:rsid w:val="00B64AA9"/>
    <w:rPr>
      <w:rFonts w:ascii="Tahoma" w:hAnsi="Tahoma"/>
      <w:sz w:val="16"/>
      <w:szCs w:val="16"/>
      <w:lang w:val="x-none" w:eastAsia="x-none"/>
    </w:rPr>
  </w:style>
  <w:style w:type="character" w:customStyle="1" w:styleId="MapadoDocumentoChar">
    <w:name w:val="Mapa do Documento Char"/>
    <w:link w:val="MapadoDocumento"/>
    <w:uiPriority w:val="99"/>
    <w:rsid w:val="00B64AA9"/>
    <w:rPr>
      <w:rFonts w:ascii="Tahoma" w:hAnsi="Tahoma"/>
      <w:sz w:val="16"/>
      <w:szCs w:val="16"/>
    </w:rPr>
  </w:style>
  <w:style w:type="paragraph" w:customStyle="1" w:styleId="Subitemdecontrato">
    <w:name w:val="Subitem de contrato"/>
    <w:basedOn w:val="Normal"/>
    <w:rsid w:val="00B64AA9"/>
    <w:pPr>
      <w:tabs>
        <w:tab w:val="left" w:pos="1134"/>
        <w:tab w:val="num" w:pos="1691"/>
      </w:tabs>
      <w:ind w:left="1691" w:hanging="851"/>
      <w:jc w:val="both"/>
    </w:pPr>
    <w:rPr>
      <w:sz w:val="24"/>
      <w:szCs w:val="24"/>
    </w:rPr>
  </w:style>
  <w:style w:type="paragraph" w:customStyle="1" w:styleId="Itemdecontrato">
    <w:name w:val="Item de contrato"/>
    <w:basedOn w:val="Normal"/>
    <w:next w:val="Normal"/>
    <w:rsid w:val="00B64AA9"/>
    <w:pPr>
      <w:tabs>
        <w:tab w:val="num" w:pos="851"/>
        <w:tab w:val="left" w:pos="1134"/>
      </w:tabs>
      <w:ind w:left="851" w:hanging="851"/>
      <w:jc w:val="both"/>
    </w:pPr>
    <w:rPr>
      <w:sz w:val="24"/>
      <w:szCs w:val="24"/>
    </w:rPr>
  </w:style>
  <w:style w:type="paragraph" w:customStyle="1" w:styleId="Corpodetexto31">
    <w:name w:val="Corpo de texto 31"/>
    <w:basedOn w:val="Normal"/>
    <w:uiPriority w:val="99"/>
    <w:rsid w:val="00B64AA9"/>
    <w:pPr>
      <w:suppressAutoHyphens/>
      <w:spacing w:line="380" w:lineRule="exact"/>
      <w:jc w:val="both"/>
    </w:pPr>
    <w:rPr>
      <w:sz w:val="26"/>
      <w:szCs w:val="26"/>
      <w:lang w:eastAsia="ar-SA"/>
    </w:rPr>
  </w:style>
  <w:style w:type="paragraph" w:styleId="Textodenotaderodap">
    <w:name w:val="footnote text"/>
    <w:basedOn w:val="Normal"/>
    <w:link w:val="TextodenotaderodapChar"/>
    <w:uiPriority w:val="99"/>
    <w:unhideWhenUsed/>
    <w:rsid w:val="00B64AA9"/>
  </w:style>
  <w:style w:type="character" w:customStyle="1" w:styleId="TextodenotaderodapChar">
    <w:name w:val="Texto de nota de rodapé Char"/>
    <w:basedOn w:val="Fontepargpadro"/>
    <w:link w:val="Textodenotaderodap"/>
    <w:uiPriority w:val="99"/>
    <w:rsid w:val="00B64AA9"/>
  </w:style>
  <w:style w:type="character" w:styleId="Refdenotaderodap">
    <w:name w:val="footnote reference"/>
    <w:uiPriority w:val="99"/>
    <w:unhideWhenUsed/>
    <w:rsid w:val="00B64AA9"/>
    <w:rPr>
      <w:vertAlign w:val="superscript"/>
    </w:rPr>
  </w:style>
  <w:style w:type="paragraph" w:styleId="Reviso">
    <w:name w:val="Revision"/>
    <w:hidden/>
    <w:uiPriority w:val="99"/>
    <w:semiHidden/>
    <w:rsid w:val="00294646"/>
  </w:style>
  <w:style w:type="paragraph" w:styleId="NormalWeb">
    <w:name w:val="Normal (Web)"/>
    <w:basedOn w:val="Normal"/>
    <w:uiPriority w:val="99"/>
    <w:unhideWhenUsed/>
    <w:rsid w:val="00697D80"/>
    <w:pPr>
      <w:spacing w:before="100" w:beforeAutospacing="1" w:after="100" w:afterAutospacing="1"/>
    </w:pPr>
    <w:rPr>
      <w:rFonts w:eastAsiaTheme="minorEastAsia"/>
      <w:sz w:val="24"/>
      <w:szCs w:val="24"/>
    </w:rPr>
  </w:style>
  <w:style w:type="paragraph" w:customStyle="1" w:styleId="Default">
    <w:name w:val="Default"/>
    <w:rsid w:val="00777DBF"/>
    <w:pPr>
      <w:autoSpaceDE w:val="0"/>
      <w:autoSpaceDN w:val="0"/>
      <w:adjustRightInd w:val="0"/>
    </w:pPr>
    <w:rPr>
      <w:color w:val="000000"/>
      <w:sz w:val="24"/>
      <w:szCs w:val="24"/>
    </w:rPr>
  </w:style>
  <w:style w:type="character" w:styleId="TextodoEspaoReservado">
    <w:name w:val="Placeholder Text"/>
    <w:basedOn w:val="Fontepargpadro"/>
    <w:uiPriority w:val="99"/>
    <w:semiHidden/>
    <w:rsid w:val="00796581"/>
    <w:rPr>
      <w:color w:val="808080"/>
    </w:rPr>
  </w:style>
  <w:style w:type="character" w:styleId="Hyperlink">
    <w:name w:val="Hyperlink"/>
    <w:uiPriority w:val="99"/>
    <w:unhideWhenUsed/>
    <w:rsid w:val="002F5A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4139">
      <w:bodyDiv w:val="1"/>
      <w:marLeft w:val="0"/>
      <w:marRight w:val="0"/>
      <w:marTop w:val="0"/>
      <w:marBottom w:val="0"/>
      <w:divBdr>
        <w:top w:val="none" w:sz="0" w:space="0" w:color="auto"/>
        <w:left w:val="none" w:sz="0" w:space="0" w:color="auto"/>
        <w:bottom w:val="none" w:sz="0" w:space="0" w:color="auto"/>
        <w:right w:val="none" w:sz="0" w:space="0" w:color="auto"/>
      </w:divBdr>
    </w:div>
    <w:div w:id="63072429">
      <w:bodyDiv w:val="1"/>
      <w:marLeft w:val="0"/>
      <w:marRight w:val="0"/>
      <w:marTop w:val="0"/>
      <w:marBottom w:val="0"/>
      <w:divBdr>
        <w:top w:val="none" w:sz="0" w:space="0" w:color="auto"/>
        <w:left w:val="none" w:sz="0" w:space="0" w:color="auto"/>
        <w:bottom w:val="none" w:sz="0" w:space="0" w:color="auto"/>
        <w:right w:val="none" w:sz="0" w:space="0" w:color="auto"/>
      </w:divBdr>
    </w:div>
    <w:div w:id="89005766">
      <w:bodyDiv w:val="1"/>
      <w:marLeft w:val="0"/>
      <w:marRight w:val="0"/>
      <w:marTop w:val="0"/>
      <w:marBottom w:val="0"/>
      <w:divBdr>
        <w:top w:val="none" w:sz="0" w:space="0" w:color="auto"/>
        <w:left w:val="none" w:sz="0" w:space="0" w:color="auto"/>
        <w:bottom w:val="none" w:sz="0" w:space="0" w:color="auto"/>
        <w:right w:val="none" w:sz="0" w:space="0" w:color="auto"/>
      </w:divBdr>
    </w:div>
    <w:div w:id="106584078">
      <w:bodyDiv w:val="1"/>
      <w:marLeft w:val="0"/>
      <w:marRight w:val="0"/>
      <w:marTop w:val="0"/>
      <w:marBottom w:val="0"/>
      <w:divBdr>
        <w:top w:val="none" w:sz="0" w:space="0" w:color="auto"/>
        <w:left w:val="none" w:sz="0" w:space="0" w:color="auto"/>
        <w:bottom w:val="none" w:sz="0" w:space="0" w:color="auto"/>
        <w:right w:val="none" w:sz="0" w:space="0" w:color="auto"/>
      </w:divBdr>
    </w:div>
    <w:div w:id="143083712">
      <w:bodyDiv w:val="1"/>
      <w:marLeft w:val="0"/>
      <w:marRight w:val="0"/>
      <w:marTop w:val="0"/>
      <w:marBottom w:val="0"/>
      <w:divBdr>
        <w:top w:val="none" w:sz="0" w:space="0" w:color="auto"/>
        <w:left w:val="none" w:sz="0" w:space="0" w:color="auto"/>
        <w:bottom w:val="none" w:sz="0" w:space="0" w:color="auto"/>
        <w:right w:val="none" w:sz="0" w:space="0" w:color="auto"/>
      </w:divBdr>
    </w:div>
    <w:div w:id="148863729">
      <w:bodyDiv w:val="1"/>
      <w:marLeft w:val="0"/>
      <w:marRight w:val="0"/>
      <w:marTop w:val="0"/>
      <w:marBottom w:val="0"/>
      <w:divBdr>
        <w:top w:val="none" w:sz="0" w:space="0" w:color="auto"/>
        <w:left w:val="none" w:sz="0" w:space="0" w:color="auto"/>
        <w:bottom w:val="none" w:sz="0" w:space="0" w:color="auto"/>
        <w:right w:val="none" w:sz="0" w:space="0" w:color="auto"/>
      </w:divBdr>
    </w:div>
    <w:div w:id="214240557">
      <w:bodyDiv w:val="1"/>
      <w:marLeft w:val="0"/>
      <w:marRight w:val="0"/>
      <w:marTop w:val="0"/>
      <w:marBottom w:val="0"/>
      <w:divBdr>
        <w:top w:val="none" w:sz="0" w:space="0" w:color="auto"/>
        <w:left w:val="none" w:sz="0" w:space="0" w:color="auto"/>
        <w:bottom w:val="none" w:sz="0" w:space="0" w:color="auto"/>
        <w:right w:val="none" w:sz="0" w:space="0" w:color="auto"/>
      </w:divBdr>
    </w:div>
    <w:div w:id="307445341">
      <w:bodyDiv w:val="1"/>
      <w:marLeft w:val="0"/>
      <w:marRight w:val="0"/>
      <w:marTop w:val="0"/>
      <w:marBottom w:val="0"/>
      <w:divBdr>
        <w:top w:val="none" w:sz="0" w:space="0" w:color="auto"/>
        <w:left w:val="none" w:sz="0" w:space="0" w:color="auto"/>
        <w:bottom w:val="none" w:sz="0" w:space="0" w:color="auto"/>
        <w:right w:val="none" w:sz="0" w:space="0" w:color="auto"/>
      </w:divBdr>
    </w:div>
    <w:div w:id="359823476">
      <w:bodyDiv w:val="1"/>
      <w:marLeft w:val="0"/>
      <w:marRight w:val="0"/>
      <w:marTop w:val="0"/>
      <w:marBottom w:val="0"/>
      <w:divBdr>
        <w:top w:val="none" w:sz="0" w:space="0" w:color="auto"/>
        <w:left w:val="none" w:sz="0" w:space="0" w:color="auto"/>
        <w:bottom w:val="none" w:sz="0" w:space="0" w:color="auto"/>
        <w:right w:val="none" w:sz="0" w:space="0" w:color="auto"/>
      </w:divBdr>
    </w:div>
    <w:div w:id="420679874">
      <w:bodyDiv w:val="1"/>
      <w:marLeft w:val="0"/>
      <w:marRight w:val="0"/>
      <w:marTop w:val="0"/>
      <w:marBottom w:val="0"/>
      <w:divBdr>
        <w:top w:val="none" w:sz="0" w:space="0" w:color="auto"/>
        <w:left w:val="none" w:sz="0" w:space="0" w:color="auto"/>
        <w:bottom w:val="none" w:sz="0" w:space="0" w:color="auto"/>
        <w:right w:val="none" w:sz="0" w:space="0" w:color="auto"/>
      </w:divBdr>
    </w:div>
    <w:div w:id="470706817">
      <w:bodyDiv w:val="1"/>
      <w:marLeft w:val="0"/>
      <w:marRight w:val="0"/>
      <w:marTop w:val="0"/>
      <w:marBottom w:val="0"/>
      <w:divBdr>
        <w:top w:val="none" w:sz="0" w:space="0" w:color="auto"/>
        <w:left w:val="none" w:sz="0" w:space="0" w:color="auto"/>
        <w:bottom w:val="none" w:sz="0" w:space="0" w:color="auto"/>
        <w:right w:val="none" w:sz="0" w:space="0" w:color="auto"/>
      </w:divBdr>
    </w:div>
    <w:div w:id="489950438">
      <w:bodyDiv w:val="1"/>
      <w:marLeft w:val="0"/>
      <w:marRight w:val="0"/>
      <w:marTop w:val="0"/>
      <w:marBottom w:val="0"/>
      <w:divBdr>
        <w:top w:val="none" w:sz="0" w:space="0" w:color="auto"/>
        <w:left w:val="none" w:sz="0" w:space="0" w:color="auto"/>
        <w:bottom w:val="none" w:sz="0" w:space="0" w:color="auto"/>
        <w:right w:val="none" w:sz="0" w:space="0" w:color="auto"/>
      </w:divBdr>
    </w:div>
    <w:div w:id="544026075">
      <w:bodyDiv w:val="1"/>
      <w:marLeft w:val="0"/>
      <w:marRight w:val="0"/>
      <w:marTop w:val="0"/>
      <w:marBottom w:val="0"/>
      <w:divBdr>
        <w:top w:val="none" w:sz="0" w:space="0" w:color="auto"/>
        <w:left w:val="none" w:sz="0" w:space="0" w:color="auto"/>
        <w:bottom w:val="none" w:sz="0" w:space="0" w:color="auto"/>
        <w:right w:val="none" w:sz="0" w:space="0" w:color="auto"/>
      </w:divBdr>
    </w:div>
    <w:div w:id="551967957">
      <w:bodyDiv w:val="1"/>
      <w:marLeft w:val="0"/>
      <w:marRight w:val="0"/>
      <w:marTop w:val="0"/>
      <w:marBottom w:val="0"/>
      <w:divBdr>
        <w:top w:val="none" w:sz="0" w:space="0" w:color="auto"/>
        <w:left w:val="none" w:sz="0" w:space="0" w:color="auto"/>
        <w:bottom w:val="none" w:sz="0" w:space="0" w:color="auto"/>
        <w:right w:val="none" w:sz="0" w:space="0" w:color="auto"/>
      </w:divBdr>
    </w:div>
    <w:div w:id="560867119">
      <w:bodyDiv w:val="1"/>
      <w:marLeft w:val="0"/>
      <w:marRight w:val="0"/>
      <w:marTop w:val="0"/>
      <w:marBottom w:val="0"/>
      <w:divBdr>
        <w:top w:val="none" w:sz="0" w:space="0" w:color="auto"/>
        <w:left w:val="none" w:sz="0" w:space="0" w:color="auto"/>
        <w:bottom w:val="none" w:sz="0" w:space="0" w:color="auto"/>
        <w:right w:val="none" w:sz="0" w:space="0" w:color="auto"/>
      </w:divBdr>
    </w:div>
    <w:div w:id="562377999">
      <w:bodyDiv w:val="1"/>
      <w:marLeft w:val="0"/>
      <w:marRight w:val="0"/>
      <w:marTop w:val="0"/>
      <w:marBottom w:val="0"/>
      <w:divBdr>
        <w:top w:val="none" w:sz="0" w:space="0" w:color="auto"/>
        <w:left w:val="none" w:sz="0" w:space="0" w:color="auto"/>
        <w:bottom w:val="none" w:sz="0" w:space="0" w:color="auto"/>
        <w:right w:val="none" w:sz="0" w:space="0" w:color="auto"/>
      </w:divBdr>
    </w:div>
    <w:div w:id="563612274">
      <w:bodyDiv w:val="1"/>
      <w:marLeft w:val="0"/>
      <w:marRight w:val="0"/>
      <w:marTop w:val="0"/>
      <w:marBottom w:val="0"/>
      <w:divBdr>
        <w:top w:val="none" w:sz="0" w:space="0" w:color="auto"/>
        <w:left w:val="none" w:sz="0" w:space="0" w:color="auto"/>
        <w:bottom w:val="none" w:sz="0" w:space="0" w:color="auto"/>
        <w:right w:val="none" w:sz="0" w:space="0" w:color="auto"/>
      </w:divBdr>
    </w:div>
    <w:div w:id="577910978">
      <w:bodyDiv w:val="1"/>
      <w:marLeft w:val="0"/>
      <w:marRight w:val="0"/>
      <w:marTop w:val="0"/>
      <w:marBottom w:val="0"/>
      <w:divBdr>
        <w:top w:val="none" w:sz="0" w:space="0" w:color="auto"/>
        <w:left w:val="none" w:sz="0" w:space="0" w:color="auto"/>
        <w:bottom w:val="none" w:sz="0" w:space="0" w:color="auto"/>
        <w:right w:val="none" w:sz="0" w:space="0" w:color="auto"/>
      </w:divBdr>
    </w:div>
    <w:div w:id="600721146">
      <w:bodyDiv w:val="1"/>
      <w:marLeft w:val="0"/>
      <w:marRight w:val="0"/>
      <w:marTop w:val="0"/>
      <w:marBottom w:val="0"/>
      <w:divBdr>
        <w:top w:val="none" w:sz="0" w:space="0" w:color="auto"/>
        <w:left w:val="none" w:sz="0" w:space="0" w:color="auto"/>
        <w:bottom w:val="none" w:sz="0" w:space="0" w:color="auto"/>
        <w:right w:val="none" w:sz="0" w:space="0" w:color="auto"/>
      </w:divBdr>
    </w:div>
    <w:div w:id="756244543">
      <w:bodyDiv w:val="1"/>
      <w:marLeft w:val="0"/>
      <w:marRight w:val="0"/>
      <w:marTop w:val="0"/>
      <w:marBottom w:val="0"/>
      <w:divBdr>
        <w:top w:val="none" w:sz="0" w:space="0" w:color="auto"/>
        <w:left w:val="none" w:sz="0" w:space="0" w:color="auto"/>
        <w:bottom w:val="none" w:sz="0" w:space="0" w:color="auto"/>
        <w:right w:val="none" w:sz="0" w:space="0" w:color="auto"/>
      </w:divBdr>
    </w:div>
    <w:div w:id="822088197">
      <w:bodyDiv w:val="1"/>
      <w:marLeft w:val="0"/>
      <w:marRight w:val="0"/>
      <w:marTop w:val="0"/>
      <w:marBottom w:val="0"/>
      <w:divBdr>
        <w:top w:val="none" w:sz="0" w:space="0" w:color="auto"/>
        <w:left w:val="none" w:sz="0" w:space="0" w:color="auto"/>
        <w:bottom w:val="none" w:sz="0" w:space="0" w:color="auto"/>
        <w:right w:val="none" w:sz="0" w:space="0" w:color="auto"/>
      </w:divBdr>
    </w:div>
    <w:div w:id="902445829">
      <w:bodyDiv w:val="1"/>
      <w:marLeft w:val="0"/>
      <w:marRight w:val="0"/>
      <w:marTop w:val="0"/>
      <w:marBottom w:val="0"/>
      <w:divBdr>
        <w:top w:val="none" w:sz="0" w:space="0" w:color="auto"/>
        <w:left w:val="none" w:sz="0" w:space="0" w:color="auto"/>
        <w:bottom w:val="none" w:sz="0" w:space="0" w:color="auto"/>
        <w:right w:val="none" w:sz="0" w:space="0" w:color="auto"/>
      </w:divBdr>
    </w:div>
    <w:div w:id="933243863">
      <w:bodyDiv w:val="1"/>
      <w:marLeft w:val="0"/>
      <w:marRight w:val="0"/>
      <w:marTop w:val="0"/>
      <w:marBottom w:val="0"/>
      <w:divBdr>
        <w:top w:val="none" w:sz="0" w:space="0" w:color="auto"/>
        <w:left w:val="none" w:sz="0" w:space="0" w:color="auto"/>
        <w:bottom w:val="none" w:sz="0" w:space="0" w:color="auto"/>
        <w:right w:val="none" w:sz="0" w:space="0" w:color="auto"/>
      </w:divBdr>
    </w:div>
    <w:div w:id="946037193">
      <w:bodyDiv w:val="1"/>
      <w:marLeft w:val="0"/>
      <w:marRight w:val="0"/>
      <w:marTop w:val="0"/>
      <w:marBottom w:val="0"/>
      <w:divBdr>
        <w:top w:val="none" w:sz="0" w:space="0" w:color="auto"/>
        <w:left w:val="none" w:sz="0" w:space="0" w:color="auto"/>
        <w:bottom w:val="none" w:sz="0" w:space="0" w:color="auto"/>
        <w:right w:val="none" w:sz="0" w:space="0" w:color="auto"/>
      </w:divBdr>
    </w:div>
    <w:div w:id="949582667">
      <w:bodyDiv w:val="1"/>
      <w:marLeft w:val="0"/>
      <w:marRight w:val="0"/>
      <w:marTop w:val="0"/>
      <w:marBottom w:val="0"/>
      <w:divBdr>
        <w:top w:val="none" w:sz="0" w:space="0" w:color="auto"/>
        <w:left w:val="none" w:sz="0" w:space="0" w:color="auto"/>
        <w:bottom w:val="none" w:sz="0" w:space="0" w:color="auto"/>
        <w:right w:val="none" w:sz="0" w:space="0" w:color="auto"/>
      </w:divBdr>
    </w:div>
    <w:div w:id="960188420">
      <w:bodyDiv w:val="1"/>
      <w:marLeft w:val="0"/>
      <w:marRight w:val="0"/>
      <w:marTop w:val="0"/>
      <w:marBottom w:val="0"/>
      <w:divBdr>
        <w:top w:val="none" w:sz="0" w:space="0" w:color="auto"/>
        <w:left w:val="none" w:sz="0" w:space="0" w:color="auto"/>
        <w:bottom w:val="none" w:sz="0" w:space="0" w:color="auto"/>
        <w:right w:val="none" w:sz="0" w:space="0" w:color="auto"/>
      </w:divBdr>
    </w:div>
    <w:div w:id="966279679">
      <w:bodyDiv w:val="1"/>
      <w:marLeft w:val="0"/>
      <w:marRight w:val="0"/>
      <w:marTop w:val="0"/>
      <w:marBottom w:val="0"/>
      <w:divBdr>
        <w:top w:val="none" w:sz="0" w:space="0" w:color="auto"/>
        <w:left w:val="none" w:sz="0" w:space="0" w:color="auto"/>
        <w:bottom w:val="none" w:sz="0" w:space="0" w:color="auto"/>
        <w:right w:val="none" w:sz="0" w:space="0" w:color="auto"/>
      </w:divBdr>
    </w:div>
    <w:div w:id="1054086992">
      <w:bodyDiv w:val="1"/>
      <w:marLeft w:val="0"/>
      <w:marRight w:val="0"/>
      <w:marTop w:val="0"/>
      <w:marBottom w:val="0"/>
      <w:divBdr>
        <w:top w:val="none" w:sz="0" w:space="0" w:color="auto"/>
        <w:left w:val="none" w:sz="0" w:space="0" w:color="auto"/>
        <w:bottom w:val="none" w:sz="0" w:space="0" w:color="auto"/>
        <w:right w:val="none" w:sz="0" w:space="0" w:color="auto"/>
      </w:divBdr>
    </w:div>
    <w:div w:id="1054934167">
      <w:bodyDiv w:val="1"/>
      <w:marLeft w:val="0"/>
      <w:marRight w:val="0"/>
      <w:marTop w:val="0"/>
      <w:marBottom w:val="0"/>
      <w:divBdr>
        <w:top w:val="none" w:sz="0" w:space="0" w:color="auto"/>
        <w:left w:val="none" w:sz="0" w:space="0" w:color="auto"/>
        <w:bottom w:val="none" w:sz="0" w:space="0" w:color="auto"/>
        <w:right w:val="none" w:sz="0" w:space="0" w:color="auto"/>
      </w:divBdr>
    </w:div>
    <w:div w:id="1071582691">
      <w:bodyDiv w:val="1"/>
      <w:marLeft w:val="0"/>
      <w:marRight w:val="0"/>
      <w:marTop w:val="0"/>
      <w:marBottom w:val="0"/>
      <w:divBdr>
        <w:top w:val="none" w:sz="0" w:space="0" w:color="auto"/>
        <w:left w:val="none" w:sz="0" w:space="0" w:color="auto"/>
        <w:bottom w:val="none" w:sz="0" w:space="0" w:color="auto"/>
        <w:right w:val="none" w:sz="0" w:space="0" w:color="auto"/>
      </w:divBdr>
    </w:div>
    <w:div w:id="1093283807">
      <w:bodyDiv w:val="1"/>
      <w:marLeft w:val="0"/>
      <w:marRight w:val="0"/>
      <w:marTop w:val="0"/>
      <w:marBottom w:val="0"/>
      <w:divBdr>
        <w:top w:val="none" w:sz="0" w:space="0" w:color="auto"/>
        <w:left w:val="none" w:sz="0" w:space="0" w:color="auto"/>
        <w:bottom w:val="none" w:sz="0" w:space="0" w:color="auto"/>
        <w:right w:val="none" w:sz="0" w:space="0" w:color="auto"/>
      </w:divBdr>
    </w:div>
    <w:div w:id="1119647896">
      <w:bodyDiv w:val="1"/>
      <w:marLeft w:val="0"/>
      <w:marRight w:val="0"/>
      <w:marTop w:val="0"/>
      <w:marBottom w:val="0"/>
      <w:divBdr>
        <w:top w:val="none" w:sz="0" w:space="0" w:color="auto"/>
        <w:left w:val="none" w:sz="0" w:space="0" w:color="auto"/>
        <w:bottom w:val="none" w:sz="0" w:space="0" w:color="auto"/>
        <w:right w:val="none" w:sz="0" w:space="0" w:color="auto"/>
      </w:divBdr>
    </w:div>
    <w:div w:id="1185629340">
      <w:bodyDiv w:val="1"/>
      <w:marLeft w:val="0"/>
      <w:marRight w:val="0"/>
      <w:marTop w:val="0"/>
      <w:marBottom w:val="0"/>
      <w:divBdr>
        <w:top w:val="none" w:sz="0" w:space="0" w:color="auto"/>
        <w:left w:val="none" w:sz="0" w:space="0" w:color="auto"/>
        <w:bottom w:val="none" w:sz="0" w:space="0" w:color="auto"/>
        <w:right w:val="none" w:sz="0" w:space="0" w:color="auto"/>
      </w:divBdr>
    </w:div>
    <w:div w:id="1271282577">
      <w:bodyDiv w:val="1"/>
      <w:marLeft w:val="0"/>
      <w:marRight w:val="0"/>
      <w:marTop w:val="0"/>
      <w:marBottom w:val="0"/>
      <w:divBdr>
        <w:top w:val="none" w:sz="0" w:space="0" w:color="auto"/>
        <w:left w:val="none" w:sz="0" w:space="0" w:color="auto"/>
        <w:bottom w:val="none" w:sz="0" w:space="0" w:color="auto"/>
        <w:right w:val="none" w:sz="0" w:space="0" w:color="auto"/>
      </w:divBdr>
    </w:div>
    <w:div w:id="1281764933">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365714065">
      <w:bodyDiv w:val="1"/>
      <w:marLeft w:val="0"/>
      <w:marRight w:val="0"/>
      <w:marTop w:val="0"/>
      <w:marBottom w:val="0"/>
      <w:divBdr>
        <w:top w:val="none" w:sz="0" w:space="0" w:color="auto"/>
        <w:left w:val="none" w:sz="0" w:space="0" w:color="auto"/>
        <w:bottom w:val="none" w:sz="0" w:space="0" w:color="auto"/>
        <w:right w:val="none" w:sz="0" w:space="0" w:color="auto"/>
      </w:divBdr>
    </w:div>
    <w:div w:id="1382553725">
      <w:bodyDiv w:val="1"/>
      <w:marLeft w:val="0"/>
      <w:marRight w:val="0"/>
      <w:marTop w:val="0"/>
      <w:marBottom w:val="0"/>
      <w:divBdr>
        <w:top w:val="none" w:sz="0" w:space="0" w:color="auto"/>
        <w:left w:val="none" w:sz="0" w:space="0" w:color="auto"/>
        <w:bottom w:val="none" w:sz="0" w:space="0" w:color="auto"/>
        <w:right w:val="none" w:sz="0" w:space="0" w:color="auto"/>
      </w:divBdr>
    </w:div>
    <w:div w:id="1386491747">
      <w:bodyDiv w:val="1"/>
      <w:marLeft w:val="0"/>
      <w:marRight w:val="0"/>
      <w:marTop w:val="0"/>
      <w:marBottom w:val="0"/>
      <w:divBdr>
        <w:top w:val="none" w:sz="0" w:space="0" w:color="auto"/>
        <w:left w:val="none" w:sz="0" w:space="0" w:color="auto"/>
        <w:bottom w:val="none" w:sz="0" w:space="0" w:color="auto"/>
        <w:right w:val="none" w:sz="0" w:space="0" w:color="auto"/>
      </w:divBdr>
    </w:div>
    <w:div w:id="1409183258">
      <w:bodyDiv w:val="1"/>
      <w:marLeft w:val="0"/>
      <w:marRight w:val="0"/>
      <w:marTop w:val="0"/>
      <w:marBottom w:val="0"/>
      <w:divBdr>
        <w:top w:val="none" w:sz="0" w:space="0" w:color="auto"/>
        <w:left w:val="none" w:sz="0" w:space="0" w:color="auto"/>
        <w:bottom w:val="none" w:sz="0" w:space="0" w:color="auto"/>
        <w:right w:val="none" w:sz="0" w:space="0" w:color="auto"/>
      </w:divBdr>
    </w:div>
    <w:div w:id="1412124047">
      <w:bodyDiv w:val="1"/>
      <w:marLeft w:val="0"/>
      <w:marRight w:val="0"/>
      <w:marTop w:val="0"/>
      <w:marBottom w:val="0"/>
      <w:divBdr>
        <w:top w:val="none" w:sz="0" w:space="0" w:color="auto"/>
        <w:left w:val="none" w:sz="0" w:space="0" w:color="auto"/>
        <w:bottom w:val="none" w:sz="0" w:space="0" w:color="auto"/>
        <w:right w:val="none" w:sz="0" w:space="0" w:color="auto"/>
      </w:divBdr>
    </w:div>
    <w:div w:id="1520965636">
      <w:bodyDiv w:val="1"/>
      <w:marLeft w:val="0"/>
      <w:marRight w:val="0"/>
      <w:marTop w:val="0"/>
      <w:marBottom w:val="0"/>
      <w:divBdr>
        <w:top w:val="none" w:sz="0" w:space="0" w:color="auto"/>
        <w:left w:val="none" w:sz="0" w:space="0" w:color="auto"/>
        <w:bottom w:val="none" w:sz="0" w:space="0" w:color="auto"/>
        <w:right w:val="none" w:sz="0" w:space="0" w:color="auto"/>
      </w:divBdr>
    </w:div>
    <w:div w:id="1525825861">
      <w:bodyDiv w:val="1"/>
      <w:marLeft w:val="0"/>
      <w:marRight w:val="0"/>
      <w:marTop w:val="0"/>
      <w:marBottom w:val="0"/>
      <w:divBdr>
        <w:top w:val="none" w:sz="0" w:space="0" w:color="auto"/>
        <w:left w:val="none" w:sz="0" w:space="0" w:color="auto"/>
        <w:bottom w:val="none" w:sz="0" w:space="0" w:color="auto"/>
        <w:right w:val="none" w:sz="0" w:space="0" w:color="auto"/>
      </w:divBdr>
    </w:div>
    <w:div w:id="1592276044">
      <w:bodyDiv w:val="1"/>
      <w:marLeft w:val="0"/>
      <w:marRight w:val="0"/>
      <w:marTop w:val="0"/>
      <w:marBottom w:val="0"/>
      <w:divBdr>
        <w:top w:val="none" w:sz="0" w:space="0" w:color="auto"/>
        <w:left w:val="none" w:sz="0" w:space="0" w:color="auto"/>
        <w:bottom w:val="none" w:sz="0" w:space="0" w:color="auto"/>
        <w:right w:val="none" w:sz="0" w:space="0" w:color="auto"/>
      </w:divBdr>
    </w:div>
    <w:div w:id="1600455378">
      <w:bodyDiv w:val="1"/>
      <w:marLeft w:val="0"/>
      <w:marRight w:val="0"/>
      <w:marTop w:val="0"/>
      <w:marBottom w:val="0"/>
      <w:divBdr>
        <w:top w:val="none" w:sz="0" w:space="0" w:color="auto"/>
        <w:left w:val="none" w:sz="0" w:space="0" w:color="auto"/>
        <w:bottom w:val="none" w:sz="0" w:space="0" w:color="auto"/>
        <w:right w:val="none" w:sz="0" w:space="0" w:color="auto"/>
      </w:divBdr>
    </w:div>
    <w:div w:id="1614172409">
      <w:bodyDiv w:val="1"/>
      <w:marLeft w:val="0"/>
      <w:marRight w:val="0"/>
      <w:marTop w:val="0"/>
      <w:marBottom w:val="0"/>
      <w:divBdr>
        <w:top w:val="none" w:sz="0" w:space="0" w:color="auto"/>
        <w:left w:val="none" w:sz="0" w:space="0" w:color="auto"/>
        <w:bottom w:val="none" w:sz="0" w:space="0" w:color="auto"/>
        <w:right w:val="none" w:sz="0" w:space="0" w:color="auto"/>
      </w:divBdr>
    </w:div>
    <w:div w:id="1615794940">
      <w:bodyDiv w:val="1"/>
      <w:marLeft w:val="0"/>
      <w:marRight w:val="0"/>
      <w:marTop w:val="0"/>
      <w:marBottom w:val="0"/>
      <w:divBdr>
        <w:top w:val="none" w:sz="0" w:space="0" w:color="auto"/>
        <w:left w:val="none" w:sz="0" w:space="0" w:color="auto"/>
        <w:bottom w:val="none" w:sz="0" w:space="0" w:color="auto"/>
        <w:right w:val="none" w:sz="0" w:space="0" w:color="auto"/>
      </w:divBdr>
    </w:div>
    <w:div w:id="1620263069">
      <w:bodyDiv w:val="1"/>
      <w:marLeft w:val="0"/>
      <w:marRight w:val="0"/>
      <w:marTop w:val="0"/>
      <w:marBottom w:val="0"/>
      <w:divBdr>
        <w:top w:val="none" w:sz="0" w:space="0" w:color="auto"/>
        <w:left w:val="none" w:sz="0" w:space="0" w:color="auto"/>
        <w:bottom w:val="none" w:sz="0" w:space="0" w:color="auto"/>
        <w:right w:val="none" w:sz="0" w:space="0" w:color="auto"/>
      </w:divBdr>
    </w:div>
    <w:div w:id="1683891359">
      <w:bodyDiv w:val="1"/>
      <w:marLeft w:val="0"/>
      <w:marRight w:val="0"/>
      <w:marTop w:val="0"/>
      <w:marBottom w:val="0"/>
      <w:divBdr>
        <w:top w:val="none" w:sz="0" w:space="0" w:color="auto"/>
        <w:left w:val="none" w:sz="0" w:space="0" w:color="auto"/>
        <w:bottom w:val="none" w:sz="0" w:space="0" w:color="auto"/>
        <w:right w:val="none" w:sz="0" w:space="0" w:color="auto"/>
      </w:divBdr>
    </w:div>
    <w:div w:id="1785921981">
      <w:bodyDiv w:val="1"/>
      <w:marLeft w:val="0"/>
      <w:marRight w:val="0"/>
      <w:marTop w:val="0"/>
      <w:marBottom w:val="0"/>
      <w:divBdr>
        <w:top w:val="none" w:sz="0" w:space="0" w:color="auto"/>
        <w:left w:val="none" w:sz="0" w:space="0" w:color="auto"/>
        <w:bottom w:val="none" w:sz="0" w:space="0" w:color="auto"/>
        <w:right w:val="none" w:sz="0" w:space="0" w:color="auto"/>
      </w:divBdr>
    </w:div>
    <w:div w:id="1836409925">
      <w:bodyDiv w:val="1"/>
      <w:marLeft w:val="0"/>
      <w:marRight w:val="0"/>
      <w:marTop w:val="0"/>
      <w:marBottom w:val="0"/>
      <w:divBdr>
        <w:top w:val="none" w:sz="0" w:space="0" w:color="auto"/>
        <w:left w:val="none" w:sz="0" w:space="0" w:color="auto"/>
        <w:bottom w:val="none" w:sz="0" w:space="0" w:color="auto"/>
        <w:right w:val="none" w:sz="0" w:space="0" w:color="auto"/>
      </w:divBdr>
    </w:div>
    <w:div w:id="1926104712">
      <w:bodyDiv w:val="1"/>
      <w:marLeft w:val="0"/>
      <w:marRight w:val="0"/>
      <w:marTop w:val="0"/>
      <w:marBottom w:val="0"/>
      <w:divBdr>
        <w:top w:val="none" w:sz="0" w:space="0" w:color="auto"/>
        <w:left w:val="none" w:sz="0" w:space="0" w:color="auto"/>
        <w:bottom w:val="none" w:sz="0" w:space="0" w:color="auto"/>
        <w:right w:val="none" w:sz="0" w:space="0" w:color="auto"/>
      </w:divBdr>
    </w:div>
    <w:div w:id="1947467926">
      <w:bodyDiv w:val="1"/>
      <w:marLeft w:val="0"/>
      <w:marRight w:val="0"/>
      <w:marTop w:val="0"/>
      <w:marBottom w:val="0"/>
      <w:divBdr>
        <w:top w:val="none" w:sz="0" w:space="0" w:color="auto"/>
        <w:left w:val="none" w:sz="0" w:space="0" w:color="auto"/>
        <w:bottom w:val="none" w:sz="0" w:space="0" w:color="auto"/>
        <w:right w:val="none" w:sz="0" w:space="0" w:color="auto"/>
      </w:divBdr>
    </w:div>
    <w:div w:id="1953631486">
      <w:bodyDiv w:val="1"/>
      <w:marLeft w:val="0"/>
      <w:marRight w:val="0"/>
      <w:marTop w:val="0"/>
      <w:marBottom w:val="0"/>
      <w:divBdr>
        <w:top w:val="none" w:sz="0" w:space="0" w:color="auto"/>
        <w:left w:val="none" w:sz="0" w:space="0" w:color="auto"/>
        <w:bottom w:val="none" w:sz="0" w:space="0" w:color="auto"/>
        <w:right w:val="none" w:sz="0" w:space="0" w:color="auto"/>
      </w:divBdr>
    </w:div>
    <w:div w:id="1969192369">
      <w:bodyDiv w:val="1"/>
      <w:marLeft w:val="0"/>
      <w:marRight w:val="0"/>
      <w:marTop w:val="0"/>
      <w:marBottom w:val="0"/>
      <w:divBdr>
        <w:top w:val="none" w:sz="0" w:space="0" w:color="auto"/>
        <w:left w:val="none" w:sz="0" w:space="0" w:color="auto"/>
        <w:bottom w:val="none" w:sz="0" w:space="0" w:color="auto"/>
        <w:right w:val="none" w:sz="0" w:space="0" w:color="auto"/>
      </w:divBdr>
    </w:div>
    <w:div w:id="2047173965">
      <w:bodyDiv w:val="1"/>
      <w:marLeft w:val="0"/>
      <w:marRight w:val="0"/>
      <w:marTop w:val="0"/>
      <w:marBottom w:val="0"/>
      <w:divBdr>
        <w:top w:val="none" w:sz="0" w:space="0" w:color="auto"/>
        <w:left w:val="none" w:sz="0" w:space="0" w:color="auto"/>
        <w:bottom w:val="none" w:sz="0" w:space="0" w:color="auto"/>
        <w:right w:val="none" w:sz="0" w:space="0" w:color="auto"/>
      </w:divBdr>
    </w:div>
    <w:div w:id="210406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3375C-1318-4D74-AEAF-8938A8A575D0}">
  <ds:schemaRefs>
    <ds:schemaRef ds:uri="http://schemas.openxmlformats.org/officeDocument/2006/bibliography"/>
  </ds:schemaRefs>
</ds:datastoreItem>
</file>

<file path=customXml/itemProps2.xml><?xml version="1.0" encoding="utf-8"?>
<ds:datastoreItem xmlns:ds="http://schemas.openxmlformats.org/officeDocument/2006/customXml" ds:itemID="{01976DA1-6A7B-41CB-96AE-F7A3004C8EC6}">
  <ds:schemaRefs>
    <ds:schemaRef ds:uri="http://schemas.openxmlformats.org/officeDocument/2006/bibliography"/>
  </ds:schemaRefs>
</ds:datastoreItem>
</file>

<file path=customXml/itemProps3.xml><?xml version="1.0" encoding="utf-8"?>
<ds:datastoreItem xmlns:ds="http://schemas.openxmlformats.org/officeDocument/2006/customXml" ds:itemID="{5CBE042E-016C-4037-A9B8-8BC55B11C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4387</Words>
  <Characters>23692</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ALIANÇA GERAÇÃO DE ENERGIA S</vt:lpstr>
    </vt:vector>
  </TitlesOfParts>
  <LinksUpToDate>false</LinksUpToDate>
  <CharactersWithSpaces>28023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ALIANÇA GERAÇÃO DE ENERGIA S</dc:title>
  <dc:creator/>
  <cp:lastModifiedBy/>
  <cp:revision>1</cp:revision>
  <dcterms:created xsi:type="dcterms:W3CDTF">2019-05-20T18:27:00Z</dcterms:created>
  <dcterms:modified xsi:type="dcterms:W3CDTF">2019-05-20T18:52:00Z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GED - 865300v1_x000d_ </vt:lpwstr>
  </property>
</Properties>
</file>