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F06C4"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t>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79"/>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subscrição das Debêntures pelos atuais acionistas da Emissora.</w:t>
      </w:r>
      <w:bookmarkEnd w:id="82"/>
      <w:bookmarkEnd w:id="83"/>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t>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737107"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rsidR="00737107" w:rsidP="0057218E">
      <w:pPr>
        <w:pStyle w:val="ListParagraph"/>
        <w:rPr>
          <w:rFonts w:ascii="Verdana" w:hAnsi="Verdana" w:cs="Arial"/>
          <w:sz w:val="20"/>
          <w:szCs w:val="20"/>
        </w:rPr>
      </w:pPr>
    </w:p>
    <w:p w:rsidR="00737107" w:rsidRPr="00E52213" w:rsidP="00737107">
      <w:pPr>
        <w:numPr>
          <w:ilvl w:val="0"/>
          <w:numId w:val="17"/>
        </w:numPr>
        <w:spacing w:line="320" w:lineRule="exact"/>
        <w:ind w:left="851" w:hanging="851"/>
        <w:contextualSpacing/>
        <w:jc w:val="both"/>
        <w:rPr>
          <w:rFonts w:ascii="Verdana" w:hAnsi="Verdana" w:cs="Arial"/>
          <w:sz w:val="20"/>
          <w:szCs w:val="20"/>
        </w:rPr>
      </w:pPr>
      <w:r w:rsidRPr="009224B2">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737107" w:rsidRPr="00E52213" w:rsidP="0057218E">
      <w:pPr>
        <w:spacing w:line="320" w:lineRule="exact"/>
        <w:ind w:left="851"/>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exclusivamente para 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sidR="00C54CB2">
              <w:rPr>
                <w:rFonts w:ascii="Verdana" w:hAnsi="Verdana" w:cs="Arial"/>
                <w:sz w:val="20"/>
                <w:szCs w:val="20"/>
              </w:rPr>
              <w:t>d</w:t>
            </w:r>
            <w:r w:rsidR="00C54CB2">
              <w:rPr>
                <w:rFonts w:ascii="Verdana" w:hAnsi="Verdana" w:cs="Arial"/>
                <w:sz w:val="20"/>
                <w:szCs w:val="20"/>
              </w:rPr>
              <w:t>o</w:t>
            </w:r>
            <w:r w:rsidRPr="00E52213" w:rsidR="00C54CB2">
              <w:rPr>
                <w:rFonts w:ascii="Verdana" w:hAnsi="Verdana" w:cs="Arial"/>
                <w:sz w:val="20"/>
                <w:szCs w:val="20"/>
              </w:rPr>
              <w:t xml:space="preserve"> </w:t>
            </w:r>
            <w:r w:rsidRPr="00E52213">
              <w:rPr>
                <w:rFonts w:ascii="Verdana" w:hAnsi="Verdana" w:cs="Arial"/>
                <w:sz w:val="20"/>
                <w:szCs w:val="20"/>
              </w:rPr>
              <w:t>Complexo Eólico Gravier</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RPr="00793805"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ou dívidas relacionadas ao Projeto Eólico Gravier.</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RPr="0079380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793805">
              <w:rPr>
                <w:rFonts w:ascii="Verdana" w:hAnsi="Verdana" w:cs="Arial"/>
                <w:sz w:val="20"/>
                <w:szCs w:val="20"/>
              </w:rPr>
              <w:t>65</w:t>
            </w:r>
            <w:r w:rsidRPr="00793805">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7" w:name="_DV_M106"/>
      <w:bookmarkStart w:id="98" w:name="_DV_M113"/>
      <w:bookmarkStart w:id="99" w:name="_Toc499990325"/>
      <w:bookmarkStart w:id="100" w:name="_Toc280370537"/>
      <w:bookmarkStart w:id="101" w:name="_Toc349040593"/>
      <w:bookmarkStart w:id="102" w:name="_Toc351469178"/>
      <w:bookmarkStart w:id="103" w:name="_Toc352767480"/>
      <w:bookmarkStart w:id="104" w:name="_Toc355626567"/>
      <w:bookmarkEnd w:id="97"/>
      <w:bookmarkEnd w:id="98"/>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99"/>
      <w:bookmarkEnd w:id="100"/>
      <w:bookmarkEnd w:id="101"/>
      <w:bookmarkEnd w:id="102"/>
      <w:bookmarkEnd w:id="103"/>
      <w:bookmarkEnd w:id="104"/>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05"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6" w:name="_DV_M117"/>
      <w:bookmarkEnd w:id="10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7" w:name="_DV_M118"/>
      <w:bookmarkEnd w:id="10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sidRPr="00E52213">
        <w:rPr>
          <w:rFonts w:ascii="Verdana" w:hAnsi="Verdana" w:cs="Arial"/>
          <w:b/>
          <w:sz w:val="20"/>
          <w:szCs w:val="20"/>
        </w:rPr>
        <w:t>Prazo e Forma de Subscrição e Integralização</w:t>
      </w:r>
      <w:bookmarkEnd w:id="109"/>
      <w:bookmarkEnd w:id="110"/>
      <w:bookmarkEnd w:id="111"/>
      <w:bookmarkEnd w:id="112"/>
      <w:bookmarkEnd w:id="11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rsidR="000F06C4" w:rsidRPr="00E52213" w:rsidP="000F06C4">
      <w:pPr>
        <w:spacing w:line="320" w:lineRule="exact"/>
        <w:ind w:left="705" w:hanging="705"/>
        <w:contextualSpacing/>
        <w:jc w:val="both"/>
        <w:rPr>
          <w:rFonts w:ascii="Verdana" w:hAnsi="Verdana" w:cs="Arial"/>
          <w:b/>
          <w:bCs/>
          <w:i/>
          <w:iCs/>
          <w:sz w:val="20"/>
          <w:szCs w:val="20"/>
        </w:rPr>
      </w:pPr>
      <w:bookmarkStart w:id="115" w:name="_Toc367387464"/>
      <w:bookmarkStart w:id="116" w:name="_Toc367387578"/>
      <w:bookmarkStart w:id="117" w:name="_Toc367389044"/>
      <w:bookmarkStart w:id="118" w:name="_Toc375090253"/>
      <w:bookmarkStart w:id="119" w:name="_Toc368667903"/>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5"/>
      <w:bookmarkEnd w:id="116"/>
      <w:bookmarkEnd w:id="117"/>
      <w:bookmarkEnd w:id="118"/>
      <w:bookmarkEnd w:id="119"/>
      <w:r w:rsidRPr="00E52213">
        <w:rPr>
          <w:rFonts w:ascii="Verdana" w:hAnsi="Verdana" w:cs="Arial"/>
          <w:b/>
          <w:sz w:val="20"/>
          <w:szCs w:val="20"/>
        </w:rPr>
        <w:t xml:space="preserve"> das Debêntures:</w:t>
      </w:r>
      <w:bookmarkStart w:id="120"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de 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0"/>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21" w:name="_DV_M121"/>
      <w:bookmarkEnd w:id="121"/>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22" w:name="_DV_M122"/>
      <w:bookmarkEnd w:id="122"/>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3"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24" w:name="_DV_M123"/>
      <w:bookmarkEnd w:id="123"/>
      <w:bookmarkEnd w:id="124"/>
      <w:r w:rsidRPr="00E52213">
        <w:rPr>
          <w:rFonts w:ascii="Verdana" w:hAnsi="Verdana" w:cs="Arial"/>
          <w:sz w:val="20"/>
          <w:szCs w:val="20"/>
        </w:rPr>
        <w:t xml:space="preserve"> </w:t>
      </w:r>
      <w:bookmarkStart w:id="125" w:name="_DV_M124"/>
      <w:bookmarkEnd w:id="125"/>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26" w:name="_DV_M125"/>
      <w:bookmarkStart w:id="127" w:name="_Ref75252946"/>
      <w:bookmarkStart w:id="128" w:name="_Toc499990343"/>
      <w:bookmarkEnd w:id="105"/>
      <w:bookmarkEnd w:id="126"/>
      <w:r w:rsidRPr="00E52213">
        <w:rPr>
          <w:rFonts w:ascii="Verdana" w:hAnsi="Verdana" w:cs="Arial"/>
          <w:b/>
          <w:sz w:val="20"/>
          <w:szCs w:val="20"/>
        </w:rPr>
        <w:t>Atualização Monetária e Juros Remuneratórios</w:t>
      </w:r>
      <w:bookmarkEnd w:id="127"/>
      <w:r w:rsidRPr="00E52213">
        <w:rPr>
          <w:rFonts w:ascii="Verdana" w:hAnsi="Verdana" w:cs="Arial"/>
          <w:sz w:val="20"/>
          <w:szCs w:val="20"/>
        </w:rPr>
        <w:t xml:space="preserve"> </w:t>
      </w:r>
      <w:bookmarkStart w:id="129" w:name="_DV_M126"/>
      <w:bookmarkEnd w:id="129"/>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30" w:name="_DV_M127"/>
      <w:bookmarkStart w:id="131" w:name="_Ref367359153"/>
      <w:bookmarkStart w:id="132" w:name="_Toc367387582"/>
      <w:bookmarkEnd w:id="130"/>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33"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Pr="0057218E" w:rsidR="00737107">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31"/>
      <w:bookmarkEnd w:id="132"/>
      <w:bookmarkEnd w:id="133"/>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r w:rsidRPr="00E52213">
        <w:rPr>
          <w:rFonts w:ascii="Verdana" w:hAnsi="Verdana" w:cs="Arial"/>
          <w:sz w:val="20"/>
          <w:szCs w:val="20"/>
        </w:rPr>
        <w:t>índice do IPCA, bem como as projeções de sua variação, deverão</w:t>
      </w:r>
      <w:r w:rsidRPr="00E52213">
        <w:rPr>
          <w:rFonts w:ascii="Verdana" w:hAnsi="Verdana" w:cs="Arial"/>
          <w:sz w:val="20"/>
          <w:szCs w:val="20"/>
        </w:rPr>
        <w:t xml:space="preserve">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4" w:name="_Ref367359435"/>
      <w:bookmarkStart w:id="135"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r w:rsidRPr="00E52213">
        <w:rPr>
          <w:rFonts w:ascii="Verdana" w:hAnsi="Verdana" w:cs="Arial"/>
          <w:sz w:val="20"/>
          <w:szCs w:val="20"/>
        </w:rPr>
        <w:t>a mesma</w:t>
      </w:r>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34"/>
      <w:bookmarkEnd w:id="135"/>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6"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6"/>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37"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37"/>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38" w:name="_Hlk60048786"/>
      <w:bookmarkStart w:id="139" w:name="_Ref75274620"/>
      <w:bookmarkStart w:id="140"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w:t>
      </w:r>
      <w:r w:rsidRPr="00E52213">
        <w:rPr>
          <w:rFonts w:ascii="Verdana" w:hAnsi="Verdana" w:cs="Arial"/>
          <w:bCs/>
          <w:iCs/>
          <w:sz w:val="20"/>
          <w:szCs w:val="20"/>
        </w:rPr>
        <w:t xml:space="preserve">internet (http://www.anbima.com.br), acrescida exponencialmente de um spread de até 0,40% (quarenta centésimos por cento) ao ano, base 252 (duzentos e cinquenta e dois) Dias Úteis; e (ii) 4,45% (quatro inteiros e quarenta e cinco centésimos por cento) 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38"/>
      <w:r w:rsidRPr="00E52213">
        <w:rPr>
          <w:rFonts w:ascii="Verdana" w:hAnsi="Verdana"/>
          <w:iCs/>
          <w:sz w:val="20"/>
          <w:szCs w:val="20"/>
        </w:rPr>
        <w:t>.</w:t>
      </w:r>
      <w:bookmarkEnd w:id="139"/>
      <w:r w:rsidRPr="00E52213">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41"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40"/>
      <w:r w:rsidRPr="00E52213">
        <w:rPr>
          <w:rFonts w:ascii="Verdana" w:hAnsi="Verdana" w:cs="Arial"/>
          <w:sz w:val="20"/>
          <w:szCs w:val="20"/>
        </w:rPr>
        <w:t>:</w:t>
      </w:r>
      <w:bookmarkEnd w:id="141"/>
      <w:r w:rsidRPr="00E52213">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A ser definida no Procedimento de Bookbuilding</w:t>
      </w:r>
      <w:r w:rsidRPr="00E52213">
        <w:rPr>
          <w:rFonts w:ascii="Verdana" w:hAnsi="Verdana" w:cs="Arial"/>
          <w:sz w:val="20"/>
          <w:szCs w:val="20"/>
        </w:rPr>
        <w:t>;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42"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42"/>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43" w:name="_DV_M146"/>
      <w:bookmarkStart w:id="144" w:name="_DV_M158"/>
      <w:bookmarkStart w:id="145" w:name="_DV_M160"/>
      <w:bookmarkStart w:id="146" w:name="_DV_M161"/>
      <w:bookmarkStart w:id="147" w:name="_DV_C87"/>
      <w:bookmarkStart w:id="148" w:name="_Ref263874908"/>
      <w:bookmarkStart w:id="149" w:name="_Ref297575384"/>
      <w:bookmarkStart w:id="150" w:name="_Ref297645315"/>
      <w:bookmarkStart w:id="151" w:name="_Ref331092039"/>
      <w:bookmarkStart w:id="152" w:name="_Ref332120930"/>
      <w:bookmarkStart w:id="153" w:name="_Ref332139437"/>
      <w:bookmarkStart w:id="154" w:name="_Ref333827088"/>
      <w:bookmarkStart w:id="155" w:name="_Ref333231006"/>
      <w:bookmarkEnd w:id="143"/>
      <w:bookmarkEnd w:id="144"/>
      <w:bookmarkEnd w:id="145"/>
      <w:bookmarkEnd w:id="146"/>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56" w:name="_Toc375090256"/>
      <w:bookmarkStart w:id="157" w:name="_Toc375090257"/>
      <w:bookmarkStart w:id="158" w:name="_Toc375090258"/>
      <w:bookmarkStart w:id="159" w:name="_Toc367387467"/>
      <w:bookmarkStart w:id="160" w:name="_Toc367387592"/>
      <w:bookmarkStart w:id="161" w:name="_Toc367389047"/>
      <w:bookmarkStart w:id="162" w:name="_Toc375090259"/>
      <w:bookmarkEnd w:id="156"/>
      <w:bookmarkEnd w:id="157"/>
      <w:bookmarkEnd w:id="158"/>
      <w:r w:rsidRPr="00E52213">
        <w:rPr>
          <w:rFonts w:ascii="Verdana" w:hAnsi="Verdana" w:cs="Arial"/>
          <w:sz w:val="20"/>
          <w:szCs w:val="20"/>
        </w:rPr>
        <w:tab/>
      </w:r>
      <w:r w:rsidRPr="00E52213">
        <w:rPr>
          <w:rFonts w:ascii="Verdana" w:hAnsi="Verdana" w:cs="Arial"/>
          <w:b/>
          <w:sz w:val="20"/>
          <w:szCs w:val="20"/>
        </w:rPr>
        <w:t>P</w:t>
      </w:r>
      <w:bookmarkEnd w:id="159"/>
      <w:bookmarkEnd w:id="160"/>
      <w:bookmarkEnd w:id="161"/>
      <w:bookmarkEnd w:id="162"/>
      <w:r w:rsidRPr="00E52213">
        <w:rPr>
          <w:rFonts w:ascii="Verdana" w:hAnsi="Verdana" w:cs="Arial"/>
          <w:b/>
          <w:sz w:val="20"/>
          <w:szCs w:val="20"/>
        </w:rPr>
        <w:t>agamento dos Juros Remuneratórios:</w:t>
      </w:r>
      <w:bookmarkStart w:id="163"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64" w:name="_Ref75440805"/>
      <w:bookmarkEnd w:id="163"/>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64"/>
    </w:p>
    <w:p w:rsidR="000F06C4" w:rsidRPr="00E52213"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bookmarkStart w:id="165"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65"/>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66" w:name="_DV_M159"/>
      <w:bookmarkStart w:id="167" w:name="_DV_M162"/>
      <w:bookmarkStart w:id="168" w:name="_DV_M163"/>
      <w:bookmarkStart w:id="169" w:name="_DV_M168"/>
      <w:bookmarkStart w:id="170" w:name="_DV_M184"/>
      <w:bookmarkEnd w:id="147"/>
      <w:bookmarkEnd w:id="148"/>
      <w:bookmarkEnd w:id="149"/>
      <w:bookmarkEnd w:id="150"/>
      <w:bookmarkEnd w:id="151"/>
      <w:bookmarkEnd w:id="152"/>
      <w:bookmarkEnd w:id="153"/>
      <w:bookmarkEnd w:id="154"/>
      <w:bookmarkEnd w:id="155"/>
      <w:bookmarkEnd w:id="166"/>
      <w:bookmarkEnd w:id="167"/>
      <w:bookmarkEnd w:id="168"/>
      <w:bookmarkEnd w:id="169"/>
      <w:bookmarkEnd w:id="170"/>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F06C4" w:rsidP="00867416">
      <w:pPr>
        <w:pStyle w:val="ListParagraph"/>
        <w:keepNext/>
        <w:numPr>
          <w:ilvl w:val="0"/>
          <w:numId w:val="71"/>
        </w:numPr>
        <w:spacing w:line="320" w:lineRule="exact"/>
        <w:ind w:hanging="862"/>
        <w:contextualSpacing/>
        <w:jc w:val="both"/>
        <w:rPr>
          <w:rFonts w:ascii="Verdana" w:hAnsi="Verdana"/>
          <w:sz w:val="20"/>
          <w:szCs w:val="20"/>
        </w:rPr>
      </w:pPr>
      <w:bookmarkStart w:id="171" w:name="_DV_M185"/>
      <w:bookmarkEnd w:id="171"/>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xml:space="preserve">”) e percentuais dispostos na 3ª (terceira) coluna </w:t>
      </w:r>
      <w:r w:rsidRPr="000F06C4">
        <w:rPr>
          <w:rFonts w:ascii="Verdana" w:hAnsi="Verdana"/>
          <w:sz w:val="20"/>
          <w:szCs w:val="20"/>
        </w:rPr>
        <w:t>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0F06C4" w:rsidRPr="00E52213" w:rsidP="000F06C4">
      <w:pPr>
        <w:keepNext/>
        <w:spacing w:line="320" w:lineRule="exact"/>
        <w:ind w:left="705" w:hanging="705"/>
        <w:contextualSpacing/>
        <w:jc w:val="both"/>
        <w:rPr>
          <w:rFonts w:ascii="Verdana" w:hAnsi="Verdana"/>
          <w:sz w:val="20"/>
          <w:szCs w:val="20"/>
        </w:rPr>
      </w:pPr>
    </w:p>
    <w:p w:rsidR="000F06C4" w:rsidRPr="00E52213"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r w:rsidRPr="00E52213">
              <w:rPr>
                <w:rFonts w:ascii="Verdana" w:hAnsi="Verdana"/>
                <w:b/>
                <w:sz w:val="20"/>
                <w:szCs w:val="20"/>
              </w:rPr>
              <w:t>ser Amortizado</w:t>
            </w:r>
            <w:r w:rsidRPr="00E52213">
              <w:rPr>
                <w:rFonts w:ascii="Verdana" w:hAnsi="Verdana"/>
                <w:b/>
                <w:sz w:val="20"/>
                <w:szCs w:val="20"/>
              </w:rPr>
              <w:t>*</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r w:rsidRPr="00E52213">
              <w:rPr>
                <w:rFonts w:ascii="Verdana" w:hAnsi="Verdana"/>
                <w:b/>
                <w:sz w:val="20"/>
                <w:szCs w:val="20"/>
              </w:rPr>
              <w:t>ser Amortizado</w:t>
            </w:r>
            <w:r w:rsidRPr="00E52213">
              <w:rPr>
                <w:rFonts w:ascii="Verdana" w:hAnsi="Verdana"/>
                <w:b/>
                <w:sz w:val="20"/>
                <w:szCs w:val="20"/>
              </w:rPr>
              <w:t>**</w:t>
            </w:r>
          </w:p>
        </w:tc>
      </w:tr>
      <w:tr w:rsidTr="003D2B98">
        <w:tblPrEx>
          <w:tblW w:w="0" w:type="auto"/>
          <w:tblLook w:val="04A0"/>
        </w:tblPrEx>
        <w:tc>
          <w:tcPr>
            <w:tcW w:w="3005" w:type="dxa"/>
            <w:vAlign w:val="center"/>
          </w:tcPr>
          <w:p w:rsidR="00984FB6" w:rsidRPr="00E52213"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rsidR="00984FB6" w:rsidRPr="00E52213"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rsidR="00984FB6" w:rsidRPr="00E52213"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rsidR="00984FB6" w:rsidRPr="00E52213"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2" w:name="_DV_M186"/>
      <w:bookmarkStart w:id="173" w:name="_Toc499990356"/>
      <w:bookmarkEnd w:id="128"/>
      <w:bookmarkEnd w:id="172"/>
      <w:r w:rsidRPr="00E52213">
        <w:rPr>
          <w:rFonts w:ascii="Verdana" w:hAnsi="Verdana" w:cs="Arial"/>
          <w:b/>
          <w:sz w:val="20"/>
          <w:szCs w:val="20"/>
        </w:rPr>
        <w:t>Local de Pagamento</w:t>
      </w:r>
      <w:bookmarkEnd w:id="173"/>
    </w:p>
    <w:p w:rsidR="000F06C4" w:rsidRPr="00E52213" w:rsidP="000F06C4">
      <w:pPr>
        <w:keepNext/>
        <w:tabs>
          <w:tab w:val="left" w:pos="720"/>
        </w:tabs>
        <w:spacing w:line="320" w:lineRule="exact"/>
        <w:ind w:hanging="720"/>
        <w:contextualSpacing/>
        <w:jc w:val="both"/>
        <w:rPr>
          <w:rFonts w:ascii="Verdana" w:hAnsi="Verdana" w:cs="Arial"/>
          <w:sz w:val="20"/>
          <w:szCs w:val="20"/>
        </w:rPr>
      </w:pPr>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74" w:name="_DV_M187"/>
      <w:bookmarkEnd w:id="174"/>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75" w:name="_Toc499990357"/>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76" w:name="_DV_M188"/>
      <w:bookmarkEnd w:id="176"/>
      <w:r w:rsidRPr="00E52213">
        <w:rPr>
          <w:rFonts w:ascii="Verdana" w:hAnsi="Verdana" w:cs="Arial"/>
          <w:b/>
          <w:sz w:val="20"/>
          <w:szCs w:val="20"/>
        </w:rPr>
        <w:t>Prorrogação dos Prazos</w:t>
      </w:r>
      <w:bookmarkStart w:id="177" w:name="_DV_M189"/>
      <w:bookmarkEnd w:id="175"/>
      <w:bookmarkEnd w:id="177"/>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78" w:name="_DV_M190"/>
      <w:bookmarkEnd w:id="178"/>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9" w:name="_DV_M191"/>
      <w:bookmarkEnd w:id="179"/>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0" w:name="_Toc49999035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1" w:name="_DV_M192"/>
      <w:bookmarkEnd w:id="181"/>
      <w:r w:rsidRPr="00E52213">
        <w:rPr>
          <w:rFonts w:ascii="Verdana" w:hAnsi="Verdana" w:cs="Arial"/>
          <w:b/>
          <w:sz w:val="20"/>
          <w:szCs w:val="20"/>
        </w:rPr>
        <w:t>Encargos Moratórios</w:t>
      </w:r>
      <w:bookmarkEnd w:id="180"/>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182" w:name="_DV_M193"/>
      <w:bookmarkEnd w:id="182"/>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3" w:name="_DV_M194"/>
      <w:bookmarkStart w:id="184" w:name="_Toc499990359"/>
      <w:bookmarkEnd w:id="183"/>
      <w:r w:rsidRPr="00E52213">
        <w:rPr>
          <w:rFonts w:ascii="Verdana" w:hAnsi="Verdana" w:cs="Arial"/>
          <w:b/>
          <w:sz w:val="20"/>
          <w:szCs w:val="20"/>
        </w:rPr>
        <w:t>Decadência dos Direitos aos Acréscimos</w:t>
      </w:r>
      <w:bookmarkEnd w:id="184"/>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185" w:name="_DV_M195"/>
      <w:bookmarkEnd w:id="185"/>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6" w:name="_DV_M196"/>
      <w:bookmarkStart w:id="187" w:name="_DV_M197"/>
      <w:bookmarkStart w:id="188" w:name="_DV_M198"/>
      <w:bookmarkStart w:id="189" w:name="_DV_M199"/>
      <w:bookmarkStart w:id="190" w:name="_DV_M202"/>
      <w:bookmarkStart w:id="191" w:name="_DV_M203"/>
      <w:bookmarkStart w:id="192" w:name="_DV_M204"/>
      <w:bookmarkStart w:id="193" w:name="_DV_M205"/>
      <w:bookmarkStart w:id="194" w:name="_DV_M206"/>
      <w:bookmarkStart w:id="195" w:name="_DV_M207"/>
      <w:bookmarkStart w:id="196" w:name="_DV_M208"/>
      <w:bookmarkStart w:id="197" w:name="_DV_M209"/>
      <w:bookmarkEnd w:id="186"/>
      <w:bookmarkEnd w:id="187"/>
      <w:bookmarkEnd w:id="188"/>
      <w:bookmarkEnd w:id="189"/>
      <w:bookmarkEnd w:id="190"/>
      <w:bookmarkEnd w:id="191"/>
      <w:bookmarkEnd w:id="192"/>
      <w:bookmarkEnd w:id="193"/>
      <w:bookmarkEnd w:id="194"/>
      <w:bookmarkEnd w:id="195"/>
      <w:bookmarkEnd w:id="196"/>
      <w:bookmarkEnd w:id="197"/>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98" w:name="_DV_M210"/>
      <w:bookmarkEnd w:id="198"/>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199" w:name="_DV_M211"/>
      <w:bookmarkEnd w:id="199"/>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00" w:name="_Hlk16269777"/>
      <w:bookmarkStart w:id="201"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200"/>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1"/>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 xml:space="preserve">das </w:t>
      </w:r>
      <w:r w:rsidRPr="00E52213">
        <w:rPr>
          <w:rFonts w:ascii="Verdana" w:hAnsi="Verdana" w:cs="Arial"/>
          <w:sz w:val="20"/>
          <w:szCs w:val="20"/>
        </w:rPr>
        <w:t>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r w:rsidRPr="00E52213">
        <w:rPr>
          <w:rFonts w:ascii="Verdana" w:hAnsi="Verdana" w:cs="Tahoma"/>
          <w:sz w:val="20"/>
          <w:szCs w:val="20"/>
        </w:rPr>
        <w:t>objeto de resgate deverão</w:t>
      </w:r>
      <w:r w:rsidRPr="00E52213">
        <w:rPr>
          <w:rFonts w:ascii="Verdana" w:hAnsi="Verdana" w:cs="Tahoma"/>
          <w:sz w:val="20"/>
          <w:szCs w:val="20"/>
        </w:rPr>
        <w:t xml:space="preserve">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a Emissora poderá realizar, a seu exclusivo critério, oferta de resgate </w:t>
      </w:r>
      <w:r w:rsidRPr="00E52213">
        <w:rPr>
          <w:rFonts w:ascii="Verdana" w:hAnsi="Verdana" w:cs="Tahoma"/>
          <w:sz w:val="20"/>
          <w:szCs w:val="20"/>
        </w:rPr>
        <w:t>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2"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02"/>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3"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3"/>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4"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04"/>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p>
    <w:p w:rsidR="000F06C4" w:rsidRPr="00E52213" w:rsidP="000F06C4">
      <w:pPr>
        <w:spacing w:line="320" w:lineRule="exact"/>
        <w:contextualSpacing/>
        <w:jc w:val="both"/>
        <w:rPr>
          <w:rFonts w:ascii="Verdana" w:hAnsi="Verdana" w:cs="Arial"/>
          <w:sz w:val="20"/>
          <w:szCs w:val="20"/>
        </w:rPr>
      </w:pPr>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5" w:name="_DV_M212"/>
      <w:bookmarkStart w:id="206" w:name="_Ref75440965"/>
      <w:bookmarkEnd w:id="205"/>
      <w:r w:rsidRPr="00E52213">
        <w:rPr>
          <w:rFonts w:ascii="Verdana" w:hAnsi="Verdana" w:cs="Arial"/>
          <w:b/>
          <w:sz w:val="20"/>
          <w:szCs w:val="20"/>
        </w:rPr>
        <w:t>Publicidade</w:t>
      </w:r>
      <w:bookmarkEnd w:id="206"/>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07" w:name="_DV_M213"/>
      <w:bookmarkStart w:id="208" w:name="_Ref75441424"/>
      <w:bookmarkEnd w:id="207"/>
      <w:r w:rsidRPr="00E52213">
        <w:rPr>
          <w:rFonts w:ascii="Verdana" w:hAnsi="Verdana" w:cs="Arial"/>
          <w:sz w:val="20"/>
          <w:szCs w:val="20"/>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08"/>
    </w:p>
    <w:p w:rsidR="000F06C4" w:rsidRPr="00E52213" w:rsidP="000F06C4">
      <w:pPr>
        <w:autoSpaceDE/>
        <w:autoSpaceDN/>
        <w:adjustRightInd/>
        <w:spacing w:line="320" w:lineRule="exact"/>
        <w:rPr>
          <w:rFonts w:ascii="Verdana" w:hAnsi="Verdana" w:cs="Arial"/>
          <w:b/>
          <w:sz w:val="20"/>
          <w:szCs w:val="20"/>
        </w:rPr>
      </w:pPr>
      <w:bookmarkStart w:id="209" w:name="_DV_M215"/>
      <w:bookmarkEnd w:id="209"/>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10" w:name="_DV_M216"/>
      <w:bookmarkStart w:id="211" w:name="_Ref75441066"/>
      <w:bookmarkEnd w:id="210"/>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11"/>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12" w:name="_DV_M217"/>
      <w:bookmarkEnd w:id="212"/>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13" w:name="_DV_M218"/>
      <w:bookmarkEnd w:id="213"/>
      <w:r w:rsidRPr="00E52213">
        <w:rPr>
          <w:rFonts w:ascii="Verdana" w:eastAsia="Arial Unicode MS" w:hAnsi="Verdana" w:cs="Arial"/>
          <w:sz w:val="20"/>
          <w:szCs w:val="20"/>
        </w:rPr>
        <w:t>As Debêntures gozam do tratamento tributário previsto nos artigos 1º e 2º da Lei 12.431.</w:t>
      </w:r>
      <w:bookmarkStart w:id="214"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4"/>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w:t>
      </w:r>
      <w:r w:rsidRPr="00E52213">
        <w:rPr>
          <w:rFonts w:ascii="Verdana" w:eastAsia="Arial Unicode MS" w:hAnsi="Verdana" w:cs="Arial"/>
          <w:sz w:val="20"/>
          <w:szCs w:val="20"/>
        </w:rPr>
        <w:t>por escrito, ao Banco Liquidante e ao Escriturador, bem como prestar qualquer informação adicional em relação ao tema que lhe seja solicitada pelo Banco Liquidante e/ou pelo Escriturador e/ou pela Emissora.</w:t>
      </w:r>
      <w:bookmarkStart w:id="215" w:name="_Ref380141300"/>
      <w:bookmarkStart w:id="216"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1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15"/>
      <w:bookmarkEnd w:id="216"/>
      <w:bookmarkEnd w:id="217"/>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18" w:name="_DV_M219"/>
      <w:bookmarkStart w:id="219" w:name="_DV_M220"/>
      <w:bookmarkStart w:id="220" w:name="_DV_M221"/>
      <w:bookmarkStart w:id="221" w:name="_Toc499990364"/>
      <w:bookmarkEnd w:id="218"/>
      <w:bookmarkEnd w:id="219"/>
      <w:bookmarkEnd w:id="220"/>
    </w:p>
    <w:p w:rsidR="000F06C4" w:rsidRPr="00E52213" w:rsidP="000F06C4">
      <w:pPr>
        <w:spacing w:line="320" w:lineRule="exact"/>
        <w:ind w:left="709" w:hanging="709"/>
        <w:contextualSpacing/>
        <w:jc w:val="both"/>
        <w:rPr>
          <w:rFonts w:ascii="Verdana" w:hAnsi="Verdana" w:cs="Arial"/>
          <w:sz w:val="20"/>
          <w:szCs w:val="20"/>
        </w:rPr>
      </w:pPr>
      <w:bookmarkStart w:id="222" w:name="_DV_M222"/>
      <w:bookmarkStart w:id="223" w:name="_Ref370460269"/>
      <w:bookmarkEnd w:id="222"/>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3"/>
    </w:p>
    <w:p w:rsidR="000F06C4" w:rsidRPr="00E52213" w:rsidP="000F06C4">
      <w:pPr>
        <w:spacing w:line="320" w:lineRule="exact"/>
        <w:contextualSpacing/>
        <w:jc w:val="both"/>
        <w:rPr>
          <w:rFonts w:ascii="Verdana" w:eastAsia="Arial Unicode MS" w:hAnsi="Verdana" w:cs="Arial"/>
          <w:sz w:val="20"/>
          <w:szCs w:val="20"/>
        </w:rPr>
      </w:pPr>
    </w:p>
    <w:p w:rsidR="000F06C4" w:rsidRPr="0096018B" w:rsidP="0096018B">
      <w:pPr>
        <w:spacing w:line="320" w:lineRule="exact"/>
        <w:contextualSpacing/>
        <w:jc w:val="both"/>
        <w:rPr>
          <w:rFonts w:ascii="Verdana" w:eastAsia="Arial Unicode MS" w:hAnsi="Verdana" w:cs="Arial"/>
          <w:sz w:val="20"/>
          <w:szCs w:val="20"/>
        </w:rPr>
      </w:pPr>
      <w:bookmarkStart w:id="224" w:name="_DV_M223"/>
      <w:bookmarkEnd w:id="224"/>
      <w:r w:rsidRPr="0096018B">
        <w:rPr>
          <w:rFonts w:ascii="Verdana" w:eastAsia="Arial Unicode MS" w:hAnsi="Verdana" w:cs="Arial"/>
          <w:sz w:val="20"/>
          <w:szCs w:val="20"/>
        </w:rPr>
        <w:t>4.15.1.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25" w:name="_DV_M20"/>
      <w:bookmarkStart w:id="226" w:name="_DV_M21"/>
      <w:bookmarkStart w:id="227" w:name="_DV_M22"/>
      <w:bookmarkStart w:id="228" w:name="_DV_M23"/>
      <w:bookmarkStart w:id="229" w:name="_DV_M224"/>
      <w:bookmarkStart w:id="230" w:name="_DV_M225"/>
      <w:bookmarkStart w:id="231" w:name="_DV_M226"/>
      <w:bookmarkStart w:id="232" w:name="_DV_M227"/>
      <w:bookmarkStart w:id="233" w:name="_DV_M228"/>
      <w:bookmarkStart w:id="234" w:name="_DV_M229"/>
      <w:bookmarkStart w:id="235" w:name="_DV_M325"/>
      <w:bookmarkStart w:id="236" w:name="_DV_M326"/>
      <w:bookmarkStart w:id="237" w:name="_DV_M333"/>
      <w:bookmarkStart w:id="238" w:name="_DV_M232"/>
      <w:bookmarkStart w:id="239" w:name="_DV_M233"/>
      <w:bookmarkStart w:id="240" w:name="_DV_M234"/>
      <w:bookmarkStart w:id="241" w:name="_DV_M236"/>
      <w:bookmarkStart w:id="242" w:name="_DV_M237"/>
      <w:bookmarkStart w:id="243" w:name="_DV_M238"/>
      <w:bookmarkStart w:id="244" w:name="_DV_M239"/>
      <w:bookmarkStart w:id="245" w:name="_DV_M240"/>
      <w:bookmarkStart w:id="246" w:name="_DV_M241"/>
      <w:bookmarkStart w:id="247" w:name="_DV_M242"/>
      <w:bookmarkStart w:id="248" w:name="_DV_M243"/>
      <w:bookmarkStart w:id="249" w:name="_DV_M244"/>
      <w:bookmarkStart w:id="250" w:name="_Toc499990365"/>
      <w:bookmarkStart w:id="251" w:name="_Toc280370540"/>
      <w:bookmarkStart w:id="252" w:name="_Toc349040596"/>
      <w:bookmarkStart w:id="253" w:name="_Toc351469181"/>
      <w:bookmarkStart w:id="254" w:name="_Toc352767483"/>
      <w:bookmarkStart w:id="255" w:name="_Toc355626570"/>
      <w:bookmarkEnd w:id="22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Pr="00E52213" w:rsidR="00E11AFB">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p>
    <w:p w:rsidR="000F06C4" w:rsidRPr="00E52213" w:rsidP="000F06C4">
      <w:pPr>
        <w:tabs>
          <w:tab w:val="left" w:pos="720"/>
        </w:tabs>
        <w:spacing w:line="320" w:lineRule="exact"/>
        <w:contextualSpacing/>
        <w:jc w:val="both"/>
        <w:rPr>
          <w:rFonts w:ascii="Verdana" w:hAnsi="Verdana" w:cs="Arial"/>
          <w:b/>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Pr="0096018B" w:rsidR="00770FA2">
        <w:rPr>
          <w:rFonts w:ascii="Verdana" w:hAnsi="Verdana" w:cs="Arial"/>
          <w:bCs/>
          <w:i/>
          <w:iCs/>
          <w:sz w:val="20"/>
          <w:szCs w:val="20"/>
        </w:rPr>
        <w:t xml:space="preserve">Climate </w:t>
      </w:r>
      <w:r w:rsidRPr="0096018B" w:rsidR="00770FA2">
        <w:rPr>
          <w:rFonts w:ascii="Verdana" w:hAnsi="Verdana" w:cs="Arial"/>
          <w:bCs/>
          <w:i/>
          <w:iCs/>
          <w:sz w:val="20"/>
          <w:szCs w:val="20"/>
        </w:rPr>
        <w:t>Bonds</w:t>
      </w:r>
      <w:r w:rsidRPr="0096018B" w:rsidR="00770FA2">
        <w:rPr>
          <w:rFonts w:ascii="Verdana" w:hAnsi="Verdana" w:cs="Arial"/>
          <w:bCs/>
          <w:i/>
          <w:iCs/>
          <w:sz w:val="20"/>
          <w:szCs w:val="20"/>
        </w:rPr>
        <w:t xml:space="preserve"> </w:t>
      </w:r>
      <w:r w:rsidRPr="0096018B" w:rsidR="00770FA2">
        <w:rPr>
          <w:rFonts w:ascii="Verdana" w:hAnsi="Verdana" w:cs="Arial"/>
          <w:bCs/>
          <w:i/>
          <w:iCs/>
          <w:sz w:val="20"/>
          <w:szCs w:val="20"/>
        </w:rPr>
        <w:t>Initiative</w:t>
      </w:r>
      <w:r w:rsidR="00770FA2">
        <w:rPr>
          <w:rFonts w:ascii="Verdana" w:hAnsi="Verdana" w:cs="Arial"/>
          <w:bCs/>
          <w:sz w:val="20"/>
          <w:szCs w:val="20"/>
        </w:rPr>
        <w:t xml:space="preserve"> (“</w:t>
      </w:r>
      <w:r w:rsidRPr="0096018B" w:rsidR="00770FA2">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Pr="0096018B" w:rsidR="00EC01AE">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 xml:space="preserve">por </w:t>
      </w:r>
      <w:r w:rsidR="00A63B38">
        <w:rPr>
          <w:rFonts w:ascii="Verdana" w:hAnsi="Verdana" w:cs="Arial"/>
          <w:bCs/>
          <w:sz w:val="20"/>
          <w:szCs w:val="20"/>
        </w:rPr>
        <w:t>empresa de consultoria especializada acreditad</w:t>
      </w:r>
      <w:r w:rsidR="00A63B38">
        <w:rPr>
          <w:rFonts w:ascii="Verdana" w:hAnsi="Verdana" w:cs="Arial"/>
          <w:bCs/>
          <w:sz w:val="20"/>
          <w:szCs w:val="20"/>
        </w:rPr>
        <w:t>a</w:t>
      </w:r>
      <w:r w:rsidR="00A63B38">
        <w:rPr>
          <w:rFonts w:ascii="Verdana" w:hAnsi="Verdana" w:cs="Arial"/>
          <w:bCs/>
          <w:sz w:val="20"/>
          <w:szCs w:val="20"/>
        </w:rPr>
        <w:t xml:space="preserve"> pela CBI</w:t>
      </w:r>
      <w:r w:rsidRPr="00E52213">
        <w:rPr>
          <w:rFonts w:ascii="Verdana" w:hAnsi="Verdana" w:cs="Arial"/>
          <w:bCs/>
          <w:sz w:val="20"/>
          <w:szCs w:val="20"/>
        </w:rPr>
        <w:t xml:space="preserve">, com base </w:t>
      </w:r>
      <w:r w:rsidRPr="00EC01AE" w:rsidR="00EC01AE">
        <w:rPr>
          <w:rFonts w:ascii="Verdana" w:hAnsi="Verdana" w:cs="Arial"/>
          <w:bCs/>
          <w:sz w:val="20"/>
          <w:szCs w:val="20"/>
        </w:rPr>
        <w:t xml:space="preserve">nos Critérios de Energia Eólica da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w:t>
      </w:r>
      <w:r w:rsidRPr="00EC01AE" w:rsidR="00EC01AE">
        <w:rPr>
          <w:rFonts w:ascii="Verdana" w:hAnsi="Verdana" w:cs="Arial"/>
          <w:bCs/>
          <w:sz w:val="20"/>
          <w:szCs w:val="20"/>
        </w:rPr>
        <w:t xml:space="preserve"> e com o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Pr="00E52213" w:rsidR="00AB0CF2">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rsidR="000F06C4" w:rsidRPr="00E52213" w:rsidP="000F06C4">
      <w:pPr>
        <w:tabs>
          <w:tab w:val="left" w:pos="720"/>
        </w:tabs>
        <w:spacing w:line="320" w:lineRule="exact"/>
        <w:ind w:left="742" w:hanging="742"/>
        <w:contextualSpacing/>
        <w:jc w:val="both"/>
        <w:rPr>
          <w:rFonts w:ascii="Verdana" w:hAnsi="Verdana" w:cs="Arial"/>
          <w:bCs/>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Pr="00E52213" w:rsidR="00285EF9">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xml:space="preserve">, no </w:t>
      </w:r>
      <w:r w:rsidR="00280C6D">
        <w:rPr>
          <w:rFonts w:ascii="Verdana" w:hAnsi="Verdana" w:cs="Arial"/>
          <w:bCs/>
          <w:sz w:val="20"/>
          <w:szCs w:val="20"/>
        </w:rPr>
        <w:t>website da Emissora, bem como será encaminhada uma cópia eletrônica, pela Emissora,</w:t>
      </w:r>
      <w:r w:rsidRPr="00E52213">
        <w:rPr>
          <w:rFonts w:ascii="Verdana" w:hAnsi="Verdana" w:cs="Arial"/>
          <w:bCs/>
          <w:sz w:val="20"/>
          <w:szCs w:val="20"/>
        </w:rPr>
        <w:t xml:space="preserve"> para o Agente Fiduciário.</w:t>
      </w:r>
    </w:p>
    <w:p w:rsidR="000F06C4" w:rsidRPr="00E52213" w:rsidP="000F06C4">
      <w:pPr>
        <w:tabs>
          <w:tab w:val="left" w:pos="720"/>
        </w:tabs>
        <w:spacing w:line="320" w:lineRule="exact"/>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Pr="00E52213" w:rsidR="00280C6D">
        <w:rPr>
          <w:rFonts w:ascii="Verdana" w:hAnsi="Verdana" w:cs="Arial"/>
          <w:bCs/>
          <w:sz w:val="20"/>
          <w:szCs w:val="20"/>
        </w:rPr>
        <w:t xml:space="preserve"> (</w:t>
      </w:r>
      <w:r w:rsidR="00280C6D">
        <w:rPr>
          <w:rFonts w:ascii="Verdana" w:hAnsi="Verdana" w:cs="Arial"/>
          <w:bCs/>
          <w:sz w:val="20"/>
          <w:szCs w:val="20"/>
        </w:rPr>
        <w:t>vinte e quatro</w:t>
      </w:r>
      <w:r w:rsidRPr="00E52213" w:rsidR="00280C6D">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Pr="0096018B" w:rsidR="00280C6D">
        <w:rPr>
          <w:rFonts w:ascii="Verdana" w:hAnsi="Verdana" w:cs="Arial"/>
          <w:bCs/>
          <w:i/>
          <w:iCs/>
          <w:sz w:val="20"/>
          <w:szCs w:val="20"/>
        </w:rPr>
        <w:t xml:space="preserve">Climate </w:t>
      </w:r>
      <w:r w:rsidRPr="0096018B" w:rsidR="00280C6D">
        <w:rPr>
          <w:rFonts w:ascii="Verdana" w:hAnsi="Verdana" w:cs="Arial"/>
          <w:bCs/>
          <w:i/>
          <w:iCs/>
          <w:sz w:val="20"/>
          <w:szCs w:val="20"/>
        </w:rPr>
        <w:t>Bonds</w:t>
      </w:r>
      <w:r w:rsidRPr="0096018B" w:rsidR="00280C6D">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Pr="00280C6D" w:rsid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Pr="00280C6D" w:rsidR="00280C6D">
        <w:rPr>
          <w:rFonts w:ascii="Verdana" w:hAnsi="Verdana" w:cs="Arial"/>
          <w:bCs/>
          <w:sz w:val="20"/>
          <w:szCs w:val="20"/>
        </w:rPr>
        <w:t xml:space="preserve"> da Emissora, </w:t>
      </w:r>
      <w:r w:rsidR="00280C6D">
        <w:rPr>
          <w:rFonts w:ascii="Verdana" w:hAnsi="Verdana" w:cs="Arial"/>
          <w:bCs/>
          <w:sz w:val="20"/>
          <w:szCs w:val="20"/>
        </w:rPr>
        <w:t xml:space="preserve">no website </w:t>
      </w:r>
      <w:r w:rsidRPr="00280C6D" w:rsid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Pr="00280C6D" w:rsidR="00280C6D">
        <w:rPr>
          <w:rFonts w:ascii="Verdana" w:hAnsi="Verdana" w:cs="Arial"/>
          <w:bCs/>
          <w:sz w:val="20"/>
          <w:szCs w:val="20"/>
        </w:rPr>
        <w:t>ao Agente Fiduciário</w:t>
      </w:r>
      <w:r w:rsidR="00280C6D">
        <w:rPr>
          <w:rFonts w:ascii="Verdana" w:hAnsi="Verdana" w:cs="Arial"/>
          <w:bCs/>
          <w:sz w:val="20"/>
          <w:szCs w:val="20"/>
        </w:rPr>
        <w:t xml:space="preserve"> pela Emissora.</w:t>
      </w:r>
    </w:p>
    <w:p w:rsidR="00285EF9" w:rsidP="000F06C4">
      <w:pPr>
        <w:tabs>
          <w:tab w:val="left" w:pos="720"/>
        </w:tabs>
        <w:spacing w:line="320" w:lineRule="exact"/>
        <w:ind w:left="709" w:hanging="709"/>
        <w:contextualSpacing/>
        <w:jc w:val="both"/>
        <w:rPr>
          <w:rFonts w:ascii="Verdana" w:hAnsi="Verdana" w:cs="Arial"/>
          <w:bCs/>
          <w:sz w:val="20"/>
          <w:szCs w:val="20"/>
        </w:rPr>
      </w:pPr>
    </w:p>
    <w:p w:rsidR="000F06C4"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t>A Emissora, neste ato, declara que o Projeto a ser desenvolvido com os recursos captados por meio das Debêntures, nunca foi nomeado para os fins de obtenção de outra certificação como título verde, sustentável, climático ou análogo.</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 Projeto</w:t>
      </w:r>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Pr="00285EF9" w:rsidR="00DD27C3">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r w:rsidRPr="00285EF9">
        <w:rPr>
          <w:rFonts w:ascii="Verdana" w:hAnsi="Verdana" w:cs="Arial"/>
          <w:bCs/>
          <w:sz w:val="20"/>
          <w:szCs w:val="20"/>
        </w:rPr>
        <w:t xml:space="preserve"> Projeto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 Projeto ou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 Projeto</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50"/>
      <w:bookmarkEnd w:id="251"/>
      <w:bookmarkEnd w:id="252"/>
      <w:bookmarkEnd w:id="253"/>
      <w:bookmarkEnd w:id="254"/>
      <w:bookmarkEnd w:id="255"/>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56" w:name="_DV_M245"/>
      <w:bookmarkStart w:id="257" w:name="_Ref75441357"/>
      <w:bookmarkEnd w:id="256"/>
      <w:r w:rsidRPr="00E52213">
        <w:rPr>
          <w:rFonts w:ascii="Verdana" w:eastAsia="Arial Unicode MS" w:hAnsi="Verdana" w:cs="Arial"/>
          <w:sz w:val="20"/>
          <w:szCs w:val="20"/>
        </w:rPr>
        <w:tab/>
      </w:r>
      <w:bookmarkStart w:id="258"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59" w:name="_DV_C169"/>
      <w:r w:rsidRPr="00E52213">
        <w:rPr>
          <w:rFonts w:ascii="Verdana" w:eastAsia="Arial Unicode MS" w:hAnsi="Verdana" w:cs="Arial"/>
          <w:sz w:val="20"/>
          <w:szCs w:val="20"/>
        </w:rPr>
        <w:t>,</w:t>
      </w:r>
      <w:bookmarkStart w:id="260" w:name="_DV_M246"/>
      <w:bookmarkEnd w:id="259"/>
      <w:bookmarkEnd w:id="260"/>
      <w:r w:rsidRPr="00E52213">
        <w:rPr>
          <w:rFonts w:ascii="Verdana" w:eastAsia="Arial Unicode MS" w:hAnsi="Verdana" w:cs="Arial"/>
          <w:sz w:val="20"/>
          <w:szCs w:val="20"/>
        </w:rPr>
        <w:t xml:space="preserve"> </w:t>
      </w:r>
      <w:bookmarkStart w:id="261" w:name="_DV_M247"/>
      <w:bookmarkEnd w:id="261"/>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62" w:name="_DV_C170"/>
      <w:r w:rsidRPr="00E52213">
        <w:rPr>
          <w:rFonts w:ascii="Verdana" w:eastAsia="Arial Unicode MS" w:hAnsi="Verdana" w:cs="Arial"/>
          <w:sz w:val="20"/>
          <w:szCs w:val="20"/>
        </w:rPr>
        <w:t>e dos Encargos Moratórios e multas, se houver,</w:t>
      </w:r>
      <w:bookmarkStart w:id="263" w:name="_DV_M248"/>
      <w:bookmarkEnd w:id="262"/>
      <w:bookmarkEnd w:id="263"/>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57"/>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64" w:name="_Ref374561026"/>
      <w:bookmarkStart w:id="265" w:name="_Hlk7366864"/>
      <w:bookmarkStart w:id="266"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4814D5"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67" w:name="_Hlk59537691"/>
      <w:r w:rsidRPr="00E52213">
        <w:rPr>
          <w:rFonts w:ascii="Verdana" w:eastAsia="Arial Unicode MS" w:hAnsi="Verdana" w:cs="Arial"/>
          <w:sz w:val="20"/>
          <w:szCs w:val="20"/>
        </w:rPr>
        <w:t>., inscrita no CNPJ/ME sob o nº 33.592.510/0001-54</w:t>
      </w:r>
      <w:bookmarkEnd w:id="267"/>
      <w:r w:rsidRPr="00E52213">
        <w:rPr>
          <w:rFonts w:ascii="Verdana" w:eastAsia="Arial Unicode MS" w:hAnsi="Verdana" w:cs="Arial"/>
          <w:sz w:val="20"/>
          <w:szCs w:val="20"/>
        </w:rPr>
        <w:t xml:space="preserve"> e/ou a Cemig Geração e Transmissão S.A.</w:t>
      </w:r>
      <w:bookmarkStart w:id="268" w:name="_Hlk59537700"/>
      <w:r w:rsidRPr="00E52213">
        <w:rPr>
          <w:rFonts w:ascii="Verdana" w:eastAsia="Arial Unicode MS" w:hAnsi="Verdana" w:cs="Arial"/>
          <w:sz w:val="20"/>
          <w:szCs w:val="20"/>
        </w:rPr>
        <w:t xml:space="preserve">, </w:t>
      </w:r>
      <w:bookmarkEnd w:id="268"/>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w:t>
      </w:r>
      <w:r w:rsidRPr="00E52213">
        <w:rPr>
          <w:rFonts w:ascii="Verdana" w:eastAsia="Arial Unicode MS" w:hAnsi="Verdana" w:cs="Arial"/>
          <w:sz w:val="20"/>
          <w:szCs w:val="20"/>
        </w:rPr>
        <w:t xml:space="preserve">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69" w:name="_Ref367360072"/>
      <w:bookmarkStart w:id="270" w:name="_Toc367387635"/>
      <w:bookmarkEnd w:id="264"/>
    </w:p>
    <w:p w:rsidR="000F06C4" w:rsidRPr="00E52213" w:rsidP="000F06C4">
      <w:pPr>
        <w:spacing w:line="320" w:lineRule="exact"/>
        <w:ind w:left="705" w:hanging="705"/>
        <w:contextualSpacing/>
        <w:jc w:val="both"/>
        <w:rPr>
          <w:rFonts w:ascii="Verdana" w:eastAsia="Arial Unicode MS" w:hAnsi="Verdana" w:cs="Arial"/>
          <w:szCs w:val="20"/>
        </w:rPr>
      </w:pPr>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271"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69"/>
      <w:bookmarkEnd w:id="270"/>
      <w:bookmarkEnd w:id="27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265"/>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272"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72"/>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3" w:name="_Ref367286552"/>
      <w:bookmarkStart w:id="274" w:name="_Toc367387639"/>
      <w:bookmarkStart w:id="275"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w:t>
      </w:r>
      <w:r w:rsidRPr="00E52213">
        <w:rPr>
          <w:rFonts w:ascii="Verdana" w:eastAsia="Arial Unicode MS" w:hAnsi="Verdana" w:cs="Arial"/>
          <w:sz w:val="20"/>
          <w:szCs w:val="20"/>
        </w:rPr>
        <w:t xml:space="preserve">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73"/>
      <w:bookmarkEnd w:id="274"/>
      <w:r w:rsidRPr="00E52213">
        <w:rPr>
          <w:rFonts w:ascii="Verdana" w:eastAsia="Arial Unicode MS" w:hAnsi="Verdana" w:cs="Arial"/>
          <w:sz w:val="20"/>
          <w:szCs w:val="20"/>
        </w:rPr>
        <w:t>.</w:t>
      </w:r>
      <w:bookmarkEnd w:id="275"/>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6" w:name="_Ref367360082"/>
      <w:bookmarkStart w:id="277"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76"/>
      <w:bookmarkEnd w:id="277"/>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8" w:name="_Ref367386615"/>
      <w:bookmarkStart w:id="279"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278"/>
      <w:bookmarkEnd w:id="279"/>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sidR="00B64F95">
        <w:rPr>
          <w:rFonts w:ascii="Verdana" w:eastAsia="Arial Unicode MS" w:hAnsi="Verdana" w:cs="Arial"/>
          <w:sz w:val="20"/>
        </w:rPr>
        <w:t xml:space="preserve">o pagamento da totalidade das Debêntures previsto na Cláusula </w:t>
      </w:r>
      <w:r w:rsidRPr="00E52213" w:rsidR="00B64F95">
        <w:rPr>
          <w:rFonts w:ascii="Verdana" w:eastAsia="Arial Unicode MS" w:hAnsi="Verdana" w:cs="Arial"/>
          <w:sz w:val="20"/>
        </w:rPr>
        <w:fldChar w:fldCharType="begin"/>
      </w:r>
      <w:r w:rsidRPr="00E52213" w:rsidR="00B64F95">
        <w:rPr>
          <w:rFonts w:ascii="Verdana" w:eastAsia="Arial Unicode MS" w:hAnsi="Verdana" w:cs="Arial"/>
          <w:sz w:val="20"/>
        </w:rPr>
        <w:instrText xml:space="preserve"> REF _Ref367386615 \n \h </w:instrText>
      </w:r>
      <w:r w:rsidRPr="00E52213" w:rsidR="00B64F95">
        <w:rPr>
          <w:rFonts w:ascii="Verdana" w:eastAsia="Arial Unicode MS" w:hAnsi="Verdana" w:cs="Arial"/>
          <w:sz w:val="20"/>
        </w:rPr>
        <w:fldChar w:fldCharType="separate"/>
      </w:r>
      <w:r w:rsidRPr="00E52213" w:rsidR="00B64F95">
        <w:rPr>
          <w:rFonts w:ascii="Verdana" w:eastAsia="Arial Unicode MS" w:hAnsi="Verdana" w:cs="Arial"/>
          <w:sz w:val="20"/>
        </w:rPr>
        <w:t>5.6</w:t>
      </w:r>
      <w:r w:rsidRPr="00E52213" w:rsidR="00B64F95">
        <w:rPr>
          <w:rFonts w:ascii="Verdana" w:eastAsia="Arial Unicode MS" w:hAnsi="Verdana" w:cs="Arial"/>
          <w:sz w:val="20"/>
        </w:rPr>
        <w:fldChar w:fldCharType="end"/>
      </w:r>
      <w:r w:rsidRPr="00E52213" w:rsidR="00B64F95">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80"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1" w:name="_DV_C292"/>
      <w:r w:rsidRPr="00E52213">
        <w:rPr>
          <w:rFonts w:ascii="Verdana" w:eastAsia="Arial Unicode MS" w:hAnsi="Verdana" w:cs="Arial"/>
          <w:sz w:val="20"/>
          <w:szCs w:val="20"/>
        </w:rPr>
        <w:t>comunicar imediatamente à</w:t>
      </w:r>
      <w:bookmarkStart w:id="282" w:name="_DV_M389"/>
      <w:bookmarkEnd w:id="281"/>
      <w:bookmarkEnd w:id="282"/>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83" w:name="_DV_M390"/>
      <w:bookmarkEnd w:id="283"/>
      <w:r w:rsidRPr="00E52213">
        <w:rPr>
          <w:rFonts w:ascii="Verdana" w:eastAsia="Arial Unicode MS" w:hAnsi="Verdana" w:cs="Arial"/>
          <w:sz w:val="20"/>
          <w:szCs w:val="20"/>
        </w:rPr>
        <w:t>.</w:t>
      </w:r>
      <w:bookmarkEnd w:id="280"/>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284" w:name="_DV_M249"/>
      <w:bookmarkStart w:id="285" w:name="_DV_M255"/>
      <w:bookmarkStart w:id="286" w:name="_DV_M256"/>
      <w:bookmarkStart w:id="287" w:name="_DV_M257"/>
      <w:bookmarkStart w:id="288" w:name="_DV_M258"/>
      <w:bookmarkStart w:id="289" w:name="_DV_M259"/>
      <w:bookmarkStart w:id="290" w:name="_DV_M260"/>
      <w:bookmarkStart w:id="291" w:name="_DV_M261"/>
      <w:bookmarkStart w:id="292" w:name="_DV_M272"/>
      <w:bookmarkStart w:id="293" w:name="_DV_M354"/>
      <w:bookmarkEnd w:id="258"/>
      <w:bookmarkEnd w:id="266"/>
      <w:bookmarkEnd w:id="284"/>
      <w:bookmarkEnd w:id="285"/>
      <w:bookmarkEnd w:id="286"/>
      <w:bookmarkEnd w:id="287"/>
      <w:bookmarkEnd w:id="288"/>
      <w:bookmarkEnd w:id="289"/>
      <w:bookmarkEnd w:id="290"/>
      <w:bookmarkEnd w:id="291"/>
      <w:bookmarkEnd w:id="292"/>
      <w:bookmarkEnd w:id="293"/>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94" w:name="_DV_M388"/>
      <w:bookmarkStart w:id="295" w:name="_DV_M391"/>
      <w:bookmarkStart w:id="296" w:name="_DV_M394"/>
      <w:bookmarkStart w:id="297" w:name="_DV_M396"/>
      <w:bookmarkStart w:id="298" w:name="_Toc499990368"/>
      <w:bookmarkStart w:id="299" w:name="_Toc280370541"/>
      <w:bookmarkStart w:id="300" w:name="_Toc349040597"/>
      <w:bookmarkStart w:id="301" w:name="_Toc355626571"/>
      <w:bookmarkStart w:id="302" w:name="_Toc351469182"/>
      <w:bookmarkStart w:id="303" w:name="_Toc352767484"/>
      <w:bookmarkEnd w:id="294"/>
      <w:bookmarkEnd w:id="295"/>
      <w:bookmarkEnd w:id="296"/>
      <w:bookmarkEnd w:id="297"/>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4" w:name="_DV_M397"/>
      <w:bookmarkEnd w:id="298"/>
      <w:bookmarkEnd w:id="304"/>
      <w:r w:rsidRPr="00E52213">
        <w:rPr>
          <w:rFonts w:ascii="Verdana" w:eastAsia="Arial Unicode MS" w:hAnsi="Verdana"/>
          <w:b/>
          <w:bCs/>
          <w:kern w:val="32"/>
          <w:sz w:val="20"/>
          <w:szCs w:val="20"/>
        </w:rPr>
        <w:t>EMISSORA</w:t>
      </w:r>
      <w:bookmarkStart w:id="305" w:name="_DV_M398"/>
      <w:bookmarkEnd w:id="299"/>
      <w:bookmarkEnd w:id="300"/>
      <w:bookmarkEnd w:id="301"/>
      <w:bookmarkEnd w:id="302"/>
      <w:bookmarkEnd w:id="303"/>
      <w:bookmarkEnd w:id="305"/>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06" w:name="_DV_M399"/>
      <w:bookmarkEnd w:id="306"/>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07"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08" w:name="_DV_M400"/>
      <w:bookmarkEnd w:id="308"/>
      <w:r w:rsidRPr="00E52213">
        <w:rPr>
          <w:rFonts w:ascii="Verdana" w:eastAsia="Arial Unicode MS" w:hAnsi="Verdana" w:cs="Arial"/>
          <w:sz w:val="20"/>
          <w:szCs w:val="20"/>
        </w:rPr>
        <w:t xml:space="preserve">fornecer ao Agente Fiduciário </w:t>
      </w:r>
      <w:bookmarkStart w:id="309" w:name="_DV_M404"/>
      <w:bookmarkStart w:id="310" w:name="_Hlk6809645"/>
      <w:bookmarkEnd w:id="309"/>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w:t>
      </w:r>
      <w:r w:rsidRPr="00E52213">
        <w:rPr>
          <w:rFonts w:ascii="Verdana" w:eastAsia="Arial Unicode MS" w:hAnsi="Verdana"/>
          <w:sz w:val="20"/>
          <w:szCs w:val="20"/>
        </w:rPr>
        <w:t xml:space="preserve">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r w:rsidRPr="00E52213">
        <w:rPr>
          <w:rFonts w:ascii="Verdana" w:eastAsia="Arial Unicode MS" w:hAnsi="Verdana"/>
          <w:sz w:val="20"/>
          <w:szCs w:val="20"/>
        </w:rPr>
        <w:t>ix</w:t>
      </w:r>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w:t>
      </w:r>
      <w:r w:rsidRPr="00E52213">
        <w:rPr>
          <w:rFonts w:ascii="Verdana" w:eastAsia="Arial Unicode MS" w:hAnsi="Verdana" w:cs="Arial"/>
          <w:sz w:val="20"/>
          <w:szCs w:val="20"/>
        </w:rPr>
        <w:t xml:space="preserve">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rsidR="000F06C4" w:rsidRPr="00E52213"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t xml:space="preserve"> </w:t>
      </w:r>
    </w:p>
    <w:p w:rsidR="000F06C4" w:rsidRPr="00E5221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 xml:space="preserve">exceto (a) por aquelas questionadas de boa-fé nas esferas administrativa e/ou judicial; ou </w:t>
      </w:r>
      <w:r w:rsidRPr="00E52213">
        <w:rPr>
          <w:rFonts w:ascii="Verdana" w:eastAsia="Calibri" w:hAnsi="Verdana"/>
          <w:sz w:val="20"/>
          <w:lang w:eastAsia="en-US"/>
        </w:rPr>
        <w:t>(b)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11" w:name="_DV_M405"/>
      <w:bookmarkStart w:id="312" w:name="_DV_M407"/>
      <w:bookmarkStart w:id="313" w:name="_DV_M408"/>
      <w:bookmarkStart w:id="314" w:name="_DV_M402"/>
      <w:bookmarkStart w:id="315" w:name="_DV_M403"/>
      <w:bookmarkStart w:id="316" w:name="_DV_M409"/>
      <w:bookmarkStart w:id="317" w:name="_DV_M410"/>
      <w:bookmarkStart w:id="318" w:name="_DV_M411"/>
      <w:bookmarkStart w:id="319" w:name="_DV_M413"/>
      <w:bookmarkStart w:id="320" w:name="_DV_M414"/>
      <w:bookmarkStart w:id="321" w:name="_DV_M418"/>
      <w:bookmarkStart w:id="322" w:name="_DV_M419"/>
      <w:bookmarkStart w:id="323" w:name="_DV_M420"/>
      <w:bookmarkStart w:id="324" w:name="_DV_M421"/>
      <w:bookmarkStart w:id="325" w:name="_DV_M423"/>
      <w:bookmarkStart w:id="326" w:name="_DV_M424"/>
      <w:bookmarkStart w:id="327" w:name="_DV_M425"/>
      <w:bookmarkStart w:id="328" w:name="_DV_M426"/>
      <w:bookmarkStart w:id="329" w:name="_DV_M427"/>
      <w:bookmarkStart w:id="330" w:name="_DV_M428"/>
      <w:bookmarkStart w:id="331" w:name="_DV_M429"/>
      <w:bookmarkStart w:id="332" w:name="_DV_M430"/>
      <w:bookmarkStart w:id="333" w:name="_DV_M431"/>
      <w:bookmarkStart w:id="334" w:name="_DV_M432"/>
      <w:bookmarkStart w:id="335" w:name="_DV_M435"/>
      <w:bookmarkStart w:id="336" w:name="_DV_M461"/>
      <w:bookmarkStart w:id="337" w:name="_DV_M462"/>
      <w:bookmarkStart w:id="338" w:name="_DV_M470"/>
      <w:bookmarkStart w:id="339" w:name="_Toc499990370"/>
      <w:bookmarkStart w:id="340" w:name="_Toc280370542"/>
      <w:bookmarkStart w:id="341" w:name="_Toc349040598"/>
      <w:bookmarkStart w:id="342" w:name="_Toc351469183"/>
      <w:bookmarkStart w:id="343" w:name="_Toc352767485"/>
      <w:bookmarkStart w:id="344" w:name="_Toc355626572"/>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0F06C4" w:rsidRPr="00E52213" w:rsidP="000F06C4">
      <w:pPr>
        <w:pStyle w:val="ListParagraph"/>
        <w:rPr>
          <w:rFonts w:ascii="Verdana" w:eastAsia="MS Mincho" w:hAnsi="Verdana"/>
          <w:b/>
          <w:sz w:val="20"/>
        </w:rPr>
      </w:pPr>
    </w:p>
    <w:p w:rsidR="000F06C4" w:rsidRPr="00E52213" w:rsidP="000F06C4">
      <w:pPr>
        <w:keepNext/>
        <w:keepLines/>
        <w:tabs>
          <w:tab w:val="left" w:pos="4253"/>
        </w:tabs>
        <w:spacing w:line="320" w:lineRule="exact"/>
        <w:jc w:val="center"/>
        <w:rPr>
          <w:rFonts w:ascii="Verdana" w:eastAsia="MS Mincho" w:hAnsi="Verdana"/>
          <w:b/>
          <w:sz w:val="20"/>
          <w:szCs w:val="20"/>
        </w:rPr>
      </w:pPr>
      <w:bookmarkEnd w:id="307"/>
    </w:p>
    <w:p w:rsidR="000F06C4" w:rsidRPr="00E52213" w:rsidP="000F06C4">
      <w:pPr>
        <w:keepNext/>
        <w:keepLines/>
        <w:tabs>
          <w:tab w:val="left" w:pos="4253"/>
        </w:tabs>
        <w:spacing w:line="320" w:lineRule="exact"/>
        <w:jc w:val="center"/>
        <w:rPr>
          <w:rFonts w:ascii="Verdana" w:eastAsia="MS Mincho" w:hAnsi="Verdana"/>
          <w:b/>
          <w:sz w:val="20"/>
          <w:szCs w:val="20"/>
        </w:rPr>
      </w:pPr>
      <w:bookmarkStart w:id="345"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39"/>
      <w:bookmarkEnd w:id="340"/>
      <w:bookmarkEnd w:id="341"/>
      <w:bookmarkEnd w:id="342"/>
      <w:bookmarkEnd w:id="343"/>
      <w:bookmarkEnd w:id="344"/>
    </w:p>
    <w:p w:rsidR="000F06C4" w:rsidRPr="00E52213" w:rsidP="000F06C4">
      <w:pPr>
        <w:keepNext/>
        <w:keepLines/>
        <w:spacing w:line="320" w:lineRule="exact"/>
        <w:contextualSpacing/>
        <w:jc w:val="center"/>
        <w:rPr>
          <w:rFonts w:ascii="Verdana" w:eastAsia="MS Mincho" w:hAnsi="Verdana" w:cs="Arial"/>
          <w:sz w:val="20"/>
          <w:szCs w:val="20"/>
        </w:rPr>
      </w:pPr>
      <w:bookmarkStart w:id="346"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47" w:name="_DV_M471"/>
      <w:bookmarkEnd w:id="347"/>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48" w:name="_DV_M472"/>
      <w:bookmarkEnd w:id="348"/>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49" w:name="_Ref75441458"/>
      <w:r w:rsidRPr="00E52213">
        <w:rPr>
          <w:rFonts w:ascii="Verdana" w:eastAsia="Arial Unicode MS" w:hAnsi="Verdana" w:cs="Arial"/>
          <w:b/>
          <w:sz w:val="20"/>
          <w:szCs w:val="20"/>
        </w:rPr>
        <w:t>Substituição</w:t>
      </w:r>
      <w:bookmarkEnd w:id="349"/>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50"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50"/>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51"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1"/>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w:t>
      </w:r>
      <w:r w:rsidRPr="00E52213">
        <w:rPr>
          <w:rFonts w:ascii="Verdana" w:hAnsi="Verdana" w:cs="Tahoma"/>
          <w:sz w:val="20"/>
          <w:szCs w:val="20"/>
        </w:rPr>
        <w:t>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52"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53"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52"/>
      <w:bookmarkEnd w:id="353"/>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4" w:name="_DV_M473"/>
      <w:bookmarkStart w:id="355" w:name="_Hlk76733853"/>
      <w:bookmarkEnd w:id="354"/>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56"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56"/>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E52213">
        <w:rPr>
          <w:rFonts w:ascii="Verdana" w:eastAsia="Arial Unicode MS" w:hAnsi="Verdana" w:cs="Tahoma"/>
          <w:sz w:val="20"/>
          <w:szCs w:val="20"/>
        </w:rPr>
        <w:t>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7"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57"/>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58"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w:t>
      </w:r>
      <w:r w:rsidRPr="00E52213">
        <w:rPr>
          <w:rFonts w:ascii="Verdana" w:eastAsia="MS Mincho" w:hAnsi="Verdana" w:cs="Tahoma"/>
          <w:sz w:val="20"/>
          <w:szCs w:val="20"/>
        </w:rPr>
        <w:t>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59"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58"/>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59"/>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60" w:name="_DV_M489"/>
      <w:bookmarkStart w:id="361" w:name="_DV_M491"/>
      <w:bookmarkStart w:id="362" w:name="_DV_M496"/>
      <w:bookmarkStart w:id="363" w:name="_DV_M535"/>
      <w:bookmarkStart w:id="364" w:name="_DV_M541"/>
      <w:bookmarkStart w:id="365" w:name="_DV_M542"/>
      <w:bookmarkEnd w:id="355"/>
      <w:bookmarkEnd w:id="360"/>
      <w:bookmarkEnd w:id="361"/>
      <w:bookmarkEnd w:id="362"/>
      <w:bookmarkEnd w:id="363"/>
      <w:bookmarkEnd w:id="364"/>
      <w:bookmarkEnd w:id="365"/>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w:t>
      </w:r>
      <w:r w:rsidRPr="00E52213">
        <w:rPr>
          <w:rFonts w:ascii="Verdana" w:eastAsia="Arial Unicode MS" w:hAnsi="Verdana" w:cs="Arial"/>
          <w:sz w:val="20"/>
          <w:szCs w:val="20"/>
        </w:rPr>
        <w:t xml:space="preserve">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366" w:name="_DV_M543"/>
      <w:bookmarkStart w:id="367" w:name="_DV_M549"/>
      <w:bookmarkEnd w:id="366"/>
      <w:bookmarkEnd w:id="367"/>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368" w:name="_Ref271282536"/>
      <w:bookmarkStart w:id="369"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r w:rsidRPr="00CF3B57" w:rsidR="008552C1">
        <w:rPr>
          <w:rFonts w:ascii="Verdana" w:eastAsia="Arial Unicode MS" w:hAnsi="Verdana" w:cs="Verdana"/>
          <w:sz w:val="20"/>
        </w:rPr>
        <w:t>10.000,00</w:t>
      </w:r>
      <w:r w:rsidRPr="00CF3B57">
        <w:rPr>
          <w:rFonts w:ascii="Verdana" w:eastAsia="Arial Unicode MS" w:hAnsi="Verdana" w:cs="Arial"/>
          <w:sz w:val="20"/>
          <w:szCs w:val="20"/>
        </w:rPr>
        <w:t xml:space="preserve"> (</w:t>
      </w:r>
      <w:r w:rsidRPr="00CF3B57" w:rsidR="008552C1">
        <w:rPr>
          <w:rFonts w:ascii="Verdana" w:eastAsia="Arial Unicode MS" w:hAnsi="Verdana" w:cs="Arial"/>
          <w:sz w:val="20"/>
          <w:szCs w:val="20"/>
        </w:rPr>
        <w:t>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68"/>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69"/>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w:t>
      </w:r>
      <w:r w:rsidRPr="00E52213">
        <w:rPr>
          <w:rFonts w:ascii="Verdana" w:eastAsia="Calibri" w:hAnsi="Verdana" w:cs="Arial"/>
          <w:sz w:val="20"/>
          <w:szCs w:val="20"/>
          <w:lang w:eastAsia="en-US"/>
        </w:rPr>
        <w:t>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r w:rsidRPr="00E52213">
        <w:rPr>
          <w:rFonts w:ascii="Verdana" w:eastAsia="Calibri" w:hAnsi="Verdana" w:cs="Arial"/>
          <w:sz w:val="20"/>
          <w:szCs w:val="20"/>
          <w:lang w:eastAsia="en-US"/>
        </w:rPr>
        <w:t>da mesma</w:t>
      </w:r>
      <w:r w:rsidRPr="00E52213">
        <w:rPr>
          <w:rFonts w:ascii="Verdana" w:eastAsia="Calibri" w:hAnsi="Verdana" w:cs="Arial"/>
          <w:sz w:val="20"/>
          <w:szCs w:val="20"/>
          <w:lang w:eastAsia="en-US"/>
        </w:rPr>
        <w:t xml:space="preserve">.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370" w:name="_DV_M550"/>
      <w:bookmarkEnd w:id="370"/>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71" w:name="_DV_M564"/>
      <w:bookmarkEnd w:id="371"/>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2" w:name="_DV_M565"/>
      <w:bookmarkStart w:id="373" w:name="_Ref75441532"/>
      <w:bookmarkStart w:id="374" w:name="_Ref271282660"/>
      <w:bookmarkStart w:id="375" w:name="_Toc499990378"/>
      <w:bookmarkEnd w:id="346"/>
      <w:bookmarkEnd w:id="372"/>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73"/>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w:t>
      </w:r>
      <w:r w:rsidRPr="00E52213">
        <w:rPr>
          <w:rFonts w:ascii="Verdana" w:eastAsia="Arial Unicode MS" w:hAnsi="Verdana" w:cs="Arial"/>
          <w:sz w:val="20"/>
          <w:szCs w:val="20"/>
        </w:rPr>
        <w:t>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374"/>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76"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serão devidos </w:t>
      </w:r>
      <w:r w:rsidR="008552C1">
        <w:rPr>
          <w:rFonts w:ascii="Verdana" w:eastAsia="Arial Unicode MS" w:hAnsi="Verdana"/>
          <w:sz w:val="20"/>
          <w:szCs w:val="20"/>
        </w:rPr>
        <w:t>a 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bookmarkEnd w:id="376"/>
    </w:p>
    <w:p w:rsidR="000F06C4" w:rsidRPr="00E52213" w:rsidP="000F06C4">
      <w:pPr>
        <w:tabs>
          <w:tab w:val="left" w:pos="1134"/>
        </w:tabs>
        <w:spacing w:line="320" w:lineRule="exact"/>
        <w:ind w:left="1134"/>
        <w:jc w:val="both"/>
        <w:rPr>
          <w:rFonts w:ascii="Verdana" w:eastAsia="Arial Unicode MS" w:hAnsi="Verdana"/>
          <w:sz w:val="20"/>
          <w:szCs w:val="20"/>
        </w:rPr>
      </w:pPr>
      <w:bookmarkEnd w:id="345"/>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77" w:name="_DV_M568"/>
      <w:bookmarkStart w:id="378" w:name="_Toc280370543"/>
      <w:bookmarkStart w:id="379" w:name="_Toc349040599"/>
      <w:bookmarkStart w:id="380" w:name="_Toc351469184"/>
      <w:bookmarkStart w:id="381" w:name="_Toc352767486"/>
      <w:bookmarkStart w:id="382" w:name="_Toc355626573"/>
      <w:bookmarkEnd w:id="377"/>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5"/>
      <w:bookmarkEnd w:id="378"/>
      <w:bookmarkEnd w:id="379"/>
      <w:bookmarkEnd w:id="380"/>
      <w:bookmarkEnd w:id="381"/>
      <w:bookmarkEnd w:id="382"/>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383"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384" w:name="_DV_M569"/>
      <w:bookmarkStart w:id="385" w:name="_Ref75441304"/>
      <w:bookmarkEnd w:id="383"/>
      <w:bookmarkEnd w:id="384"/>
      <w:r w:rsidRPr="00E52213">
        <w:rPr>
          <w:rFonts w:ascii="Verdana" w:eastAsia="Arial Unicode MS" w:hAnsi="Verdana" w:cs="Arial"/>
          <w:b/>
          <w:sz w:val="20"/>
          <w:szCs w:val="20"/>
        </w:rPr>
        <w:tab/>
        <w:t>Disposições Gerais</w:t>
      </w:r>
      <w:bookmarkEnd w:id="385"/>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386"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86"/>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387" w:name="_DV_M570"/>
      <w:bookmarkEnd w:id="387"/>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88" w:name="_DV_M571"/>
      <w:bookmarkEnd w:id="388"/>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89" w:name="_DV_M572"/>
      <w:bookmarkEnd w:id="389"/>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90" w:name="_DV_M573"/>
      <w:bookmarkEnd w:id="390"/>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1" w:name="_DV_M574"/>
      <w:bookmarkEnd w:id="391"/>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2" w:name="_DV_M575"/>
      <w:bookmarkEnd w:id="392"/>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t>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393" w:name="_DV_M576"/>
      <w:bookmarkStart w:id="394" w:name="_Ref75441315"/>
      <w:bookmarkEnd w:id="393"/>
      <w:r w:rsidRPr="00E52213">
        <w:rPr>
          <w:rFonts w:ascii="Verdana" w:eastAsia="Arial Unicode MS" w:hAnsi="Verdana" w:cs="Arial"/>
          <w:b/>
          <w:sz w:val="20"/>
          <w:szCs w:val="20"/>
        </w:rPr>
        <w:t>Quórum de Instalação</w:t>
      </w:r>
      <w:bookmarkEnd w:id="394"/>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395" w:name="_DV_M577"/>
      <w:bookmarkEnd w:id="395"/>
      <w:r w:rsidRPr="00E52213">
        <w:rPr>
          <w:rFonts w:ascii="Verdana" w:eastAsia="Arial Unicode MS" w:hAnsi="Verdana" w:cs="Arial"/>
          <w:sz w:val="20"/>
          <w:szCs w:val="20"/>
        </w:rPr>
        <w:t xml:space="preserve">Nos termos do artigo 71, parágrafo terceiro, da Lei das Sociedades por Ações, </w:t>
      </w:r>
      <w:bookmarkStart w:id="396"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96"/>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397" w:name="_DV_M578"/>
      <w:bookmarkEnd w:id="397"/>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398" w:name="_DV_M579"/>
      <w:bookmarkEnd w:id="398"/>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399" w:name="_DV_M580"/>
      <w:bookmarkStart w:id="400" w:name="_Ref75440787"/>
      <w:bookmarkStart w:id="401" w:name="_Ref130286717"/>
      <w:bookmarkEnd w:id="399"/>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r w:rsidRPr="00E52213">
        <w:rPr>
          <w:rFonts w:ascii="Verdana" w:eastAsia="Arial Unicode MS" w:hAnsi="Verdana" w:cs="Arial"/>
          <w:sz w:val="20"/>
          <w:szCs w:val="20"/>
        </w:rPr>
        <w:t>Debenturista</w:t>
      </w:r>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400"/>
    </w:p>
    <w:p w:rsidR="000F06C4" w:rsidRPr="00E52213" w:rsidP="000F06C4">
      <w:pPr>
        <w:spacing w:line="320" w:lineRule="exact"/>
        <w:contextualSpacing/>
        <w:jc w:val="both"/>
        <w:rPr>
          <w:rFonts w:ascii="Verdana" w:eastAsia="Arial Unicode MS" w:hAnsi="Verdana" w:cs="Arial"/>
          <w:sz w:val="20"/>
          <w:szCs w:val="20"/>
        </w:rPr>
      </w:pPr>
      <w:bookmarkEnd w:id="401"/>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02" w:name="_DV_M584"/>
      <w:bookmarkStart w:id="403" w:name="_DV_M585"/>
      <w:bookmarkStart w:id="404" w:name="_Ref75441551"/>
      <w:bookmarkEnd w:id="402"/>
      <w:bookmarkEnd w:id="403"/>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5" w:name="_DV_M586"/>
      <w:bookmarkStart w:id="406" w:name="_DV_M587"/>
      <w:bookmarkEnd w:id="405"/>
      <w:bookmarkEnd w:id="406"/>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t>Escritura de Emissão, (vii) das disposições desta Cláusula, (viii) criação de evento de repactuação, (</w:t>
      </w:r>
      <w:r w:rsidRPr="00E52213">
        <w:rPr>
          <w:rFonts w:ascii="Verdana" w:eastAsia="Arial Unicode MS" w:hAnsi="Verdana" w:cs="Arial"/>
          <w:sz w:val="20"/>
          <w:szCs w:val="20"/>
        </w:rPr>
        <w:t>Ix</w:t>
      </w:r>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404"/>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7" w:name="_DV_M589"/>
      <w:bookmarkEnd w:id="407"/>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8" w:name="_DV_M590"/>
      <w:bookmarkEnd w:id="408"/>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09" w:name="_Toc367387498"/>
      <w:bookmarkStart w:id="410" w:name="_Toc367387692"/>
      <w:bookmarkStart w:id="411" w:name="_Toc367389078"/>
      <w:bookmarkStart w:id="412" w:name="_Toc375090294"/>
      <w:bookmarkStart w:id="413" w:name="_Toc368667940"/>
      <w:r w:rsidRPr="00E52213">
        <w:rPr>
          <w:rFonts w:ascii="Verdana" w:eastAsia="Arial Unicode MS" w:hAnsi="Verdana" w:cs="Arial"/>
          <w:b/>
          <w:sz w:val="20"/>
          <w:szCs w:val="20"/>
        </w:rPr>
        <w:t>Mesa Diretora</w:t>
      </w:r>
      <w:bookmarkEnd w:id="409"/>
      <w:bookmarkEnd w:id="410"/>
      <w:bookmarkEnd w:id="411"/>
      <w:bookmarkEnd w:id="412"/>
      <w:bookmarkEnd w:id="413"/>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4" w:name="_DV_M392"/>
      <w:bookmarkStart w:id="415" w:name="_Toc367387693"/>
      <w:bookmarkEnd w:id="414"/>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15"/>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6" w:name="_DV_M393"/>
      <w:bookmarkEnd w:id="416"/>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17" w:name="_DV_M591"/>
      <w:bookmarkStart w:id="418" w:name="_Toc499990383"/>
      <w:bookmarkStart w:id="419" w:name="_Toc280370544"/>
      <w:bookmarkStart w:id="420" w:name="_Toc349040600"/>
      <w:bookmarkStart w:id="421" w:name="_Toc351469185"/>
      <w:bookmarkStart w:id="422" w:name="_Toc352767487"/>
      <w:bookmarkStart w:id="423" w:name="_Toc355626574"/>
      <w:bookmarkEnd w:id="417"/>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4" w:name="_DV_M592"/>
      <w:bookmarkEnd w:id="418"/>
      <w:bookmarkEnd w:id="424"/>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5" w:name="_DV_M593"/>
      <w:bookmarkEnd w:id="419"/>
      <w:bookmarkEnd w:id="420"/>
      <w:bookmarkEnd w:id="421"/>
      <w:bookmarkEnd w:id="422"/>
      <w:bookmarkEnd w:id="423"/>
      <w:bookmarkEnd w:id="425"/>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26" w:name="_DV_M594"/>
      <w:bookmarkEnd w:id="426"/>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27" w:name="_DV_M595"/>
      <w:bookmarkStart w:id="428" w:name="_Hlk6811234"/>
      <w:bookmarkEnd w:id="427"/>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005662C0">
        <w:rPr>
          <w:rFonts w:ascii="Verdana" w:eastAsia="Arial Unicode MS" w:hAnsi="Verdana" w:cs="Arial"/>
          <w:iCs/>
          <w:sz w:val="20"/>
          <w:szCs w:val="20"/>
          <w:u w:val="single"/>
        </w:rPr>
        <w:t>”</w:t>
      </w:r>
      <w:r w:rsidRPr="0096018B" w:rsidR="005662C0">
        <w:rPr>
          <w:rFonts w:ascii="Verdana" w:eastAsia="Arial Unicode MS" w:hAnsi="Verdana" w:cs="Arial"/>
          <w:sz w:val="20"/>
          <w:szCs w:val="20"/>
        </w:rPr>
        <w:t xml:space="preserve"> s</w:t>
      </w:r>
      <w:r w:rsidRPr="007003A3" w:rsidR="005662C0">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dezembro de </w:t>
      </w:r>
      <w:r w:rsidRPr="00E52213" w:rsidR="005662C0">
        <w:rPr>
          <w:rFonts w:ascii="Verdana" w:eastAsia="Arial Unicode MS" w:hAnsi="Verdana" w:cs="Arial"/>
          <w:sz w:val="20"/>
          <w:szCs w:val="20"/>
        </w:rPr>
        <w:t>20</w:t>
      </w:r>
      <w:r w:rsidR="005662C0">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w:t>
      </w:r>
      <w:r w:rsidRPr="00E52213">
        <w:rPr>
          <w:rFonts w:ascii="Verdana" w:eastAsia="Arial Unicode MS" w:hAnsi="Verdana" w:cs="Arial"/>
          <w:iCs/>
          <w:sz w:val="20"/>
          <w:szCs w:val="20"/>
        </w:rPr>
        <w:t xml:space="preserve">administração pública, nacional ou estrangeira,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 no seu interesse ou para seu benefício, exclusivo ou não</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sidR="00B64F95">
        <w:rPr>
          <w:rFonts w:ascii="Verdana" w:eastAsia="Arial Unicode MS" w:hAnsi="Verdana"/>
          <w:sz w:val="20"/>
        </w:rPr>
        <w:t>a Emissora</w:t>
      </w:r>
      <w:r w:rsidR="0049226D">
        <w:rPr>
          <w:rFonts w:ascii="Verdana" w:eastAsia="Arial Unicode MS" w:hAnsi="Verdana"/>
          <w:sz w:val="20"/>
        </w:rPr>
        <w:t xml:space="preserve"> e suas controladas</w:t>
      </w:r>
      <w:r w:rsidRPr="00E52213" w:rsidR="00B64F95">
        <w:rPr>
          <w:rFonts w:ascii="Verdana" w:eastAsia="Arial Unicode MS" w:hAnsi="Verdana"/>
          <w:sz w:val="20"/>
        </w:rPr>
        <w:t xml:space="preserve"> </w:t>
      </w:r>
      <w:r w:rsidRPr="00E52213" w:rsidR="0049226D">
        <w:rPr>
          <w:rFonts w:ascii="Verdana" w:eastAsia="Arial Unicode MS" w:hAnsi="Verdana"/>
          <w:sz w:val="20"/>
        </w:rPr>
        <w:t>est</w:t>
      </w:r>
      <w:r w:rsidR="0049226D">
        <w:rPr>
          <w:rFonts w:ascii="Verdana" w:eastAsia="Arial Unicode MS" w:hAnsi="Verdana"/>
          <w:sz w:val="20"/>
        </w:rPr>
        <w:t>ão</w:t>
      </w:r>
      <w:r w:rsidRPr="00E52213" w:rsidR="0049226D">
        <w:rPr>
          <w:rFonts w:ascii="Verdana" w:eastAsia="Arial Unicode MS" w:hAnsi="Verdana"/>
          <w:sz w:val="20"/>
        </w:rPr>
        <w:t xml:space="preserve"> </w:t>
      </w:r>
      <w:r w:rsidRPr="00E52213" w:rsidR="00B64F95">
        <w:rPr>
          <w:rFonts w:ascii="Verdana" w:eastAsia="Arial Unicode MS" w:hAnsi="Verdana"/>
          <w:sz w:val="20"/>
        </w:rPr>
        <w:t xml:space="preserve">cumprindo </w:t>
      </w:r>
      <w:r w:rsidR="0049226D">
        <w:rPr>
          <w:rFonts w:ascii="Verdana" w:eastAsia="Arial Unicode MS" w:hAnsi="Verdana"/>
          <w:sz w:val="20"/>
        </w:rPr>
        <w:t xml:space="preserve">a </w:t>
      </w:r>
      <w:r w:rsidRPr="00E52213" w:rsidR="00B64F95">
        <w:rPr>
          <w:rFonts w:ascii="Verdana" w:eastAsia="Arial Unicode MS" w:hAnsi="Verdana" w:cs="Arial"/>
          <w:sz w:val="20"/>
          <w:szCs w:val="20"/>
        </w:rPr>
        <w:t xml:space="preserve">legislação em vigor, </w:t>
      </w:r>
      <w:r w:rsidRPr="00E52213" w:rsidR="00B64F95">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rsidR="00B64F95">
        <w:t>,</w:t>
      </w:r>
      <w:r w:rsidRPr="00E52213" w:rsidR="00B64F95">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sidR="00B64F95">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sidR="00B64F95">
        <w:rPr>
          <w:rFonts w:ascii="Verdana" w:hAnsi="Verdana" w:cs="Arial"/>
          <w:sz w:val="20"/>
          <w:szCs w:val="20"/>
        </w:rPr>
        <w:t>exigidas pelas autoridades federais, estaduais e municipais,</w:t>
      </w:r>
      <w:r w:rsidRPr="00E52213" w:rsidR="00B64F95">
        <w:rPr>
          <w:rFonts w:ascii="Verdana" w:eastAsia="Arial Unicode MS" w:hAnsi="Verdana" w:cs="Arial"/>
          <w:sz w:val="20"/>
          <w:szCs w:val="20"/>
        </w:rPr>
        <w:t xml:space="preserve"> necessárias para o regular exercício de suas atividades, em conformidade com a legislação civil e </w:t>
      </w:r>
      <w:r w:rsidRPr="00E52213" w:rsidR="00B64F95">
        <w:rPr>
          <w:rFonts w:ascii="Verdana" w:eastAsia="Arial Unicode MS" w:hAnsi="Verdana" w:cs="Arial"/>
          <w:sz w:val="20"/>
          <w:szCs w:val="20"/>
        </w:rPr>
        <w:t>ambiental aplicável; e (vi) possu</w:t>
      </w:r>
      <w:r w:rsidR="0049226D">
        <w:rPr>
          <w:rFonts w:ascii="Verdana" w:eastAsia="Arial Unicode MS" w:hAnsi="Verdana" w:cs="Arial"/>
          <w:sz w:val="20"/>
          <w:szCs w:val="20"/>
        </w:rPr>
        <w:t>em</w:t>
      </w:r>
      <w:r w:rsidRPr="00E52213" w:rsidR="00B64F95">
        <w:rPr>
          <w:rFonts w:ascii="Verdana" w:eastAsia="Arial Unicode MS" w:hAnsi="Verdana" w:cs="Arial"/>
          <w:sz w:val="20"/>
          <w:szCs w:val="20"/>
        </w:rPr>
        <w:t xml:space="preserve"> todos os registros necessários, em conformidade com a legislação civil e ambiental aplicável, </w:t>
      </w:r>
      <w:r w:rsidRPr="00E52213" w:rsidR="00B64F95">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2213" w:rsidR="00B64F95">
        <w:rPr>
          <w:rFonts w:ascii="Verdana" w:eastAsia="Arial Unicode MS" w:hAnsi="Verdana"/>
          <w:sz w:val="20"/>
        </w:rPr>
        <w:t>informado</w:t>
      </w:r>
      <w:r w:rsidRPr="00E52213" w:rsidR="00B64F95">
        <w:rPr>
          <w:rFonts w:ascii="Verdana" w:eastAsia="Arial Unicode MS" w:hAnsi="Verdana"/>
          <w:sz w:val="20"/>
        </w:rPr>
        <w:t xml:space="preserve"> nas notas explicativas de suas demonstrações financeiras relativas ao exercício social encerrado em 31 de dezembro de 2020; e </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29" w:name="_DV_M596"/>
      <w:bookmarkStart w:id="430" w:name="_DV_M598"/>
      <w:bookmarkStart w:id="431" w:name="_DV_M599"/>
      <w:bookmarkStart w:id="432" w:name="_DV_M601"/>
      <w:bookmarkStart w:id="433" w:name="_DV_M603"/>
      <w:bookmarkStart w:id="434" w:name="_DV_M604"/>
      <w:bookmarkStart w:id="435" w:name="_DV_M606"/>
      <w:bookmarkStart w:id="436" w:name="_DV_M607"/>
      <w:bookmarkStart w:id="437" w:name="_DV_M611"/>
      <w:bookmarkStart w:id="438" w:name="_DV_M612"/>
      <w:bookmarkStart w:id="439" w:name="_DV_M613"/>
      <w:bookmarkEnd w:id="428"/>
      <w:bookmarkEnd w:id="429"/>
      <w:bookmarkEnd w:id="430"/>
      <w:bookmarkEnd w:id="431"/>
      <w:bookmarkEnd w:id="432"/>
      <w:bookmarkEnd w:id="433"/>
      <w:bookmarkEnd w:id="434"/>
      <w:bookmarkEnd w:id="435"/>
      <w:bookmarkEnd w:id="436"/>
      <w:bookmarkEnd w:id="437"/>
      <w:bookmarkEnd w:id="438"/>
      <w:bookmarkEnd w:id="439"/>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40" w:name="_DV_M614"/>
      <w:bookmarkStart w:id="441" w:name="_Toc499990386"/>
      <w:bookmarkStart w:id="442" w:name="_Toc280370545"/>
      <w:bookmarkStart w:id="443" w:name="_Toc349040601"/>
      <w:bookmarkStart w:id="444" w:name="_Toc351469186"/>
      <w:bookmarkStart w:id="445" w:name="_Toc352767488"/>
      <w:bookmarkStart w:id="446" w:name="_Toc355626575"/>
      <w:bookmarkEnd w:id="440"/>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1"/>
      <w:bookmarkEnd w:id="442"/>
      <w:bookmarkEnd w:id="443"/>
      <w:bookmarkEnd w:id="444"/>
      <w:bookmarkEnd w:id="445"/>
      <w:bookmarkEnd w:id="446"/>
    </w:p>
    <w:p w:rsidR="000F06C4" w:rsidRPr="00E52213" w:rsidP="000F06C4">
      <w:pPr>
        <w:keepNext/>
        <w:spacing w:line="320" w:lineRule="exact"/>
        <w:contextualSpacing/>
        <w:jc w:val="both"/>
        <w:rPr>
          <w:rFonts w:ascii="Verdana" w:eastAsia="Arial Unicode MS" w:hAnsi="Verdana" w:cs="Arial"/>
          <w:sz w:val="20"/>
          <w:szCs w:val="20"/>
        </w:rPr>
      </w:pPr>
      <w:bookmarkStart w:id="447"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48" w:name="_DV_M615"/>
      <w:bookmarkEnd w:id="447"/>
      <w:bookmarkEnd w:id="448"/>
      <w:r w:rsidRPr="00E52213">
        <w:rPr>
          <w:rFonts w:ascii="Verdana" w:eastAsia="Arial Unicode MS" w:hAnsi="Verdana" w:cs="Arial"/>
          <w:b/>
          <w:sz w:val="20"/>
          <w:szCs w:val="20"/>
        </w:rPr>
        <w:tab/>
      </w:r>
      <w:bookmarkStart w:id="449"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50" w:name="_DV_M616"/>
      <w:bookmarkEnd w:id="450"/>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49"/>
    </w:p>
    <w:p w:rsidR="000F06C4" w:rsidRPr="00E52213" w:rsidP="000F06C4">
      <w:pPr>
        <w:spacing w:line="320" w:lineRule="exact"/>
        <w:ind w:left="708"/>
        <w:contextualSpacing/>
        <w:jc w:val="both"/>
        <w:rPr>
          <w:rFonts w:ascii="Verdana" w:eastAsia="Arial Unicode MS" w:hAnsi="Verdana" w:cs="Arial"/>
          <w:sz w:val="20"/>
          <w:szCs w:val="20"/>
        </w:rPr>
      </w:pPr>
      <w:bookmarkStart w:id="451" w:name="_DV_M617"/>
      <w:bookmarkEnd w:id="451"/>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2" w:name="_DV_M618"/>
      <w:bookmarkEnd w:id="452"/>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53" w:name="_DV_M619"/>
      <w:bookmarkStart w:id="454" w:name="_DV_M621"/>
      <w:bookmarkStart w:id="455" w:name="_DV_M622"/>
      <w:bookmarkStart w:id="456" w:name="_DV_M623"/>
      <w:bookmarkStart w:id="457" w:name="_DV_M624"/>
      <w:bookmarkStart w:id="458" w:name="_DV_M625"/>
      <w:bookmarkEnd w:id="453"/>
      <w:bookmarkEnd w:id="454"/>
      <w:bookmarkEnd w:id="455"/>
      <w:bookmarkEnd w:id="456"/>
      <w:bookmarkEnd w:id="457"/>
      <w:bookmarkEnd w:id="458"/>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9" w:name="_DV_M627"/>
      <w:bookmarkEnd w:id="459"/>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60" w:name="_DV_M628"/>
      <w:bookmarkStart w:id="461" w:name="_DV_M629"/>
      <w:bookmarkStart w:id="462" w:name="_DV_M630"/>
      <w:bookmarkStart w:id="463" w:name="_DV_M635"/>
      <w:bookmarkStart w:id="464" w:name="_DV_M649"/>
      <w:bookmarkEnd w:id="460"/>
      <w:bookmarkEnd w:id="461"/>
      <w:bookmarkEnd w:id="462"/>
      <w:bookmarkEnd w:id="463"/>
      <w:bookmarkEnd w:id="464"/>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465" w:name="_DV_M650"/>
      <w:bookmarkEnd w:id="465"/>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rsidR="000F06C4" w:rsidRPr="00E52213"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E52213">
        <w:rPr>
          <w:rFonts w:ascii="Verdana" w:hAnsi="Verdana" w:cs="Calibri"/>
          <w:bCs/>
          <w:sz w:val="20"/>
          <w:szCs w:val="20"/>
          <w:u w:val="single"/>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466"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466"/>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7" w:name="_DV_M657"/>
      <w:bookmarkEnd w:id="467"/>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8" w:name="_DV_M658"/>
      <w:bookmarkEnd w:id="468"/>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69" w:name="_DV_M659"/>
      <w:bookmarkEnd w:id="469"/>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470" w:name="_DV_M660"/>
      <w:bookmarkEnd w:id="470"/>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1" w:name="_DV_M661"/>
      <w:bookmarkEnd w:id="471"/>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472" w:name="_DV_M662"/>
      <w:bookmarkEnd w:id="472"/>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3" w:name="_DV_M663"/>
      <w:bookmarkStart w:id="474" w:name="_DV_M664"/>
      <w:bookmarkEnd w:id="473"/>
      <w:bookmarkEnd w:id="474"/>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475" w:name="_DV_M665"/>
      <w:bookmarkEnd w:id="475"/>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6" w:name="_DV_M666"/>
      <w:bookmarkEnd w:id="476"/>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477" w:name="_DV_M667"/>
      <w:bookmarkEnd w:id="477"/>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78" w:name="_DV_M668"/>
      <w:bookmarkEnd w:id="478"/>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479" w:name="_DV_M669"/>
      <w:bookmarkEnd w:id="479"/>
      <w:r w:rsidRPr="00E52213">
        <w:rPr>
          <w:rFonts w:ascii="Verdana" w:eastAsia="Arial Unicode MS" w:hAnsi="Verdana" w:cs="Arial"/>
          <w:sz w:val="20"/>
          <w:szCs w:val="20"/>
        </w:rPr>
        <w:t>A Emissora arcará com todos os custos</w:t>
      </w:r>
      <w:bookmarkStart w:id="480" w:name="_DV_C345"/>
      <w:r w:rsidRPr="00E52213">
        <w:rPr>
          <w:rFonts w:ascii="Verdana" w:eastAsia="Arial Unicode MS" w:hAnsi="Verdana" w:cs="Arial"/>
          <w:sz w:val="20"/>
          <w:szCs w:val="20"/>
        </w:rPr>
        <w:t xml:space="preserve"> da Emissão, inclusive</w:t>
      </w:r>
      <w:bookmarkStart w:id="481" w:name="_DV_M670"/>
      <w:bookmarkEnd w:id="480"/>
      <w:bookmarkEnd w:id="481"/>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82" w:name="_DV_M671"/>
      <w:bookmarkEnd w:id="482"/>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3" w:name="_DV_M672"/>
      <w:bookmarkStart w:id="484" w:name="_DV_M674"/>
      <w:bookmarkEnd w:id="483"/>
      <w:bookmarkEnd w:id="484"/>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485" w:name="_DV_M675"/>
      <w:bookmarkEnd w:id="485"/>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486" w:name="_DV_M676"/>
      <w:bookmarkStart w:id="487" w:name="_DV_M681"/>
      <w:bookmarkEnd w:id="486"/>
      <w:bookmarkEnd w:id="487"/>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488" w:name="_DV_M682"/>
      <w:bookmarkEnd w:id="488"/>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489" w:name="_DV_M683"/>
      <w:bookmarkEnd w:id="489"/>
    </w:p>
    <w:p w:rsidR="0084095A" w:rsidRPr="00E52213"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490" w:name="_DV_M687"/>
      <w:bookmarkStart w:id="491" w:name="_DV_M688"/>
      <w:bookmarkEnd w:id="490"/>
      <w:bookmarkEnd w:id="491"/>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492" w:name="_DV_M689"/>
      <w:bookmarkStart w:id="493" w:name="_DV_M692"/>
      <w:bookmarkStart w:id="494" w:name="_DV_M694"/>
      <w:bookmarkEnd w:id="492"/>
      <w:bookmarkEnd w:id="493"/>
      <w:bookmarkEnd w:id="494"/>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F06C4" w:rsidRPr="00E52213"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t>Anexo II</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0F06C4" w:rsidRPr="00E52213" w:rsidP="000F06C4">
      <w:pPr>
        <w:pStyle w:val="BodyText"/>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84095A">
        <w:rPr>
          <w:rFonts w:ascii="Verdana" w:eastAsia="Arial Unicode MS" w:hAnsi="Verdana" w:cs="Arial"/>
          <w:sz w:val="20"/>
          <w:szCs w:val="20"/>
        </w:rPr>
        <w:t>[●] de [●] de 2021</w:t>
      </w:r>
      <w:r w:rsidRPr="00E52213">
        <w:rPr>
          <w:rFonts w:ascii="Verdana" w:hAnsi="Verdana"/>
          <w:sz w:val="20"/>
          <w:szCs w:val="20"/>
        </w:rPr>
        <w:t xml:space="preserve"> o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emissão de 220.000 (duzentas e vinte 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4ª (quarta) emissão da Emissora, </w:t>
      </w:r>
      <w:r w:rsidRPr="00E52213">
        <w:rPr>
          <w:rFonts w:ascii="Verdana" w:hAnsi="Verdana" w:cs="Arial"/>
          <w:sz w:val="20"/>
          <w:szCs w:val="20"/>
        </w:rPr>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R$ 220.000.000,00 (duzentos e vinte milhões de</w:t>
      </w:r>
      <w:r w:rsidRPr="0084095A">
        <w:rPr>
          <w:rFonts w:ascii="Verdana" w:hAnsi="Verdana" w:cs="Arial"/>
          <w:b/>
          <w:caps/>
          <w:sz w:val="20"/>
          <w:szCs w:val="20"/>
        </w:rPr>
        <w:t xml:space="preserve"> </w:t>
      </w:r>
      <w:r w:rsidRPr="0084095A">
        <w:rPr>
          <w:rFonts w:ascii="Verdana" w:hAnsi="Verdana" w:cs="Arial"/>
          <w:sz w:val="20"/>
          <w:szCs w:val="20"/>
        </w:rPr>
        <w:t>reais) na data de emissão, qual seja, 15 de agosto de 2021</w:t>
      </w:r>
      <w:r w:rsidRPr="00E52213">
        <w:rPr>
          <w:rFonts w:ascii="Verdana" w:hAnsi="Verdana" w:cs="Arial"/>
          <w:sz w:val="20"/>
          <w:szCs w:val="20"/>
        </w:rPr>
        <w:t xml:space="preserve">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84095A">
        <w:rPr>
          <w:rFonts w:ascii="Verdana" w:eastAsia="Arial Unicode MS" w:hAnsi="Verdana" w:cs="Arial"/>
          <w:sz w:val="20"/>
          <w:szCs w:val="20"/>
        </w:rPr>
        <w:t>[●]</w:t>
      </w:r>
      <w:r w:rsidRPr="0084095A">
        <w:rPr>
          <w:rFonts w:ascii="Verdana" w:hAnsi="Verdana" w:cs="Arial"/>
          <w:sz w:val="20"/>
          <w:szCs w:val="20"/>
        </w:rPr>
        <w:t xml:space="preserve"> de </w:t>
      </w:r>
      <w:r w:rsidRPr="0084095A">
        <w:rPr>
          <w:rFonts w:ascii="Verdana" w:eastAsia="Arial Unicode MS" w:hAnsi="Verdana" w:cs="Arial"/>
          <w:sz w:val="20"/>
          <w:szCs w:val="20"/>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0F06C4" w:rsidRPr="00E52213" w:rsidP="000F06C4">
      <w:pPr>
        <w:keepNext/>
        <w:spacing w:line="320" w:lineRule="exact"/>
        <w:contextualSpacing/>
        <w:jc w:val="both"/>
        <w:rPr>
          <w:rFonts w:ascii="Verdana" w:hAnsi="Verdana"/>
          <w:sz w:val="20"/>
          <w:szCs w:val="20"/>
        </w:rPr>
      </w:pPr>
    </w:p>
    <w:p w:rsidR="000F06C4" w:rsidRPr="00E5221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0F06C4" w:rsidRPr="00E52213" w:rsidP="000F06C4">
      <w:pPr>
        <w:widowControl w:val="0"/>
        <w:spacing w:line="320" w:lineRule="exact"/>
        <w:contextualSpacing/>
        <w:jc w:val="both"/>
        <w:rPr>
          <w:rFonts w:ascii="Verdana" w:hAnsi="Verdana"/>
          <w:sz w:val="20"/>
          <w:szCs w:val="20"/>
        </w:rPr>
      </w:pPr>
    </w:p>
    <w:p w:rsidR="000F06C4" w:rsidRPr="0084095A"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w:t>
      </w:r>
      <w:r w:rsidRPr="0084095A">
        <w:rPr>
          <w:rFonts w:ascii="Verdana" w:eastAsia="Arial Unicode MS" w:hAnsi="Verdana"/>
          <w:i/>
          <w:sz w:val="20"/>
          <w:szCs w:val="20"/>
        </w:rPr>
        <w:t>●]%</w:t>
      </w:r>
      <w:r w:rsidRPr="0084095A">
        <w:rPr>
          <w:rFonts w:ascii="Verdana" w:eastAsia="Arial Unicode MS" w:hAnsi="Verdana"/>
          <w:i/>
          <w:sz w:val="20"/>
          <w:szCs w:val="20"/>
        </w:rPr>
        <w:t xml:space="preserve">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rsidR="000F06C4" w:rsidRPr="0084095A" w:rsidP="000F06C4">
      <w:pPr>
        <w:spacing w:line="320" w:lineRule="exact"/>
        <w:ind w:left="709"/>
        <w:contextualSpacing/>
        <w:jc w:val="both"/>
        <w:rPr>
          <w:rStyle w:val="DeltaViewInsertion"/>
          <w:rFonts w:ascii="Verdana" w:hAnsi="Verdana"/>
          <w:i/>
          <w:color w:val="auto"/>
          <w:sz w:val="20"/>
          <w:u w:val="none"/>
        </w:rPr>
      </w:pPr>
    </w:p>
    <w:p w:rsidR="000F06C4" w:rsidRPr="0084095A"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r w:rsidRPr="0084095A">
        <w:rPr>
          <w:rStyle w:val="DeltaViewInsertion"/>
          <w:rFonts w:ascii="Verdana" w:hAnsi="Verdana" w:cs="Arial"/>
          <w:i/>
          <w:color w:val="auto"/>
          <w:sz w:val="20"/>
          <w:u w:val="none"/>
        </w:rPr>
        <w:t>VNa</w:t>
      </w:r>
      <w:r w:rsidRPr="0084095A">
        <w:rPr>
          <w:rStyle w:val="DeltaViewInsertion"/>
          <w:rFonts w:ascii="Verdana" w:hAnsi="Verdana" w:cs="Arial"/>
          <w:i/>
          <w:color w:val="auto"/>
          <w:sz w:val="20"/>
          <w:u w:val="none"/>
        </w:rPr>
        <w:t xml:space="preserve"> x (Fator Juros – 1)</w:t>
      </w:r>
    </w:p>
    <w:p w:rsidR="000F06C4" w:rsidRPr="0084095A"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contextualSpacing/>
        <w:jc w:val="center"/>
        <w:rPr>
          <w:rFonts w:ascii="Verdana" w:hAnsi="Verdana" w:cs="Arial"/>
          <w:sz w:val="20"/>
          <w:szCs w:val="20"/>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0F06C4" w:rsidRPr="00E52213" w:rsidP="000F06C4">
      <w:pPr>
        <w:keepNext/>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t>eficazes na data de assinatura deste Aditamento.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0F06C4" w:rsidRPr="00E52213" w:rsidP="000F06C4">
      <w:pPr>
        <w:pStyle w:val="ListParagraph"/>
        <w:spacing w:line="320" w:lineRule="exact"/>
        <w:rPr>
          <w:rFonts w:ascii="Verdana" w:eastAsia="Arial Unicode MS" w:hAnsi="Verdana"/>
          <w:sz w:val="20"/>
          <w:szCs w:val="20"/>
        </w:rPr>
      </w:pPr>
    </w:p>
    <w:p w:rsidR="000F06C4" w:rsidRPr="00E5221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0F06C4" w:rsidRPr="00E52213" w:rsidP="000F06C4">
      <w:pPr>
        <w:widowControl w:val="0"/>
        <w:spacing w:line="320" w:lineRule="exact"/>
        <w:ind w:left="709"/>
        <w:contextualSpacing/>
        <w:jc w:val="both"/>
        <w:rPr>
          <w:rFonts w:ascii="Verdana" w:hAnsi="Verdana"/>
          <w:sz w:val="20"/>
          <w:szCs w:val="20"/>
        </w:rPr>
      </w:pPr>
    </w:p>
    <w:p w:rsidR="000F06C4" w:rsidRPr="00E5221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0F06C4" w:rsidRPr="00E52213" w:rsidP="000F06C4">
      <w:pPr>
        <w:widowControl w:val="0"/>
        <w:spacing w:line="320" w:lineRule="exact"/>
        <w:ind w:left="720"/>
        <w:contextualSpacing/>
        <w:jc w:val="center"/>
        <w:rPr>
          <w:rFonts w:ascii="Verdana" w:eastAsia="Arial Unicode MS" w:hAnsi="Verdana" w:cs="Arial"/>
          <w:sz w:val="20"/>
          <w:szCs w:val="20"/>
        </w:rPr>
      </w:pPr>
    </w:p>
    <w:p w:rsidR="000F06C4" w:rsidRPr="00E5221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rsidP="000F06C4">
      <w:pPr>
        <w:autoSpaceDE/>
        <w:autoSpaceDN/>
        <w:adjustRightInd/>
        <w:spacing w:line="320" w:lineRule="exact"/>
        <w:rPr>
          <w:rFonts w:ascii="Verdana" w:eastAsia="Arial Unicode MS" w:hAnsi="Verdana" w:cs="Arial"/>
          <w:sz w:val="20"/>
          <w:szCs w:val="20"/>
        </w:rPr>
      </w:pPr>
    </w:p>
    <w:p w:rsidR="000F06C4" w:rsidRPr="00E5221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tabs>
          <w:tab w:val="left" w:pos="2366"/>
        </w:tabs>
        <w:spacing w:line="340" w:lineRule="exact"/>
        <w:jc w:val="center"/>
        <w:rPr>
          <w:rFonts w:ascii="Verdana" w:hAnsi="Verdana"/>
          <w:b/>
          <w:sz w:val="20"/>
          <w:szCs w:val="20"/>
        </w:rPr>
      </w:pP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rsidRPr="00F00523">
    <w:pPr>
      <w:pStyle w:val="Footer"/>
      <w:jc w:val="right"/>
      <w:rPr>
        <w:rFonts w:ascii="Verdana" w:hAnsi="Verdana"/>
        <w:sz w:val="20"/>
        <w:szCs w:val="20"/>
      </w:rP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1AFB" w:rsidRPr="003568EB" w:rsidP="003568EB">
                          <w:pPr>
                            <w:rPr>
                              <w:rFonts w:ascii="Calibri" w:hAnsi="Calibri" w:cs="Calibri"/>
                              <w:color w:val="000000"/>
                              <w:sz w:val="18"/>
                            </w:rPr>
                          </w:pPr>
                          <w:r w:rsidRPr="003568E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cd843c792699076b345a57f" o:spid="_x0000_s2049" type="#_x0000_t202" alt="{&quot;HashCode&quot;:673120239,&quot;Height&quot;:841.0,&quot;Width&quot;:595.0,&quot;Placement&quot;:&quot;Footer&quot;,&quot;Index&quot;:&quot;Primary&quot;,&quot;Section&quot;:1,&quot;Top&quot;:0.0,&quot;Left&quot;:0.0}"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v:textbox inset="20pt,0,,0">
                <w:txbxContent>
                  <w:p w:rsidR="00E11AFB" w:rsidRPr="003568EB" w:rsidP="003568EB">
                    <w:pPr>
                      <w:rPr>
                        <w:rFonts w:ascii="Calibri" w:hAnsi="Calibri" w:cs="Calibri"/>
                        <w:color w:val="000000"/>
                        <w:sz w:val="18"/>
                      </w:rPr>
                    </w:pPr>
                    <w:r w:rsidRPr="003568EB">
                      <w:rPr>
                        <w:rFonts w:ascii="Calibri" w:hAnsi="Calibri" w:cs="Calibri"/>
                        <w:color w:val="000000"/>
                        <w:sz w:val="18"/>
                      </w:rPr>
                      <w:t>Corporativo | Interno</w:t>
                    </w:r>
                  </w:p>
                </w:txbxContent>
              </v:textbox>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E11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8">
    <w:nsid w:val="6FAF6CE3"/>
    <w:multiLevelType w:val="hybridMultilevel"/>
    <w:tmpl w:val="8C3A1F8A"/>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 T E X T ! 5 4 7 1 9 2 2 8 . 5 < / d o c u m e n t i d >  
     < s e n d e r i d > P E O < / s e n d e r i d >  
     < s e n d e r e m a i l > P M I R A N D A @ M A C H A D O M E Y E R . C O M . B R < / s e n d e r e m a i l >  
     < l a s t m o d i f i e d > 2 0 2 1 - 0 7 - 2 8 T 1 5 : 3 2 : 0 0 . 0 0 0 0 0 0 0 - 0 3 : 0 0 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22326</Words>
  <Characters>127661</Characters>
  <Application>Microsoft Office Word</Application>
  <DocSecurity>0</DocSecurity>
  <Lines>2844</Lines>
  <Paragraphs>678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