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A60B4D" w:rsidRPr="00E52213" w:rsidP="00A60B4D">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A60B4D" w:rsidRPr="00E52213" w:rsidP="00A60B4D">
      <w:pPr>
        <w:spacing w:line="320" w:lineRule="exact"/>
        <w:contextualSpacing/>
        <w:jc w:val="both"/>
        <w:rPr>
          <w:rFonts w:ascii="Verdana" w:hAnsi="Verdana" w:cs="Arial"/>
          <w:sz w:val="20"/>
          <w:szCs w:val="20"/>
        </w:rPr>
      </w:pPr>
    </w:p>
    <w:p w:rsidR="00A60B4D" w:rsidRPr="00E52213" w:rsidP="00A60B4D">
      <w:pPr>
        <w:pStyle w:val="BodyText"/>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rsidR="00A60B4D" w:rsidRPr="00E52213" w:rsidP="00A60B4D">
      <w:pPr>
        <w:pStyle w:val="BodyText"/>
        <w:spacing w:line="320" w:lineRule="exact"/>
        <w:contextualSpacing/>
        <w:jc w:val="both"/>
        <w:rPr>
          <w:rFonts w:ascii="Verdana" w:hAnsi="Verdana" w:cs="Arial"/>
          <w:sz w:val="20"/>
          <w:szCs w:val="20"/>
        </w:rPr>
      </w:pPr>
    </w:p>
    <w:p w:rsidR="00A60B4D" w:rsidRPr="00E52213" w:rsidP="00A60B4D">
      <w:pPr>
        <w:pStyle w:val="BodyText"/>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rsidR="00A60B4D" w:rsidRPr="00E52213" w:rsidP="00A60B4D">
      <w:pPr>
        <w:spacing w:line="320" w:lineRule="exact"/>
        <w:contextualSpacing/>
        <w:jc w:val="both"/>
        <w:rPr>
          <w:rFonts w:ascii="Verdana" w:hAnsi="Verdana" w:cs="Arial"/>
          <w:b/>
          <w:sz w:val="20"/>
          <w:szCs w:val="20"/>
        </w:rPr>
      </w:pPr>
    </w:p>
    <w:p w:rsidR="00A60B4D" w:rsidRPr="00E52213" w:rsidP="00A60B4D">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r w:rsidRPr="00E52213">
        <w:rPr>
          <w:rFonts w:ascii="Verdana" w:hAnsi="Verdana"/>
          <w:sz w:val="20"/>
        </w:rPr>
        <w:t>is</w:t>
      </w:r>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rsidR="00A60B4D" w:rsidRPr="00E52213" w:rsidP="00A60B4D">
      <w:pPr>
        <w:tabs>
          <w:tab w:val="left" w:pos="2366"/>
        </w:tabs>
        <w:spacing w:line="340" w:lineRule="exact"/>
        <w:jc w:val="center"/>
        <w:rPr>
          <w:rFonts w:ascii="Verdana" w:hAnsi="Verdana"/>
          <w:b/>
          <w:sz w:val="20"/>
          <w:szCs w:val="20"/>
        </w:rPr>
      </w:pPr>
    </w:p>
    <w:p w:rsidR="00A60B4D" w:rsidRPr="00E52213" w:rsidP="00A60B4D">
      <w:pPr>
        <w:pStyle w:val="BodyText"/>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A60B4D" w:rsidRPr="00E52213" w:rsidP="00A60B4D">
      <w:pPr>
        <w:spacing w:line="320" w:lineRule="exact"/>
        <w:contextualSpacing/>
        <w:jc w:val="both"/>
        <w:rPr>
          <w:rFonts w:ascii="Verdana" w:hAnsi="Verdana"/>
          <w:sz w:val="20"/>
          <w:szCs w:val="20"/>
          <w:u w:val="single"/>
        </w:rPr>
      </w:pPr>
    </w:p>
    <w:p w:rsidR="00A60B4D" w:rsidRPr="00E52213" w:rsidP="00A60B4D">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rsidR="00A60B4D" w:rsidRPr="00E52213" w:rsidP="00A60B4D">
      <w:pPr>
        <w:widowControl w:val="0"/>
        <w:spacing w:line="320" w:lineRule="exact"/>
        <w:contextualSpacing/>
        <w:jc w:val="both"/>
        <w:rPr>
          <w:rFonts w:ascii="Verdana" w:hAnsi="Verdana"/>
          <w:sz w:val="20"/>
          <w:szCs w:val="20"/>
        </w:rPr>
      </w:pPr>
    </w:p>
    <w:p w:rsidR="00A60B4D" w:rsidRPr="00E52213" w:rsidP="00A60B4D">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Pr>
          <w:rFonts w:ascii="Verdana" w:eastAsia="Arial Unicode MS" w:hAnsi="Verdana" w:cs="Arial"/>
          <w:sz w:val="20"/>
          <w:szCs w:val="20"/>
        </w:rPr>
        <w:t>04</w:t>
      </w:r>
      <w:r w:rsidRPr="0084095A">
        <w:rPr>
          <w:rFonts w:ascii="Verdana" w:eastAsia="Arial Unicode MS" w:hAnsi="Verdana" w:cs="Arial"/>
          <w:sz w:val="20"/>
          <w:szCs w:val="20"/>
        </w:rPr>
        <w:t xml:space="preserve"> de </w:t>
      </w:r>
      <w:r>
        <w:rPr>
          <w:rFonts w:ascii="Verdana" w:eastAsia="Arial Unicode MS" w:hAnsi="Verdana" w:cs="Arial"/>
          <w:sz w:val="20"/>
          <w:szCs w:val="20"/>
        </w:rPr>
        <w:t>agosto</w:t>
      </w:r>
      <w:r w:rsidRPr="0084095A">
        <w:rPr>
          <w:rFonts w:ascii="Verdana" w:eastAsia="Arial Unicode MS" w:hAnsi="Verdana" w:cs="Arial"/>
          <w:sz w:val="20"/>
          <w:szCs w:val="20"/>
        </w:rPr>
        <w:t xml:space="preserve"> de 2021</w:t>
      </w:r>
      <w:r w:rsidRPr="00E52213">
        <w:rPr>
          <w:rFonts w:ascii="Verdana" w:hAnsi="Verdana"/>
          <w:sz w:val="20"/>
          <w:szCs w:val="20"/>
        </w:rPr>
        <w:t xml:space="preserve"> o “</w:t>
      </w:r>
      <w:r w:rsidRPr="00395B93">
        <w:rPr>
          <w:rFonts w:ascii="Verdana" w:hAnsi="Verdana"/>
          <w:i/>
          <w:iCs/>
          <w:sz w:val="20"/>
          <w:szCs w:val="20"/>
        </w:rPr>
        <w:t xml:space="preserve">Instrumento Particular de Escritura da </w:t>
      </w:r>
      <w:r w:rsidRPr="00395B93">
        <w:rPr>
          <w:rFonts w:ascii="Verdana" w:hAnsi="Verdana" w:cs="Arial"/>
          <w:i/>
          <w:iCs/>
          <w:caps/>
          <w:sz w:val="20"/>
          <w:szCs w:val="20"/>
        </w:rPr>
        <w:t>4</w:t>
      </w:r>
      <w:r w:rsidRPr="00395B93">
        <w:rPr>
          <w:rFonts w:ascii="Verdana" w:hAnsi="Verdana" w:cs="Arial"/>
          <w:i/>
          <w:iCs/>
          <w:sz w:val="20"/>
          <w:szCs w:val="20"/>
        </w:rPr>
        <w:t>ª (Quarta</w:t>
      </w:r>
      <w:r w:rsidRPr="00395B93">
        <w:rPr>
          <w:rFonts w:ascii="Verdana" w:hAnsi="Verdana"/>
          <w:i/>
          <w:iCs/>
          <w:sz w:val="20"/>
          <w:szCs w:val="20"/>
        </w:rPr>
        <w:t xml:space="preserve">) Emissão de Debêntures Simples, Não Conversíveis em Ações, da Espécie Quirografária, em Série Única, para Distribuição Pública, com Esforços Restritos, </w:t>
      </w:r>
      <w:r w:rsidRPr="00395B93">
        <w:rPr>
          <w:rFonts w:ascii="Verdana" w:hAnsi="Verdana" w:cs="Arial"/>
          <w:i/>
          <w:iCs/>
          <w:sz w:val="20"/>
          <w:szCs w:val="20"/>
        </w:rPr>
        <w:t>da Aliança Geração de Energia S.A.</w:t>
      </w:r>
      <w:r w:rsidRPr="00E52213">
        <w:rPr>
          <w:rFonts w:ascii="Verdana" w:hAnsi="Verdana" w:cs="Arial"/>
          <w:sz w:val="20"/>
          <w:szCs w:val="20"/>
        </w:rPr>
        <w:t>”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emissão de 220.000 (duzentas e vinte 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4ª (quarta)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R$ 220.000.000,00 (duzentos e vinte milhões de</w:t>
      </w:r>
      <w:r w:rsidRPr="0084095A">
        <w:rPr>
          <w:rFonts w:ascii="Verdana" w:hAnsi="Verdana" w:cs="Arial"/>
          <w:b/>
          <w:caps/>
          <w:sz w:val="20"/>
          <w:szCs w:val="20"/>
        </w:rPr>
        <w:t xml:space="preserve"> </w:t>
      </w:r>
      <w:r w:rsidRPr="0084095A">
        <w:rPr>
          <w:rFonts w:ascii="Verdana" w:hAnsi="Verdana" w:cs="Arial"/>
          <w:sz w:val="20"/>
          <w:szCs w:val="20"/>
        </w:rPr>
        <w:t>reais) na data de emissão, qual seja, 15 de agosto de 2021</w:t>
      </w:r>
      <w:r w:rsidRPr="00E52213">
        <w:rPr>
          <w:rFonts w:ascii="Verdana" w:hAnsi="Verdana" w:cs="Arial"/>
          <w:sz w:val="20"/>
          <w:szCs w:val="20"/>
        </w:rPr>
        <w:t xml:space="preserve">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Pr>
          <w:rFonts w:ascii="Verdana" w:eastAsia="Arial Unicode MS" w:hAnsi="Verdana" w:cs="Arial"/>
          <w:sz w:val="20"/>
          <w:szCs w:val="20"/>
        </w:rPr>
        <w:t>04</w:t>
      </w:r>
      <w:r w:rsidRPr="0084095A">
        <w:rPr>
          <w:rFonts w:ascii="Verdana" w:hAnsi="Verdana" w:cs="Arial"/>
          <w:sz w:val="20"/>
          <w:szCs w:val="20"/>
        </w:rPr>
        <w:t xml:space="preserve"> de </w:t>
      </w:r>
      <w:r>
        <w:rPr>
          <w:rFonts w:ascii="Verdana" w:eastAsia="Arial Unicode MS" w:hAnsi="Verdana" w:cs="Arial"/>
          <w:sz w:val="20"/>
          <w:szCs w:val="20"/>
        </w:rPr>
        <w:t>agosto</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rsidR="00A60B4D" w:rsidRPr="00E52213" w:rsidP="00A60B4D">
      <w:pPr>
        <w:widowControl w:val="0"/>
        <w:spacing w:line="320" w:lineRule="exact"/>
        <w:ind w:left="720"/>
        <w:contextualSpacing/>
        <w:jc w:val="both"/>
        <w:rPr>
          <w:rFonts w:ascii="Verdana" w:hAnsi="Verdana"/>
          <w:sz w:val="20"/>
          <w:szCs w:val="20"/>
        </w:rPr>
      </w:pPr>
    </w:p>
    <w:p w:rsidR="00A60B4D" w:rsidRPr="00E52213" w:rsidP="00A60B4D">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a 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rsidR="00A60B4D" w:rsidRPr="00E52213" w:rsidP="00A60B4D">
      <w:pPr>
        <w:widowControl w:val="0"/>
        <w:spacing w:line="320" w:lineRule="exact"/>
        <w:contextualSpacing/>
        <w:jc w:val="both"/>
        <w:rPr>
          <w:rFonts w:ascii="Verdana" w:hAnsi="Verdana"/>
          <w:sz w:val="20"/>
          <w:szCs w:val="20"/>
          <w:u w:val="single"/>
        </w:rPr>
      </w:pPr>
    </w:p>
    <w:p w:rsidR="00A60B4D" w:rsidRPr="00E52213" w:rsidP="00A60B4D">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rsidR="00A60B4D" w:rsidRPr="00E52213" w:rsidP="00A60B4D">
      <w:pPr>
        <w:widowControl w:val="0"/>
        <w:spacing w:line="320" w:lineRule="exact"/>
        <w:contextualSpacing/>
        <w:jc w:val="both"/>
        <w:rPr>
          <w:rFonts w:ascii="Verdana" w:hAnsi="Verdana"/>
          <w:sz w:val="20"/>
          <w:szCs w:val="20"/>
          <w:u w:val="single"/>
        </w:rPr>
      </w:pPr>
    </w:p>
    <w:p w:rsidR="00A60B4D" w:rsidRPr="00E52213" w:rsidP="00A60B4D">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rsidR="00A60B4D" w:rsidRPr="00E52213" w:rsidP="00A60B4D">
      <w:pPr>
        <w:keepNext/>
        <w:spacing w:line="320" w:lineRule="exact"/>
        <w:contextualSpacing/>
        <w:jc w:val="both"/>
        <w:rPr>
          <w:rFonts w:ascii="Verdana" w:hAnsi="Verdana"/>
          <w:sz w:val="20"/>
          <w:szCs w:val="20"/>
        </w:rPr>
      </w:pPr>
    </w:p>
    <w:p w:rsidR="00A60B4D" w:rsidP="00A60B4D">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4954CD">
        <w:rPr>
          <w:rFonts w:ascii="Verdana" w:hAnsi="Verdana"/>
          <w:sz w:val="20"/>
          <w:szCs w:val="20"/>
        </w:rPr>
        <w:t xml:space="preserve">3.6.2,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r w:rsidR="004954CD">
        <w:rPr>
          <w:rFonts w:ascii="Verdana" w:hAnsi="Verdana"/>
          <w:sz w:val="20"/>
          <w:szCs w:val="20"/>
        </w:rPr>
        <w:t>:</w:t>
      </w:r>
    </w:p>
    <w:p w:rsidR="004954CD" w:rsidP="004954CD">
      <w:pPr>
        <w:keepNext/>
        <w:spacing w:line="320" w:lineRule="exact"/>
        <w:ind w:left="720"/>
        <w:contextualSpacing/>
        <w:jc w:val="both"/>
        <w:rPr>
          <w:rFonts w:ascii="Verdana" w:hAnsi="Verdana"/>
          <w:sz w:val="20"/>
          <w:szCs w:val="20"/>
        </w:rPr>
      </w:pPr>
    </w:p>
    <w:p w:rsidR="004954CD" w:rsidRPr="00395B93" w:rsidP="00395B93">
      <w:pPr>
        <w:keepNext/>
        <w:spacing w:line="320" w:lineRule="exact"/>
        <w:ind w:left="720"/>
        <w:contextualSpacing/>
        <w:jc w:val="both"/>
        <w:rPr>
          <w:rFonts w:ascii="Verdana" w:hAnsi="Verdana"/>
          <w:i/>
          <w:iCs/>
          <w:sz w:val="20"/>
          <w:szCs w:val="20"/>
        </w:rPr>
      </w:pPr>
      <w:r w:rsidRPr="00395B93">
        <w:rPr>
          <w:rFonts w:ascii="Verdana" w:hAnsi="Verdana"/>
          <w:i/>
          <w:iCs/>
          <w:sz w:val="20"/>
          <w:szCs w:val="20"/>
        </w:rPr>
        <w:t>“3.6.2.</w:t>
      </w:r>
      <w:r w:rsidRPr="00395B93">
        <w:rPr>
          <w:rFonts w:ascii="Verdana" w:hAnsi="Verdana"/>
          <w:i/>
          <w:iCs/>
          <w:sz w:val="20"/>
          <w:szCs w:val="20"/>
        </w:rPr>
        <w:tab/>
        <w:t>Nos termos do Contrato de Distribuição, o Coordenador Líder organizou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em diferentes níveis de taxas de juros (“Procedimento de Bookbuilding”), de forma a definir os Juros Remuneratórios (conforme definido na Cláusula 4.2 abaixo) aplicáveis. O resultado do Procedimento de Bookbuilding foi ratificado por meio de aditamento a esta Escritura de Emissão, que deverá ser levado a registro perante a JUCEMG, conforme Cláusula 2.2.1 acima, estando desde já as Partes autorizadas e obrigadas a celebrar tal aditamento, nos termos do Anexo II, sem a necessidade de prévia aprovação societária da Emissora, e sem necessidade de prévia Assembleia Geral de Debenturistas (conforme definido na Cláusula 8.1.1, abaixo), tendo em vista que o limite dos Juros Remuneratórios já foi deliberado por meio da AGE da Emissora.”</w:t>
      </w:r>
    </w:p>
    <w:p w:rsidR="00A60B4D" w:rsidRPr="00E52213" w:rsidP="00A60B4D">
      <w:pPr>
        <w:widowControl w:val="0"/>
        <w:spacing w:line="320" w:lineRule="exact"/>
        <w:contextualSpacing/>
        <w:jc w:val="both"/>
        <w:rPr>
          <w:rFonts w:ascii="Verdana" w:hAnsi="Verdana"/>
          <w:sz w:val="20"/>
          <w:szCs w:val="20"/>
        </w:rPr>
      </w:pPr>
    </w:p>
    <w:p w:rsidR="00A60B4D" w:rsidRPr="0084095A" w:rsidP="00A60B4D">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Pr>
          <w:rFonts w:ascii="Verdana" w:eastAsia="Arial Unicode MS" w:hAnsi="Verdana"/>
          <w:i/>
          <w:sz w:val="20"/>
          <w:szCs w:val="20"/>
        </w:rPr>
        <w:t>4,8968%</w:t>
      </w:r>
      <w:r w:rsidRPr="0084095A">
        <w:rPr>
          <w:rFonts w:ascii="Verdana" w:eastAsia="Arial Unicode MS" w:hAnsi="Verdana"/>
          <w:i/>
          <w:sz w:val="20"/>
          <w:szCs w:val="20"/>
        </w:rPr>
        <w:t xml:space="preserve"> (</w:t>
      </w:r>
      <w:r>
        <w:rPr>
          <w:rFonts w:ascii="Verdana" w:hAnsi="Verdana" w:cs="Arial"/>
          <w:bCs/>
          <w:sz w:val="20"/>
          <w:szCs w:val="20"/>
          <w:u w:val="single"/>
        </w:rPr>
        <w:t>quatro inteiros, oito mil novecentos e sessenta e oito décimos de milésimos por cento</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w:t>
      </w:r>
      <w:r w:rsidRPr="00395B93">
        <w:rPr>
          <w:rStyle w:val="DeltaViewInsertion"/>
          <w:rFonts w:ascii="Verdana" w:hAnsi="Verdana" w:cs="Arial"/>
          <w:i/>
          <w:color w:val="auto"/>
          <w:sz w:val="20"/>
          <w:u w:val="single"/>
        </w:rPr>
        <w:t>Juros Remuneratórios</w:t>
      </w:r>
      <w:r w:rsidRPr="0084095A">
        <w:rPr>
          <w:rStyle w:val="DeltaViewInsertion"/>
          <w:rFonts w:ascii="Verdana" w:hAnsi="Verdana" w:cs="Arial"/>
          <w:i/>
          <w:color w:val="auto"/>
          <w:sz w:val="20"/>
          <w:u w:val="none"/>
        </w:rPr>
        <w:t>”).”</w:t>
      </w:r>
    </w:p>
    <w:p w:rsidR="00A60B4D" w:rsidRPr="0084095A" w:rsidP="00A60B4D">
      <w:pPr>
        <w:spacing w:line="320" w:lineRule="exact"/>
        <w:ind w:left="709"/>
        <w:contextualSpacing/>
        <w:jc w:val="both"/>
        <w:rPr>
          <w:rStyle w:val="DeltaViewInsertion"/>
          <w:rFonts w:ascii="Verdana" w:hAnsi="Verdana"/>
          <w:i/>
          <w:color w:val="auto"/>
          <w:sz w:val="20"/>
          <w:u w:val="none"/>
        </w:rPr>
      </w:pPr>
    </w:p>
    <w:p w:rsidR="00A60B4D" w:rsidRPr="0084095A" w:rsidP="00A60B4D">
      <w:pPr>
        <w:pStyle w:val="Heading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rsidR="00A60B4D" w:rsidRPr="0084095A" w:rsidP="00A60B4D">
      <w:pPr>
        <w:spacing w:line="320" w:lineRule="exact"/>
        <w:contextualSpacing/>
        <w:rPr>
          <w:rFonts w:ascii="Verdana" w:hAnsi="Verdana"/>
          <w:i/>
          <w:sz w:val="20"/>
          <w:szCs w:val="20"/>
        </w:rPr>
      </w:pPr>
    </w:p>
    <w:p w:rsidR="00A60B4D" w:rsidRPr="0084095A" w:rsidP="00A60B4D">
      <w:pPr>
        <w:spacing w:line="320" w:lineRule="exact"/>
        <w:contextualSpacing/>
        <w:rPr>
          <w:rFonts w:ascii="Verdana" w:hAnsi="Verdana"/>
          <w:i/>
          <w:sz w:val="20"/>
          <w:szCs w:val="20"/>
        </w:rPr>
      </w:pPr>
    </w:p>
    <w:p w:rsidR="00A60B4D" w:rsidRPr="0084095A" w:rsidP="00A60B4D">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r w:rsidRPr="0084095A">
        <w:rPr>
          <w:rStyle w:val="DeltaViewInsertion"/>
          <w:rFonts w:ascii="Verdana" w:hAnsi="Verdana" w:cs="Arial"/>
          <w:i/>
          <w:color w:val="auto"/>
          <w:sz w:val="20"/>
          <w:u w:val="none"/>
        </w:rPr>
        <w:t>VNa</w:t>
      </w:r>
      <w:r w:rsidRPr="0084095A">
        <w:rPr>
          <w:rStyle w:val="DeltaViewInsertion"/>
          <w:rFonts w:ascii="Verdana" w:hAnsi="Verdana" w:cs="Arial"/>
          <w:i/>
          <w:color w:val="auto"/>
          <w:sz w:val="20"/>
          <w:u w:val="none"/>
        </w:rPr>
        <w:t xml:space="preserve"> x (Fator Juros – 1)</w:t>
      </w:r>
    </w:p>
    <w:p w:rsidR="00A60B4D" w:rsidRPr="0084095A" w:rsidP="00A60B4D">
      <w:pPr>
        <w:spacing w:line="320" w:lineRule="exact"/>
        <w:contextualSpacing/>
        <w:rPr>
          <w:rFonts w:ascii="Verdana" w:hAnsi="Verdana"/>
          <w:i/>
          <w:sz w:val="20"/>
          <w:szCs w:val="20"/>
        </w:rPr>
      </w:pPr>
    </w:p>
    <w:p w:rsidR="00A60B4D" w:rsidRPr="00E52213"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A60B4D" w:rsidRPr="00E52213" w:rsidP="00A60B4D">
      <w:pPr>
        <w:spacing w:line="320" w:lineRule="exact"/>
        <w:ind w:left="709"/>
        <w:contextualSpacing/>
        <w:jc w:val="both"/>
        <w:rPr>
          <w:rFonts w:ascii="Verdana" w:hAnsi="Verdana" w:cs="Arial"/>
          <w:i/>
          <w:sz w:val="20"/>
          <w:szCs w:val="20"/>
        </w:rPr>
      </w:pPr>
    </w:p>
    <w:p w:rsidR="00A60B4D" w:rsidRPr="00E52213"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rsidR="00A60B4D" w:rsidRPr="00E52213" w:rsidP="00A60B4D">
      <w:pPr>
        <w:spacing w:line="320" w:lineRule="exact"/>
        <w:ind w:left="709"/>
        <w:contextualSpacing/>
        <w:jc w:val="both"/>
        <w:rPr>
          <w:rFonts w:ascii="Verdana" w:hAnsi="Verdana" w:cs="Arial"/>
          <w:i/>
          <w:sz w:val="20"/>
          <w:szCs w:val="20"/>
        </w:rPr>
      </w:pPr>
    </w:p>
    <w:p w:rsidR="00A60B4D" w:rsidRPr="00E52213"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VNa</w:t>
      </w:r>
      <w:r w:rsidRPr="00E52213">
        <w:rPr>
          <w:rFonts w:ascii="Verdana" w:hAnsi="Verdana" w:cs="Arial"/>
          <w:i/>
          <w:sz w:val="20"/>
          <w:szCs w:val="20"/>
        </w:rPr>
        <w:t xml:space="preserve"> = Valor Nominal Unitário Atualizado calculado com 8 (oito) casas decimais, sem arredondamento; </w:t>
      </w:r>
    </w:p>
    <w:p w:rsidR="00A60B4D" w:rsidRPr="00E52213" w:rsidP="00A60B4D">
      <w:pPr>
        <w:spacing w:line="320" w:lineRule="exact"/>
        <w:ind w:left="709"/>
        <w:contextualSpacing/>
        <w:jc w:val="both"/>
        <w:rPr>
          <w:rFonts w:ascii="Verdana" w:hAnsi="Verdana" w:cs="Arial"/>
          <w:i/>
          <w:sz w:val="20"/>
          <w:szCs w:val="20"/>
        </w:rPr>
      </w:pPr>
    </w:p>
    <w:p w:rsidR="00A60B4D" w:rsidRPr="00E52213"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rsidR="00A60B4D" w:rsidRPr="00E52213" w:rsidP="00A60B4D">
      <w:pPr>
        <w:spacing w:line="320" w:lineRule="exact"/>
        <w:ind w:left="709"/>
        <w:contextualSpacing/>
        <w:jc w:val="both"/>
        <w:rPr>
          <w:rFonts w:ascii="Verdana" w:hAnsi="Verdana" w:cs="Arial"/>
          <w:i/>
          <w:sz w:val="20"/>
          <w:szCs w:val="20"/>
        </w:rPr>
      </w:pPr>
    </w:p>
    <w:p w:rsidR="00A60B4D" w:rsidRPr="00E52213" w:rsidP="00A60B4D">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A60B4D" w:rsidRPr="00E52213" w:rsidP="00A60B4D">
      <w:pPr>
        <w:spacing w:line="320" w:lineRule="exact"/>
        <w:contextualSpacing/>
        <w:jc w:val="center"/>
        <w:rPr>
          <w:rFonts w:ascii="Verdana" w:hAnsi="Verdana"/>
          <w:i/>
          <w:sz w:val="20"/>
          <w:szCs w:val="20"/>
        </w:rPr>
      </w:pPr>
    </w:p>
    <w:p w:rsidR="00A60B4D" w:rsidRPr="00E52213"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A60B4D" w:rsidRPr="00E52213" w:rsidP="00A60B4D">
      <w:pPr>
        <w:spacing w:line="320" w:lineRule="exact"/>
        <w:ind w:left="709"/>
        <w:contextualSpacing/>
        <w:jc w:val="both"/>
        <w:rPr>
          <w:rFonts w:ascii="Verdana" w:hAnsi="Verdana" w:cs="Arial"/>
          <w:i/>
          <w:sz w:val="20"/>
          <w:szCs w:val="20"/>
        </w:rPr>
      </w:pPr>
    </w:p>
    <w:p w:rsidR="00A60B4D" w:rsidRPr="00E52213"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Pr>
          <w:rFonts w:ascii="Verdana" w:eastAsia="Arial Unicode MS" w:hAnsi="Verdana"/>
          <w:i/>
          <w:sz w:val="20"/>
          <w:szCs w:val="20"/>
        </w:rPr>
        <w:t>4,8968%</w:t>
      </w:r>
      <w:r w:rsidRPr="0084095A">
        <w:rPr>
          <w:rFonts w:ascii="Verdana" w:eastAsia="Arial Unicode MS" w:hAnsi="Verdana"/>
          <w:i/>
          <w:sz w:val="20"/>
          <w:szCs w:val="20"/>
        </w:rPr>
        <w:t xml:space="preserve"> (</w:t>
      </w:r>
      <w:r>
        <w:rPr>
          <w:rFonts w:ascii="Verdana" w:hAnsi="Verdana" w:cs="Arial"/>
          <w:bCs/>
          <w:sz w:val="20"/>
          <w:szCs w:val="20"/>
          <w:u w:val="single"/>
        </w:rPr>
        <w:t>quatro inteiros, oito mil novecentos e sessenta e oito décimos de milésimos por cento</w:t>
      </w:r>
      <w:r w:rsidRPr="0084095A">
        <w:rPr>
          <w:rFonts w:ascii="Verdana" w:eastAsia="Arial Unicode MS" w:hAnsi="Verdana"/>
          <w:i/>
          <w:sz w:val="20"/>
          <w:szCs w:val="20"/>
        </w:rPr>
        <w:t>)</w:t>
      </w:r>
      <w:r w:rsidRPr="0084095A">
        <w:rPr>
          <w:rFonts w:ascii="Verdana" w:hAnsi="Verdana" w:cs="Arial"/>
          <w:i/>
          <w:sz w:val="20"/>
          <w:szCs w:val="20"/>
        </w:rPr>
        <w:t>;</w:t>
      </w:r>
    </w:p>
    <w:p w:rsidR="00A60B4D" w:rsidRPr="00E52213" w:rsidP="00A60B4D">
      <w:pPr>
        <w:spacing w:line="320" w:lineRule="exact"/>
        <w:ind w:left="709"/>
        <w:contextualSpacing/>
        <w:jc w:val="both"/>
        <w:rPr>
          <w:rFonts w:ascii="Verdana" w:hAnsi="Verdana" w:cs="Arial"/>
          <w:i/>
          <w:sz w:val="20"/>
          <w:szCs w:val="20"/>
        </w:rPr>
      </w:pPr>
    </w:p>
    <w:p w:rsidR="00A60B4D" w:rsidRPr="00E52213"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rsidR="00A60B4D" w:rsidRPr="00E52213" w:rsidP="00A60B4D">
      <w:pPr>
        <w:widowControl w:val="0"/>
        <w:spacing w:line="320" w:lineRule="exact"/>
        <w:ind w:left="720"/>
        <w:contextualSpacing/>
        <w:jc w:val="both"/>
        <w:rPr>
          <w:rFonts w:ascii="Verdana" w:hAnsi="Verdana"/>
          <w:sz w:val="20"/>
          <w:szCs w:val="20"/>
        </w:rPr>
      </w:pPr>
    </w:p>
    <w:p w:rsidR="00A60B4D" w:rsidRPr="004954CD" w:rsidP="00395B93">
      <w:pPr>
        <w:keepNext/>
        <w:numPr>
          <w:ilvl w:val="1"/>
          <w:numId w:val="2"/>
        </w:numPr>
        <w:spacing w:line="320" w:lineRule="exact"/>
        <w:contextualSpacing/>
        <w:jc w:val="both"/>
        <w:rPr>
          <w:rFonts w:ascii="Verdana" w:hAnsi="Verdana"/>
          <w:sz w:val="20"/>
          <w:szCs w:val="20"/>
        </w:rPr>
      </w:pPr>
      <w:r>
        <w:rPr>
          <w:rFonts w:ascii="Verdana" w:hAnsi="Verdana"/>
          <w:sz w:val="20"/>
          <w:szCs w:val="20"/>
        </w:rPr>
        <w:t>Em razão da celebração do presente Aditamento e das alterações promovidas no item anterior, excluir a Cláusula 4.2.2.4.</w:t>
      </w:r>
    </w:p>
    <w:p w:rsidR="00A60B4D" w:rsidRPr="00E52213" w:rsidP="00A60B4D">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rsidR="00A60B4D" w:rsidRPr="00E52213" w:rsidP="00A60B4D">
      <w:pPr>
        <w:keepNext/>
        <w:spacing w:line="320" w:lineRule="exact"/>
        <w:ind w:left="720"/>
        <w:contextualSpacing/>
        <w:jc w:val="both"/>
        <w:rPr>
          <w:rFonts w:ascii="Verdana" w:hAnsi="Verdana"/>
          <w:sz w:val="20"/>
          <w:szCs w:val="20"/>
        </w:rPr>
      </w:pPr>
    </w:p>
    <w:p w:rsidR="00A60B4D" w:rsidRPr="00E52213" w:rsidP="00A60B4D">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rsidR="00A60B4D" w:rsidRPr="00E52213" w:rsidP="00A60B4D">
      <w:pPr>
        <w:widowControl w:val="0"/>
        <w:spacing w:line="320" w:lineRule="exact"/>
        <w:ind w:left="720"/>
        <w:contextualSpacing/>
        <w:jc w:val="both"/>
        <w:rPr>
          <w:rFonts w:ascii="Verdana" w:hAnsi="Verdana"/>
          <w:sz w:val="20"/>
          <w:szCs w:val="20"/>
        </w:rPr>
      </w:pPr>
    </w:p>
    <w:p w:rsidR="00A60B4D" w:rsidRPr="00E52213" w:rsidP="00A60B4D">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rsidR="00A60B4D" w:rsidRPr="00E52213" w:rsidP="00A60B4D">
      <w:pPr>
        <w:widowControl w:val="0"/>
        <w:spacing w:line="320" w:lineRule="exact"/>
        <w:ind w:left="720"/>
        <w:contextualSpacing/>
        <w:jc w:val="both"/>
        <w:rPr>
          <w:rFonts w:ascii="Verdana" w:hAnsi="Verdana"/>
          <w:sz w:val="20"/>
          <w:szCs w:val="20"/>
        </w:rPr>
      </w:pPr>
    </w:p>
    <w:p w:rsidR="00A60B4D" w:rsidRPr="00E52213" w:rsidP="00A60B4D">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rsidR="00A60B4D" w:rsidRPr="00E52213" w:rsidP="00A60B4D">
      <w:pPr>
        <w:pStyle w:val="ListParagraph"/>
        <w:spacing w:line="320" w:lineRule="exact"/>
        <w:rPr>
          <w:rFonts w:ascii="Verdana" w:hAnsi="Verdana"/>
          <w:sz w:val="20"/>
          <w:szCs w:val="20"/>
        </w:rPr>
      </w:pPr>
    </w:p>
    <w:p w:rsidR="00A60B4D" w:rsidRPr="00E52213" w:rsidP="00A60B4D">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rsidR="00A60B4D" w:rsidRPr="00E52213" w:rsidP="00A60B4D">
      <w:pPr>
        <w:pStyle w:val="ListParagraph"/>
        <w:spacing w:line="320" w:lineRule="exact"/>
        <w:rPr>
          <w:rFonts w:ascii="Verdana" w:eastAsia="Arial Unicode MS" w:hAnsi="Verdana"/>
          <w:sz w:val="20"/>
          <w:szCs w:val="20"/>
        </w:rPr>
      </w:pPr>
    </w:p>
    <w:p w:rsidR="00A60B4D" w:rsidRPr="00E52213" w:rsidP="00A60B4D">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rsidR="00A60B4D" w:rsidRPr="00E52213" w:rsidP="00A60B4D">
      <w:pPr>
        <w:pStyle w:val="ListParagraph"/>
        <w:spacing w:line="320" w:lineRule="exact"/>
        <w:rPr>
          <w:rFonts w:ascii="Verdana" w:hAnsi="Verdana"/>
          <w:sz w:val="20"/>
          <w:szCs w:val="20"/>
        </w:rPr>
      </w:pPr>
    </w:p>
    <w:p w:rsidR="00A60B4D" w:rsidRPr="00E52213" w:rsidP="00A60B4D">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rsidR="00A60B4D" w:rsidRPr="00E52213" w:rsidP="00A60B4D">
      <w:pPr>
        <w:pStyle w:val="ListParagraph"/>
        <w:spacing w:line="320" w:lineRule="exact"/>
        <w:rPr>
          <w:rFonts w:ascii="Verdana" w:hAnsi="Verdana"/>
          <w:sz w:val="20"/>
          <w:szCs w:val="20"/>
        </w:rPr>
      </w:pPr>
    </w:p>
    <w:p w:rsidR="00A60B4D" w:rsidRPr="00E52213" w:rsidP="00A60B4D">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rsidR="00A60B4D" w:rsidRPr="00E52213" w:rsidP="00A60B4D">
      <w:pPr>
        <w:pStyle w:val="ListParagraph"/>
        <w:spacing w:line="320" w:lineRule="exact"/>
        <w:rPr>
          <w:rFonts w:ascii="Verdana" w:hAnsi="Verdana"/>
          <w:sz w:val="20"/>
          <w:szCs w:val="20"/>
        </w:rPr>
      </w:pPr>
    </w:p>
    <w:p w:rsidR="00A60B4D" w:rsidRPr="00E52213" w:rsidP="00A60B4D">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rsidR="00A60B4D" w:rsidRPr="00E52213" w:rsidP="00A60B4D">
      <w:pPr>
        <w:pStyle w:val="ListParagraph"/>
        <w:spacing w:line="320" w:lineRule="exact"/>
        <w:rPr>
          <w:rFonts w:ascii="Verdana" w:hAnsi="Verdana"/>
          <w:sz w:val="20"/>
          <w:szCs w:val="20"/>
        </w:rPr>
      </w:pPr>
    </w:p>
    <w:p w:rsidR="00A60B4D" w:rsidRPr="00E52213" w:rsidP="00A60B4D">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w:t>
      </w:r>
      <w:r w:rsidRPr="00E52213">
        <w:rPr>
          <w:rFonts w:ascii="Verdana" w:eastAsia="Arial Unicode MS" w:hAnsi="Verdana" w:cs="Arial"/>
          <w:sz w:val="20"/>
          <w:szCs w:val="20"/>
        </w:rPr>
        <w:t xml:space="preserve">quaisquer dúvidas ou controvérsias oriundas deste Aditamento, com renúncia a qualquer outro, por mais privilegiado que seja. </w:t>
      </w:r>
    </w:p>
    <w:p w:rsidR="00A60B4D" w:rsidRPr="00E52213" w:rsidP="00A60B4D">
      <w:pPr>
        <w:widowControl w:val="0"/>
        <w:spacing w:line="320" w:lineRule="exact"/>
        <w:ind w:left="709"/>
        <w:contextualSpacing/>
        <w:jc w:val="both"/>
        <w:rPr>
          <w:rFonts w:ascii="Verdana" w:hAnsi="Verdana"/>
          <w:sz w:val="20"/>
          <w:szCs w:val="20"/>
        </w:rPr>
      </w:pPr>
    </w:p>
    <w:p w:rsidR="00A60B4D" w:rsidRPr="00E52213" w:rsidP="00A60B4D">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w:t>
      </w:r>
      <w:r w:rsidRPr="006527FE">
        <w:rPr>
          <w:rFonts w:ascii="Verdana" w:eastAsia="Arial Unicode MS" w:hAnsi="Verdana" w:cs="Arial"/>
          <w:sz w:val="20"/>
          <w:szCs w:val="20"/>
        </w:rPr>
        <w:t xml:space="preserve">Horizonte, </w:t>
      </w:r>
      <w:r>
        <w:rPr>
          <w:rFonts w:ascii="Verdana" w:eastAsia="Arial Unicode MS" w:hAnsi="Verdana" w:cs="Arial"/>
          <w:sz w:val="20"/>
          <w:szCs w:val="20"/>
        </w:rPr>
        <w:t>12</w:t>
      </w:r>
      <w:r w:rsidRPr="006527FE">
        <w:rPr>
          <w:rFonts w:ascii="Verdana" w:eastAsia="Arial Unicode MS" w:hAnsi="Verdana" w:cs="Arial"/>
          <w:sz w:val="20"/>
          <w:szCs w:val="20"/>
        </w:rPr>
        <w:t xml:space="preserve"> de </w:t>
      </w:r>
      <w:r>
        <w:rPr>
          <w:rFonts w:ascii="Verdana" w:eastAsia="Arial Unicode MS" w:hAnsi="Verdana" w:cs="Arial"/>
          <w:sz w:val="20"/>
          <w:szCs w:val="20"/>
        </w:rPr>
        <w:t>agosto</w:t>
      </w:r>
      <w:r w:rsidRPr="006527FE">
        <w:rPr>
          <w:rFonts w:ascii="Verdana" w:eastAsia="Arial Unicode MS" w:hAnsi="Verdana" w:cs="Arial"/>
          <w:sz w:val="20"/>
          <w:szCs w:val="20"/>
        </w:rPr>
        <w:t xml:space="preserve"> de</w:t>
      </w:r>
      <w:r w:rsidRPr="00E52213">
        <w:rPr>
          <w:rFonts w:ascii="Verdana" w:eastAsia="Arial Unicode MS" w:hAnsi="Verdana" w:cs="Arial"/>
          <w:sz w:val="20"/>
          <w:szCs w:val="20"/>
        </w:rPr>
        <w:t xml:space="preserve"> 2021.</w:t>
      </w:r>
    </w:p>
    <w:p w:rsidR="00A60B4D" w:rsidRPr="00E52213" w:rsidP="00A60B4D">
      <w:pPr>
        <w:widowControl w:val="0"/>
        <w:spacing w:line="320" w:lineRule="exact"/>
        <w:ind w:left="720"/>
        <w:contextualSpacing/>
        <w:jc w:val="center"/>
        <w:rPr>
          <w:rFonts w:ascii="Verdana" w:eastAsia="Arial Unicode MS" w:hAnsi="Verdana" w:cs="Arial"/>
          <w:sz w:val="20"/>
          <w:szCs w:val="20"/>
        </w:rPr>
      </w:pPr>
    </w:p>
    <w:p w:rsidR="00A60B4D" w:rsidRPr="00E52213" w:rsidP="00A60B4D">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A60B4D" w:rsidRPr="00E52213" w:rsidP="00A60B4D">
      <w:pPr>
        <w:autoSpaceDE/>
        <w:autoSpaceDN/>
        <w:adjustRightInd/>
        <w:spacing w:line="320" w:lineRule="exact"/>
        <w:rPr>
          <w:rFonts w:ascii="Verdana" w:eastAsia="Arial Unicode MS" w:hAnsi="Verdana" w:cs="Arial"/>
          <w:sz w:val="20"/>
          <w:szCs w:val="20"/>
        </w:rPr>
      </w:pPr>
    </w:p>
    <w:p w:rsidR="00A60B4D" w:rsidRPr="00E52213" w:rsidP="00A60B4D">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A60B4D" w:rsidRPr="006527FE" w:rsidP="00A60B4D">
      <w:pPr>
        <w:spacing w:line="320" w:lineRule="exact"/>
        <w:contextualSpacing/>
        <w:jc w:val="both"/>
        <w:rPr>
          <w:rFonts w:ascii="Verdana" w:eastAsia="Arial Unicode MS" w:hAnsi="Verdana" w:cs="Arial"/>
          <w:b/>
          <w:bCs/>
          <w:sz w:val="20"/>
          <w:szCs w:val="20"/>
        </w:rPr>
      </w:pPr>
      <w:r w:rsidRPr="006527FE">
        <w:rPr>
          <w:rFonts w:ascii="Verdana" w:eastAsia="Arial Unicode MS" w:hAnsi="Verdana" w:cs="Arial"/>
          <w:b/>
          <w:bCs/>
          <w:sz w:val="20"/>
          <w:szCs w:val="20"/>
        </w:rPr>
        <w:t>ALIANÇA GERAÇÃO DE ENERGIA S.A.</w:t>
      </w:r>
    </w:p>
    <w:p w:rsidR="00A60B4D" w:rsidRPr="003210FA" w:rsidP="00A60B4D">
      <w:pPr>
        <w:spacing w:line="320" w:lineRule="exact"/>
        <w:contextualSpacing/>
        <w:jc w:val="both"/>
        <w:rPr>
          <w:rFonts w:ascii="Verdana" w:eastAsia="Arial Unicode MS" w:hAnsi="Verdana" w:cs="Arial"/>
          <w:sz w:val="20"/>
          <w:szCs w:val="20"/>
        </w:rPr>
      </w:pPr>
    </w:p>
    <w:p w:rsidR="00A60B4D" w:rsidRPr="006527FE"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 xml:space="preserve">Neste ato assinam digitalmente pela Aliança Geração de Energia S.A os Srs. </w:t>
      </w:r>
      <w:r w:rsidRPr="006527FE">
        <w:rPr>
          <w:rFonts w:ascii="Verdana" w:eastAsia="Arial Unicode MS" w:hAnsi="Verdana" w:cs="Arial"/>
          <w:sz w:val="20"/>
          <w:szCs w:val="20"/>
        </w:rPr>
        <w:t>Wander Luiz de Oliveira e Paulo de Tarso de Alexandria Cruz.</w:t>
      </w:r>
    </w:p>
    <w:p w:rsidR="00A60B4D" w:rsidRPr="003210FA"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ab/>
      </w:r>
    </w:p>
    <w:p w:rsidR="00A60B4D" w:rsidRPr="003210FA" w:rsidP="00A60B4D">
      <w:pPr>
        <w:spacing w:line="320" w:lineRule="exact"/>
        <w:contextualSpacing/>
        <w:jc w:val="both"/>
        <w:rPr>
          <w:rFonts w:ascii="Verdana" w:eastAsia="Arial Unicode MS" w:hAnsi="Verdana" w:cs="Arial"/>
          <w:b/>
          <w:bCs/>
          <w:sz w:val="20"/>
          <w:szCs w:val="20"/>
        </w:rPr>
      </w:pPr>
      <w:r w:rsidRPr="003210FA">
        <w:rPr>
          <w:rFonts w:ascii="Verdana" w:eastAsia="Arial Unicode MS" w:hAnsi="Verdana" w:cs="Arial"/>
          <w:b/>
          <w:bCs/>
          <w:sz w:val="20"/>
          <w:szCs w:val="20"/>
        </w:rPr>
        <w:t xml:space="preserve">SIMPLIFIC PAVARINI DISTRIBUIDORA DE TÍTULOS E VALORES MOBILIÁRIOS LTDA. </w:t>
      </w:r>
    </w:p>
    <w:p w:rsidR="00A60B4D" w:rsidRPr="003210FA" w:rsidP="00A60B4D">
      <w:pPr>
        <w:spacing w:line="320" w:lineRule="exact"/>
        <w:contextualSpacing/>
        <w:jc w:val="both"/>
        <w:rPr>
          <w:rFonts w:ascii="Verdana" w:eastAsia="Arial Unicode MS" w:hAnsi="Verdana" w:cs="Arial"/>
          <w:sz w:val="20"/>
          <w:szCs w:val="20"/>
        </w:rPr>
      </w:pPr>
    </w:p>
    <w:p w:rsidR="00A60B4D" w:rsidRPr="006527FE"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 xml:space="preserve">Neste ato assina digitalmente pela Simplific Pavarini Distribuidora de Títulos e Valores Mobiliários Ltda. o Sr. </w:t>
      </w:r>
      <w:r w:rsidRPr="006527FE">
        <w:rPr>
          <w:rFonts w:ascii="Verdana" w:eastAsia="Arial Unicode MS" w:hAnsi="Verdana" w:cs="Arial"/>
          <w:sz w:val="20"/>
          <w:szCs w:val="20"/>
        </w:rPr>
        <w:t>Carlos Alberto Bacha.</w:t>
      </w:r>
    </w:p>
    <w:p w:rsidR="00A60B4D" w:rsidRPr="003210FA" w:rsidP="00A60B4D">
      <w:pPr>
        <w:spacing w:line="320" w:lineRule="exact"/>
        <w:contextualSpacing/>
        <w:jc w:val="both"/>
        <w:rPr>
          <w:rFonts w:ascii="Verdana" w:eastAsia="Arial Unicode MS" w:hAnsi="Verdana" w:cs="Arial"/>
          <w:sz w:val="20"/>
          <w:szCs w:val="20"/>
        </w:rPr>
      </w:pPr>
    </w:p>
    <w:p w:rsidR="00A60B4D" w:rsidRPr="003210FA" w:rsidP="00A60B4D">
      <w:pPr>
        <w:spacing w:line="320" w:lineRule="exact"/>
        <w:contextualSpacing/>
        <w:jc w:val="both"/>
        <w:rPr>
          <w:rFonts w:ascii="Verdana" w:eastAsia="Arial Unicode MS" w:hAnsi="Verdana" w:cs="Arial"/>
          <w:b/>
          <w:bCs/>
          <w:caps/>
          <w:sz w:val="20"/>
          <w:szCs w:val="20"/>
        </w:rPr>
      </w:pPr>
      <w:r w:rsidRPr="003210FA">
        <w:rPr>
          <w:rFonts w:ascii="Verdana" w:eastAsia="Arial Unicode MS" w:hAnsi="Verdana" w:cs="Arial"/>
          <w:b/>
          <w:bCs/>
          <w:caps/>
          <w:sz w:val="20"/>
          <w:szCs w:val="20"/>
        </w:rPr>
        <w:t>Testemunhas:</w:t>
      </w:r>
    </w:p>
    <w:p w:rsidR="00A60B4D" w:rsidRPr="003210FA" w:rsidP="00A60B4D">
      <w:pPr>
        <w:spacing w:line="320" w:lineRule="exact"/>
        <w:contextualSpacing/>
        <w:jc w:val="both"/>
        <w:rPr>
          <w:rFonts w:ascii="Verdana" w:eastAsia="Arial Unicode MS" w:hAnsi="Verdana" w:cs="Arial"/>
          <w:sz w:val="20"/>
          <w:szCs w:val="20"/>
        </w:rPr>
      </w:pPr>
    </w:p>
    <w:p w:rsidR="00A60B4D" w:rsidRPr="00E52213"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 xml:space="preserve">Neste ato assinam digitalmente como testemunhas os Srs. </w:t>
      </w:r>
      <w:r w:rsidRPr="006527FE">
        <w:rPr>
          <w:rFonts w:ascii="Verdana" w:eastAsia="Arial Unicode MS" w:hAnsi="Verdana" w:cs="Arial"/>
          <w:sz w:val="20"/>
          <w:szCs w:val="20"/>
        </w:rPr>
        <w:t>Henrique Silva Schuffner e Natália Xavier Alencar.</w:t>
      </w:r>
    </w:p>
    <w:p w:rsidR="00A60B4D">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rsidR="000F06C4" w:rsidRPr="00395B93" w:rsidP="00395B93">
      <w:pPr>
        <w:spacing w:line="320" w:lineRule="exact"/>
        <w:contextualSpacing/>
        <w:jc w:val="both"/>
        <w:rPr>
          <w:rFonts w:ascii="Verdana" w:hAnsi="Verdana" w:cs="Arial"/>
          <w:b/>
          <w:caps/>
          <w:sz w:val="20"/>
          <w:szCs w:val="20"/>
          <w:u w:val="single"/>
        </w:rPr>
      </w:pPr>
      <w:r w:rsidRPr="00395B93">
        <w:rPr>
          <w:rFonts w:ascii="Verdana" w:hAnsi="Verdana" w:cs="Arial"/>
          <w:b/>
          <w:caps/>
          <w:sz w:val="20"/>
          <w:szCs w:val="20"/>
          <w:u w:val="single"/>
        </w:rPr>
        <w:t>Anexo A</w:t>
      </w:r>
      <w:r>
        <w:rPr>
          <w:rFonts w:ascii="Verdana" w:hAnsi="Verdana" w:cs="Arial"/>
          <w:b/>
          <w:sz w:val="20"/>
          <w:szCs w:val="20"/>
          <w:u w:val="single"/>
        </w:rPr>
        <w:t xml:space="preserve"> AO </w:t>
      </w: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r>
        <w:rPr>
          <w:rFonts w:ascii="Verdana" w:hAnsi="Verdana" w:cs="Arial"/>
          <w:b/>
          <w:sz w:val="20"/>
          <w:szCs w:val="20"/>
          <w:u w:val="single"/>
        </w:rPr>
        <w:t xml:space="preserve">– </w:t>
      </w:r>
      <w:r w:rsidRPr="00395B93">
        <w:rPr>
          <w:rFonts w:ascii="Verdana" w:hAnsi="Verdana" w:cs="Arial"/>
          <w:b/>
          <w:caps/>
          <w:sz w:val="20"/>
          <w:szCs w:val="20"/>
          <w:u w:val="single"/>
        </w:rPr>
        <w:t>Consolidação da Escritura de Emissão</w:t>
      </w:r>
    </w:p>
    <w:p w:rsidR="00F45562" w:rsidP="000F06C4">
      <w:pPr>
        <w:spacing w:line="340" w:lineRule="exact"/>
        <w:jc w:val="center"/>
        <w:rPr>
          <w:rFonts w:ascii="Verdana" w:hAnsi="Verdana" w:cs="Arial"/>
          <w:b/>
          <w:sz w:val="20"/>
          <w:szCs w:val="20"/>
          <w:u w:val="single"/>
        </w:rPr>
      </w:pPr>
    </w:p>
    <w:p w:rsidR="00F45562" w:rsidRPr="00E52213" w:rsidP="000F06C4">
      <w:pPr>
        <w:spacing w:line="340" w:lineRule="exact"/>
        <w:jc w:val="center"/>
        <w:rPr>
          <w:rFonts w:ascii="Verdana" w:hAnsi="Verdana" w:cs="Arial"/>
          <w:b/>
          <w:sz w:val="20"/>
          <w:szCs w:val="20"/>
          <w:u w:val="single"/>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rsidR="000F06C4" w:rsidRPr="00E52213" w:rsidP="000F06C4">
      <w:pPr>
        <w:spacing w:line="320" w:lineRule="exact"/>
        <w:contextualSpacing/>
        <w:jc w:val="both"/>
        <w:rPr>
          <w:rFonts w:ascii="Verdana" w:hAnsi="Verdana" w:cs="Arial"/>
          <w:b/>
          <w:sz w:val="20"/>
          <w:szCs w:val="20"/>
        </w:rPr>
      </w:pPr>
      <w:bookmarkStart w:id="2" w:name="_DV_M30"/>
      <w:bookmarkEnd w:id="2"/>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rsidR="000F06C4" w:rsidRPr="00E52213" w:rsidP="000F06C4">
      <w:pPr>
        <w:tabs>
          <w:tab w:val="left" w:pos="5310"/>
        </w:tabs>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ind w:left="566" w:hanging="283"/>
        <w:jc w:val="both"/>
        <w:rPr>
          <w:rFonts w:ascii="Verdana" w:hAnsi="Verdana"/>
          <w:sz w:val="20"/>
          <w:szCs w:val="20"/>
        </w:rPr>
      </w:pPr>
    </w:p>
    <w:p w:rsidR="000F06C4" w:rsidRPr="00E52213"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rsidR="000F06C4" w:rsidRPr="00E52213" w:rsidP="000F06C4">
      <w:pPr>
        <w:keepNext/>
        <w:keepLines/>
        <w:spacing w:line="320" w:lineRule="exact"/>
        <w:ind w:left="709"/>
        <w:contextualSpacing/>
        <w:jc w:val="both"/>
        <w:rPr>
          <w:rFonts w:ascii="Verdana" w:hAnsi="Verdana"/>
          <w:b/>
          <w:sz w:val="20"/>
          <w:szCs w:val="20"/>
        </w:rPr>
      </w:pPr>
    </w:p>
    <w:p w:rsidR="000F06C4" w:rsidRPr="00E52213"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006527FE">
        <w:rPr>
          <w:rFonts w:ascii="Verdana" w:hAnsi="Verdana" w:cs="Tahoma"/>
          <w:sz w:val="20"/>
          <w:szCs w:val="20"/>
        </w:rPr>
        <w:t>04</w:t>
      </w:r>
      <w:r w:rsidRPr="00E52213" w:rsidR="006527FE">
        <w:rPr>
          <w:rFonts w:ascii="Verdana" w:hAnsi="Verdana" w:cs="Arial"/>
          <w:bCs/>
          <w:sz w:val="20"/>
          <w:szCs w:val="20"/>
        </w:rPr>
        <w:t xml:space="preserve"> </w:t>
      </w:r>
      <w:r w:rsidRPr="00E52213">
        <w:rPr>
          <w:rFonts w:ascii="Verdana" w:hAnsi="Verdana" w:cs="Arial"/>
          <w:bCs/>
          <w:sz w:val="20"/>
          <w:szCs w:val="20"/>
        </w:rPr>
        <w:t>de agosto 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rsidR="000F06C4" w:rsidRPr="00E52213" w:rsidP="000F06C4">
      <w:pPr>
        <w:spacing w:line="320" w:lineRule="exact"/>
        <w:contextualSpacing/>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A 4ª (Quarta)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Diário Oficial do Estado de Minas Gerais e no jornal “Diário do Comércio” (“</w:t>
      </w:r>
      <w:r w:rsidRPr="00E52213">
        <w:rPr>
          <w:rFonts w:ascii="Verdana" w:hAnsi="Verdana" w:cs="Arial"/>
          <w:sz w:val="20"/>
          <w:szCs w:val="20"/>
          <w:u w:val="single"/>
        </w:rPr>
        <w:t>Jornais de Publicação da 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rsidR="000F06C4" w:rsidRPr="00E52213"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rsidR="000F06C4" w:rsidRPr="00E52213"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rsidR="000F06C4" w:rsidRPr="00E52213" w:rsidP="000F06C4">
      <w:pPr>
        <w:tabs>
          <w:tab w:val="left" w:pos="720"/>
        </w:tabs>
        <w:spacing w:line="320" w:lineRule="exact"/>
        <w:contextualSpacing/>
        <w:jc w:val="both"/>
        <w:rPr>
          <w:rFonts w:ascii="Verdana" w:hAnsi="Verdana" w:cs="Arial"/>
          <w:sz w:val="20"/>
          <w:szCs w:val="20"/>
        </w:rPr>
      </w:pPr>
      <w:bookmarkStart w:id="41" w:name="_Toc499990318"/>
    </w:p>
    <w:p w:rsidR="000F06C4" w:rsidRPr="00E52213"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t>As Debêntures serão depositadas para:</w:t>
      </w:r>
      <w:bookmarkEnd w:id="43"/>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rsidR="000F06C4" w:rsidRPr="00E52213" w:rsidP="000F06C4">
      <w:pPr>
        <w:tabs>
          <w:tab w:val="left" w:pos="720"/>
          <w:tab w:val="left" w:pos="900"/>
        </w:tabs>
        <w:spacing w:line="320" w:lineRule="exact"/>
        <w:ind w:left="709" w:hanging="709"/>
        <w:contextualSpacing/>
        <w:jc w:val="both"/>
        <w:rPr>
          <w:rFonts w:ascii="Verdana" w:hAnsi="Verdana" w:cs="Arial"/>
          <w:sz w:val="20"/>
          <w:szCs w:val="20"/>
        </w:rPr>
      </w:pPr>
    </w:p>
    <w:p w:rsidR="000F06C4" w:rsidRPr="00E52213"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0F06C4" w:rsidRPr="00E52213" w:rsidP="000F06C4">
      <w:pPr>
        <w:tabs>
          <w:tab w:val="left" w:pos="720"/>
          <w:tab w:val="left" w:pos="900"/>
        </w:tabs>
        <w:spacing w:line="320" w:lineRule="exact"/>
        <w:contextualSpacing/>
        <w:jc w:val="both"/>
        <w:rPr>
          <w:rFonts w:ascii="Verdana" w:hAnsi="Verdana" w:cs="Arial"/>
          <w:sz w:val="20"/>
          <w:szCs w:val="20"/>
        </w:rPr>
      </w:pPr>
    </w:p>
    <w:p w:rsidR="000F06C4" w:rsidRPr="00E52213"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fldChar w:fldCharType="separate"/>
      </w:r>
      <w:r w:rsidR="003B6622">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003B6622">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0F06C4" w:rsidRPr="00E52213" w:rsidP="000F06C4">
      <w:pPr>
        <w:spacing w:line="320" w:lineRule="exact"/>
        <w:contextualSpacing/>
        <w:rPr>
          <w:rFonts w:ascii="Verdana" w:hAnsi="Verdana" w:cs="Arial"/>
          <w:sz w:val="20"/>
          <w:szCs w:val="20"/>
        </w:rPr>
      </w:pPr>
    </w:p>
    <w:p w:rsidR="000F06C4" w:rsidRPr="00E52213"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 Projeto</w:t>
      </w:r>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fldChar w:fldCharType="separate"/>
      </w:r>
      <w:r w:rsidR="003B6622">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08 de setembro de 2020: Portaria nº 332/SPE, de 03 de setembro de 2020;,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p w:rsidR="000F06C4" w:rsidRPr="00E52213" w:rsidP="000F06C4">
      <w:pPr>
        <w:widowControl w:val="0"/>
        <w:spacing w:line="320" w:lineRule="exact"/>
        <w:ind w:left="709" w:hanging="709"/>
        <w:contextualSpacing/>
        <w:jc w:val="both"/>
        <w:rPr>
          <w:rFonts w:ascii="Verdana" w:hAnsi="Verdana" w:cs="Arial"/>
          <w:sz w:val="20"/>
          <w:szCs w:val="20"/>
        </w:rPr>
      </w:pPr>
      <w:bookmarkEnd w:id="49"/>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rsidR="000F06C4" w:rsidRPr="00E52213"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rsidR="000F06C4" w:rsidRPr="00E52213" w:rsidP="000F06C4">
      <w:pPr>
        <w:keepNext/>
        <w:spacing w:line="320" w:lineRule="exact"/>
        <w:contextualSpacing/>
        <w:rPr>
          <w:rFonts w:ascii="Verdana" w:hAnsi="Verdana" w:cs="Arial"/>
          <w:sz w:val="20"/>
          <w:szCs w:val="20"/>
        </w:rPr>
      </w:pPr>
    </w:p>
    <w:p w:rsidR="000F06C4" w:rsidRPr="00E52213"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 xml:space="preserve">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w:t>
      </w:r>
      <w:r w:rsidRPr="00E52213">
        <w:rPr>
          <w:rFonts w:ascii="Verdana" w:hAnsi="Verdana" w:cs="Arial"/>
          <w:sz w:val="20"/>
          <w:szCs w:val="20"/>
        </w:rPr>
        <w:t>e no exterior; e (iii) participação em outras sociedades ou empreendimentos de geração de energia elétrica</w:t>
      </w:r>
      <w:r w:rsidRPr="00E52213">
        <w:rPr>
          <w:rFonts w:ascii="Verdana" w:hAnsi="Verdana"/>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A presente Escritura de Emissão constitui a 4ª</w:t>
      </w:r>
      <w:r w:rsidRPr="00E52213">
        <w:rPr>
          <w:rFonts w:ascii="Verdana" w:hAnsi="Verdana" w:cs="Arial"/>
          <w:b/>
          <w:caps/>
          <w:sz w:val="20"/>
          <w:szCs w:val="20"/>
        </w:rPr>
        <w:t xml:space="preserve"> </w:t>
      </w:r>
      <w:r w:rsidRPr="00E52213">
        <w:rPr>
          <w:rFonts w:ascii="Verdana" w:hAnsi="Verdana" w:cs="Arial"/>
          <w:sz w:val="20"/>
          <w:szCs w:val="20"/>
        </w:rPr>
        <w:t>(quarta)</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sidRPr="00E52213">
        <w:rPr>
          <w:rFonts w:ascii="Verdana" w:hAnsi="Verdana" w:cs="Arial"/>
          <w:b/>
          <w:sz w:val="20"/>
          <w:szCs w:val="20"/>
        </w:rPr>
        <w:t>Data de Emissão</w:t>
      </w:r>
    </w:p>
    <w:p w:rsidR="000F06C4" w:rsidRPr="00E52213" w:rsidP="000F06C4">
      <w:pPr>
        <w:keepNext/>
        <w:tabs>
          <w:tab w:val="left" w:pos="720"/>
        </w:tabs>
        <w:spacing w:line="320" w:lineRule="exact"/>
        <w:ind w:left="720"/>
        <w:contextualSpacing/>
        <w:jc w:val="both"/>
        <w:rPr>
          <w:rFonts w:ascii="Verdana" w:hAnsi="Verdana" w:cs="Arial"/>
          <w:b/>
          <w:sz w:val="20"/>
          <w:szCs w:val="20"/>
        </w:rPr>
      </w:pPr>
    </w:p>
    <w:p w:rsidR="000F06C4" w:rsidRPr="003568EB"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15 de agosto</w:t>
      </w:r>
      <w:r w:rsidRPr="0096018B">
        <w:rPr>
          <w:rFonts w:ascii="Verdana" w:hAnsi="Verdana"/>
          <w:sz w:val="20"/>
          <w:szCs w:val="16"/>
        </w:rPr>
        <w:t xml:space="preserve"> </w:t>
      </w:r>
      <w:r w:rsidRPr="0096018B">
        <w:rPr>
          <w:rFonts w:ascii="Verdana" w:hAnsi="Verdana" w:cs="Arial"/>
          <w:sz w:val="20"/>
          <w:szCs w:val="20"/>
        </w:rPr>
        <w:t>de 2021</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b/>
          <w:sz w:val="20"/>
          <w:szCs w:val="20"/>
        </w:rPr>
      </w:pPr>
    </w:p>
    <w:p w:rsidR="000F06C4" w:rsidRPr="00E52213"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09" w:hanging="709"/>
        <w:contextualSpacing/>
        <w:jc w:val="both"/>
        <w:rPr>
          <w:rFonts w:ascii="Verdana" w:hAnsi="Verdana" w:cs="Arial"/>
          <w:sz w:val="20"/>
          <w:szCs w:val="20"/>
        </w:rPr>
      </w:pPr>
      <w:bookmarkStart w:id="63" w:name="_DV_M73"/>
      <w:bookmarkEnd w:id="63"/>
      <w:r w:rsidRPr="00E52213">
        <w:rPr>
          <w:rFonts w:ascii="Verdana" w:hAnsi="Verdana" w:cs="Arial"/>
          <w:sz w:val="20"/>
          <w:szCs w:val="20"/>
        </w:rPr>
        <w:t>3.4.1.</w:t>
      </w:r>
      <w:r w:rsidRPr="00E52213">
        <w:rPr>
          <w:rFonts w:ascii="Verdana" w:hAnsi="Verdana" w:cs="Arial"/>
          <w:sz w:val="20"/>
          <w:szCs w:val="20"/>
        </w:rPr>
        <w:tab/>
      </w:r>
      <w:bookmarkStart w:id="64" w:name="_Toc367387544"/>
      <w:r w:rsidRPr="00E52213">
        <w:rPr>
          <w:rFonts w:ascii="Verdana" w:hAnsi="Verdana" w:cs="Arial"/>
          <w:sz w:val="20"/>
          <w:szCs w:val="20"/>
        </w:rPr>
        <w:t xml:space="preserve">A Emissão será realizada em </w:t>
      </w:r>
      <w:bookmarkStart w:id="65" w:name="_Toc367218052"/>
      <w:bookmarkStart w:id="66" w:name="_Ref367358330"/>
      <w:bookmarkStart w:id="67" w:name="_Ref367358548"/>
      <w:bookmarkStart w:id="68" w:name="_Ref367358588"/>
      <w:bookmarkStart w:id="69" w:name="_Ref367358602"/>
      <w:bookmarkStart w:id="70" w:name="_Ref367358744"/>
      <w:bookmarkStart w:id="71" w:name="_Toc367387545"/>
      <w:bookmarkEnd w:id="64"/>
      <w:r w:rsidRPr="00E52213">
        <w:rPr>
          <w:rFonts w:ascii="Verdana" w:hAnsi="Verdana" w:cs="Arial"/>
          <w:sz w:val="20"/>
          <w:szCs w:val="20"/>
        </w:rPr>
        <w:t>série única.</w:t>
      </w:r>
      <w:bookmarkEnd w:id="65"/>
      <w:bookmarkEnd w:id="66"/>
      <w:bookmarkEnd w:id="67"/>
      <w:bookmarkEnd w:id="68"/>
      <w:bookmarkEnd w:id="69"/>
      <w:bookmarkEnd w:id="70"/>
      <w:bookmarkEnd w:id="71"/>
    </w:p>
    <w:p w:rsidR="000F06C4" w:rsidRPr="00E52213" w:rsidP="000F06C4">
      <w:pPr>
        <w:autoSpaceDE/>
        <w:autoSpaceDN/>
        <w:adjustRightInd/>
        <w:spacing w:line="320" w:lineRule="exact"/>
        <w:rPr>
          <w:rFonts w:ascii="Verdana" w:hAnsi="Verdana"/>
          <w:b/>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rsidR="000F06C4" w:rsidRPr="00E52213" w:rsidP="000F06C4">
      <w:pPr>
        <w:widowControl w:val="0"/>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O valor total da Emissão é de R$ 220.000.000,00 (duzentos e vinte 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2" w:name="_DV_M74"/>
      <w:bookmarkEnd w:id="72"/>
      <w:r w:rsidRPr="00E52213">
        <w:rPr>
          <w:rFonts w:ascii="Verdana" w:hAnsi="Verdana" w:cs="Arial"/>
          <w:b/>
          <w:sz w:val="20"/>
          <w:szCs w:val="20"/>
        </w:rPr>
        <w:t>Colocação e Procedimento de Distribuição</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3" w:name="_DV_M75"/>
      <w:bookmarkEnd w:id="73"/>
      <w:r w:rsidRPr="00E52213">
        <w:rPr>
          <w:rFonts w:ascii="Verdana" w:hAnsi="Verdana" w:cs="Arial"/>
          <w:sz w:val="20"/>
          <w:szCs w:val="20"/>
        </w:rPr>
        <w:t xml:space="preserve">As Debêntures serão objeto de distribuição pública, com esforços restritos, em regime </w:t>
      </w:r>
      <w:bookmarkStart w:id="74" w:name="_DV_M76"/>
      <w:bookmarkEnd w:id="74"/>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Contrato de Distribuição Pública, com Esforços Restritos, de Debêntures Simples, Não Conversíveis em Ações, da Espécie Quirografária, em Série Única, em Regime de Garantia Firme de Colocação, das Debêntures da 4ª (Quarta)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w:t>
      </w:r>
      <w:r w:rsidRPr="00E52213" w:rsidR="004954CD">
        <w:rPr>
          <w:rFonts w:ascii="Verdana" w:hAnsi="Verdana" w:cs="Arial"/>
          <w:sz w:val="20"/>
          <w:szCs w:val="20"/>
        </w:rPr>
        <w:t>organiz</w:t>
      </w:r>
      <w:r w:rsidR="004954CD">
        <w:rPr>
          <w:rFonts w:ascii="Verdana" w:hAnsi="Verdana" w:cs="Arial"/>
          <w:sz w:val="20"/>
          <w:szCs w:val="20"/>
        </w:rPr>
        <w:t>ou</w:t>
      </w:r>
      <w:r w:rsidRPr="00E52213" w:rsidR="004954CD">
        <w:rPr>
          <w:rFonts w:ascii="Verdana" w:hAnsi="Verdana" w:cs="Arial"/>
          <w:sz w:val="20"/>
          <w:szCs w:val="20"/>
        </w:rPr>
        <w:t xml:space="preserve"> </w:t>
      </w:r>
      <w:r w:rsidRPr="00E52213">
        <w:rPr>
          <w:rFonts w:ascii="Verdana" w:hAnsi="Verdana" w:cs="Arial"/>
          <w:sz w:val="20"/>
          <w:szCs w:val="20"/>
        </w:rPr>
        <w:t xml:space="preserve">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003B6622">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fldChar w:fldCharType="separate"/>
      </w:r>
      <w:r w:rsidR="003B6622">
        <w:rPr>
          <w:rFonts w:ascii="Verdana" w:hAnsi="Verdana"/>
          <w:sz w:val="20"/>
          <w:szCs w:val="20"/>
        </w:rPr>
        <w:t>4.2</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004954CD">
        <w:rPr>
          <w:rFonts w:ascii="Verdana" w:hAnsi="Verdana" w:cs="Arial"/>
          <w:sz w:val="20"/>
          <w:szCs w:val="20"/>
        </w:rPr>
        <w:t>foi</w:t>
      </w:r>
      <w:r w:rsidRPr="00E52213" w:rsidR="004954CD">
        <w:rPr>
          <w:rFonts w:ascii="Verdana" w:hAnsi="Verdana" w:cs="Arial"/>
          <w:sz w:val="20"/>
          <w:szCs w:val="20"/>
        </w:rPr>
        <w:t xml:space="preserve"> </w:t>
      </w:r>
      <w:r w:rsidRPr="00E52213">
        <w:rPr>
          <w:rFonts w:ascii="Verdana" w:hAnsi="Verdana" w:cs="Arial"/>
          <w:sz w:val="20"/>
          <w:szCs w:val="20"/>
        </w:rPr>
        <w:t xml:space="preserve">ratificado por meio de aditamento a esta Escritura de Emissão, que deverá ser </w:t>
      </w:r>
      <w:r w:rsidRPr="00E52213">
        <w:rPr>
          <w:rFonts w:ascii="Verdana" w:hAnsi="Verdana" w:cs="Arial"/>
          <w:sz w:val="20"/>
          <w:szCs w:val="20"/>
        </w:rPr>
        <w:t xml:space="preserve">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fldChar w:fldCharType="separate"/>
      </w:r>
      <w:r w:rsidR="003B6622">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003B6622">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5" w:name="_DV_M79"/>
      <w:bookmarkEnd w:id="75"/>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003B6622">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6" w:name="_DV_M80"/>
      <w:bookmarkStart w:id="77" w:name="_Ref75252314"/>
      <w:bookmarkEnd w:id="76"/>
      <w:r w:rsidRPr="00E52213">
        <w:rPr>
          <w:rFonts w:ascii="Verdana" w:hAnsi="Verdana" w:cs="Arial"/>
          <w:sz w:val="20"/>
          <w:szCs w:val="20"/>
        </w:rPr>
        <w:t>Nos termos da 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 e para fins da Oferta Restrita, são considerados:</w:t>
      </w:r>
      <w:bookmarkEnd w:id="77"/>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rsidR="000F06C4" w:rsidRPr="00E52213" w:rsidP="000F06C4">
      <w:pPr>
        <w:tabs>
          <w:tab w:val="left" w:pos="720"/>
        </w:tabs>
        <w:spacing w:line="320" w:lineRule="exact"/>
        <w:ind w:left="720"/>
        <w:contextualSpacing/>
        <w:jc w:val="both"/>
        <w:rPr>
          <w:rFonts w:ascii="Verdana" w:hAnsi="Verdana" w:cs="Tahom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0F06C4" w:rsidRPr="00E52213" w:rsidP="000F06C4">
      <w:pPr>
        <w:tabs>
          <w:tab w:val="left" w:pos="1418"/>
        </w:tabs>
        <w:spacing w:line="320" w:lineRule="exact"/>
        <w:jc w:val="both"/>
        <w:rPr>
          <w:rFonts w:ascii="Verdana" w:hAnsi="Verdan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8" w:name="_DV_M81"/>
      <w:bookmarkEnd w:id="78"/>
      <w:r w:rsidRPr="00E52213">
        <w:rPr>
          <w:rFonts w:ascii="Verdana" w:hAnsi="Verdana" w:cs="Arial"/>
          <w:sz w:val="20"/>
          <w:szCs w:val="20"/>
        </w:rPr>
        <w:t>No ato de subscrição e integralização das Debêntures, cada Investidor Profissional assinará declaração atestando</w:t>
      </w:r>
      <w:bookmarkStart w:id="79"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79"/>
      <w:r w:rsidRPr="00E52213">
        <w:rPr>
          <w:rFonts w:ascii="Verdana" w:hAnsi="Verdana" w:cs="Arial"/>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0" w:name="_Toc367218064"/>
      <w:bookmarkStart w:id="81"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0"/>
      <w:bookmarkEnd w:id="81"/>
      <w:r w:rsidRPr="00E52213">
        <w:rPr>
          <w:rFonts w:ascii="Verdana" w:hAnsi="Verdana" w:cs="Arial"/>
          <w:sz w:val="20"/>
          <w:szCs w:val="20"/>
        </w:rPr>
        <w:t xml:space="preserve"> </w:t>
      </w:r>
    </w:p>
    <w:p w:rsidR="000F06C4" w:rsidRPr="00E52213" w:rsidP="000F06C4">
      <w:pPr>
        <w:tabs>
          <w:tab w:val="left" w:pos="720"/>
        </w:tabs>
        <w:spacing w:line="320" w:lineRule="exact"/>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Toc367218065"/>
      <w:bookmarkStart w:id="83" w:name="_Toc367387560"/>
      <w:r w:rsidRPr="00E52213">
        <w:rPr>
          <w:rFonts w:ascii="Verdana" w:hAnsi="Verdana" w:cs="Arial"/>
          <w:sz w:val="20"/>
          <w:szCs w:val="20"/>
        </w:rPr>
        <w:t>Não haverá preferência para subscrição das Debêntures pelos atuais acionistas da Emissora.</w:t>
      </w:r>
      <w:bookmarkEnd w:id="82"/>
      <w:bookmarkEnd w:id="83"/>
      <w:r w:rsidRPr="00E52213">
        <w:rPr>
          <w:rFonts w:ascii="Verdana" w:hAnsi="Verdana" w:cs="Arial"/>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0F06C4" w:rsidRPr="00E52213" w:rsidP="000F06C4">
      <w:pPr>
        <w:ind w:left="720"/>
        <w:rPr>
          <w:rFonts w:ascii="Verdana" w:hAnsi="Verdana" w:cs="Tahoma"/>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t>comprometendo-se desde já a não tomar qualquer providência em relação aos referidos potenciais investidores neste período.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737107" w:rsidP="000F06C4">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rsidR="00737107" w:rsidP="0057218E">
      <w:pPr>
        <w:pStyle w:val="ListParagraph"/>
        <w:rPr>
          <w:rFonts w:ascii="Verdana" w:hAnsi="Verdana" w:cs="Arial"/>
          <w:sz w:val="20"/>
          <w:szCs w:val="20"/>
        </w:rPr>
      </w:pPr>
    </w:p>
    <w:p w:rsidR="00737107" w:rsidRPr="00E52213" w:rsidP="00737107">
      <w:pPr>
        <w:numPr>
          <w:ilvl w:val="0"/>
          <w:numId w:val="17"/>
        </w:numPr>
        <w:spacing w:line="320" w:lineRule="exact"/>
        <w:ind w:left="851" w:hanging="851"/>
        <w:contextualSpacing/>
        <w:jc w:val="both"/>
        <w:rPr>
          <w:rFonts w:ascii="Verdana" w:hAnsi="Verdana" w:cs="Arial"/>
          <w:sz w:val="20"/>
          <w:szCs w:val="20"/>
        </w:rPr>
      </w:pPr>
      <w:r w:rsidRPr="009224B2">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rsidR="00737107" w:rsidRPr="00E52213" w:rsidP="0057218E">
      <w:pPr>
        <w:spacing w:line="320" w:lineRule="exact"/>
        <w:ind w:left="851"/>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4" w:name="_DV_M84"/>
      <w:bookmarkStart w:id="85" w:name="_DV_M85"/>
      <w:bookmarkStart w:id="86" w:name="_DV_M87"/>
      <w:bookmarkStart w:id="87" w:name="_DV_M91"/>
      <w:bookmarkStart w:id="88" w:name="_DV_M93"/>
      <w:bookmarkStart w:id="89" w:name="_DV_M94"/>
      <w:bookmarkEnd w:id="84"/>
      <w:bookmarkEnd w:id="85"/>
      <w:bookmarkEnd w:id="86"/>
      <w:bookmarkEnd w:id="87"/>
      <w:bookmarkEnd w:id="88"/>
      <w:bookmarkEnd w:id="89"/>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0" w:name="_DV_M95"/>
      <w:bookmarkEnd w:id="90"/>
      <w:r w:rsidRPr="00E52213">
        <w:rPr>
          <w:rFonts w:ascii="Verdana" w:hAnsi="Verdana" w:cs="Arial"/>
          <w:b/>
          <w:sz w:val="20"/>
          <w:szCs w:val="20"/>
        </w:rPr>
        <w:t xml:space="preserve">Banco Liquidante e Escriturador </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3"/>
        </w:numPr>
        <w:spacing w:line="320" w:lineRule="exact"/>
        <w:ind w:left="709" w:hanging="709"/>
        <w:contextualSpacing/>
        <w:jc w:val="both"/>
        <w:rPr>
          <w:rFonts w:ascii="Verdana" w:hAnsi="Verdana" w:cs="Arial"/>
          <w:sz w:val="20"/>
          <w:szCs w:val="20"/>
        </w:rPr>
      </w:pPr>
      <w:bookmarkStart w:id="91" w:name="_DV_M96"/>
      <w:bookmarkEnd w:id="91"/>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96018B">
        <w:rPr>
          <w:rFonts w:ascii="Verdana" w:hAnsi="Verdana" w:cs="Arial"/>
          <w:b/>
          <w:caps/>
          <w:sz w:val="20"/>
          <w:szCs w:val="20"/>
        </w:rPr>
        <w:t>Banco Bradesco S.A.</w:t>
      </w:r>
      <w:r w:rsidRPr="0096018B">
        <w:rPr>
          <w:rFonts w:ascii="Verdana" w:hAnsi="Verdana"/>
          <w:sz w:val="20"/>
          <w:szCs w:val="20"/>
        </w:rPr>
        <w:t xml:space="preserve">, instituição financeira com sede na Cidade de Osasco, Estado de São Paulo, no núcleo administrativo denominado Cidade de Deus s/n°, Vila Yara, inscrita no </w:t>
      </w:r>
      <w:r w:rsidRPr="0096018B">
        <w:rPr>
          <w:rFonts w:ascii="Verdana" w:eastAsia="MS Mincho" w:hAnsi="Verdana" w:cs="Arial"/>
          <w:bCs/>
          <w:sz w:val="20"/>
          <w:szCs w:val="20"/>
        </w:rPr>
        <w:t>CNPJ/ME</w:t>
      </w:r>
      <w:r w:rsidRPr="0096018B">
        <w:rPr>
          <w:rFonts w:ascii="Verdana" w:hAnsi="Verdana"/>
          <w:sz w:val="20"/>
          <w:szCs w:val="20"/>
        </w:rPr>
        <w:t xml:space="preserve"> sob o nº 60.746.948/0001-12]</w:t>
      </w:r>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003B6622">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2" w:name="_DV_M97"/>
      <w:bookmarkStart w:id="93" w:name="_Ref75252665"/>
      <w:bookmarkEnd w:id="92"/>
      <w:r w:rsidRPr="00E52213">
        <w:rPr>
          <w:rFonts w:ascii="Verdana" w:hAnsi="Verdana" w:cs="Arial"/>
          <w:b/>
          <w:sz w:val="20"/>
          <w:szCs w:val="20"/>
        </w:rPr>
        <w:t>Destinação dos Recursos</w:t>
      </w:r>
      <w:bookmarkEnd w:id="93"/>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4"/>
        </w:numPr>
        <w:tabs>
          <w:tab w:val="left" w:pos="0"/>
        </w:tabs>
        <w:spacing w:line="320" w:lineRule="exact"/>
        <w:ind w:hanging="862"/>
        <w:contextualSpacing/>
        <w:jc w:val="both"/>
        <w:rPr>
          <w:rFonts w:ascii="Verdana" w:hAnsi="Verdana" w:cs="Arial"/>
          <w:sz w:val="20"/>
          <w:szCs w:val="20"/>
        </w:rPr>
      </w:pPr>
      <w:bookmarkStart w:id="94" w:name="_DV_M98"/>
      <w:bookmarkEnd w:id="94"/>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95" w:name="_DV_C50"/>
      <w:r w:rsidRPr="00E52213">
        <w:rPr>
          <w:rFonts w:ascii="Verdana" w:hAnsi="Verdana" w:cs="Arial"/>
          <w:sz w:val="20"/>
          <w:szCs w:val="20"/>
        </w:rPr>
        <w:t xml:space="preserve"> por meio </w:t>
      </w:r>
      <w:bookmarkEnd w:id="95"/>
      <w:r w:rsidRPr="00E52213">
        <w:rPr>
          <w:rFonts w:ascii="Verdana" w:hAnsi="Verdana" w:cs="Arial"/>
          <w:sz w:val="20"/>
          <w:szCs w:val="20"/>
        </w:rPr>
        <w:t>da Emissão das Debêntures</w:t>
      </w:r>
      <w:bookmarkStart w:id="96" w:name="_DV_C55"/>
      <w:r w:rsidRPr="00E52213">
        <w:rPr>
          <w:rFonts w:ascii="Verdana" w:hAnsi="Verdana" w:cs="Arial"/>
          <w:sz w:val="20"/>
          <w:szCs w:val="20"/>
        </w:rPr>
        <w:t xml:space="preserve"> serão utilizados </w:t>
      </w:r>
      <w:bookmarkEnd w:id="96"/>
      <w:r w:rsidRPr="00E52213">
        <w:rPr>
          <w:rFonts w:ascii="Verdana" w:hAnsi="Verdana" w:cs="Arial"/>
          <w:sz w:val="20"/>
          <w:szCs w:val="20"/>
        </w:rPr>
        <w:t xml:space="preserve">exclusivamente para </w:t>
      </w:r>
      <w:bookmarkStart w:id="97" w:name="_Hlk78471930"/>
      <w:r w:rsidRPr="00E52213">
        <w:rPr>
          <w:rFonts w:ascii="Verdana" w:hAnsi="Verdana" w:cs="Arial"/>
          <w:sz w:val="20"/>
          <w:szCs w:val="20"/>
        </w:rPr>
        <w:t>o financiamento e reembolso de gastos e/ou despesas,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bookmarkEnd w:id="97"/>
      <w:r w:rsidRPr="00E52213">
        <w:rPr>
          <w:rFonts w:ascii="Verdana" w:hAnsi="Verdana" w:cs="Arial"/>
          <w:sz w:val="20"/>
          <w:szCs w:val="20"/>
        </w:rPr>
        <w:t>:</w:t>
      </w:r>
    </w:p>
    <w:p w:rsidR="000F06C4" w:rsidRPr="00E52213"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0F06C4">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rsidR="000F06C4" w:rsidRPr="00E52213"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Pr="00E52213" w:rsidR="00C54CB2">
              <w:rPr>
                <w:rFonts w:ascii="Verdana" w:hAnsi="Verdana" w:cs="Arial"/>
                <w:sz w:val="20"/>
                <w:szCs w:val="20"/>
              </w:rPr>
              <w:t>d</w:t>
            </w:r>
            <w:r w:rsidR="00C54CB2">
              <w:rPr>
                <w:rFonts w:ascii="Verdana" w:hAnsi="Verdana" w:cs="Arial"/>
                <w:sz w:val="20"/>
                <w:szCs w:val="20"/>
              </w:rPr>
              <w:t>o</w:t>
            </w:r>
            <w:r w:rsidRPr="00E52213" w:rsidR="00C54CB2">
              <w:rPr>
                <w:rFonts w:ascii="Verdana" w:hAnsi="Verdana" w:cs="Arial"/>
                <w:sz w:val="20"/>
                <w:szCs w:val="20"/>
              </w:rPr>
              <w:t xml:space="preserve"> </w:t>
            </w:r>
            <w:r w:rsidRPr="00E52213">
              <w:rPr>
                <w:rFonts w:ascii="Verdana" w:hAnsi="Verdana" w:cs="Arial"/>
                <w:sz w:val="20"/>
                <w:szCs w:val="20"/>
              </w:rPr>
              <w:t>Complexo Eólico Gravier</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rsidR="000F06C4" w:rsidRPr="00793805" w:rsidP="000F06C4">
            <w:pPr>
              <w:spacing w:line="320" w:lineRule="exact"/>
              <w:contextualSpacing/>
              <w:jc w:val="both"/>
              <w:rPr>
                <w:rFonts w:ascii="Verdana" w:hAnsi="Verdana"/>
                <w:sz w:val="20"/>
                <w:szCs w:val="20"/>
              </w:rPr>
            </w:pPr>
            <w:r w:rsidRPr="00793805">
              <w:rPr>
                <w:rFonts w:ascii="Verdana" w:hAnsi="Verdana" w:cs="Arial"/>
                <w:sz w:val="20"/>
                <w:szCs w:val="20"/>
              </w:rPr>
              <w:t>Previsto para março de 2022</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rsidR="000F06C4" w:rsidRPr="00793805" w:rsidP="000F06C4">
            <w:pPr>
              <w:spacing w:line="320" w:lineRule="exact"/>
              <w:contextualSpacing/>
              <w:jc w:val="both"/>
              <w:rPr>
                <w:rFonts w:ascii="Verdana" w:hAnsi="Verdana"/>
                <w:sz w:val="20"/>
                <w:szCs w:val="20"/>
              </w:rPr>
            </w:pPr>
            <w:r w:rsidRPr="00793805">
              <w:rPr>
                <w:rFonts w:ascii="Verdana" w:hAnsi="Verdana" w:cs="Arial"/>
                <w:sz w:val="20"/>
                <w:szCs w:val="20"/>
              </w:rPr>
              <w:t>Fase de implantação</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rsidR="000F06C4" w:rsidRPr="00793805"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R$340.000.000,00 (trezentos e quarenta milhões de reais)</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rsidR="000F06C4" w:rsidRPr="00793805" w:rsidP="000F06C4">
            <w:pPr>
              <w:spacing w:after="120" w:line="320" w:lineRule="exact"/>
              <w:contextualSpacing/>
              <w:jc w:val="both"/>
              <w:rPr>
                <w:rFonts w:ascii="Verdana" w:hAnsi="Verdana"/>
                <w:sz w:val="20"/>
                <w:szCs w:val="20"/>
              </w:rPr>
            </w:pPr>
            <w:r w:rsidRPr="00793805">
              <w:rPr>
                <w:rFonts w:ascii="Verdana" w:hAnsi="Verdana"/>
                <w:sz w:val="20"/>
                <w:szCs w:val="20"/>
              </w:rPr>
              <w:t>100% do Valor Total da Emissão, correspondente a R$ 220.000.000,00 (duzentos e vinte milhões de reais), serão destinados à implantação e/ou reembolso de despesas ou dívidas relacionadas ao Projeto Eólico Gravier.</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rsidR="000F06C4" w:rsidRPr="00E52213" w:rsidP="000F06C4">
            <w:pPr>
              <w:spacing w:line="320" w:lineRule="exact"/>
              <w:contextualSpacing/>
              <w:jc w:val="both"/>
              <w:rPr>
                <w:rFonts w:ascii="Verdana" w:hAnsi="Verdana"/>
                <w:sz w:val="20"/>
                <w:szCs w:val="20"/>
                <w:highlight w:val="yellow"/>
              </w:rPr>
            </w:pPr>
            <w:r w:rsidRPr="00793805">
              <w:rPr>
                <w:rFonts w:ascii="Verdana" w:hAnsi="Verdana"/>
                <w:sz w:val="20"/>
                <w:szCs w:val="20"/>
              </w:rPr>
              <w:t>100% do Valor Total da Emissão, correspondente a R$ 220.000.000,00 (duzentos e vinte milhões de reais).</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rsidR="000F06C4" w:rsidRPr="0079380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793805">
              <w:rPr>
                <w:rFonts w:ascii="Verdana" w:hAnsi="Verdana" w:cs="Arial"/>
                <w:sz w:val="20"/>
                <w:szCs w:val="20"/>
              </w:rPr>
              <w:t>65</w:t>
            </w:r>
            <w:r w:rsidRPr="00793805">
              <w:rPr>
                <w:rFonts w:ascii="Verdana" w:hAnsi="Verdana"/>
                <w:sz w:val="20"/>
                <w:szCs w:val="20"/>
              </w:rPr>
              <w:t>%.</w:t>
            </w:r>
          </w:p>
          <w:p w:rsidR="000F06C4" w:rsidRPr="00E52213" w:rsidP="000F06C4">
            <w:pPr>
              <w:jc w:val="both"/>
              <w:rPr>
                <w:rFonts w:ascii="Verdana" w:hAnsi="Verdana"/>
                <w:sz w:val="20"/>
                <w:szCs w:val="20"/>
                <w:highlight w:val="yellow"/>
              </w:rPr>
            </w:pPr>
          </w:p>
        </w:tc>
      </w:tr>
    </w:tbl>
    <w:p w:rsidR="000F06C4" w:rsidRPr="00E52213" w:rsidP="000F06C4">
      <w:pPr>
        <w:keepNext/>
        <w:tabs>
          <w:tab w:val="left" w:pos="0"/>
        </w:tabs>
        <w:spacing w:line="320" w:lineRule="exact"/>
        <w:ind w:left="705" w:hanging="705"/>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98" w:name="_DV_M106"/>
      <w:bookmarkStart w:id="99" w:name="_DV_M113"/>
      <w:bookmarkStart w:id="100" w:name="_Toc499990325"/>
      <w:bookmarkStart w:id="101" w:name="_Toc280370537"/>
      <w:bookmarkStart w:id="102" w:name="_Toc349040593"/>
      <w:bookmarkStart w:id="103" w:name="_Toc351469178"/>
      <w:bookmarkStart w:id="104" w:name="_Toc352767480"/>
      <w:bookmarkStart w:id="105" w:name="_Toc355626567"/>
      <w:bookmarkEnd w:id="98"/>
      <w:bookmarkEnd w:id="99"/>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0F06C4" w:rsidRPr="00E52213" w:rsidP="000F06C4">
      <w:pPr>
        <w:spacing w:line="320" w:lineRule="exact"/>
        <w:ind w:left="709" w:hanging="709"/>
        <w:jc w:val="both"/>
        <w:rPr>
          <w:rFonts w:ascii="Verdana" w:hAnsi="Verdana" w:cs="Arial"/>
          <w:sz w:val="20"/>
          <w:szCs w:val="20"/>
        </w:rPr>
      </w:pPr>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0F06C4" w:rsidRPr="00E52213" w:rsidP="000F06C4">
      <w:pPr>
        <w:spacing w:line="320" w:lineRule="exact"/>
        <w:ind w:left="703" w:hanging="703"/>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0"/>
      <w:bookmarkEnd w:id="101"/>
      <w:bookmarkEnd w:id="102"/>
      <w:bookmarkEnd w:id="103"/>
      <w:bookmarkEnd w:id="104"/>
      <w:bookmarkEnd w:id="105"/>
      <w:r w:rsidRPr="00E52213">
        <w:rPr>
          <w:rFonts w:ascii="Verdana" w:eastAsia="Arial Unicode MS" w:hAnsi="Verdana"/>
          <w:b/>
          <w:bCs/>
          <w:kern w:val="32"/>
          <w:sz w:val="20"/>
          <w:szCs w:val="20"/>
        </w:rPr>
        <w:t xml:space="preserve"> </w:t>
      </w:r>
    </w:p>
    <w:p w:rsidR="000F06C4" w:rsidRPr="00E52213" w:rsidP="000F06C4">
      <w:pPr>
        <w:keepNext/>
        <w:tabs>
          <w:tab w:val="left" w:pos="0"/>
        </w:tabs>
        <w:spacing w:line="320" w:lineRule="exact"/>
        <w:contextualSpacing/>
        <w:jc w:val="both"/>
        <w:rPr>
          <w:rFonts w:ascii="Verdana" w:hAnsi="Verdana" w:cs="Arial"/>
          <w:sz w:val="20"/>
          <w:szCs w:val="20"/>
        </w:rPr>
      </w:pPr>
      <w:bookmarkStart w:id="106" w:name="_Toc499990326"/>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rsidR="000F06C4" w:rsidRPr="00E52213" w:rsidP="000F06C4">
      <w:pPr>
        <w:keepNext/>
        <w:tabs>
          <w:tab w:val="left" w:pos="0"/>
        </w:tabs>
        <w:spacing w:line="320" w:lineRule="exact"/>
        <w:contextualSpacing/>
        <w:jc w:val="both"/>
        <w:rPr>
          <w:rFonts w:ascii="Verdana" w:hAnsi="Verdana" w:cs="Arial"/>
          <w:b/>
          <w:sz w:val="20"/>
          <w:szCs w:val="20"/>
        </w:rPr>
      </w:pPr>
    </w:p>
    <w:p w:rsidR="000F06C4" w:rsidRPr="00E52213" w:rsidP="000F06C4">
      <w:pPr>
        <w:pStyle w:val="ListParagraph"/>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rsidR="000F06C4" w:rsidRPr="00E52213" w:rsidP="000F06C4">
      <w:pPr>
        <w:keepNext/>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07" w:name="_DV_M117"/>
      <w:bookmarkEnd w:id="107"/>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08" w:name="_DV_M118"/>
      <w:bookmarkEnd w:id="108"/>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outlineLvl w:val="1"/>
        <w:rPr>
          <w:rFonts w:ascii="Verdana" w:hAnsi="Verdana" w:cs="Arial"/>
          <w:sz w:val="20"/>
          <w:szCs w:val="20"/>
        </w:rPr>
      </w:pPr>
      <w:bookmarkStart w:id="109" w:name="_DV_M119"/>
      <w:bookmarkStart w:id="110" w:name="_Toc367387463"/>
      <w:bookmarkStart w:id="111" w:name="_Toc367387576"/>
      <w:bookmarkStart w:id="112" w:name="_Toc367389043"/>
      <w:bookmarkStart w:id="113" w:name="_Toc375090252"/>
      <w:bookmarkStart w:id="114" w:name="_Toc368667902"/>
      <w:bookmarkStart w:id="115" w:name="_Toc367387577"/>
      <w:bookmarkEnd w:id="109"/>
      <w:r w:rsidRPr="00E52213">
        <w:rPr>
          <w:rFonts w:ascii="Verdana" w:hAnsi="Verdana" w:cs="Arial"/>
          <w:b/>
          <w:sz w:val="20"/>
          <w:szCs w:val="20"/>
        </w:rPr>
        <w:t>Prazo e Forma de Subscrição e Integralização</w:t>
      </w:r>
      <w:bookmarkEnd w:id="110"/>
      <w:bookmarkEnd w:id="111"/>
      <w:bookmarkEnd w:id="112"/>
      <w:bookmarkEnd w:id="113"/>
      <w:bookmarkEnd w:id="114"/>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fldChar w:fldCharType="separate"/>
      </w:r>
      <w:r w:rsidR="003B6622">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15"/>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rsidR="000F06C4" w:rsidRPr="00E52213" w:rsidP="000F06C4">
      <w:pPr>
        <w:spacing w:line="320" w:lineRule="exact"/>
        <w:ind w:left="705" w:hanging="705"/>
        <w:contextualSpacing/>
        <w:jc w:val="both"/>
        <w:rPr>
          <w:rFonts w:ascii="Verdana" w:hAnsi="Verdana" w:cs="Arial"/>
          <w:b/>
          <w:bCs/>
          <w:i/>
          <w:iCs/>
          <w:sz w:val="20"/>
          <w:szCs w:val="20"/>
        </w:rPr>
      </w:pPr>
      <w:bookmarkStart w:id="116" w:name="_Toc367387464"/>
      <w:bookmarkStart w:id="117" w:name="_Toc367387578"/>
      <w:bookmarkStart w:id="118" w:name="_Toc367389044"/>
      <w:bookmarkStart w:id="119" w:name="_Toc375090253"/>
      <w:bookmarkStart w:id="120" w:name="_Toc368667903"/>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16"/>
      <w:bookmarkEnd w:id="117"/>
      <w:bookmarkEnd w:id="118"/>
      <w:bookmarkEnd w:id="119"/>
      <w:bookmarkEnd w:id="120"/>
      <w:r w:rsidRPr="00E52213">
        <w:rPr>
          <w:rFonts w:ascii="Verdana" w:hAnsi="Verdana" w:cs="Arial"/>
          <w:b/>
          <w:sz w:val="20"/>
          <w:szCs w:val="20"/>
        </w:rPr>
        <w:t xml:space="preserve"> das Debêntures:</w:t>
      </w:r>
      <w:bookmarkStart w:id="12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003B6622">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de agosto</w:t>
      </w:r>
      <w:r w:rsidRPr="003D2B98">
        <w:t xml:space="preserve"> </w:t>
      </w:r>
      <w:r w:rsidRPr="003D2B98">
        <w:rPr>
          <w:rFonts w:ascii="Verdana" w:hAnsi="Verdana" w:cs="Arial"/>
          <w:sz w:val="20"/>
          <w:szCs w:val="20"/>
        </w:rPr>
        <w:t>de 2035</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21"/>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bookmarkStart w:id="122" w:name="_DV_M121"/>
      <w:bookmarkEnd w:id="122"/>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23" w:name="_DV_M122"/>
      <w:bookmarkEnd w:id="123"/>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24" w:name="_DV_C66"/>
      <w:r w:rsidRPr="003D2B98">
        <w:rPr>
          <w:rFonts w:ascii="Verdana" w:hAnsi="Verdana" w:cs="Arial"/>
          <w:sz w:val="20"/>
          <w:szCs w:val="20"/>
        </w:rPr>
        <w:t>220.000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duzentas e vinte mil</w:t>
      </w:r>
      <w:r w:rsidRPr="00E52213">
        <w:rPr>
          <w:rFonts w:ascii="Verdana" w:hAnsi="Verdana" w:cs="Arial"/>
          <w:sz w:val="20"/>
          <w:szCs w:val="20"/>
        </w:rPr>
        <w:t>)</w:t>
      </w:r>
      <w:bookmarkStart w:id="125" w:name="_DV_M123"/>
      <w:bookmarkEnd w:id="124"/>
      <w:bookmarkEnd w:id="125"/>
      <w:r w:rsidRPr="00E52213">
        <w:rPr>
          <w:rFonts w:ascii="Verdana" w:hAnsi="Verdana" w:cs="Arial"/>
          <w:sz w:val="20"/>
          <w:szCs w:val="20"/>
        </w:rPr>
        <w:t xml:space="preserve"> </w:t>
      </w:r>
      <w:bookmarkStart w:id="126" w:name="_DV_M124"/>
      <w:bookmarkEnd w:id="126"/>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rsidR="000F06C4" w:rsidRPr="00E52213" w:rsidP="000F06C4">
      <w:pPr>
        <w:numPr>
          <w:ilvl w:val="12"/>
          <w:numId w:val="0"/>
        </w:num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27" w:name="_DV_M125"/>
      <w:bookmarkStart w:id="128" w:name="_Ref75252946"/>
      <w:bookmarkStart w:id="129" w:name="_Toc499990343"/>
      <w:bookmarkEnd w:id="106"/>
      <w:bookmarkEnd w:id="127"/>
      <w:r w:rsidRPr="00E52213">
        <w:rPr>
          <w:rFonts w:ascii="Verdana" w:hAnsi="Verdana" w:cs="Arial"/>
          <w:b/>
          <w:sz w:val="20"/>
          <w:szCs w:val="20"/>
        </w:rPr>
        <w:t>Atualização Monetária e Juros Remuneratórios</w:t>
      </w:r>
      <w:bookmarkEnd w:id="128"/>
      <w:r w:rsidRPr="00E52213">
        <w:rPr>
          <w:rFonts w:ascii="Verdana" w:hAnsi="Verdana" w:cs="Arial"/>
          <w:sz w:val="20"/>
          <w:szCs w:val="20"/>
        </w:rPr>
        <w:t xml:space="preserve"> </w:t>
      </w:r>
      <w:bookmarkStart w:id="130" w:name="_DV_M126"/>
      <w:bookmarkEnd w:id="130"/>
    </w:p>
    <w:p w:rsidR="000F06C4" w:rsidRPr="00E52213" w:rsidP="000F06C4">
      <w:pPr>
        <w:keepNext/>
        <w:tabs>
          <w:tab w:val="left" w:pos="720"/>
        </w:tabs>
        <w:spacing w:line="320" w:lineRule="exact"/>
        <w:ind w:left="720"/>
        <w:contextualSpacing/>
        <w:jc w:val="both"/>
        <w:rPr>
          <w:rFonts w:ascii="Verdana" w:hAnsi="Verdana" w:cs="Arial"/>
          <w:sz w:val="20"/>
          <w:szCs w:val="20"/>
        </w:rPr>
      </w:pPr>
    </w:p>
    <w:p w:rsidR="000F06C4" w:rsidRPr="00E52213"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rsidR="000F06C4" w:rsidRPr="00E52213" w:rsidP="000F06C4">
      <w:pPr>
        <w:spacing w:line="320" w:lineRule="exact"/>
        <w:contextualSpacing/>
        <w:jc w:val="both"/>
        <w:rPr>
          <w:rFonts w:ascii="Verdana" w:hAnsi="Verdana"/>
          <w:sz w:val="20"/>
          <w:szCs w:val="20"/>
        </w:rPr>
      </w:pPr>
    </w:p>
    <w:p w:rsidR="000F06C4" w:rsidRPr="00E52213" w:rsidP="00867416">
      <w:pPr>
        <w:pStyle w:val="ListParagraph"/>
        <w:numPr>
          <w:ilvl w:val="0"/>
          <w:numId w:val="75"/>
        </w:numPr>
        <w:spacing w:line="320" w:lineRule="exact"/>
        <w:ind w:hanging="720"/>
        <w:contextualSpacing/>
        <w:jc w:val="both"/>
        <w:rPr>
          <w:rFonts w:ascii="Verdana" w:hAnsi="Verdana" w:cs="Arial"/>
          <w:sz w:val="20"/>
          <w:szCs w:val="20"/>
        </w:rPr>
      </w:pPr>
      <w:bookmarkStart w:id="131" w:name="_DV_M127"/>
      <w:bookmarkStart w:id="132" w:name="_Ref367359153"/>
      <w:bookmarkStart w:id="133" w:name="_Toc367387582"/>
      <w:bookmarkEnd w:id="131"/>
      <w:r w:rsidRPr="00E52213">
        <w:rPr>
          <w:rFonts w:ascii="Verdana" w:hAnsi="Verdana" w:cs="Arial"/>
          <w:b/>
          <w:sz w:val="20"/>
          <w:szCs w:val="20"/>
        </w:rPr>
        <w:t xml:space="preserve">Atualização Monetária das Debêntures: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contextualSpacing/>
        <w:jc w:val="both"/>
        <w:rPr>
          <w:rFonts w:ascii="Verdana" w:hAnsi="Verdana" w:cs="Arial"/>
          <w:sz w:val="20"/>
          <w:szCs w:val="20"/>
        </w:rPr>
      </w:pPr>
      <w:bookmarkStart w:id="134"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Pr="0057218E" w:rsidR="00737107">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32"/>
      <w:bookmarkEnd w:id="133"/>
      <w:bookmarkEnd w:id="134"/>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w:t>
      </w:r>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0F06C4" w:rsidRPr="00E52213"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w:instrText>C=</w:instrTex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w:instrText>k=1</w:instrText>
            </m:r>
          </m:sub>
          <m:sup>
            <m:r>
              <m:rPr>
                <m:sty m:val="p"/>
              </m:rPr>
              <w:rPr>
                <w:rFonts w:ascii="Cambria Math" w:eastAsia="Calibri" w:hAnsi="Cambria Math"/>
                <w:sz w:val="20"/>
                <w:szCs w:val="20"/>
                <w:lang w:eastAsia="en-US"/>
              </w:rPr>
              <w:instrText>n</w:instrTex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w:instrTex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k-1</w:instrTex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w:instrText>dup</w:instrText>
                        </m:r>
                      </m:num>
                      <m:den>
                        <m:r>
                          <m:rPr>
                            <m:sty m:val="p"/>
                          </m:rPr>
                          <w:rPr>
                            <w:rFonts w:ascii="Cambria Math" w:eastAsia="Calibri" w:hAnsi="Cambria Math"/>
                            <w:sz w:val="20"/>
                            <w:szCs w:val="20"/>
                            <w:lang w:eastAsia="en-US"/>
                          </w:rPr>
                          <w:instrText>dut</w:instrTex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separate"/>
      </w:r>
      <w:r w:rsidRPr="00E52213">
        <w:rPr>
          <w:rFonts w:ascii="Verdana" w:hAnsi="Verdana"/>
          <w:sz w:val="20"/>
          <w:szCs w:val="20"/>
        </w:rPr>
        <w:fldChar w:fldCharType="end"/>
      </w:r>
    </w:p>
    <w:p w:rsidR="000F06C4" w:rsidRPr="00E52213"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w:t>
      </w:r>
      <w:r w:rsidRPr="00E52213">
        <w:rPr>
          <w:rFonts w:ascii="Verdana" w:hAnsi="Verdana" w:cs="Arial"/>
          <w:sz w:val="20"/>
          <w:szCs w:val="20"/>
        </w:rPr>
        <w:t xml:space="preserve"> = número de Dias Úteis entre a Data de Subscrição ou a última Data de Aniversário (conforme abaixo definido) das Debêntures e a data de cálculo, limitado ao número total de Dias Úteis de vigência do índice utilizado, sendo “</w:t>
      </w:r>
      <w:r w:rsidRPr="00E52213">
        <w:rPr>
          <w:rFonts w:ascii="Verdana" w:hAnsi="Verdana" w:cs="Arial"/>
          <w:sz w:val="20"/>
          <w:szCs w:val="20"/>
        </w:rPr>
        <w:t>dup</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w:t>
      </w:r>
      <w:r w:rsidRPr="00E52213">
        <w:rPr>
          <w:rFonts w:ascii="Verdana" w:hAnsi="Verdana" w:cs="Arial"/>
          <w:sz w:val="20"/>
          <w:szCs w:val="20"/>
        </w:rPr>
        <w:t xml:space="preserve"> = número de Dias Úteis entre a última e a próxima Data de Aniversário das Debêntures, sendo “</w:t>
      </w:r>
      <w:r w:rsidRPr="00E52213">
        <w:rPr>
          <w:rFonts w:ascii="Verdana" w:hAnsi="Verdana" w:cs="Arial"/>
          <w:sz w:val="20"/>
          <w:szCs w:val="20"/>
        </w:rPr>
        <w:t>dut</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0F06C4" w:rsidRPr="00E52213" w:rsidP="000F06C4">
      <w:pPr>
        <w:spacing w:line="320" w:lineRule="atLeast"/>
        <w:contextualSpacing/>
        <w:jc w:val="center"/>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r w:rsidRPr="00E52213">
        <w:rPr>
          <w:rFonts w:ascii="Verdana" w:hAnsi="Verdana" w:cs="Arial"/>
          <w:sz w:val="20"/>
          <w:szCs w:val="20"/>
        </w:rPr>
        <w:t>produtório</w:t>
      </w:r>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keepNext/>
        <w:spacing w:line="320" w:lineRule="exact"/>
        <w:ind w:left="1843"/>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rsidR="000F06C4" w:rsidRPr="00E52213" w:rsidP="000F06C4">
      <w:pPr>
        <w:spacing w:line="320" w:lineRule="exact"/>
        <w:ind w:left="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35" w:name="_Ref367359435"/>
      <w:bookmarkStart w:id="136"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nesta Escritura de Emissão, </w:t>
      </w:r>
      <w:r w:rsidRPr="00E52213">
        <w:rPr>
          <w:rFonts w:ascii="Verdana" w:hAnsi="Verdana" w:cs="Arial"/>
          <w:sz w:val="20"/>
          <w:szCs w:val="20"/>
        </w:rPr>
        <w:t>a mesma</w:t>
      </w:r>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135"/>
      <w:bookmarkEnd w:id="136"/>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37"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7"/>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sz w:val="20"/>
          <w:szCs w:val="20"/>
        </w:rPr>
      </w:pPr>
      <w:bookmarkStart w:id="138"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fldChar w:fldCharType="separate"/>
      </w:r>
      <w:r w:rsidR="003B6622">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38"/>
      <w:r w:rsidRPr="00E52213">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003B6622">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rsidR="000F06C4" w:rsidRPr="00E52213" w:rsidP="000F06C4">
      <w:pPr>
        <w:keepNext/>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39" w:name="_Hlk60048786"/>
      <w:bookmarkStart w:id="140" w:name="_Ref75274620"/>
      <w:bookmarkStart w:id="141" w:name="_Hlk78237511"/>
      <w:r w:rsidRPr="00F45562">
        <w:rPr>
          <w:rFonts w:ascii="Verdana" w:hAnsi="Verdana" w:cs="Arial"/>
          <w:bCs/>
          <w:iCs/>
          <w:sz w:val="20"/>
          <w:szCs w:val="20"/>
        </w:rPr>
        <w:t>Sobre o Valor Nominal Unitário Atualizado ou sobre o Saldo do Valor Nominal Unitário Atualizado incidirão juros remuneratórios correspondentes a 4,8968% (quatro inteiros, oito mil novecentos e sessenta e oito décimos de milésimos por cento) ao ano, base 252 (duzentos e cinquenta e dois) Dias Úteis (“</w:t>
      </w:r>
      <w:r w:rsidRPr="00395B93">
        <w:rPr>
          <w:rFonts w:ascii="Verdana" w:hAnsi="Verdana" w:cs="Arial"/>
          <w:bCs/>
          <w:iCs/>
          <w:sz w:val="20"/>
          <w:szCs w:val="20"/>
          <w:u w:val="single"/>
        </w:rPr>
        <w:t>Juros Remuneratórios</w:t>
      </w:r>
      <w:r w:rsidRPr="00F45562">
        <w:rPr>
          <w:rFonts w:ascii="Verdana" w:hAnsi="Verdana" w:cs="Arial"/>
          <w:bCs/>
          <w:iCs/>
          <w:sz w:val="20"/>
          <w:szCs w:val="20"/>
        </w:rPr>
        <w:t>”)</w:t>
      </w:r>
      <w:bookmarkEnd w:id="139"/>
      <w:r w:rsidRPr="00E52213" w:rsidR="00B64F95">
        <w:rPr>
          <w:rFonts w:ascii="Verdana" w:hAnsi="Verdana"/>
          <w:iCs/>
          <w:sz w:val="20"/>
          <w:szCs w:val="20"/>
        </w:rPr>
        <w:t>.</w:t>
      </w:r>
      <w:bookmarkEnd w:id="140"/>
      <w:r w:rsidRPr="00E52213" w:rsidR="00B64F95">
        <w:rPr>
          <w:rFonts w:ascii="Verdana" w:hAnsi="Verdana"/>
          <w:sz w:val="20"/>
          <w:szCs w:val="20"/>
        </w:rPr>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tabs>
          <w:tab w:val="left" w:pos="851"/>
        </w:tabs>
        <w:spacing w:line="320" w:lineRule="exact"/>
        <w:ind w:hanging="720"/>
        <w:contextualSpacing/>
        <w:jc w:val="both"/>
        <w:outlineLvl w:val="3"/>
        <w:rPr>
          <w:rFonts w:ascii="Verdana" w:hAnsi="Verdana" w:cs="Arial"/>
          <w:sz w:val="20"/>
          <w:szCs w:val="20"/>
        </w:rPr>
      </w:pPr>
      <w:bookmarkStart w:id="142" w:name="_Ref75279691"/>
      <w:r w:rsidRPr="00F45562">
        <w:rPr>
          <w:rFonts w:ascii="Verdana" w:hAnsi="Verdana" w:cs="Arial"/>
          <w:sz w:val="20"/>
          <w:szCs w:val="20"/>
        </w:rPr>
        <w:t xml:space="preserve">Os Juros Remuneratórios serão incidentes sobre o Valor Nominal Unitário Atualizado ou sobre o Saldo do Valor Nominal Unitário Atualizado,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bookmarkEnd w:id="141"/>
      <w:bookmarkEnd w:id="142"/>
      <w:r w:rsidRPr="00E52213" w:rsidR="00B64F95">
        <w:rPr>
          <w:rFonts w:ascii="Verdana" w:hAnsi="Verdana" w:cs="Arial"/>
          <w:sz w:val="20"/>
          <w:szCs w:val="20"/>
        </w:rPr>
        <w:t xml:space="preserve"> </w:t>
      </w: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r w:rsidRPr="00E52213">
        <w:rPr>
          <w:rFonts w:ascii="Verdana" w:hAnsi="Verdana" w:cs="Arial"/>
          <w:i/>
          <w:sz w:val="20"/>
          <w:szCs w:val="20"/>
        </w:rPr>
        <w:t>VNa</w:t>
      </w:r>
      <w:r w:rsidRPr="00E52213">
        <w:rPr>
          <w:rFonts w:ascii="Verdana" w:hAnsi="Verdana" w:cs="Arial"/>
          <w:i/>
          <w:sz w:val="20"/>
          <w:szCs w:val="20"/>
        </w:rPr>
        <w:t xml:space="preserve"> x (Fator Juros – 1)</w:t>
      </w:r>
    </w:p>
    <w:p w:rsidR="000F06C4" w:rsidRPr="00E52213" w:rsidP="000F06C4">
      <w:pPr>
        <w:spacing w:line="320" w:lineRule="exact"/>
        <w:contextualSpacing/>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 Valor Nominal Unitário Atualizado calculado com 8 (oito) casas decimais, sem arredondamento;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00F45562">
        <w:rPr>
          <w:rFonts w:ascii="Verdana" w:eastAsia="Arial Unicode MS" w:hAnsi="Verdana"/>
          <w:i/>
          <w:sz w:val="20"/>
          <w:szCs w:val="20"/>
        </w:rPr>
        <w:t>4,8968%</w:t>
      </w:r>
      <w:r w:rsidRPr="0084095A" w:rsidR="00F45562">
        <w:rPr>
          <w:rFonts w:ascii="Verdana" w:eastAsia="Arial Unicode MS" w:hAnsi="Verdana"/>
          <w:i/>
          <w:sz w:val="20"/>
          <w:szCs w:val="20"/>
        </w:rPr>
        <w:t xml:space="preserve"> </w:t>
      </w:r>
      <w:r w:rsidR="00F45562">
        <w:rPr>
          <w:rFonts w:ascii="Verdana" w:eastAsia="Arial Unicode MS" w:hAnsi="Verdana"/>
          <w:i/>
          <w:sz w:val="20"/>
          <w:szCs w:val="20"/>
        </w:rPr>
        <w:t>a.a</w:t>
      </w:r>
      <w:r w:rsidRPr="00395B93" w:rsidR="00F45562">
        <w:rPr>
          <w:rFonts w:ascii="Verdana" w:eastAsia="Arial Unicode MS" w:hAnsi="Verdana"/>
          <w:i/>
          <w:sz w:val="20"/>
          <w:szCs w:val="20"/>
        </w:rPr>
        <w:t>.(</w:t>
      </w:r>
      <w:r w:rsidRPr="00395B93" w:rsidR="00F45562">
        <w:rPr>
          <w:rFonts w:ascii="Verdana" w:hAnsi="Verdana" w:cs="Arial"/>
          <w:bCs/>
          <w:sz w:val="20"/>
          <w:szCs w:val="20"/>
        </w:rPr>
        <w:t>quatro inteiros, oito mil novecentos e sessenta e oito décimos de milésimos por cento ao ano</w:t>
      </w:r>
      <w:r w:rsidRPr="00395B93" w:rsidR="00F45562">
        <w:rPr>
          <w:rFonts w:ascii="Verdana" w:eastAsia="Arial Unicode MS" w:hAnsi="Verdana"/>
          <w:i/>
          <w:sz w:val="20"/>
          <w:szCs w:val="20"/>
        </w:rPr>
        <w:t>)</w:t>
      </w:r>
      <w:r w:rsidRPr="00395B93">
        <w:rPr>
          <w:rFonts w:ascii="Verdana" w:hAnsi="Verdana" w:cs="Arial"/>
          <w:sz w:val="20"/>
          <w:szCs w:val="20"/>
        </w:rPr>
        <w:t>;</w:t>
      </w:r>
      <w:r w:rsidRPr="00E52213">
        <w:rPr>
          <w:rFonts w:ascii="Verdana" w:hAnsi="Verdana" w:cs="Arial"/>
          <w:sz w:val="20"/>
          <w:szCs w:val="20"/>
        </w:rPr>
        <w:t xml:space="preserve">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w:t>
      </w:r>
      <w:r w:rsidRPr="00F45562" w:rsidR="00F45562">
        <w:rPr>
          <w:rFonts w:ascii="Verdana" w:hAnsi="Verdana" w:cs="Arial"/>
          <w:sz w:val="20"/>
          <w:szCs w:val="20"/>
        </w:rPr>
        <w:t>número de Dias Úteis entre a Data de Subscrição ou a Data de Pagamento dos Juros Remuneratórios (conforme abaixo definido) imediatamente anterior, conforme o caso, e a data atual, sendo “DP” um número inteiro</w:t>
      </w:r>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43"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43"/>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0F06C4">
      <w:pPr>
        <w:spacing w:line="320" w:lineRule="exact"/>
        <w:ind w:left="709" w:hanging="709"/>
        <w:contextualSpacing/>
        <w:jc w:val="both"/>
        <w:rPr>
          <w:rFonts w:ascii="Verdana" w:hAnsi="Verdana" w:cs="Arial"/>
          <w:sz w:val="20"/>
          <w:szCs w:val="20"/>
        </w:rPr>
      </w:pPr>
      <w:bookmarkStart w:id="144" w:name="_DV_M146"/>
      <w:bookmarkStart w:id="145" w:name="_DV_M158"/>
      <w:bookmarkStart w:id="146" w:name="_DV_M160"/>
      <w:bookmarkStart w:id="147" w:name="_DV_M161"/>
      <w:bookmarkStart w:id="148" w:name="_DV_C87"/>
      <w:bookmarkStart w:id="149" w:name="_Ref263874908"/>
      <w:bookmarkStart w:id="150" w:name="_Ref297575384"/>
      <w:bookmarkStart w:id="151" w:name="_Ref297645315"/>
      <w:bookmarkStart w:id="152" w:name="_Ref331092039"/>
      <w:bookmarkStart w:id="153" w:name="_Ref332120930"/>
      <w:bookmarkStart w:id="154" w:name="_Ref332139437"/>
      <w:bookmarkStart w:id="155" w:name="_Ref333827088"/>
      <w:bookmarkStart w:id="156" w:name="_Ref333231006"/>
      <w:bookmarkEnd w:id="144"/>
      <w:bookmarkEnd w:id="145"/>
      <w:bookmarkEnd w:id="146"/>
      <w:bookmarkEnd w:id="147"/>
    </w:p>
    <w:p w:rsidR="000F06C4" w:rsidRPr="00E52213" w:rsidP="00867416">
      <w:pPr>
        <w:pStyle w:val="ListParagraph"/>
        <w:keepNext/>
        <w:numPr>
          <w:ilvl w:val="0"/>
          <w:numId w:val="75"/>
        </w:numPr>
        <w:spacing w:line="320" w:lineRule="exact"/>
        <w:ind w:hanging="862"/>
        <w:contextualSpacing/>
        <w:jc w:val="both"/>
        <w:outlineLvl w:val="1"/>
        <w:rPr>
          <w:rFonts w:ascii="Verdana" w:hAnsi="Verdana" w:cs="Arial"/>
          <w:b/>
          <w:sz w:val="20"/>
          <w:szCs w:val="20"/>
        </w:rPr>
      </w:pPr>
      <w:bookmarkStart w:id="157" w:name="_Toc375090256"/>
      <w:bookmarkStart w:id="158" w:name="_Toc375090257"/>
      <w:bookmarkStart w:id="159" w:name="_Toc375090258"/>
      <w:bookmarkStart w:id="160" w:name="_Toc367387467"/>
      <w:bookmarkStart w:id="161" w:name="_Toc367387592"/>
      <w:bookmarkStart w:id="162" w:name="_Toc367389047"/>
      <w:bookmarkStart w:id="163" w:name="_Toc375090259"/>
      <w:bookmarkEnd w:id="157"/>
      <w:bookmarkEnd w:id="158"/>
      <w:bookmarkEnd w:id="159"/>
      <w:r w:rsidRPr="00E52213">
        <w:rPr>
          <w:rFonts w:ascii="Verdana" w:hAnsi="Verdana" w:cs="Arial"/>
          <w:sz w:val="20"/>
          <w:szCs w:val="20"/>
        </w:rPr>
        <w:tab/>
      </w:r>
      <w:r w:rsidRPr="00E52213">
        <w:rPr>
          <w:rFonts w:ascii="Verdana" w:hAnsi="Verdana" w:cs="Arial"/>
          <w:b/>
          <w:sz w:val="20"/>
          <w:szCs w:val="20"/>
        </w:rPr>
        <w:t>P</w:t>
      </w:r>
      <w:bookmarkEnd w:id="160"/>
      <w:bookmarkEnd w:id="161"/>
      <w:bookmarkEnd w:id="162"/>
      <w:bookmarkEnd w:id="163"/>
      <w:r w:rsidRPr="00E52213">
        <w:rPr>
          <w:rFonts w:ascii="Verdana" w:hAnsi="Verdana" w:cs="Arial"/>
          <w:b/>
          <w:sz w:val="20"/>
          <w:szCs w:val="20"/>
        </w:rPr>
        <w:t>agamento dos Juros Remuneratórios:</w:t>
      </w:r>
      <w:bookmarkStart w:id="164" w:name="_Toc367387593"/>
    </w:p>
    <w:p w:rsidR="000F06C4" w:rsidRPr="00E52213" w:rsidP="000F06C4">
      <w:pPr>
        <w:keepNext/>
        <w:numPr>
          <w:ilvl w:val="1"/>
          <w:numId w:val="0"/>
        </w:numPr>
        <w:spacing w:line="320" w:lineRule="exact"/>
        <w:ind w:left="709" w:hanging="709"/>
        <w:contextualSpacing/>
        <w:jc w:val="both"/>
        <w:outlineLvl w:val="1"/>
        <w:rPr>
          <w:rFonts w:ascii="Verdana" w:hAnsi="Verdana" w:cs="Arial"/>
          <w:b/>
          <w:sz w:val="20"/>
          <w:szCs w:val="20"/>
        </w:rPr>
      </w:pPr>
    </w:p>
    <w:p w:rsidR="000F06C4" w:rsidRPr="00E52213" w:rsidP="00867416">
      <w:pPr>
        <w:pStyle w:val="ListParagraph"/>
        <w:keepNext/>
        <w:numPr>
          <w:ilvl w:val="0"/>
          <w:numId w:val="72"/>
        </w:numPr>
        <w:spacing w:line="320" w:lineRule="exact"/>
        <w:ind w:left="709" w:hanging="709"/>
        <w:contextualSpacing/>
        <w:jc w:val="both"/>
        <w:outlineLvl w:val="1"/>
        <w:rPr>
          <w:rFonts w:ascii="Verdana" w:hAnsi="Verdana"/>
          <w:sz w:val="20"/>
          <w:szCs w:val="20"/>
        </w:rPr>
      </w:pPr>
      <w:bookmarkStart w:id="165" w:name="_Ref75440805"/>
      <w:bookmarkEnd w:id="164"/>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bCs/>
          <w:iCs/>
          <w:sz w:val="20"/>
          <w:szCs w:val="28"/>
        </w:rPr>
        <w:t xml:space="preserve"> </w:t>
      </w:r>
      <w:r w:rsidRPr="004814D5">
        <w:rPr>
          <w:rFonts w:ascii="Verdana" w:hAnsi="Verdana"/>
          <w:sz w:val="20"/>
          <w:szCs w:val="20"/>
        </w:rPr>
        <w:t xml:space="preserve">e </w:t>
      </w:r>
      <w:r w:rsidRPr="003D2B98">
        <w:rPr>
          <w:rFonts w:ascii="Verdana" w:hAnsi="Verdana"/>
          <w:sz w:val="20"/>
          <w:szCs w:val="20"/>
        </w:rPr>
        <w:t>agosto</w:t>
      </w:r>
      <w:r w:rsidRPr="000F06C4">
        <w:rPr>
          <w:rFonts w:ascii="Verdana" w:hAnsi="Verdana"/>
          <w:bCs/>
          <w:iCs/>
          <w:sz w:val="20"/>
          <w:szCs w:val="28"/>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65"/>
    </w:p>
    <w:p w:rsidR="000F06C4" w:rsidRPr="00E52213"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tblPr>
      <w:tblGrid>
        <w:gridCol w:w="2400"/>
        <w:gridCol w:w="2995"/>
        <w:gridCol w:w="2921"/>
      </w:tblGrid>
      <w:tr w:rsidTr="000F06C4">
        <w:tblPrEx>
          <w:tblW w:w="4612" w:type="pct"/>
          <w:tblInd w:w="704" w:type="dxa"/>
          <w:tblCellMar>
            <w:top w:w="28" w:type="dxa"/>
            <w:left w:w="57" w:type="dxa"/>
            <w:bottom w:w="28" w:type="dxa"/>
            <w:right w:w="57" w:type="dxa"/>
          </w:tblCellMar>
          <w:tblLook w:val="04A0"/>
        </w:tblPrEx>
        <w:trPr>
          <w:tblHeader/>
        </w:trPr>
        <w:tc>
          <w:tcPr>
            <w:tcW w:w="1443" w:type="pct"/>
            <w:shd w:val="clear" w:color="auto" w:fill="auto"/>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bookmarkStart w:id="166" w:name="_Hlk12024769"/>
            <w:r w:rsidRPr="00E52213">
              <w:rPr>
                <w:rFonts w:ascii="Verdana" w:hAnsi="Verdana"/>
                <w:b/>
                <w:kern w:val="20"/>
                <w:sz w:val="20"/>
                <w:szCs w:val="20"/>
                <w:lang w:eastAsia="en-US"/>
              </w:rPr>
              <w:t>Nº da Parcela</w:t>
            </w:r>
          </w:p>
        </w:tc>
        <w:tc>
          <w:tcPr>
            <w:tcW w:w="1801" w:type="pct"/>
            <w:shd w:val="clear" w:color="auto" w:fill="auto"/>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2026</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2026</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2027</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2027</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2028</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2028</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2029</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2029</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2030</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2030</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2031</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2031</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bl>
    <w:p w:rsidR="000F06C4" w:rsidRPr="00E52213" w:rsidP="000F06C4">
      <w:pPr>
        <w:rPr>
          <w:rFonts w:ascii="Verdana" w:hAnsi="Verdana"/>
          <w:b/>
          <w:bCs/>
          <w:i/>
          <w:iCs/>
          <w:sz w:val="20"/>
          <w:szCs w:val="20"/>
        </w:rPr>
      </w:pPr>
      <w:bookmarkEnd w:id="166"/>
    </w:p>
    <w:p w:rsidR="000F06C4" w:rsidRPr="00E52213" w:rsidP="00867416">
      <w:pPr>
        <w:pStyle w:val="ListParagraph"/>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rsidR="000F06C4" w:rsidRPr="00E52213" w:rsidP="000F06C4">
      <w:pPr>
        <w:spacing w:line="320" w:lineRule="exact"/>
        <w:rPr>
          <w:rFonts w:ascii="Verdana" w:hAnsi="Verdana"/>
          <w:b/>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67" w:name="_DV_M159"/>
      <w:bookmarkStart w:id="168" w:name="_DV_M162"/>
      <w:bookmarkStart w:id="169" w:name="_DV_M163"/>
      <w:bookmarkStart w:id="170" w:name="_DV_M168"/>
      <w:bookmarkStart w:id="171" w:name="_DV_M184"/>
      <w:bookmarkEnd w:id="148"/>
      <w:bookmarkEnd w:id="149"/>
      <w:bookmarkEnd w:id="150"/>
      <w:bookmarkEnd w:id="151"/>
      <w:bookmarkEnd w:id="152"/>
      <w:bookmarkEnd w:id="153"/>
      <w:bookmarkEnd w:id="154"/>
      <w:bookmarkEnd w:id="155"/>
      <w:bookmarkEnd w:id="156"/>
      <w:bookmarkEnd w:id="167"/>
      <w:bookmarkEnd w:id="168"/>
      <w:bookmarkEnd w:id="169"/>
      <w:bookmarkEnd w:id="170"/>
      <w:bookmarkEnd w:id="171"/>
      <w:r w:rsidRPr="00E52213">
        <w:rPr>
          <w:rFonts w:ascii="Verdana" w:hAnsi="Verdana" w:cs="Arial"/>
          <w:b/>
          <w:sz w:val="20"/>
          <w:szCs w:val="20"/>
        </w:rPr>
        <w:t xml:space="preserve">Amortização do Valor Nominal Unitário Atualizado </w:t>
      </w:r>
    </w:p>
    <w:p w:rsidR="000F06C4" w:rsidRPr="00E52213" w:rsidP="000F06C4">
      <w:pPr>
        <w:keepNext/>
        <w:spacing w:line="320" w:lineRule="exact"/>
        <w:contextualSpacing/>
        <w:jc w:val="both"/>
        <w:rPr>
          <w:rFonts w:ascii="Verdana" w:hAnsi="Verdana" w:cs="Arial"/>
          <w:sz w:val="20"/>
          <w:szCs w:val="20"/>
        </w:rPr>
      </w:pPr>
    </w:p>
    <w:p w:rsidR="000F06C4" w:rsidRPr="000F06C4" w:rsidP="00867416">
      <w:pPr>
        <w:pStyle w:val="ListParagraph"/>
        <w:keepNext/>
        <w:numPr>
          <w:ilvl w:val="0"/>
          <w:numId w:val="71"/>
        </w:numPr>
        <w:spacing w:line="320" w:lineRule="exact"/>
        <w:ind w:hanging="862"/>
        <w:contextualSpacing/>
        <w:jc w:val="both"/>
        <w:rPr>
          <w:rFonts w:ascii="Verdana" w:hAnsi="Verdana"/>
          <w:sz w:val="20"/>
          <w:szCs w:val="20"/>
        </w:rPr>
      </w:pPr>
      <w:bookmarkStart w:id="172" w:name="_DV_M185"/>
      <w:bookmarkEnd w:id="172"/>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as demais parcelas serão devidas de forma sem</w:t>
      </w:r>
      <w:r w:rsidRPr="004814D5">
        <w:rPr>
          <w:rFonts w:ascii="Verdana" w:hAnsi="Verdana"/>
          <w:sz w:val="20"/>
          <w:szCs w:val="20"/>
        </w:rPr>
        <w:t xml:space="preserve">estral e consecutiva,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sz w:val="20"/>
          <w:szCs w:val="20"/>
        </w:rPr>
        <w:t xml:space="preserve"> e </w:t>
      </w:r>
      <w:r w:rsidRPr="003D2B98">
        <w:rPr>
          <w:rFonts w:ascii="Verdana" w:hAnsi="Verdana"/>
          <w:sz w:val="20"/>
          <w:szCs w:val="20"/>
        </w:rPr>
        <w:t>agosto</w:t>
      </w:r>
      <w:r w:rsidRPr="000F06C4">
        <w:rPr>
          <w:rFonts w:ascii="Verdana" w:hAnsi="Verdana"/>
          <w:sz w:val="20"/>
          <w:szCs w:val="20"/>
        </w:rPr>
        <w:t xml:space="preserve"> de cada ano, nas respectivas datas de amortização até a última parcela, na Data de Vencimento das Debêntures, conforme cronograma descrito na 1ª (primeira) coluna da ta</w:t>
      </w:r>
      <w:r w:rsidRPr="004814D5">
        <w:rPr>
          <w:rFonts w:ascii="Verdana" w:hAnsi="Verdana"/>
          <w:sz w:val="20"/>
          <w:szCs w:val="20"/>
        </w:rPr>
        <w:t>bela a seguir (“</w:t>
      </w:r>
      <w:r w:rsidRPr="000F06C4">
        <w:rPr>
          <w:rFonts w:ascii="Verdana" w:hAnsi="Verdana"/>
          <w:sz w:val="20"/>
          <w:szCs w:val="20"/>
          <w:u w:val="single"/>
        </w:rPr>
        <w:t>Datas de Amortização das Debêntures</w:t>
      </w:r>
      <w:r w:rsidRPr="000F06C4">
        <w:rPr>
          <w:rFonts w:ascii="Verdana" w:hAnsi="Verdana"/>
          <w:sz w:val="20"/>
          <w:szCs w:val="20"/>
        </w:rPr>
        <w:t>”) e percentuais dispostos na 3ª (terceira) coluna da tabela a seguir (“</w:t>
      </w:r>
      <w:r w:rsidRPr="000F06C4">
        <w:rPr>
          <w:rFonts w:ascii="Verdana" w:hAnsi="Verdana"/>
          <w:sz w:val="20"/>
          <w:szCs w:val="20"/>
          <w:u w:val="single"/>
        </w:rPr>
        <w:t>Percentual do Valor Nominal Atualizado a ser Amortizado</w:t>
      </w:r>
      <w:r w:rsidRPr="000F06C4">
        <w:rPr>
          <w:rFonts w:ascii="Verdana" w:hAnsi="Verdana"/>
          <w:sz w:val="20"/>
          <w:szCs w:val="20"/>
        </w:rPr>
        <w:t>”), sendo os percentuais descritos na 2ª (segunda) coluna da tabela a seguir (“</w:t>
      </w:r>
      <w:r w:rsidRPr="000F06C4">
        <w:rPr>
          <w:rFonts w:ascii="Verdana" w:hAnsi="Verdana"/>
          <w:sz w:val="20"/>
          <w:szCs w:val="20"/>
          <w:u w:val="single"/>
        </w:rPr>
        <w:t>Proporção do Valor Nominal Unitário a ser Amortizado</w:t>
      </w:r>
      <w:r w:rsidRPr="000F06C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rsidR="000F06C4" w:rsidRPr="00E52213" w:rsidP="000F06C4">
      <w:pPr>
        <w:keepNext/>
        <w:spacing w:line="320" w:lineRule="exact"/>
        <w:ind w:left="705" w:hanging="705"/>
        <w:contextualSpacing/>
        <w:jc w:val="both"/>
        <w:rPr>
          <w:rFonts w:ascii="Verdana" w:hAnsi="Verdana"/>
          <w:sz w:val="20"/>
          <w:szCs w:val="20"/>
        </w:rPr>
      </w:pPr>
    </w:p>
    <w:p w:rsidR="000F06C4" w:rsidRPr="00E52213"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05"/>
        <w:gridCol w:w="3006"/>
      </w:tblGrid>
      <w:tr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Tr="003D2B98">
        <w:tblPrEx>
          <w:tblW w:w="0" w:type="auto"/>
          <w:tblLook w:val="04A0"/>
        </w:tblPrEx>
        <w:tc>
          <w:tcPr>
            <w:tcW w:w="3005" w:type="dxa"/>
            <w:vAlign w:val="center"/>
          </w:tcPr>
          <w:p w:rsidR="00984FB6" w:rsidRPr="00E52213"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
          <w:p w:rsidR="00984FB6" w:rsidRPr="00E52213"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
          <w:p w:rsidR="00984FB6" w:rsidRPr="00E52213" w:rsidP="00984FB6">
            <w:pPr>
              <w:autoSpaceDE/>
              <w:autoSpaceDN/>
              <w:adjustRightInd/>
              <w:spacing w:line="276" w:lineRule="auto"/>
              <w:jc w:val="center"/>
              <w:rPr>
                <w:rFonts w:ascii="Verdana" w:hAnsi="Verdana"/>
                <w:sz w:val="20"/>
                <w:szCs w:val="20"/>
                <w:highlight w:val="yellow"/>
              </w:rPr>
            </w:pPr>
            <w:r>
              <w:rPr>
                <w:rFonts w:ascii="Verdana" w:hAnsi="Verdana" w:cs="Calibri"/>
                <w:color w:val="000000"/>
                <w:sz w:val="20"/>
                <w:szCs w:val="20"/>
              </w:rPr>
              <w:t>2,1400%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rsidR="00984FB6" w:rsidRPr="00E52213" w:rsidP="00984FB6">
            <w:pPr>
              <w:spacing w:line="276" w:lineRule="auto"/>
              <w:jc w:val="center"/>
              <w:rPr>
                <w:rFonts w:ascii="Verdana" w:hAnsi="Verdana"/>
                <w:sz w:val="20"/>
                <w:szCs w:val="20"/>
              </w:rPr>
            </w:pPr>
            <w:r>
              <w:rPr>
                <w:rFonts w:ascii="Verdana" w:hAnsi="Verdana" w:cs="Calibri"/>
                <w:color w:val="000000"/>
                <w:sz w:val="20"/>
                <w:szCs w:val="20"/>
              </w:rPr>
              <w:t>100,0000%</w:t>
            </w:r>
          </w:p>
        </w:tc>
      </w:tr>
    </w:tbl>
    <w:p w:rsidR="000F06C4" w:rsidRPr="00E52213"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rsidR="000F06C4" w:rsidRPr="00E52213"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73" w:name="_DV_M186"/>
      <w:bookmarkStart w:id="174" w:name="_Toc499990356"/>
      <w:bookmarkEnd w:id="129"/>
      <w:bookmarkEnd w:id="173"/>
      <w:r w:rsidRPr="00E52213">
        <w:rPr>
          <w:rFonts w:ascii="Verdana" w:hAnsi="Verdana" w:cs="Arial"/>
          <w:b/>
          <w:sz w:val="20"/>
          <w:szCs w:val="20"/>
        </w:rPr>
        <w:t>Local de Pagamento</w:t>
      </w:r>
      <w:bookmarkEnd w:id="174"/>
    </w:p>
    <w:p w:rsidR="000F06C4" w:rsidRPr="00E52213" w:rsidP="000F06C4">
      <w:pPr>
        <w:keepNext/>
        <w:tabs>
          <w:tab w:val="left" w:pos="720"/>
        </w:tabs>
        <w:spacing w:line="320" w:lineRule="exact"/>
        <w:ind w:hanging="720"/>
        <w:contextualSpacing/>
        <w:jc w:val="both"/>
        <w:rPr>
          <w:rFonts w:ascii="Verdana" w:hAnsi="Verdana" w:cs="Arial"/>
          <w:sz w:val="20"/>
          <w:szCs w:val="20"/>
        </w:rPr>
      </w:pPr>
    </w:p>
    <w:p w:rsidR="000F06C4" w:rsidRPr="00E52213" w:rsidP="00867416">
      <w:pPr>
        <w:pStyle w:val="ListParagraph"/>
        <w:keepNext/>
        <w:numPr>
          <w:ilvl w:val="0"/>
          <w:numId w:val="70"/>
        </w:numPr>
        <w:tabs>
          <w:tab w:val="left" w:pos="720"/>
        </w:tabs>
        <w:spacing w:line="320" w:lineRule="exact"/>
        <w:ind w:hanging="862"/>
        <w:contextualSpacing/>
        <w:jc w:val="both"/>
        <w:rPr>
          <w:rFonts w:ascii="Verdana" w:hAnsi="Verdana" w:cs="Arial"/>
          <w:sz w:val="20"/>
          <w:szCs w:val="20"/>
        </w:rPr>
      </w:pPr>
      <w:bookmarkStart w:id="175" w:name="_DV_M187"/>
      <w:bookmarkEnd w:id="175"/>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76" w:name="_Toc499990357"/>
    </w:p>
    <w:p w:rsidR="000F06C4" w:rsidRPr="00E52213"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77" w:name="_DV_M188"/>
      <w:bookmarkEnd w:id="177"/>
      <w:r w:rsidRPr="00E52213">
        <w:rPr>
          <w:rFonts w:ascii="Verdana" w:hAnsi="Verdana" w:cs="Arial"/>
          <w:b/>
          <w:sz w:val="20"/>
          <w:szCs w:val="20"/>
        </w:rPr>
        <w:t>Prorrogação dos Prazos</w:t>
      </w:r>
      <w:bookmarkStart w:id="178" w:name="_DV_M189"/>
      <w:bookmarkEnd w:id="176"/>
      <w:bookmarkEnd w:id="178"/>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numPr>
          <w:ilvl w:val="0"/>
          <w:numId w:val="69"/>
        </w:numPr>
        <w:tabs>
          <w:tab w:val="left" w:pos="720"/>
        </w:tabs>
        <w:spacing w:line="320" w:lineRule="exact"/>
        <w:ind w:hanging="862"/>
        <w:contextualSpacing/>
        <w:jc w:val="both"/>
        <w:rPr>
          <w:rFonts w:ascii="Verdana" w:hAnsi="Verdana" w:cs="Arial"/>
          <w:sz w:val="20"/>
          <w:szCs w:val="20"/>
        </w:rPr>
      </w:pPr>
      <w:bookmarkStart w:id="179" w:name="_DV_M190"/>
      <w:bookmarkEnd w:id="179"/>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w:t>
      </w:r>
      <w:r w:rsidRPr="00E52213">
        <w:rPr>
          <w:rFonts w:ascii="Verdana" w:hAnsi="Verdana" w:cs="Arial"/>
          <w:sz w:val="20"/>
          <w:szCs w:val="20"/>
        </w:rPr>
        <w:t xml:space="preserve">prevista ou decorrente da presente Escritura de Emissão, quando a data de tais </w:t>
      </w:r>
      <w:bookmarkStart w:id="180" w:name="_DV_M191"/>
      <w:bookmarkEnd w:id="180"/>
      <w:r w:rsidRPr="00E52213">
        <w:rPr>
          <w:rFonts w:ascii="Verdana" w:hAnsi="Verdana" w:cs="Arial"/>
          <w:sz w:val="20"/>
          <w:szCs w:val="20"/>
        </w:rPr>
        <w:t>pagamentos coincidir com sábado, domingo ou feriado declarado nacional.</w:t>
      </w:r>
      <w:r w:rsidRPr="00E52213">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81" w:name="_Toc499990358"/>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2" w:name="_DV_M192"/>
      <w:bookmarkEnd w:id="182"/>
      <w:r w:rsidRPr="00E52213">
        <w:rPr>
          <w:rFonts w:ascii="Verdana" w:hAnsi="Verdana" w:cs="Arial"/>
          <w:b/>
          <w:sz w:val="20"/>
          <w:szCs w:val="20"/>
        </w:rPr>
        <w:t>Encargos Moratórios</w:t>
      </w:r>
      <w:bookmarkEnd w:id="181"/>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8"/>
        </w:numPr>
        <w:tabs>
          <w:tab w:val="left" w:pos="720"/>
        </w:tabs>
        <w:spacing w:line="320" w:lineRule="exact"/>
        <w:ind w:hanging="862"/>
        <w:contextualSpacing/>
        <w:jc w:val="both"/>
        <w:rPr>
          <w:rFonts w:ascii="Verdana" w:hAnsi="Verdana" w:cs="Arial"/>
          <w:sz w:val="20"/>
          <w:szCs w:val="20"/>
        </w:rPr>
      </w:pPr>
      <w:bookmarkStart w:id="183" w:name="_DV_M193"/>
      <w:bookmarkEnd w:id="183"/>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84" w:name="_DV_M194"/>
      <w:bookmarkStart w:id="185" w:name="_Toc499990359"/>
      <w:bookmarkEnd w:id="184"/>
      <w:r w:rsidRPr="00E52213">
        <w:rPr>
          <w:rFonts w:ascii="Verdana" w:hAnsi="Verdana" w:cs="Arial"/>
          <w:b/>
          <w:sz w:val="20"/>
          <w:szCs w:val="20"/>
        </w:rPr>
        <w:t>Decadência dos Direitos aos Acréscimos</w:t>
      </w:r>
      <w:bookmarkEnd w:id="185"/>
    </w:p>
    <w:p w:rsidR="000F06C4" w:rsidRPr="00E52213" w:rsidP="000F06C4">
      <w:pPr>
        <w:keepNext/>
        <w:keepLines/>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186" w:name="_DV_M195"/>
      <w:bookmarkEnd w:id="186"/>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87" w:name="_DV_M196"/>
      <w:bookmarkStart w:id="188" w:name="_DV_M197"/>
      <w:bookmarkStart w:id="189" w:name="_DV_M198"/>
      <w:bookmarkStart w:id="190" w:name="_DV_M199"/>
      <w:bookmarkStart w:id="191" w:name="_DV_M202"/>
      <w:bookmarkStart w:id="192" w:name="_DV_M203"/>
      <w:bookmarkStart w:id="193" w:name="_DV_M204"/>
      <w:bookmarkStart w:id="194" w:name="_DV_M205"/>
      <w:bookmarkStart w:id="195" w:name="_DV_M206"/>
      <w:bookmarkStart w:id="196" w:name="_DV_M207"/>
      <w:bookmarkStart w:id="197" w:name="_DV_M208"/>
      <w:bookmarkStart w:id="198" w:name="_DV_M209"/>
      <w:bookmarkEnd w:id="187"/>
      <w:bookmarkEnd w:id="188"/>
      <w:bookmarkEnd w:id="189"/>
      <w:bookmarkEnd w:id="190"/>
      <w:bookmarkEnd w:id="191"/>
      <w:bookmarkEnd w:id="192"/>
      <w:bookmarkEnd w:id="193"/>
      <w:bookmarkEnd w:id="194"/>
      <w:bookmarkEnd w:id="195"/>
      <w:bookmarkEnd w:id="196"/>
      <w:bookmarkEnd w:id="197"/>
      <w:bookmarkEnd w:id="198"/>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99" w:name="_DV_M210"/>
      <w:bookmarkEnd w:id="199"/>
      <w:r w:rsidRPr="00E52213">
        <w:rPr>
          <w:rFonts w:ascii="Verdana" w:hAnsi="Verdana" w:cs="Arial"/>
          <w:b/>
          <w:sz w:val="20"/>
          <w:szCs w:val="20"/>
        </w:rPr>
        <w:t>Repactuação Programada</w:t>
      </w:r>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6"/>
        </w:numPr>
        <w:tabs>
          <w:tab w:val="left" w:pos="720"/>
        </w:tabs>
        <w:spacing w:line="320" w:lineRule="exact"/>
        <w:ind w:hanging="862"/>
        <w:contextualSpacing/>
        <w:jc w:val="both"/>
        <w:rPr>
          <w:rFonts w:ascii="Verdana" w:hAnsi="Verdana" w:cs="Arial"/>
          <w:sz w:val="20"/>
          <w:szCs w:val="20"/>
        </w:rPr>
      </w:pPr>
      <w:bookmarkStart w:id="200" w:name="_DV_M211"/>
      <w:bookmarkEnd w:id="200"/>
      <w:r w:rsidRPr="00E52213">
        <w:rPr>
          <w:rFonts w:ascii="Verdana" w:hAnsi="Verdana" w:cs="Arial"/>
          <w:sz w:val="20"/>
          <w:szCs w:val="20"/>
        </w:rPr>
        <w:t>Não haverá repactuação programada das Debêntures.</w:t>
      </w:r>
    </w:p>
    <w:p w:rsidR="000F06C4" w:rsidRPr="00E52213" w:rsidP="000F06C4">
      <w:pPr>
        <w:tabs>
          <w:tab w:val="left" w:pos="720"/>
        </w:tabs>
        <w:spacing w:line="320" w:lineRule="exact"/>
        <w:ind w:left="709" w:hanging="862"/>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rsidR="000F06C4" w:rsidRPr="00E52213" w:rsidP="000F06C4">
      <w:pPr>
        <w:keepNext/>
        <w:tabs>
          <w:tab w:val="left" w:pos="720"/>
        </w:tabs>
        <w:spacing w:line="320" w:lineRule="exact"/>
        <w:ind w:hanging="862"/>
        <w:contextualSpacing/>
        <w:jc w:val="both"/>
        <w:rPr>
          <w:rFonts w:ascii="Verdana" w:eastAsia="Arial Unicode MS" w:hAnsi="Verdana" w:cs="Arial"/>
          <w:sz w:val="20"/>
          <w:szCs w:val="20"/>
        </w:rPr>
      </w:pPr>
    </w:p>
    <w:p w:rsidR="000F06C4" w:rsidRPr="00E52213" w:rsidP="00867416">
      <w:pPr>
        <w:pStyle w:val="ListParagraph"/>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rsidR="000F06C4" w:rsidRPr="00E52213" w:rsidP="000F06C4">
      <w:pPr>
        <w:tabs>
          <w:tab w:val="left" w:pos="720"/>
        </w:tabs>
        <w:spacing w:line="320" w:lineRule="exact"/>
        <w:ind w:hanging="720"/>
        <w:contextualSpacing/>
        <w:rPr>
          <w:rFonts w:ascii="Verdana" w:eastAsia="Arial Unicode MS" w:hAnsi="Verdana" w:cs="Arial"/>
          <w:sz w:val="20"/>
          <w:szCs w:val="20"/>
        </w:rPr>
      </w:pPr>
    </w:p>
    <w:p w:rsidR="000F06C4" w:rsidRPr="00E52213"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rsidR="000F06C4" w:rsidRPr="00E52213" w:rsidP="000F06C4">
      <w:pPr>
        <w:tabs>
          <w:tab w:val="left" w:pos="720"/>
        </w:tabs>
        <w:spacing w:line="320" w:lineRule="exact"/>
        <w:ind w:left="720"/>
        <w:contextualSpacing/>
        <w:jc w:val="both"/>
        <w:rPr>
          <w:rFonts w:ascii="Verdana" w:eastAsia="Arial Unicode MS" w:hAnsi="Verdana" w:cs="Arial"/>
          <w:sz w:val="20"/>
          <w:szCs w:val="20"/>
        </w:rPr>
      </w:pPr>
    </w:p>
    <w:p w:rsidR="000F06C4" w:rsidRPr="00E52213" w:rsidP="00867416">
      <w:pPr>
        <w:pStyle w:val="ListParagraph"/>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01" w:name="_Hlk16269777"/>
      <w:bookmarkStart w:id="202" w:name="_Hlk60049439"/>
      <w:r w:rsidRPr="00E52213">
        <w:rPr>
          <w:rFonts w:ascii="Verdana" w:hAnsi="Verdana" w:cs="Tahoma"/>
          <w:sz w:val="20"/>
          <w:szCs w:val="20"/>
        </w:rPr>
        <w:t xml:space="preserve">Nos termos do artigo 1º, §1º, inciso II, da Lei 12.431 e da Resolução CMN 4.751, após o prazo médio ponderado dos pagamentos transcorridos entre a Data de Emissão e a data do efetivo resgate antecipado facultativo superar 4 (quatro) anos, a </w:t>
      </w:r>
      <w:bookmarkEnd w:id="201"/>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02"/>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xml:space="preserve"> a data para realização do Resgate Antecipado Facultativo, que </w:t>
      </w:r>
      <w:r w:rsidRPr="00E52213">
        <w:rPr>
          <w:rFonts w:ascii="Verdana" w:hAnsi="Verdana" w:cs="Tahoma"/>
          <w:sz w:val="20"/>
          <w:szCs w:val="20"/>
        </w:rPr>
        <w:t>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rsidR="000F06C4" w:rsidRPr="00E52213" w:rsidP="000F06C4">
      <w:pPr>
        <w:adjustRightInd/>
        <w:spacing w:line="320" w:lineRule="exact"/>
        <w:ind w:left="709" w:hanging="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96018B">
      <w:pPr>
        <w:pStyle w:val="ListParagraph"/>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sidR="00430BDC">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Pr="008E1842" w:rsidR="00430BDC">
        <w:rPr>
          <w:rFonts w:ascii="Verdana" w:hAnsi="Verdana" w:cs="Tahoma"/>
          <w:sz w:val="20"/>
          <w:szCs w:val="20"/>
        </w:rPr>
        <w:t>divulgadas pela ANBIMA em seu site (</w:t>
      </w:r>
      <w:r>
        <w:fldChar w:fldCharType="begin"/>
      </w:r>
      <w:r>
        <w:instrText xml:space="preserve"> HYPERLINK "http://www.anbima.com.br" </w:instrText>
      </w:r>
      <w:r>
        <w:fldChar w:fldCharType="separate"/>
      </w:r>
      <w:r w:rsidRPr="008E1842" w:rsidR="00430BDC">
        <w:rPr>
          <w:rStyle w:val="Hyperlink"/>
          <w:rFonts w:ascii="Verdana" w:hAnsi="Verdana" w:cs="Tahoma"/>
          <w:sz w:val="20"/>
          <w:szCs w:val="20"/>
        </w:rPr>
        <w:t>www.anbima.com.br</w:t>
      </w:r>
      <w:r>
        <w:fldChar w:fldCharType="end"/>
      </w:r>
      <w:r w:rsidRPr="008E1842" w:rsidR="00430BDC">
        <w:rPr>
          <w:rFonts w:ascii="Verdana" w:hAnsi="Verdana" w:cs="Tahoma"/>
          <w:sz w:val="20"/>
          <w:szCs w:val="20"/>
        </w:rPr>
        <w:t>),</w:t>
      </w:r>
      <w:r w:rsidR="00430BDC">
        <w:rPr>
          <w:rFonts w:ascii="Verdana" w:hAnsi="Verdana" w:cs="Tahoma"/>
          <w:sz w:val="20"/>
          <w:szCs w:val="20"/>
        </w:rPr>
        <w:t xml:space="preserve"> no 2</w:t>
      </w:r>
      <w:r w:rsidRPr="008E1842" w:rsidR="00430BDC">
        <w:rPr>
          <w:rFonts w:ascii="Verdana" w:hAnsi="Verdana" w:cs="Tahoma"/>
          <w:sz w:val="20"/>
          <w:szCs w:val="20"/>
        </w:rPr>
        <w:t>º (</w:t>
      </w:r>
      <w:r w:rsidR="00430BDC">
        <w:rPr>
          <w:rFonts w:ascii="Verdana" w:hAnsi="Verdana" w:cs="Tahoma"/>
          <w:sz w:val="20"/>
          <w:szCs w:val="20"/>
        </w:rPr>
        <w:t>segundo</w:t>
      </w:r>
      <w:r w:rsidRPr="008E1842" w:rsidR="00430BDC">
        <w:rPr>
          <w:rFonts w:ascii="Verdana" w:hAnsi="Verdana" w:cs="Tahoma"/>
          <w:sz w:val="20"/>
          <w:szCs w:val="20"/>
        </w:rPr>
        <w:t>) Dia Út</w:t>
      </w:r>
      <w:r w:rsidR="00430BDC">
        <w:rPr>
          <w:rFonts w:ascii="Verdana" w:hAnsi="Verdana" w:cs="Tahoma"/>
          <w:sz w:val="20"/>
          <w:szCs w:val="20"/>
        </w:rPr>
        <w:t>il</w:t>
      </w:r>
      <w:r w:rsidRPr="008E1842" w:rsidR="00430BDC">
        <w:rPr>
          <w:rFonts w:ascii="Verdana" w:hAnsi="Verdana" w:cs="Tahoma"/>
          <w:sz w:val="20"/>
          <w:szCs w:val="20"/>
        </w:rPr>
        <w:t xml:space="preserve"> imediatamente anterior à </w:t>
      </w:r>
      <w:r w:rsidR="003D2B98">
        <w:rPr>
          <w:rFonts w:ascii="Verdana" w:hAnsi="Verdana" w:cs="Tahoma"/>
          <w:sz w:val="20"/>
          <w:szCs w:val="20"/>
        </w:rPr>
        <w:t>Data</w:t>
      </w:r>
      <w:r w:rsidRPr="008E1842" w:rsidR="00430BDC">
        <w:rPr>
          <w:rFonts w:ascii="Verdana" w:hAnsi="Verdana" w:cs="Tahoma"/>
          <w:sz w:val="20"/>
          <w:szCs w:val="20"/>
        </w:rPr>
        <w:t xml:space="preserve"> do Resgate Antecipado Facultativo</w:t>
      </w:r>
      <w:r w:rsidR="00430BDC">
        <w:rPr>
          <w:rFonts w:ascii="Verdana" w:hAnsi="Verdana" w:cs="Tahoma"/>
          <w:sz w:val="20"/>
          <w:szCs w:val="20"/>
        </w:rPr>
        <w:t>,</w:t>
      </w:r>
      <w:r w:rsidRPr="008E1842" w:rsidR="00430BDC">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rsidR="000F06C4" w:rsidRPr="00E52213" w:rsidP="0096018B">
      <w:pPr>
        <w:pStyle w:val="ListParagraph"/>
        <w:ind w:left="1428"/>
        <w:jc w:val="both"/>
        <w:rPr>
          <w:rFonts w:ascii="Verdana" w:hAnsi="Verdana" w:cs="Arial"/>
          <w:sz w:val="20"/>
          <w:szCs w:val="20"/>
        </w:rPr>
      </w:pPr>
    </w:p>
    <w:p w:rsidR="000F06C4" w:rsidRPr="00E52213" w:rsidP="0096018B">
      <w:pPr>
        <w:pStyle w:val="ListParagraph"/>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rsidR="000F06C4" w:rsidRPr="00E52213" w:rsidP="0096018B">
      <w:pPr>
        <w:pStyle w:val="ListParagraph"/>
        <w:widowControl w:val="0"/>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à amortização do Valor Nominal Unitário Atualizado,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96018B">
      <w:pPr>
        <w:pStyle w:val="ListParagraph"/>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rsidR="000F06C4" w:rsidRPr="00E52213" w:rsidP="0096018B">
      <w:pPr>
        <w:pStyle w:val="ListParagraph"/>
        <w:widowControl w:val="0"/>
        <w:ind w:left="709"/>
        <w:jc w:val="both"/>
        <w:rPr>
          <w:rFonts w:ascii="Verdana" w:hAnsi="Verdana" w:cs="Arial"/>
          <w:sz w:val="20"/>
          <w:szCs w:val="20"/>
        </w:rPr>
      </w:pPr>
    </w:p>
    <w:p w:rsidR="000F06C4" w:rsidRPr="00E52213"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rsidR="000F06C4" w:rsidRPr="00E52213" w:rsidP="000F06C4">
      <w:pPr>
        <w:adjustRightInd/>
        <w:spacing w:line="320" w:lineRule="exact"/>
        <w:ind w:left="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rsidR="000F06C4" w:rsidRPr="00E52213" w:rsidP="000F06C4">
      <w:pPr>
        <w:adjustRightInd/>
        <w:spacing w:line="320" w:lineRule="exact"/>
        <w:ind w:left="709" w:hanging="567"/>
        <w:jc w:val="both"/>
        <w:rPr>
          <w:rFonts w:ascii="Verdana" w:eastAsia="Arial Unicode MS" w:hAnsi="Verdana" w:cs="Arial"/>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 resgate deverão ser canceladas.</w:t>
      </w:r>
    </w:p>
    <w:p w:rsidR="000F06C4" w:rsidRPr="00E52213" w:rsidP="000F06C4">
      <w:pPr>
        <w:adjustRightInd/>
        <w:spacing w:line="320" w:lineRule="exact"/>
        <w:ind w:left="709" w:hanging="567"/>
        <w:jc w:val="both"/>
        <w:rPr>
          <w:rFonts w:ascii="Verdana" w:hAnsi="Verdana"/>
          <w:i/>
          <w:sz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rsidR="000F06C4" w:rsidRPr="00E52213" w:rsidP="000F06C4">
      <w:pPr>
        <w:tabs>
          <w:tab w:val="left" w:pos="709"/>
        </w:tabs>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3"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fldChar w:fldCharType="separate"/>
      </w:r>
      <w:r w:rsidR="003B6622">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w:t>
      </w:r>
      <w:r w:rsidRPr="00E52213">
        <w:rPr>
          <w:rFonts w:ascii="Verdana" w:hAnsi="Verdana" w:cs="Tahoma"/>
          <w:sz w:val="20"/>
          <w:szCs w:val="20"/>
        </w:rPr>
        <w:t xml:space="preserve">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fldChar w:fldCharType="separate"/>
      </w:r>
      <w:r w:rsidR="003B6622">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fldChar w:fldCharType="separate"/>
      </w:r>
      <w:r w:rsidR="003B6622">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03"/>
    </w:p>
    <w:p w:rsidR="000F06C4" w:rsidRPr="00E52213" w:rsidP="000F06C4">
      <w:pPr>
        <w:adjustRightInd/>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4"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fldChar w:fldCharType="separate"/>
      </w:r>
      <w:r w:rsidR="003B6622">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04"/>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5"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205"/>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rsidR="000F06C4" w:rsidRPr="00E52213" w:rsidP="000F06C4">
      <w:pPr>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rsidR="000F06C4" w:rsidRPr="00E52213" w:rsidP="000F06C4">
      <w:pPr>
        <w:adjustRightInd/>
        <w:spacing w:line="320" w:lineRule="exact"/>
        <w:jc w:val="both"/>
        <w:rPr>
          <w:rFonts w:ascii="Verdana" w:hAnsi="Verdana"/>
          <w:i/>
          <w:sz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62"/>
        </w:numPr>
        <w:spacing w:line="320" w:lineRule="exact"/>
        <w:ind w:hanging="720"/>
        <w:contextualSpacing/>
        <w:jc w:val="both"/>
        <w:rPr>
          <w:rFonts w:ascii="Verdana" w:hAnsi="Verdana" w:cs="Arial"/>
          <w:sz w:val="20"/>
          <w:szCs w:val="20"/>
        </w:rPr>
      </w:pPr>
      <w:bookmarkStart w:id="206"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 na forma que vier a ser regulamentada pelo CMN, observado e em conformidade com o disposto no artigo 1°, parágrafo 1°, incisos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06"/>
    </w:p>
    <w:p w:rsidR="000F06C4" w:rsidRPr="00E52213" w:rsidP="000F06C4">
      <w:pPr>
        <w:spacing w:line="320" w:lineRule="exact"/>
        <w:contextualSpacing/>
        <w:jc w:val="both"/>
        <w:rPr>
          <w:rFonts w:ascii="Verdana" w:hAnsi="Verdana" w:cs="Arial"/>
          <w:sz w:val="20"/>
          <w:szCs w:val="20"/>
        </w:rPr>
      </w:pPr>
    </w:p>
    <w:p w:rsidR="000F06C4" w:rsidRPr="00E52213"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07" w:name="_DV_M212"/>
      <w:bookmarkStart w:id="208" w:name="_Ref75440965"/>
      <w:bookmarkEnd w:id="207"/>
      <w:r w:rsidRPr="00E52213">
        <w:rPr>
          <w:rFonts w:ascii="Verdana" w:hAnsi="Verdana" w:cs="Arial"/>
          <w:b/>
          <w:sz w:val="20"/>
          <w:szCs w:val="20"/>
        </w:rPr>
        <w:t>Publicidade</w:t>
      </w:r>
      <w:bookmarkEnd w:id="208"/>
    </w:p>
    <w:p w:rsidR="000F06C4" w:rsidRPr="00E52213" w:rsidP="000F06C4">
      <w:pPr>
        <w:widowControl w:val="0"/>
        <w:spacing w:line="320" w:lineRule="exact"/>
        <w:contextualSpacing/>
        <w:jc w:val="both"/>
        <w:rPr>
          <w:rFonts w:ascii="Verdana" w:hAnsi="Verdana" w:cs="Arial"/>
          <w:sz w:val="20"/>
          <w:szCs w:val="20"/>
        </w:rPr>
      </w:pPr>
    </w:p>
    <w:p w:rsidR="000F06C4" w:rsidRPr="00E52213" w:rsidP="00867416">
      <w:pPr>
        <w:pStyle w:val="ListParagraph"/>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09" w:name="_DV_M213"/>
      <w:bookmarkStart w:id="210" w:name="_Ref75441424"/>
      <w:bookmarkEnd w:id="209"/>
      <w:r w:rsidRPr="00E52213">
        <w:rPr>
          <w:rFonts w:ascii="Verdana" w:hAnsi="Verdana" w:cs="Arial"/>
          <w:sz w:val="20"/>
          <w:szCs w:val="20"/>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bookmarkEnd w:id="210"/>
    </w:p>
    <w:p w:rsidR="000F06C4" w:rsidRPr="00E52213" w:rsidP="000F06C4">
      <w:pPr>
        <w:autoSpaceDE/>
        <w:autoSpaceDN/>
        <w:adjustRightInd/>
        <w:spacing w:line="320" w:lineRule="exact"/>
        <w:rPr>
          <w:rFonts w:ascii="Verdana" w:hAnsi="Verdana" w:cs="Arial"/>
          <w:b/>
          <w:sz w:val="20"/>
          <w:szCs w:val="20"/>
        </w:rPr>
      </w:pPr>
      <w:bookmarkStart w:id="211" w:name="_DV_M215"/>
      <w:bookmarkEnd w:id="211"/>
    </w:p>
    <w:p w:rsidR="000F06C4" w:rsidRPr="00E52213"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60"/>
        </w:numPr>
        <w:spacing w:line="320" w:lineRule="exact"/>
        <w:ind w:hanging="720"/>
        <w:contextualSpacing/>
        <w:jc w:val="both"/>
        <w:rPr>
          <w:rFonts w:ascii="Verdana" w:hAnsi="Verdana" w:cs="Arial"/>
          <w:sz w:val="20"/>
          <w:szCs w:val="20"/>
        </w:rPr>
      </w:pPr>
      <w:bookmarkStart w:id="212" w:name="_DV_M216"/>
      <w:bookmarkStart w:id="213" w:name="_Ref75441066"/>
      <w:bookmarkEnd w:id="212"/>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13"/>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bookmarkStart w:id="214" w:name="_DV_M217"/>
      <w:bookmarkEnd w:id="214"/>
      <w:r w:rsidRPr="00E52213">
        <w:rPr>
          <w:rFonts w:ascii="Verdana" w:hAnsi="Verdana" w:cs="Arial"/>
          <w:b/>
          <w:sz w:val="20"/>
          <w:szCs w:val="20"/>
        </w:rPr>
        <w:t>Tratamento Tributário</w:t>
      </w:r>
    </w:p>
    <w:p w:rsidR="000F06C4" w:rsidRPr="00E52213" w:rsidP="000F06C4">
      <w:pPr>
        <w:tabs>
          <w:tab w:val="left" w:pos="720"/>
        </w:tabs>
        <w:spacing w:line="320" w:lineRule="exact"/>
        <w:ind w:left="720"/>
        <w:contextualSpacing/>
        <w:jc w:val="both"/>
        <w:rPr>
          <w:rFonts w:ascii="Verdana" w:hAnsi="Verdana" w:cs="Arial"/>
          <w:b/>
          <w:sz w:val="20"/>
          <w:szCs w:val="20"/>
        </w:rPr>
      </w:pPr>
    </w:p>
    <w:p w:rsidR="000F06C4" w:rsidRPr="00E52213" w:rsidP="00867416">
      <w:pPr>
        <w:pStyle w:val="ListParagraph"/>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15" w:name="_DV_M218"/>
      <w:bookmarkEnd w:id="215"/>
      <w:r w:rsidRPr="00E52213">
        <w:rPr>
          <w:rFonts w:ascii="Verdana" w:eastAsia="Arial Unicode MS" w:hAnsi="Verdana" w:cs="Arial"/>
          <w:sz w:val="20"/>
          <w:szCs w:val="20"/>
        </w:rPr>
        <w:t>As Debêntures gozam do tratamento tributário previsto nos artigos 1º e 2º da Lei 12.431.</w:t>
      </w:r>
      <w:bookmarkStart w:id="216" w:name="_Ref379570729"/>
    </w:p>
    <w:p w:rsidR="000F06C4" w:rsidRPr="00E52213"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16"/>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17" w:name="_Ref380141300"/>
      <w:bookmarkStart w:id="218" w:name="_Toc367387613"/>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19"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observado os termos do artigo 2º, parágrafos 5º, 6º e 7º da Lei 12.431.</w:t>
      </w:r>
      <w:bookmarkEnd w:id="217"/>
      <w:bookmarkEnd w:id="218"/>
      <w:bookmarkEnd w:id="219"/>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w:t>
      </w:r>
      <w:r w:rsidRPr="00E52213">
        <w:rPr>
          <w:rFonts w:ascii="Verdana" w:eastAsia="Arial Unicode MS" w:hAnsi="Verdana" w:cs="Arial"/>
          <w:sz w:val="20"/>
          <w:szCs w:val="20"/>
        </w:rPr>
        <w:t>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20" w:name="_DV_M219"/>
      <w:bookmarkStart w:id="221" w:name="_DV_M220"/>
      <w:bookmarkStart w:id="222" w:name="_DV_M221"/>
      <w:bookmarkStart w:id="223" w:name="_Toc499990364"/>
      <w:bookmarkEnd w:id="220"/>
      <w:bookmarkEnd w:id="221"/>
      <w:bookmarkEnd w:id="222"/>
    </w:p>
    <w:p w:rsidR="000F06C4" w:rsidRPr="00E52213" w:rsidP="000F06C4">
      <w:pPr>
        <w:spacing w:line="320" w:lineRule="exact"/>
        <w:ind w:left="709" w:hanging="709"/>
        <w:contextualSpacing/>
        <w:jc w:val="both"/>
        <w:rPr>
          <w:rFonts w:ascii="Verdana" w:hAnsi="Verdana" w:cs="Arial"/>
          <w:sz w:val="20"/>
          <w:szCs w:val="20"/>
        </w:rPr>
      </w:pPr>
      <w:bookmarkStart w:id="224" w:name="_DV_M222"/>
      <w:bookmarkStart w:id="225" w:name="_Ref370460269"/>
      <w:bookmarkEnd w:id="224"/>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25"/>
    </w:p>
    <w:p w:rsidR="000F06C4" w:rsidRPr="00E52213" w:rsidP="000F06C4">
      <w:pPr>
        <w:spacing w:line="320" w:lineRule="exact"/>
        <w:contextualSpacing/>
        <w:jc w:val="both"/>
        <w:rPr>
          <w:rFonts w:ascii="Verdana" w:eastAsia="Arial Unicode MS" w:hAnsi="Verdana" w:cs="Arial"/>
          <w:sz w:val="20"/>
          <w:szCs w:val="20"/>
        </w:rPr>
      </w:pPr>
    </w:p>
    <w:p w:rsidR="000F06C4" w:rsidRPr="0096018B" w:rsidP="0096018B">
      <w:pPr>
        <w:spacing w:line="320" w:lineRule="exact"/>
        <w:contextualSpacing/>
        <w:jc w:val="both"/>
        <w:rPr>
          <w:rFonts w:ascii="Verdana" w:eastAsia="Arial Unicode MS" w:hAnsi="Verdana" w:cs="Arial"/>
          <w:sz w:val="20"/>
          <w:szCs w:val="20"/>
        </w:rPr>
      </w:pPr>
      <w:bookmarkStart w:id="226" w:name="_DV_M223"/>
      <w:bookmarkEnd w:id="226"/>
      <w:r w:rsidRPr="0096018B">
        <w:rPr>
          <w:rFonts w:ascii="Verdana" w:eastAsia="Arial Unicode MS" w:hAnsi="Verdana" w:cs="Arial"/>
          <w:sz w:val="20"/>
          <w:szCs w:val="20"/>
        </w:rPr>
        <w:t>4.15.1.</w:t>
      </w:r>
      <w:r w:rsidRPr="0096018B">
        <w:rPr>
          <w:rFonts w:ascii="Verdana" w:eastAsia="Arial Unicode MS" w:hAnsi="Verdana" w:cs="Arial"/>
          <w:sz w:val="20"/>
          <w:szCs w:val="20"/>
        </w:rPr>
        <w:tab/>
      </w:r>
      <w:r w:rsidRPr="0096018B" w:rsidR="00B64F95">
        <w:rPr>
          <w:rFonts w:ascii="Verdana" w:eastAsia="Arial Unicode MS" w:hAnsi="Verdana" w:cs="Arial"/>
          <w:sz w:val="20"/>
          <w:szCs w:val="20"/>
        </w:rPr>
        <w:t xml:space="preserve">As Debêntures não contarão com quaisquer garantias. </w:t>
      </w:r>
    </w:p>
    <w:p w:rsidR="000F06C4" w:rsidRPr="00E52213" w:rsidP="000F06C4">
      <w:pPr>
        <w:tabs>
          <w:tab w:val="left" w:pos="0"/>
        </w:tabs>
        <w:spacing w:line="320" w:lineRule="exact"/>
        <w:ind w:left="709" w:hanging="709"/>
        <w:contextualSpacing/>
        <w:jc w:val="both"/>
        <w:rPr>
          <w:rFonts w:ascii="Verdana" w:eastAsia="Arial Unicode MS" w:hAnsi="Verdana"/>
          <w:sz w:val="20"/>
          <w:szCs w:val="20"/>
        </w:rPr>
      </w:pPr>
      <w:bookmarkStart w:id="227" w:name="_DV_M20"/>
      <w:bookmarkStart w:id="228" w:name="_DV_M21"/>
      <w:bookmarkStart w:id="229" w:name="_DV_M22"/>
      <w:bookmarkStart w:id="230" w:name="_DV_M23"/>
      <w:bookmarkStart w:id="231" w:name="_DV_M224"/>
      <w:bookmarkStart w:id="232" w:name="_DV_M225"/>
      <w:bookmarkStart w:id="233" w:name="_DV_M226"/>
      <w:bookmarkStart w:id="234" w:name="_DV_M227"/>
      <w:bookmarkStart w:id="235" w:name="_DV_M228"/>
      <w:bookmarkStart w:id="236" w:name="_DV_M229"/>
      <w:bookmarkStart w:id="237" w:name="_DV_M325"/>
      <w:bookmarkStart w:id="238" w:name="_DV_M326"/>
      <w:bookmarkStart w:id="239" w:name="_DV_M333"/>
      <w:bookmarkStart w:id="240" w:name="_DV_M232"/>
      <w:bookmarkStart w:id="241" w:name="_DV_M233"/>
      <w:bookmarkStart w:id="242" w:name="_DV_M234"/>
      <w:bookmarkStart w:id="243" w:name="_DV_M236"/>
      <w:bookmarkStart w:id="244" w:name="_DV_M237"/>
      <w:bookmarkStart w:id="245" w:name="_DV_M238"/>
      <w:bookmarkStart w:id="246" w:name="_DV_M239"/>
      <w:bookmarkStart w:id="247" w:name="_DV_M240"/>
      <w:bookmarkStart w:id="248" w:name="_DV_M241"/>
      <w:bookmarkStart w:id="249" w:name="_DV_M242"/>
      <w:bookmarkStart w:id="250" w:name="_DV_M243"/>
      <w:bookmarkStart w:id="251" w:name="_DV_M244"/>
      <w:bookmarkStart w:id="252" w:name="_Toc499990365"/>
      <w:bookmarkStart w:id="253" w:name="_Toc280370540"/>
      <w:bookmarkStart w:id="254" w:name="_Toc349040596"/>
      <w:bookmarkStart w:id="255" w:name="_Toc351469181"/>
      <w:bookmarkStart w:id="256" w:name="_Toc352767483"/>
      <w:bookmarkStart w:id="257" w:name="_Toc355626570"/>
      <w:bookmarkEnd w:id="22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Pr="00E52213" w:rsidR="00E11AFB">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p>
    <w:p w:rsidR="000F06C4" w:rsidRPr="00E52213" w:rsidP="000F06C4">
      <w:pPr>
        <w:tabs>
          <w:tab w:val="left" w:pos="720"/>
        </w:tabs>
        <w:spacing w:line="320" w:lineRule="exact"/>
        <w:contextualSpacing/>
        <w:jc w:val="both"/>
        <w:rPr>
          <w:rFonts w:ascii="Verdana" w:hAnsi="Verdana" w:cs="Arial"/>
          <w:b/>
          <w:sz w:val="20"/>
          <w:szCs w:val="20"/>
        </w:rPr>
      </w:pPr>
    </w:p>
    <w:p w:rsidR="000F06C4" w:rsidRPr="00E52213"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r w:rsidRPr="0096018B" w:rsidR="00770FA2">
        <w:rPr>
          <w:rFonts w:ascii="Verdana" w:hAnsi="Verdana" w:cs="Arial"/>
          <w:bCs/>
          <w:i/>
          <w:iCs/>
          <w:sz w:val="20"/>
          <w:szCs w:val="20"/>
        </w:rPr>
        <w:t xml:space="preserve">Climate </w:t>
      </w:r>
      <w:r w:rsidRPr="0096018B" w:rsidR="00770FA2">
        <w:rPr>
          <w:rFonts w:ascii="Verdana" w:hAnsi="Verdana" w:cs="Arial"/>
          <w:bCs/>
          <w:i/>
          <w:iCs/>
          <w:sz w:val="20"/>
          <w:szCs w:val="20"/>
        </w:rPr>
        <w:t>Bonds</w:t>
      </w:r>
      <w:r w:rsidRPr="0096018B" w:rsidR="00770FA2">
        <w:rPr>
          <w:rFonts w:ascii="Verdana" w:hAnsi="Verdana" w:cs="Arial"/>
          <w:bCs/>
          <w:i/>
          <w:iCs/>
          <w:sz w:val="20"/>
          <w:szCs w:val="20"/>
        </w:rPr>
        <w:t xml:space="preserve"> </w:t>
      </w:r>
      <w:r w:rsidRPr="0096018B" w:rsidR="00770FA2">
        <w:rPr>
          <w:rFonts w:ascii="Verdana" w:hAnsi="Verdana" w:cs="Arial"/>
          <w:bCs/>
          <w:i/>
          <w:iCs/>
          <w:sz w:val="20"/>
          <w:szCs w:val="20"/>
        </w:rPr>
        <w:t>Initiative</w:t>
      </w:r>
      <w:r w:rsidR="00770FA2">
        <w:rPr>
          <w:rFonts w:ascii="Verdana" w:hAnsi="Verdana" w:cs="Arial"/>
          <w:bCs/>
          <w:sz w:val="20"/>
          <w:szCs w:val="20"/>
        </w:rPr>
        <w:t xml:space="preserve"> (“</w:t>
      </w:r>
      <w:r w:rsidRPr="0096018B" w:rsidR="00770FA2">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Pr="0096018B" w:rsidR="00EC01AE">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w:t>
      </w:r>
      <w:r w:rsidR="00A63B38">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Pr="00EC01AE" w:rsidR="00EC01AE">
        <w:rPr>
          <w:rFonts w:ascii="Verdana" w:hAnsi="Verdana" w:cs="Arial"/>
          <w:bCs/>
          <w:sz w:val="20"/>
          <w:szCs w:val="20"/>
        </w:rPr>
        <w:t xml:space="preserve">nos Critérios de Energia Eólica da </w:t>
      </w:r>
      <w:r w:rsidRPr="0096018B" w:rsidR="00EC01AE">
        <w:rPr>
          <w:rFonts w:ascii="Verdana" w:hAnsi="Verdana" w:cs="Arial"/>
          <w:bCs/>
          <w:i/>
          <w:iCs/>
          <w:sz w:val="20"/>
          <w:szCs w:val="20"/>
        </w:rPr>
        <w:t xml:space="preserve">Climate </w:t>
      </w:r>
      <w:r w:rsidRPr="0096018B" w:rsidR="00EC01AE">
        <w:rPr>
          <w:rFonts w:ascii="Verdana" w:hAnsi="Verdana" w:cs="Arial"/>
          <w:bCs/>
          <w:i/>
          <w:iCs/>
          <w:sz w:val="20"/>
          <w:szCs w:val="20"/>
        </w:rPr>
        <w:t>Bonds</w:t>
      </w:r>
      <w:r w:rsidRPr="0096018B" w:rsidR="00EC01AE">
        <w:rPr>
          <w:rFonts w:ascii="Verdana" w:hAnsi="Verdana" w:cs="Arial"/>
          <w:bCs/>
          <w:i/>
          <w:iCs/>
          <w:sz w:val="20"/>
          <w:szCs w:val="20"/>
        </w:rPr>
        <w:t xml:space="preserve"> Standards</w:t>
      </w:r>
      <w:r w:rsidRPr="00EC01AE" w:rsidR="00EC01AE">
        <w:rPr>
          <w:rFonts w:ascii="Verdana" w:hAnsi="Verdana" w:cs="Arial"/>
          <w:bCs/>
          <w:sz w:val="20"/>
          <w:szCs w:val="20"/>
        </w:rPr>
        <w:t xml:space="preserve"> e com o </w:t>
      </w:r>
      <w:r w:rsidRPr="0096018B" w:rsidR="00EC01AE">
        <w:rPr>
          <w:rFonts w:ascii="Verdana" w:hAnsi="Verdana" w:cs="Arial"/>
          <w:bCs/>
          <w:i/>
          <w:iCs/>
          <w:sz w:val="20"/>
          <w:szCs w:val="20"/>
        </w:rPr>
        <w:t xml:space="preserve">Climate </w:t>
      </w:r>
      <w:r w:rsidRPr="0096018B" w:rsidR="00EC01AE">
        <w:rPr>
          <w:rFonts w:ascii="Verdana" w:hAnsi="Verdana" w:cs="Arial"/>
          <w:bCs/>
          <w:i/>
          <w:iCs/>
          <w:sz w:val="20"/>
          <w:szCs w:val="20"/>
        </w:rPr>
        <w:t>Bonds</w:t>
      </w:r>
      <w:r w:rsidRPr="0096018B" w:rsidR="00EC01AE">
        <w:rPr>
          <w:rFonts w:ascii="Verdana" w:hAnsi="Verdana" w:cs="Arial"/>
          <w:bCs/>
          <w:i/>
          <w:iCs/>
          <w:sz w:val="20"/>
          <w:szCs w:val="20"/>
        </w:rPr>
        <w:t xml:space="preserve">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 xml:space="preserve">s benefícios ambientais auferidos pelo Projeto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Pr="00E52213" w:rsidR="00AB0CF2">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rsidR="000F06C4" w:rsidRPr="00E52213" w:rsidP="000F06C4">
      <w:pPr>
        <w:tabs>
          <w:tab w:val="left" w:pos="720"/>
        </w:tabs>
        <w:spacing w:line="320" w:lineRule="exact"/>
        <w:ind w:left="742" w:hanging="742"/>
        <w:contextualSpacing/>
        <w:jc w:val="both"/>
        <w:rPr>
          <w:rFonts w:ascii="Verdana" w:hAnsi="Verdana" w:cs="Arial"/>
          <w:bCs/>
          <w:sz w:val="20"/>
          <w:szCs w:val="20"/>
        </w:rPr>
      </w:pPr>
    </w:p>
    <w:p w:rsidR="000F06C4" w:rsidRPr="00E52213"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Pr="00E52213" w:rsidR="00285EF9">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no website da Emissora, bem como será encaminhada uma cópia eletrônica, pela Emissora,</w:t>
      </w:r>
      <w:r w:rsidRPr="00E52213">
        <w:rPr>
          <w:rFonts w:ascii="Verdana" w:hAnsi="Verdana" w:cs="Arial"/>
          <w:bCs/>
          <w:sz w:val="20"/>
          <w:szCs w:val="20"/>
        </w:rPr>
        <w:t xml:space="preserve"> para o Agente Fiduciário.</w:t>
      </w:r>
    </w:p>
    <w:p w:rsidR="000F06C4" w:rsidRPr="00E52213" w:rsidP="000F06C4">
      <w:pPr>
        <w:tabs>
          <w:tab w:val="left" w:pos="720"/>
        </w:tabs>
        <w:spacing w:line="320" w:lineRule="exact"/>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sidR="007C1523">
        <w:rPr>
          <w:rFonts w:ascii="Verdana" w:hAnsi="Verdana" w:cs="Arial"/>
          <w:bCs/>
          <w:sz w:val="20"/>
          <w:szCs w:val="20"/>
        </w:rPr>
        <w:t xml:space="preserve">por </w:t>
      </w:r>
      <w:r w:rsidR="00A63B38">
        <w:rPr>
          <w:rFonts w:ascii="Verdana" w:hAnsi="Verdana" w:cs="Arial"/>
          <w:bCs/>
          <w:sz w:val="20"/>
          <w:szCs w:val="20"/>
        </w:rPr>
        <w:t>empresa de consultoria especializada</w:t>
      </w:r>
      <w:r w:rsidR="007C1523">
        <w:rPr>
          <w:rFonts w:ascii="Verdana" w:hAnsi="Verdana" w:cs="Arial"/>
          <w:bCs/>
          <w:sz w:val="20"/>
          <w:szCs w:val="20"/>
        </w:rPr>
        <w:t xml:space="preserve"> acreditad</w:t>
      </w:r>
      <w:r w:rsidR="00A63B38">
        <w:rPr>
          <w:rFonts w:ascii="Verdana" w:hAnsi="Verdana" w:cs="Arial"/>
          <w:bCs/>
          <w:sz w:val="20"/>
          <w:szCs w:val="20"/>
        </w:rPr>
        <w:t>a</w:t>
      </w:r>
      <w:r w:rsidR="007C1523">
        <w:rPr>
          <w:rFonts w:ascii="Verdana" w:hAnsi="Verdana" w:cs="Arial"/>
          <w:bCs/>
          <w:sz w:val="20"/>
          <w:szCs w:val="20"/>
        </w:rPr>
        <w:t xml:space="preserve"> pela CBI</w:t>
      </w:r>
      <w:r w:rsidRPr="00E52213">
        <w:rPr>
          <w:rFonts w:ascii="Verdana" w:hAnsi="Verdana" w:cs="Arial"/>
          <w:bCs/>
          <w:sz w:val="20"/>
          <w:szCs w:val="20"/>
        </w:rPr>
        <w:t xml:space="preserve"> dentro de um período de </w:t>
      </w:r>
      <w:r w:rsidR="00280C6D">
        <w:rPr>
          <w:rFonts w:ascii="Verdana" w:hAnsi="Verdana" w:cs="Arial"/>
          <w:bCs/>
          <w:sz w:val="20"/>
          <w:szCs w:val="20"/>
        </w:rPr>
        <w:t>até 24</w:t>
      </w:r>
      <w:r w:rsidRPr="00E52213" w:rsidR="00280C6D">
        <w:rPr>
          <w:rFonts w:ascii="Verdana" w:hAnsi="Verdana" w:cs="Arial"/>
          <w:bCs/>
          <w:sz w:val="20"/>
          <w:szCs w:val="20"/>
        </w:rPr>
        <w:t xml:space="preserve"> (</w:t>
      </w:r>
      <w:r w:rsidR="00280C6D">
        <w:rPr>
          <w:rFonts w:ascii="Verdana" w:hAnsi="Verdana" w:cs="Arial"/>
          <w:bCs/>
          <w:sz w:val="20"/>
          <w:szCs w:val="20"/>
        </w:rPr>
        <w:t>vinte e quatro</w:t>
      </w:r>
      <w:r w:rsidRPr="00E52213" w:rsidR="00280C6D">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r w:rsidRPr="0096018B" w:rsidR="00280C6D">
        <w:rPr>
          <w:rFonts w:ascii="Verdana" w:hAnsi="Verdana" w:cs="Arial"/>
          <w:bCs/>
          <w:i/>
          <w:iCs/>
          <w:sz w:val="20"/>
          <w:szCs w:val="20"/>
        </w:rPr>
        <w:t xml:space="preserve">Climate </w:t>
      </w:r>
      <w:r w:rsidRPr="0096018B" w:rsidR="00280C6D">
        <w:rPr>
          <w:rFonts w:ascii="Verdana" w:hAnsi="Verdana" w:cs="Arial"/>
          <w:bCs/>
          <w:i/>
          <w:iCs/>
          <w:sz w:val="20"/>
          <w:szCs w:val="20"/>
        </w:rPr>
        <w:t>Bonds</w:t>
      </w:r>
      <w:r w:rsidRPr="0096018B" w:rsidR="00280C6D">
        <w:rPr>
          <w:rFonts w:ascii="Verdana" w:hAnsi="Verdana" w:cs="Arial"/>
          <w:bCs/>
          <w:i/>
          <w:iCs/>
          <w:sz w:val="20"/>
          <w:szCs w:val="20"/>
        </w:rPr>
        <w:t xml:space="preserve">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w:t>
      </w:r>
      <w:r w:rsidR="007C1523">
        <w:rPr>
          <w:rFonts w:ascii="Verdana" w:hAnsi="Verdana" w:cs="Arial"/>
          <w:bCs/>
          <w:sz w:val="20"/>
          <w:szCs w:val="20"/>
        </w:rPr>
        <w:t xml:space="preserve">O resultado da reavaliação será enviado pela Emissora </w:t>
      </w:r>
      <w:r w:rsidRPr="00280C6D" w:rsidR="00280C6D">
        <w:rPr>
          <w:rFonts w:ascii="Verdana" w:hAnsi="Verdana" w:cs="Arial"/>
          <w:bCs/>
          <w:sz w:val="20"/>
          <w:szCs w:val="20"/>
        </w:rPr>
        <w:t xml:space="preserve">à CBI, o qual também será disponibilizado na íntegra </w:t>
      </w:r>
      <w:r w:rsidR="00280C6D">
        <w:rPr>
          <w:rFonts w:ascii="Verdana" w:hAnsi="Verdana" w:cs="Arial"/>
          <w:bCs/>
          <w:sz w:val="20"/>
          <w:szCs w:val="20"/>
        </w:rPr>
        <w:t>no website</w:t>
      </w:r>
      <w:r w:rsidRPr="00280C6D" w:rsidR="00280C6D">
        <w:rPr>
          <w:rFonts w:ascii="Verdana" w:hAnsi="Verdana" w:cs="Arial"/>
          <w:bCs/>
          <w:sz w:val="20"/>
          <w:szCs w:val="20"/>
        </w:rPr>
        <w:t xml:space="preserve"> da Emissora, </w:t>
      </w:r>
      <w:r w:rsidR="00280C6D">
        <w:rPr>
          <w:rFonts w:ascii="Verdana" w:hAnsi="Verdana" w:cs="Arial"/>
          <w:bCs/>
          <w:sz w:val="20"/>
          <w:szCs w:val="20"/>
        </w:rPr>
        <w:t xml:space="preserve">no website </w:t>
      </w:r>
      <w:r w:rsidRPr="00280C6D" w:rsid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Pr="00280C6D" w:rsidR="00280C6D">
        <w:rPr>
          <w:rFonts w:ascii="Verdana" w:hAnsi="Verdana" w:cs="Arial"/>
          <w:bCs/>
          <w:sz w:val="20"/>
          <w:szCs w:val="20"/>
        </w:rPr>
        <w:t>ao Agente Fiduciário</w:t>
      </w:r>
      <w:r w:rsidR="00280C6D">
        <w:rPr>
          <w:rFonts w:ascii="Verdana" w:hAnsi="Verdana" w:cs="Arial"/>
          <w:bCs/>
          <w:sz w:val="20"/>
          <w:szCs w:val="20"/>
        </w:rPr>
        <w:t xml:space="preserve"> pela Emissora.</w:t>
      </w:r>
    </w:p>
    <w:p w:rsidR="00285EF9" w:rsidP="000F06C4">
      <w:pPr>
        <w:tabs>
          <w:tab w:val="left" w:pos="720"/>
        </w:tabs>
        <w:spacing w:line="320" w:lineRule="exact"/>
        <w:ind w:left="709" w:hanging="709"/>
        <w:contextualSpacing/>
        <w:jc w:val="both"/>
        <w:rPr>
          <w:rFonts w:ascii="Verdana" w:hAnsi="Verdana" w:cs="Arial"/>
          <w:bCs/>
          <w:sz w:val="20"/>
          <w:szCs w:val="20"/>
        </w:rPr>
      </w:pPr>
    </w:p>
    <w:p w:rsidR="000F06C4"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t>A Emissora, neste ato, declara que o Projeto a ser desenvolvido com os recursos captados por meio das Debêntures, nunca foi nomeado para os fins de obtenção de outra certificação como título verde, sustentável, climático ou análogo.</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 Projeto</w:t>
      </w:r>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Pr="00285EF9" w:rsidR="00DD27C3">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 xml:space="preserve">do </w:t>
      </w:r>
      <w:r w:rsidRPr="00285EF9">
        <w:rPr>
          <w:rFonts w:ascii="Verdana" w:hAnsi="Verdana" w:cs="Arial"/>
          <w:bCs/>
          <w:sz w:val="20"/>
          <w:szCs w:val="20"/>
        </w:rPr>
        <w:t xml:space="preserve">Projeto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r w:rsidRPr="00285EF9">
        <w:rPr>
          <w:rFonts w:ascii="Verdana" w:hAnsi="Verdana" w:cs="Arial"/>
          <w:bCs/>
          <w:sz w:val="20"/>
          <w:szCs w:val="20"/>
        </w:rPr>
        <w:t xml:space="preserve"> Projeto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sidR="00DD27C3">
        <w:rPr>
          <w:rFonts w:ascii="Verdana" w:hAnsi="Verdana" w:cs="Arial"/>
          <w:bCs/>
          <w:sz w:val="20"/>
          <w:szCs w:val="20"/>
        </w:rPr>
        <w:t>do Projeto ou da Emissora</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 Projeto</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RPr="00E52213"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rsidR="000F06C4" w:rsidRPr="00E52213" w:rsidP="000F06C4">
      <w:pPr>
        <w:tabs>
          <w:tab w:val="left" w:pos="720"/>
        </w:tabs>
        <w:spacing w:line="320" w:lineRule="exact"/>
        <w:contextualSpacing/>
        <w:jc w:val="both"/>
        <w:rPr>
          <w:rFonts w:ascii="Verdana" w:hAnsi="Verdana" w:cs="Arial"/>
          <w:b/>
          <w:i/>
          <w:iCs/>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52"/>
      <w:bookmarkEnd w:id="253"/>
      <w:bookmarkEnd w:id="254"/>
      <w:bookmarkEnd w:id="255"/>
      <w:bookmarkEnd w:id="256"/>
      <w:bookmarkEnd w:id="257"/>
      <w:r w:rsidRPr="00E52213">
        <w:rPr>
          <w:rFonts w:ascii="Verdana" w:eastAsia="Arial Unicode MS" w:hAnsi="Verdana"/>
          <w:b/>
          <w:bCs/>
          <w:kern w:val="32"/>
          <w:sz w:val="20"/>
          <w:szCs w:val="20"/>
        </w:rPr>
        <w:t xml:space="preserve"> </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56"/>
        </w:numPr>
        <w:spacing w:line="320" w:lineRule="exact"/>
        <w:ind w:hanging="720"/>
        <w:contextualSpacing/>
        <w:jc w:val="both"/>
        <w:rPr>
          <w:rFonts w:ascii="Verdana" w:hAnsi="Verdana" w:cs="Arial"/>
          <w:sz w:val="20"/>
          <w:szCs w:val="20"/>
        </w:rPr>
      </w:pPr>
      <w:bookmarkStart w:id="258" w:name="_DV_M245"/>
      <w:bookmarkStart w:id="259" w:name="_Ref75441357"/>
      <w:bookmarkEnd w:id="258"/>
      <w:r w:rsidRPr="00E52213">
        <w:rPr>
          <w:rFonts w:ascii="Verdana" w:eastAsia="Arial Unicode MS" w:hAnsi="Verdana" w:cs="Arial"/>
          <w:sz w:val="20"/>
          <w:szCs w:val="20"/>
        </w:rPr>
        <w:tab/>
      </w:r>
      <w:bookmarkStart w:id="260"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61" w:name="_DV_C169"/>
      <w:r w:rsidRPr="00E52213">
        <w:rPr>
          <w:rFonts w:ascii="Verdana" w:eastAsia="Arial Unicode MS" w:hAnsi="Verdana" w:cs="Arial"/>
          <w:sz w:val="20"/>
          <w:szCs w:val="20"/>
        </w:rPr>
        <w:t>,</w:t>
      </w:r>
      <w:bookmarkStart w:id="262" w:name="_DV_M246"/>
      <w:bookmarkEnd w:id="261"/>
      <w:bookmarkEnd w:id="262"/>
      <w:r w:rsidRPr="00E52213">
        <w:rPr>
          <w:rFonts w:ascii="Verdana" w:eastAsia="Arial Unicode MS" w:hAnsi="Verdana" w:cs="Arial"/>
          <w:sz w:val="20"/>
          <w:szCs w:val="20"/>
        </w:rPr>
        <w:t xml:space="preserve"> </w:t>
      </w:r>
      <w:bookmarkStart w:id="263" w:name="_DV_M247"/>
      <w:bookmarkEnd w:id="263"/>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64" w:name="_DV_C170"/>
      <w:r w:rsidRPr="00E52213">
        <w:rPr>
          <w:rFonts w:ascii="Verdana" w:eastAsia="Arial Unicode MS" w:hAnsi="Verdana" w:cs="Arial"/>
          <w:sz w:val="20"/>
          <w:szCs w:val="20"/>
        </w:rPr>
        <w:t>e dos Encargos Moratórios e multas, se houver,</w:t>
      </w:r>
      <w:bookmarkStart w:id="265" w:name="_DV_M248"/>
      <w:bookmarkEnd w:id="264"/>
      <w:bookmarkEnd w:id="265"/>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59"/>
    </w:p>
    <w:p w:rsidR="000F06C4" w:rsidRPr="00E52213" w:rsidP="000F06C4">
      <w:pPr>
        <w:tabs>
          <w:tab w:val="left" w:pos="4962"/>
        </w:tabs>
        <w:spacing w:line="320" w:lineRule="exact"/>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66" w:name="_Ref374561026"/>
      <w:bookmarkStart w:id="267" w:name="_Hlk7366864"/>
      <w:bookmarkStart w:id="268"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w:t>
      </w:r>
      <w:r w:rsidRPr="00E52213">
        <w:rPr>
          <w:rFonts w:ascii="Verdana" w:eastAsia="Arial Unicode MS" w:hAnsi="Verdana" w:cs="Arial"/>
          <w:sz w:val="20"/>
          <w:szCs w:val="20"/>
        </w:rPr>
        <w:t>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Pr="005662C0" w:rsidR="004814D5">
        <w:rPr>
          <w:rFonts w:ascii="Verdana" w:eastAsia="Arial Unicode MS" w:hAnsi="Verdana" w:cs="Arial"/>
          <w:sz w:val="20"/>
          <w:szCs w:val="20"/>
        </w:rPr>
        <w:t>,</w:t>
      </w:r>
      <w:r w:rsidR="00E609C1">
        <w:rPr>
          <w:rFonts w:ascii="Verdana" w:eastAsia="Arial Unicode MS" w:hAnsi="Verdana" w:cs="Arial"/>
          <w:sz w:val="20"/>
          <w:szCs w:val="20"/>
        </w:rPr>
        <w:t xml:space="preserve"> suas controladas</w:t>
      </w:r>
      <w:r w:rsidRPr="005662C0" w:rsidR="004814D5">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w:t>
      </w:r>
      <w:r w:rsidR="00E609C1">
        <w:rPr>
          <w:rFonts w:ascii="Verdana" w:eastAsia="Arial Unicode MS" w:hAnsi="Verdana" w:cs="Arial"/>
          <w:sz w:val="20"/>
          <w:szCs w:val="20"/>
        </w:rPr>
        <w:t xml:space="preserve">respectivos </w:t>
      </w:r>
      <w:r w:rsidRPr="005662C0">
        <w:rPr>
          <w:rFonts w:ascii="Verdana" w:eastAsia="Arial Unicode MS" w:hAnsi="Verdana" w:cs="Arial"/>
          <w:sz w:val="20"/>
          <w:szCs w:val="20"/>
        </w:rPr>
        <w:t>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e Lei nº. 12.529/2011(“</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descumprimento material, pela Emissora, da Legislação Socioambiental,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Pr>
          <w:rFonts w:ascii="Verdana" w:eastAsia="Arial Unicode MS" w:hAnsi="Verdana" w:cs="Arial"/>
          <w:sz w:val="20"/>
          <w:szCs w:val="20"/>
        </w:rPr>
        <w:t>2021</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rsidR="000F06C4" w:rsidRPr="004814D5"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269" w:name="_Hlk59537691"/>
      <w:r w:rsidRPr="00E52213">
        <w:rPr>
          <w:rFonts w:ascii="Verdana" w:eastAsia="Arial Unicode MS" w:hAnsi="Verdana" w:cs="Arial"/>
          <w:sz w:val="20"/>
          <w:szCs w:val="20"/>
        </w:rPr>
        <w:t>., inscrita no CNPJ/ME sob o nº 33.592.510/0001-54</w:t>
      </w:r>
      <w:bookmarkEnd w:id="269"/>
      <w:r w:rsidRPr="00E52213">
        <w:rPr>
          <w:rFonts w:ascii="Verdana" w:eastAsia="Arial Unicode MS" w:hAnsi="Verdana" w:cs="Arial"/>
          <w:sz w:val="20"/>
          <w:szCs w:val="20"/>
        </w:rPr>
        <w:t xml:space="preserve"> e/ou a Cemig Geração e Transmissão S.A.</w:t>
      </w:r>
      <w:bookmarkStart w:id="270" w:name="_Hlk59537700"/>
      <w:r w:rsidRPr="00E52213">
        <w:rPr>
          <w:rFonts w:ascii="Verdana" w:eastAsia="Arial Unicode MS" w:hAnsi="Verdana" w:cs="Arial"/>
          <w:sz w:val="20"/>
          <w:szCs w:val="20"/>
        </w:rPr>
        <w:t xml:space="preserve">, </w:t>
      </w:r>
      <w:bookmarkEnd w:id="270"/>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obtenção ou renovação, cancelamento, revogação, intervenção, suspensão ou extinção das autorizações, subvenções, dispensas e/ou protocolos de requerimento </w:t>
      </w:r>
      <w:r w:rsidRPr="00E52213">
        <w:rPr>
          <w:rFonts w:ascii="Verdana" w:eastAsia="Arial Unicode MS" w:hAnsi="Verdana" w:cs="Arial"/>
          <w:sz w:val="20"/>
          <w:szCs w:val="20"/>
        </w:rPr>
        <w:t>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271" w:name="_Ref367360072"/>
      <w:bookmarkStart w:id="272" w:name="_Toc367387635"/>
      <w:bookmarkEnd w:id="266"/>
    </w:p>
    <w:p w:rsidR="000F06C4" w:rsidRPr="00E52213" w:rsidP="000F06C4">
      <w:pPr>
        <w:spacing w:line="320" w:lineRule="exact"/>
        <w:ind w:left="705" w:hanging="705"/>
        <w:contextualSpacing/>
        <w:jc w:val="both"/>
        <w:rPr>
          <w:rFonts w:ascii="Verdana" w:eastAsia="Arial Unicode MS" w:hAnsi="Verdana" w:cs="Arial"/>
          <w:szCs w:val="20"/>
        </w:rPr>
      </w:pPr>
    </w:p>
    <w:p w:rsidR="000F06C4" w:rsidRPr="00E52213" w:rsidP="00867416">
      <w:pPr>
        <w:pStyle w:val="ListParagraph"/>
        <w:numPr>
          <w:ilvl w:val="0"/>
          <w:numId w:val="56"/>
        </w:numPr>
        <w:spacing w:line="320" w:lineRule="exact"/>
        <w:ind w:left="705" w:hanging="705"/>
        <w:contextualSpacing/>
        <w:jc w:val="both"/>
        <w:rPr>
          <w:rFonts w:ascii="Verdana" w:eastAsia="Arial Unicode MS" w:hAnsi="Verdana" w:cs="Arial"/>
          <w:sz w:val="20"/>
          <w:szCs w:val="20"/>
        </w:rPr>
      </w:pPr>
      <w:bookmarkStart w:id="273"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71"/>
      <w:bookmarkEnd w:id="272"/>
      <w:bookmarkEnd w:id="273"/>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bookmarkEnd w:id="267"/>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sz w:val="20"/>
          <w:szCs w:val="20"/>
        </w:rPr>
      </w:pPr>
      <w:bookmarkStart w:id="274"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274"/>
      <w:r w:rsidRPr="00E52213">
        <w:rPr>
          <w:rFonts w:ascii="Verdana" w:eastAsia="Arial Unicode MS" w:hAnsi="Verdana"/>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5" w:name="_Ref367286552"/>
      <w:bookmarkStart w:id="276" w:name="_Toc367387639"/>
      <w:bookmarkStart w:id="277"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275"/>
      <w:bookmarkEnd w:id="276"/>
      <w:r w:rsidRPr="00E52213">
        <w:rPr>
          <w:rFonts w:ascii="Verdana" w:eastAsia="Arial Unicode MS" w:hAnsi="Verdana" w:cs="Arial"/>
          <w:sz w:val="20"/>
          <w:szCs w:val="20"/>
        </w:rPr>
        <w:t>.</w:t>
      </w:r>
      <w:bookmarkEnd w:id="277"/>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8" w:name="_Ref367360082"/>
      <w:bookmarkStart w:id="279"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w:t>
      </w:r>
      <w:r w:rsidRPr="00E52213">
        <w:rPr>
          <w:rFonts w:ascii="Verdana" w:eastAsia="Arial Unicode MS" w:hAnsi="Verdana" w:cs="Arial"/>
          <w:sz w:val="20"/>
          <w:szCs w:val="20"/>
        </w:rPr>
        <w:t>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fldChar w:fldCharType="separate"/>
      </w:r>
      <w:r w:rsidR="003B6622">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278"/>
      <w:bookmarkEnd w:id="279"/>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80" w:name="_Ref367386615"/>
      <w:bookmarkStart w:id="281"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280"/>
      <w:bookmarkEnd w:id="281"/>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Pr="00E52213" w:rsidR="00B64F95">
        <w:rPr>
          <w:rFonts w:ascii="Verdana" w:eastAsia="Arial Unicode MS" w:hAnsi="Verdana" w:cs="Arial"/>
          <w:sz w:val="20"/>
        </w:rPr>
        <w:t xml:space="preserve">o pagamento da totalidade das Debêntures previsto na Cláusula </w:t>
      </w:r>
      <w:r w:rsidRPr="00E52213" w:rsidR="00B64F95">
        <w:rPr>
          <w:rFonts w:ascii="Verdana" w:eastAsia="Arial Unicode MS" w:hAnsi="Verdana" w:cs="Arial"/>
          <w:sz w:val="20"/>
        </w:rPr>
        <w:fldChar w:fldCharType="begin"/>
      </w:r>
      <w:r w:rsidRPr="00E52213" w:rsidR="00B64F95">
        <w:rPr>
          <w:rFonts w:ascii="Verdana" w:eastAsia="Arial Unicode MS" w:hAnsi="Verdana" w:cs="Arial"/>
          <w:sz w:val="20"/>
        </w:rPr>
        <w:instrText xml:space="preserve"> REF _Ref367386615 \n \h </w:instrText>
      </w:r>
      <w:r w:rsidRPr="00E52213" w:rsidR="00B64F95">
        <w:rPr>
          <w:rFonts w:ascii="Verdana" w:eastAsia="Arial Unicode MS" w:hAnsi="Verdana" w:cs="Arial"/>
          <w:sz w:val="20"/>
        </w:rPr>
        <w:fldChar w:fldCharType="separate"/>
      </w:r>
      <w:r w:rsidR="003B6622">
        <w:rPr>
          <w:rFonts w:ascii="Verdana" w:eastAsia="Arial Unicode MS" w:hAnsi="Verdana" w:cs="Arial"/>
          <w:sz w:val="20"/>
        </w:rPr>
        <w:t>5.6</w:t>
      </w:r>
      <w:r w:rsidRPr="00E52213" w:rsidR="00B64F95">
        <w:rPr>
          <w:rFonts w:ascii="Verdana" w:eastAsia="Arial Unicode MS" w:hAnsi="Verdana" w:cs="Arial"/>
          <w:sz w:val="20"/>
        </w:rPr>
        <w:fldChar w:fldCharType="end"/>
      </w:r>
      <w:r w:rsidRPr="00E52213" w:rsidR="00B64F95">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82"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283" w:name="_DV_C292"/>
      <w:r w:rsidRPr="00E52213">
        <w:rPr>
          <w:rFonts w:ascii="Verdana" w:eastAsia="Arial Unicode MS" w:hAnsi="Verdana" w:cs="Arial"/>
          <w:sz w:val="20"/>
          <w:szCs w:val="20"/>
        </w:rPr>
        <w:t>comunicar imediatamente à</w:t>
      </w:r>
      <w:bookmarkStart w:id="284" w:name="_DV_M389"/>
      <w:bookmarkEnd w:id="283"/>
      <w:bookmarkEnd w:id="284"/>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285" w:name="_DV_M390"/>
      <w:bookmarkEnd w:id="285"/>
      <w:r w:rsidRPr="00E52213">
        <w:rPr>
          <w:rFonts w:ascii="Verdana" w:eastAsia="Arial Unicode MS" w:hAnsi="Verdana" w:cs="Arial"/>
          <w:sz w:val="20"/>
          <w:szCs w:val="20"/>
        </w:rPr>
        <w:t>.</w:t>
      </w:r>
      <w:bookmarkEnd w:id="282"/>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bookmarkStart w:id="286" w:name="_DV_M249"/>
      <w:bookmarkStart w:id="287" w:name="_DV_M255"/>
      <w:bookmarkStart w:id="288" w:name="_DV_M256"/>
      <w:bookmarkStart w:id="289" w:name="_DV_M257"/>
      <w:bookmarkStart w:id="290" w:name="_DV_M258"/>
      <w:bookmarkStart w:id="291" w:name="_DV_M259"/>
      <w:bookmarkStart w:id="292" w:name="_DV_M260"/>
      <w:bookmarkStart w:id="293" w:name="_DV_M261"/>
      <w:bookmarkStart w:id="294" w:name="_DV_M272"/>
      <w:bookmarkStart w:id="295" w:name="_DV_M354"/>
      <w:bookmarkEnd w:id="260"/>
      <w:bookmarkEnd w:id="268"/>
      <w:bookmarkEnd w:id="286"/>
      <w:bookmarkEnd w:id="287"/>
      <w:bookmarkEnd w:id="288"/>
      <w:bookmarkEnd w:id="289"/>
      <w:bookmarkEnd w:id="290"/>
      <w:bookmarkEnd w:id="291"/>
      <w:bookmarkEnd w:id="292"/>
      <w:bookmarkEnd w:id="293"/>
      <w:bookmarkEnd w:id="294"/>
      <w:bookmarkEnd w:id="295"/>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96" w:name="_DV_M388"/>
      <w:bookmarkStart w:id="297" w:name="_DV_M391"/>
      <w:bookmarkStart w:id="298" w:name="_DV_M394"/>
      <w:bookmarkStart w:id="299" w:name="_DV_M396"/>
      <w:bookmarkStart w:id="300" w:name="_Toc499990368"/>
      <w:bookmarkStart w:id="301" w:name="_Toc280370541"/>
      <w:bookmarkStart w:id="302" w:name="_Toc349040597"/>
      <w:bookmarkStart w:id="303" w:name="_Toc355626571"/>
      <w:bookmarkStart w:id="304" w:name="_Toc351469182"/>
      <w:bookmarkStart w:id="305" w:name="_Toc352767484"/>
      <w:bookmarkEnd w:id="296"/>
      <w:bookmarkEnd w:id="297"/>
      <w:bookmarkEnd w:id="298"/>
      <w:bookmarkEnd w:id="299"/>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06" w:name="_DV_M397"/>
      <w:bookmarkEnd w:id="300"/>
      <w:bookmarkEnd w:id="306"/>
      <w:r w:rsidRPr="00E52213">
        <w:rPr>
          <w:rFonts w:ascii="Verdana" w:eastAsia="Arial Unicode MS" w:hAnsi="Verdana"/>
          <w:b/>
          <w:bCs/>
          <w:kern w:val="32"/>
          <w:sz w:val="20"/>
          <w:szCs w:val="20"/>
        </w:rPr>
        <w:t>EMISSORA</w:t>
      </w:r>
      <w:bookmarkStart w:id="307" w:name="_DV_M398"/>
      <w:bookmarkEnd w:id="301"/>
      <w:bookmarkEnd w:id="302"/>
      <w:bookmarkEnd w:id="303"/>
      <w:bookmarkEnd w:id="304"/>
      <w:bookmarkEnd w:id="305"/>
      <w:bookmarkEnd w:id="307"/>
    </w:p>
    <w:p w:rsidR="000F06C4" w:rsidRPr="00E52213" w:rsidP="000F06C4">
      <w:pPr>
        <w:rPr>
          <w:rFonts w:ascii="Verdana" w:eastAsia="Arial Unicode MS" w:hAnsi="Verdana"/>
          <w:sz w:val="20"/>
          <w:szCs w:val="20"/>
        </w:rPr>
      </w:pPr>
    </w:p>
    <w:p w:rsidR="000F06C4" w:rsidRPr="00E52213" w:rsidP="00867416">
      <w:pPr>
        <w:pStyle w:val="ListParagraph"/>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08" w:name="_DV_M399"/>
      <w:bookmarkEnd w:id="308"/>
      <w:r w:rsidRPr="00E52213">
        <w:rPr>
          <w:rFonts w:ascii="Verdana" w:eastAsia="Arial Unicode MS" w:hAnsi="Verdana" w:cs="Arial"/>
          <w:b/>
          <w:sz w:val="20"/>
          <w:szCs w:val="20"/>
        </w:rPr>
        <w:t xml:space="preserve">Obrigações da Emissora </w:t>
      </w:r>
    </w:p>
    <w:p w:rsidR="000F06C4" w:rsidRPr="00E52213"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rsidR="000F06C4" w:rsidRPr="00E52213" w:rsidP="00867416">
      <w:pPr>
        <w:pStyle w:val="ListParagraph"/>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09"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10" w:name="_DV_M400"/>
      <w:bookmarkEnd w:id="310"/>
      <w:r w:rsidRPr="00E52213">
        <w:rPr>
          <w:rFonts w:ascii="Verdana" w:eastAsia="Arial Unicode MS" w:hAnsi="Verdana" w:cs="Arial"/>
          <w:sz w:val="20"/>
          <w:szCs w:val="20"/>
        </w:rPr>
        <w:t xml:space="preserve">fornecer ao Agente Fiduciário </w:t>
      </w:r>
      <w:bookmarkStart w:id="311" w:name="_DV_M404"/>
      <w:bookmarkStart w:id="312" w:name="_Hlk6809645"/>
      <w:bookmarkEnd w:id="311"/>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rsidR="000F06C4" w:rsidRPr="00E52213"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 xml:space="preserve">(i) cópia das demonstrações financeiras completas e auditadas da Emissora relativas ao respectivo exercício social, preparadas de acordo com os princípios contábeis geralmente aceitos no Brasil, acompanhadas do </w:t>
      </w:r>
      <w:r w:rsidRPr="00E52213">
        <w:rPr>
          <w:rFonts w:ascii="Verdana" w:eastAsia="Arial Unicode MS" w:hAnsi="Verdana" w:cs="Tahoma"/>
          <w:sz w:val="20"/>
          <w:szCs w:val="20"/>
        </w:rPr>
        <w:t>relatório da administração e do parecer dos auditores independentes com registro válido na CVM;</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rsidR="000F06C4" w:rsidRPr="00E52213"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fldChar w:fldCharType="separate"/>
      </w:r>
      <w:r w:rsidR="003B6622">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r w:rsidRPr="00E52213">
        <w:rPr>
          <w:rFonts w:ascii="Verdana" w:eastAsia="Arial Unicode MS" w:hAnsi="Verdana"/>
          <w:sz w:val="20"/>
          <w:szCs w:val="20"/>
        </w:rPr>
        <w:t>ix</w:t>
      </w:r>
      <w:r w:rsidRPr="00E52213">
        <w:rPr>
          <w:rFonts w:ascii="Verdana" w:eastAsia="Arial Unicode MS" w:hAnsi="Verdana"/>
          <w:sz w:val="20"/>
          <w:szCs w:val="20"/>
        </w:rPr>
        <w:t>) em até 3 (três) Dias Úteis após o registro na JUCEMG, uma via eletrônica contendo a chancela digital das atas das Assembleias Gerais de Debenturistas relativas a esta Emissão arquivada na JUCEMG, bem como sua referida lista de presença, se for o caso.</w:t>
      </w:r>
    </w:p>
    <w:p w:rsidR="000F06C4" w:rsidRPr="00E52213" w:rsidP="000F06C4">
      <w:pPr>
        <w:spacing w:line="320" w:lineRule="exact"/>
        <w:ind w:left="3544"/>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 xml:space="preserve"> recebidas por si mesma ou por suas controladas;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rsidR="000F06C4" w:rsidRPr="00E52213" w:rsidP="000F06C4">
      <w:pPr>
        <w:spacing w:line="320" w:lineRule="exact"/>
        <w:ind w:left="720"/>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rsidR="000F06C4" w:rsidRPr="00E52213" w:rsidP="000F06C4">
      <w:pPr>
        <w:ind w:left="720"/>
        <w:rPr>
          <w:rFonts w:ascii="Verdana" w:eastAsia="Arial Unicode MS" w:hAnsi="Verdana"/>
          <w:sz w:val="22"/>
          <w:szCs w:val="22"/>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w:t>
      </w:r>
      <w:r w:rsidRPr="00E52213">
        <w:rPr>
          <w:rFonts w:ascii="Verdana" w:hAnsi="Verdana"/>
          <w:sz w:val="20"/>
          <w:szCs w:val="20"/>
        </w:rPr>
        <w:t xml:space="preserve">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(iv) o ambiente de negociação das Debêntures no mercado secundário CETIP21;</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rsidR="000F06C4" w:rsidRPr="00E52213" w:rsidP="000F06C4">
      <w:pPr>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societários necessários à realização da Emissão e da Oferta Restrita; e (iii) de registro desta Escritura e seus eventuais aditamentos, nos termos desta Escritura;</w:t>
      </w:r>
    </w:p>
    <w:p w:rsidR="000F06C4" w:rsidRPr="00E52213" w:rsidP="000F06C4">
      <w:pPr>
        <w:spacing w:line="320" w:lineRule="exact"/>
        <w:ind w:left="709"/>
        <w:contextualSpacing/>
        <w:jc w:val="both"/>
        <w:rPr>
          <w:rFonts w:ascii="Verdana" w:eastAsia="MS Mincho" w:hAnsi="Verdana" w:cs="Arial"/>
          <w:sz w:val="20"/>
          <w:szCs w:val="20"/>
        </w:rPr>
      </w:pPr>
      <w:r w:rsidRPr="00E52213">
        <w:rPr>
          <w:rFonts w:ascii="Verdana" w:eastAsia="Arial Unicode MS" w:hAnsi="Verdana" w:cs="Arial"/>
          <w:sz w:val="20"/>
          <w:szCs w:val="20"/>
        </w:rPr>
        <w:t xml:space="preserve"> </w:t>
      </w:r>
    </w:p>
    <w:p w:rsidR="000F06C4" w:rsidRPr="00E52213"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rsidR="000F06C4" w:rsidRPr="00E52213" w:rsidP="000F06C4">
      <w:pPr>
        <w:ind w:left="720"/>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 ou àqueles que não resultem em um Efeito Material Adverso (conforme abaixo definido) para a Emissora;</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r w:rsidR="0049226D">
        <w:rPr>
          <w:rFonts w:ascii="Verdana" w:eastAsia="Arial Unicode MS" w:hAnsi="Verdana" w:cs="Arial"/>
          <w:iCs/>
          <w:sz w:val="20"/>
          <w:szCs w:val="20"/>
        </w:rPr>
        <w:t>, suas controladas</w:t>
      </w:r>
      <w:r w:rsidRPr="00E52213">
        <w:rPr>
          <w:rFonts w:ascii="Verdana" w:eastAsia="Arial Unicode MS" w:hAnsi="Verdana" w:cs="Arial"/>
          <w:iCs/>
          <w:sz w:val="20"/>
          <w:szCs w:val="20"/>
        </w:rPr>
        <w:t xml:space="preserve">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Pr="00E52213" w:rsidR="005662C0">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rsidR="000F06C4" w:rsidRPr="00E52213" w:rsidP="000F06C4">
      <w:pPr>
        <w:spacing w:line="320" w:lineRule="exact"/>
        <w:ind w:left="720"/>
        <w:rPr>
          <w:rFonts w:ascii="Verdana" w:eastAsia="Arial Unicode MS" w:hAnsi="Verdana" w:cs="Arial"/>
          <w:iCs/>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rsidR="000F06C4" w:rsidRPr="00E52213" w:rsidP="000F06C4">
      <w:pPr>
        <w:spacing w:line="320" w:lineRule="exact"/>
        <w:jc w:val="both"/>
        <w:rPr>
          <w:rFonts w:ascii="Verdana" w:hAnsi="Verdana"/>
          <w:sz w:val="20"/>
          <w:szCs w:val="20"/>
          <w:highlight w:val="yellow"/>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w:t>
      </w:r>
      <w:r w:rsidRPr="00E52213">
        <w:rPr>
          <w:rFonts w:ascii="Verdana" w:eastAsia="Arial Unicode MS" w:hAnsi="Verdana" w:cs="Arial"/>
          <w:sz w:val="20"/>
          <w:szCs w:val="20"/>
        </w:rPr>
        <w:t xml:space="preserve">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w:t>
      </w:r>
      <w:r w:rsidR="00E609C1">
        <w:rPr>
          <w:rFonts w:ascii="Verdana" w:hAnsi="Verdana"/>
          <w:sz w:val="20"/>
          <w:szCs w:val="20"/>
        </w:rPr>
        <w:t xml:space="preserve">por si e suas controladas, </w:t>
      </w:r>
      <w:r w:rsidRPr="00E52213">
        <w:rPr>
          <w:rFonts w:ascii="Verdana" w:hAnsi="Verdana"/>
          <w:sz w:val="20"/>
          <w:szCs w:val="20"/>
        </w:rPr>
        <w:t xml:space="preserve">a todas as diligências exigidas para suas atividades econômicas, preservando o meio ambiente e atendendo às determinações dos órgãos municipais, estaduais e federais que, subsidiariamente, venham a legislar ou regulamentar as normas ambientais em vigor;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 xml:space="preserve">decorrente de dano ambiental e/ou dano social ocasionado no âmbito Projeto; </w:t>
      </w:r>
    </w:p>
    <w:p w:rsidR="000F06C4" w:rsidRPr="00E52213" w:rsidP="000F06C4">
      <w:pPr>
        <w:spacing w:line="320" w:lineRule="exact"/>
        <w:ind w:left="720"/>
        <w:rPr>
          <w:rFonts w:ascii="Verdana" w:eastAsia="Arial Unicode MS" w:hAnsi="Verdana" w:cs="Arial"/>
          <w:sz w:val="22"/>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rsidR="000F06C4" w:rsidRPr="00E52213" w:rsidP="000F06C4">
      <w:pPr>
        <w:tabs>
          <w:tab w:val="num" w:pos="709"/>
        </w:tabs>
        <w:autoSpaceDE/>
        <w:autoSpaceDN/>
        <w:adjustRightInd/>
        <w:spacing w:line="320" w:lineRule="exact"/>
        <w:contextualSpacing/>
        <w:jc w:val="both"/>
        <w:rPr>
          <w:rFonts w:ascii="Verdana" w:eastAsia="Arial Unicode MS" w:hAnsi="Verdana"/>
          <w:sz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w:t>
      </w:r>
      <w:r w:rsidRPr="00E52213">
        <w:rPr>
          <w:rFonts w:ascii="Verdana" w:eastAsia="Arial Unicode MS" w:hAnsi="Verdana" w:cs="Arial"/>
          <w:sz w:val="20"/>
          <w:szCs w:val="20"/>
        </w:rPr>
        <w:t>judicias ou cujo descumprimento não possa resultar em incapacidade financeira da Emissora para descumprir as obrigações de pagamento assumidas nesta Escritura;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0F06C4" w:rsidRPr="00E52213" w:rsidP="000F06C4">
      <w:pPr>
        <w:tabs>
          <w:tab w:val="num" w:pos="709"/>
        </w:tabs>
        <w:spacing w:line="320" w:lineRule="exact"/>
        <w:ind w:left="709" w:hanging="709"/>
        <w:jc w:val="both"/>
        <w:rPr>
          <w:rFonts w:ascii="Verdana" w:hAnsi="Verdana" w:cs="Arial"/>
          <w:sz w:val="20"/>
          <w:szCs w:val="20"/>
        </w:rPr>
      </w:pPr>
    </w:p>
    <w:p w:rsidR="000F06C4" w:rsidRPr="00E52213"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13" w:name="_DV_M405"/>
      <w:bookmarkStart w:id="314" w:name="_DV_M407"/>
      <w:bookmarkStart w:id="315" w:name="_DV_M408"/>
      <w:bookmarkStart w:id="316" w:name="_DV_M402"/>
      <w:bookmarkStart w:id="317" w:name="_DV_M403"/>
      <w:bookmarkStart w:id="318" w:name="_DV_M409"/>
      <w:bookmarkStart w:id="319" w:name="_DV_M410"/>
      <w:bookmarkStart w:id="320" w:name="_DV_M411"/>
      <w:bookmarkStart w:id="321" w:name="_DV_M413"/>
      <w:bookmarkStart w:id="322" w:name="_DV_M414"/>
      <w:bookmarkStart w:id="323" w:name="_DV_M418"/>
      <w:bookmarkStart w:id="324" w:name="_DV_M419"/>
      <w:bookmarkStart w:id="325" w:name="_DV_M420"/>
      <w:bookmarkStart w:id="326" w:name="_DV_M421"/>
      <w:bookmarkStart w:id="327" w:name="_DV_M423"/>
      <w:bookmarkStart w:id="328" w:name="_DV_M424"/>
      <w:bookmarkStart w:id="329" w:name="_DV_M425"/>
      <w:bookmarkStart w:id="330" w:name="_DV_M426"/>
      <w:bookmarkStart w:id="331" w:name="_DV_M427"/>
      <w:bookmarkStart w:id="332" w:name="_DV_M428"/>
      <w:bookmarkStart w:id="333" w:name="_DV_M429"/>
      <w:bookmarkStart w:id="334" w:name="_DV_M430"/>
      <w:bookmarkStart w:id="335" w:name="_DV_M431"/>
      <w:bookmarkStart w:id="336" w:name="_DV_M432"/>
      <w:bookmarkStart w:id="337" w:name="_DV_M435"/>
      <w:bookmarkStart w:id="338" w:name="_DV_M461"/>
      <w:bookmarkStart w:id="339" w:name="_DV_M462"/>
      <w:bookmarkStart w:id="340" w:name="_DV_M470"/>
      <w:bookmarkStart w:id="341" w:name="_Toc499990370"/>
      <w:bookmarkStart w:id="342" w:name="_Toc280370542"/>
      <w:bookmarkStart w:id="343" w:name="_Toc349040598"/>
      <w:bookmarkStart w:id="344" w:name="_Toc351469183"/>
      <w:bookmarkStart w:id="345" w:name="_Toc352767485"/>
      <w:bookmarkStart w:id="346" w:name="_Toc355626572"/>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0F06C4" w:rsidRPr="00E52213" w:rsidP="000F06C4">
      <w:pPr>
        <w:pStyle w:val="ListParagraph"/>
        <w:rPr>
          <w:rFonts w:ascii="Verdana" w:eastAsia="MS Mincho" w:hAnsi="Verdana"/>
          <w:b/>
          <w:sz w:val="20"/>
        </w:rPr>
      </w:pPr>
    </w:p>
    <w:p w:rsidR="000F06C4" w:rsidRPr="00E52213" w:rsidP="000F06C4">
      <w:pPr>
        <w:keepNext/>
        <w:keepLines/>
        <w:tabs>
          <w:tab w:val="left" w:pos="4253"/>
        </w:tabs>
        <w:spacing w:line="320" w:lineRule="exact"/>
        <w:jc w:val="center"/>
        <w:rPr>
          <w:rFonts w:ascii="Verdana" w:eastAsia="MS Mincho" w:hAnsi="Verdana"/>
          <w:b/>
          <w:sz w:val="20"/>
          <w:szCs w:val="20"/>
        </w:rPr>
      </w:pPr>
      <w:bookmarkEnd w:id="309"/>
    </w:p>
    <w:p w:rsidR="000F06C4" w:rsidRPr="00E52213" w:rsidP="000F06C4">
      <w:pPr>
        <w:keepNext/>
        <w:keepLines/>
        <w:tabs>
          <w:tab w:val="left" w:pos="4253"/>
        </w:tabs>
        <w:spacing w:line="320" w:lineRule="exact"/>
        <w:jc w:val="center"/>
        <w:rPr>
          <w:rFonts w:ascii="Verdana" w:eastAsia="MS Mincho" w:hAnsi="Verdana"/>
          <w:b/>
          <w:sz w:val="20"/>
          <w:szCs w:val="20"/>
        </w:rPr>
      </w:pPr>
      <w:bookmarkStart w:id="347"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41"/>
      <w:bookmarkEnd w:id="342"/>
      <w:bookmarkEnd w:id="343"/>
      <w:bookmarkEnd w:id="344"/>
      <w:bookmarkEnd w:id="345"/>
      <w:bookmarkEnd w:id="346"/>
    </w:p>
    <w:p w:rsidR="000F06C4" w:rsidRPr="00E52213" w:rsidP="000F06C4">
      <w:pPr>
        <w:keepNext/>
        <w:keepLines/>
        <w:spacing w:line="320" w:lineRule="exact"/>
        <w:contextualSpacing/>
        <w:jc w:val="center"/>
        <w:rPr>
          <w:rFonts w:ascii="Verdana" w:eastAsia="MS Mincho" w:hAnsi="Verdana" w:cs="Arial"/>
          <w:sz w:val="20"/>
          <w:szCs w:val="20"/>
        </w:rPr>
      </w:pPr>
      <w:bookmarkStart w:id="348" w:name="_Toc499990371"/>
    </w:p>
    <w:p w:rsidR="000F06C4" w:rsidRPr="00E52213" w:rsidP="00867416">
      <w:pPr>
        <w:pStyle w:val="ListParagraph"/>
        <w:keepNext/>
        <w:keepLines/>
        <w:numPr>
          <w:ilvl w:val="0"/>
          <w:numId w:val="77"/>
        </w:numPr>
        <w:spacing w:line="320" w:lineRule="exact"/>
        <w:ind w:left="709" w:hanging="709"/>
        <w:contextualSpacing/>
        <w:jc w:val="both"/>
        <w:rPr>
          <w:rFonts w:ascii="Verdana" w:eastAsia="MS Mincho" w:hAnsi="Verdana" w:cs="Arial"/>
          <w:b/>
          <w:sz w:val="20"/>
          <w:szCs w:val="20"/>
        </w:rPr>
      </w:pPr>
      <w:bookmarkStart w:id="349" w:name="_DV_M471"/>
      <w:bookmarkEnd w:id="349"/>
      <w:r w:rsidRPr="00E52213">
        <w:rPr>
          <w:rFonts w:ascii="Verdana" w:eastAsia="MS Mincho" w:hAnsi="Verdana" w:cs="Arial"/>
          <w:b/>
          <w:sz w:val="20"/>
          <w:szCs w:val="20"/>
        </w:rPr>
        <w:t>Nomeação</w:t>
      </w:r>
    </w:p>
    <w:p w:rsidR="000F06C4" w:rsidRPr="00E52213" w:rsidP="000F06C4">
      <w:pPr>
        <w:keepNext/>
        <w:keepLines/>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4"/>
        </w:numPr>
        <w:spacing w:line="320" w:lineRule="exact"/>
        <w:ind w:hanging="720"/>
        <w:contextualSpacing/>
        <w:jc w:val="both"/>
        <w:rPr>
          <w:rFonts w:ascii="Verdana" w:eastAsia="MS Mincho" w:hAnsi="Verdana" w:cs="Arial"/>
          <w:sz w:val="20"/>
          <w:szCs w:val="20"/>
        </w:rPr>
      </w:pPr>
      <w:bookmarkStart w:id="350" w:name="_DV_M472"/>
      <w:bookmarkEnd w:id="350"/>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rsidR="000F06C4" w:rsidRPr="00E52213" w:rsidP="000F06C4">
      <w:pPr>
        <w:autoSpaceDE/>
        <w:autoSpaceDN/>
        <w:adjustRightInd/>
        <w:spacing w:line="320" w:lineRule="exact"/>
        <w:rPr>
          <w:rFonts w:ascii="Verdana" w:eastAsia="Arial Unicode MS" w:hAnsi="Verdana"/>
          <w:b/>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51" w:name="_Ref75441458"/>
      <w:r w:rsidRPr="00E52213">
        <w:rPr>
          <w:rFonts w:ascii="Verdana" w:eastAsia="Arial Unicode MS" w:hAnsi="Verdana" w:cs="Arial"/>
          <w:b/>
          <w:sz w:val="20"/>
          <w:szCs w:val="20"/>
        </w:rPr>
        <w:t>Substituição</w:t>
      </w:r>
      <w:bookmarkEnd w:id="351"/>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3"/>
        </w:numPr>
        <w:tabs>
          <w:tab w:val="left" w:pos="1134"/>
        </w:tabs>
        <w:spacing w:after="240" w:line="320" w:lineRule="exact"/>
        <w:ind w:hanging="720"/>
        <w:jc w:val="both"/>
        <w:rPr>
          <w:rFonts w:ascii="Verdana" w:eastAsia="MS Mincho" w:hAnsi="Verdana" w:cs="Arial"/>
          <w:sz w:val="20"/>
          <w:szCs w:val="20"/>
        </w:rPr>
      </w:pPr>
      <w:bookmarkStart w:id="352" w:name="_Ref363201122"/>
      <w:r w:rsidRPr="00E52213">
        <w:rPr>
          <w:rFonts w:ascii="Verdana" w:eastAsia="MS Mincho" w:hAnsi="Verdana" w:cs="Arial"/>
          <w:sz w:val="20"/>
          <w:szCs w:val="20"/>
        </w:rPr>
        <w:t xml:space="preserve">Nas hipóteses de impedimento, renúncia, intervenção ou liquidação extrajudicial do Agente Fiduciário, dentro do prazo máximo de 30 (trinta) dias do evento que a determinar, deverá ser realizada Assembleia Geral de Debenturistas para a escolha </w:t>
      </w:r>
      <w:r w:rsidRPr="00E52213">
        <w:rPr>
          <w:rFonts w:ascii="Verdana" w:eastAsia="MS Mincho" w:hAnsi="Verdana" w:cs="Arial"/>
          <w:sz w:val="20"/>
          <w:szCs w:val="20"/>
        </w:rPr>
        <w:t>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End w:id="352"/>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fldChar w:fldCharType="separate"/>
      </w:r>
      <w:r w:rsidR="003B6622">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Start w:id="353"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53"/>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fldChar w:fldCharType="separate"/>
      </w:r>
      <w:r w:rsidR="003B6622">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rsidR="000F06C4" w:rsidRPr="00E52213" w:rsidP="000F06C4">
      <w:p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fldChar w:fldCharType="separate"/>
      </w:r>
      <w:r w:rsidR="003B6622">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w:t>
      </w:r>
      <w:r w:rsidRPr="00E52213">
        <w:rPr>
          <w:rFonts w:ascii="Verdana" w:eastAsia="MS Mincho" w:hAnsi="Verdana" w:cs="Arial"/>
          <w:sz w:val="20"/>
          <w:szCs w:val="20"/>
        </w:rPr>
        <w:t xml:space="preserve">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rsidR="000F06C4" w:rsidRPr="00E52213" w:rsidP="000F06C4">
      <w:pPr>
        <w:spacing w:line="320" w:lineRule="exact"/>
        <w:ind w:left="709" w:hanging="709"/>
        <w:contextualSpacing/>
        <w:jc w:val="both"/>
        <w:rPr>
          <w:rFonts w:ascii="Verdana" w:eastAsia="MS Mincho" w:hAnsi="Verdana" w:cs="Arial"/>
          <w:sz w:val="20"/>
          <w:szCs w:val="20"/>
        </w:rPr>
      </w:pPr>
      <w:bookmarkStart w:id="354" w:name="_Ref229140722"/>
    </w:p>
    <w:p w:rsidR="000F06C4" w:rsidRPr="00E52213" w:rsidP="00867416">
      <w:pPr>
        <w:pStyle w:val="ListParagraph"/>
        <w:numPr>
          <w:ilvl w:val="0"/>
          <w:numId w:val="52"/>
        </w:numPr>
        <w:spacing w:line="320" w:lineRule="exact"/>
        <w:ind w:hanging="720"/>
        <w:contextualSpacing/>
        <w:jc w:val="both"/>
        <w:rPr>
          <w:rFonts w:ascii="Verdana" w:eastAsia="MS Mincho" w:hAnsi="Verdana" w:cs="Arial"/>
          <w:sz w:val="20"/>
          <w:szCs w:val="20"/>
        </w:rPr>
      </w:pPr>
      <w:bookmarkStart w:id="355"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54"/>
      <w:bookmarkEnd w:id="355"/>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6" w:name="_DV_M473"/>
      <w:bookmarkStart w:id="357" w:name="_Hlk76733853"/>
      <w:bookmarkEnd w:id="356"/>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58" w:name="_Ref447145160"/>
    </w:p>
    <w:p w:rsidR="000F06C4" w:rsidRPr="00E52213" w:rsidP="000F06C4">
      <w:pPr>
        <w:tabs>
          <w:tab w:val="left" w:pos="1134"/>
        </w:tabs>
        <w:spacing w:line="320" w:lineRule="exact"/>
        <w:ind w:left="1134"/>
        <w:jc w:val="both"/>
        <w:rPr>
          <w:rFonts w:ascii="Verdana" w:eastAsia="Arial Unicode MS" w:hAnsi="Verdana" w:cs="Tahoma"/>
          <w:sz w:val="20"/>
          <w:szCs w:val="20"/>
        </w:rPr>
      </w:pPr>
      <w:bookmarkEnd w:id="358"/>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fldChar w:fldCharType="separate"/>
      </w:r>
      <w:r w:rsidR="003B6622">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9"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59"/>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60"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w:t>
      </w:r>
      <w:r w:rsidRPr="00E52213">
        <w:rPr>
          <w:rFonts w:ascii="Verdana" w:hAnsi="Verdana" w:cs="Tahoma"/>
          <w:sz w:val="20"/>
          <w:szCs w:val="20"/>
        </w:rPr>
        <w:t>proteger o interesse dos Debenturistas e que estabelecem condições que não devem ser descumpridas pela Emissora</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rsidR="000F06C4" w:rsidRPr="00E52213" w:rsidP="000F06C4">
      <w:pPr>
        <w:tabs>
          <w:tab w:val="left" w:pos="1134"/>
        </w:tabs>
        <w:spacing w:line="320" w:lineRule="exact"/>
        <w:ind w:left="1134"/>
        <w:jc w:val="both"/>
        <w:rPr>
          <w:rFonts w:ascii="Verdana" w:eastAsia="Arial Unicode MS" w:hAnsi="Verdana" w:cs="Tahoma"/>
          <w:sz w:val="20"/>
          <w:szCs w:val="20"/>
        </w:rPr>
      </w:pPr>
      <w:bookmarkStart w:id="361" w:name="_Ref447280055"/>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End w:id="360"/>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61"/>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rsidR="000F06C4" w:rsidRPr="00E52213" w:rsidP="000F06C4">
      <w:pPr>
        <w:spacing w:line="320" w:lineRule="exact"/>
        <w:ind w:left="709" w:hanging="709"/>
        <w:contextualSpacing/>
        <w:jc w:val="both"/>
        <w:rPr>
          <w:rFonts w:ascii="Verdana" w:eastAsia="Arial Unicode MS" w:hAnsi="Verdana" w:cs="Arial"/>
          <w:sz w:val="20"/>
          <w:szCs w:val="20"/>
        </w:rPr>
      </w:pPr>
      <w:bookmarkStart w:id="362" w:name="_DV_M489"/>
      <w:bookmarkStart w:id="363" w:name="_DV_M491"/>
      <w:bookmarkStart w:id="364" w:name="_DV_M496"/>
      <w:bookmarkStart w:id="365" w:name="_DV_M535"/>
      <w:bookmarkStart w:id="366" w:name="_DV_M541"/>
      <w:bookmarkStart w:id="367" w:name="_DV_M542"/>
      <w:bookmarkEnd w:id="357"/>
      <w:bookmarkEnd w:id="362"/>
      <w:bookmarkEnd w:id="363"/>
      <w:bookmarkEnd w:id="364"/>
      <w:bookmarkEnd w:id="365"/>
      <w:bookmarkEnd w:id="366"/>
      <w:bookmarkEnd w:id="367"/>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rsidR="000F06C4" w:rsidRPr="00E52213" w:rsidP="000F06C4">
      <w:pPr>
        <w:spacing w:line="320" w:lineRule="exact"/>
        <w:contextualSpacing/>
        <w:jc w:val="both"/>
        <w:rPr>
          <w:rFonts w:ascii="Verdana" w:eastAsia="Arial Unicode MS" w:hAnsi="Verdana" w:cs="Arial"/>
          <w:b/>
          <w:sz w:val="20"/>
          <w:szCs w:val="20"/>
        </w:rPr>
      </w:pPr>
      <w:bookmarkStart w:id="368" w:name="_DV_M543"/>
      <w:bookmarkStart w:id="369" w:name="_DV_M549"/>
      <w:bookmarkEnd w:id="368"/>
      <w:bookmarkEnd w:id="369"/>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Arial" w:eastAsia="Calibri" w:hAnsi="Arial" w:cs="Verdana"/>
        </w:rPr>
      </w:pPr>
      <w:bookmarkStart w:id="370" w:name="_Ref271282536"/>
      <w:bookmarkStart w:id="371"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 xml:space="preserve">R$ </w:t>
      </w:r>
      <w:r w:rsidRPr="00CF3B57" w:rsidR="008552C1">
        <w:rPr>
          <w:rFonts w:ascii="Verdana" w:eastAsia="Arial Unicode MS" w:hAnsi="Verdana" w:cs="Verdana"/>
          <w:sz w:val="20"/>
        </w:rPr>
        <w:t>10.000,00</w:t>
      </w:r>
      <w:r w:rsidRPr="00CF3B57">
        <w:rPr>
          <w:rFonts w:ascii="Verdana" w:eastAsia="Arial Unicode MS" w:hAnsi="Verdana" w:cs="Arial"/>
          <w:sz w:val="20"/>
          <w:szCs w:val="20"/>
        </w:rPr>
        <w:t xml:space="preserve"> (</w:t>
      </w:r>
      <w:r w:rsidRPr="00CF3B57" w:rsidR="008552C1">
        <w:rPr>
          <w:rFonts w:ascii="Verdana" w:eastAsia="Arial Unicode MS" w:hAnsi="Verdana" w:cs="Arial"/>
          <w:sz w:val="20"/>
          <w:szCs w:val="20"/>
        </w:rPr>
        <w:t>dez mil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370"/>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371"/>
      <w:r w:rsidRPr="00E52213">
        <w:rPr>
          <w:rFonts w:ascii="Verdana" w:eastAsia="Arial Unicode MS" w:hAnsi="Verdana" w:cs="Verdana"/>
          <w:sz w:val="20"/>
        </w:rPr>
        <w:t xml:space="preserve">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Pr="00CF3B57" w:rsidR="008552C1">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Pr="00CF3B57" w:rsidR="008552C1">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r w:rsidRPr="00E52213">
        <w:rPr>
          <w:rFonts w:ascii="Verdana" w:eastAsia="Calibri" w:hAnsi="Verdana" w:cs="Arial"/>
          <w:sz w:val="20"/>
          <w:szCs w:val="20"/>
          <w:lang w:eastAsia="en-US"/>
        </w:rPr>
        <w:t>da mesma</w:t>
      </w:r>
      <w:r w:rsidRPr="00E52213">
        <w:rPr>
          <w:rFonts w:ascii="Verdana" w:eastAsia="Calibri" w:hAnsi="Verdana" w:cs="Arial"/>
          <w:sz w:val="20"/>
          <w:szCs w:val="20"/>
          <w:lang w:eastAsia="en-US"/>
        </w:rPr>
        <w:t xml:space="preserve">. Assim, nessas atividades, incluem-se, mas não se limitam a (a) análise de edital; (b) participação em </w:t>
      </w:r>
      <w:r w:rsidRPr="00E52213">
        <w:rPr>
          <w:rFonts w:ascii="Verdana" w:eastAsia="Calibri" w:hAnsi="Verdana" w:cs="Arial"/>
          <w:i/>
          <w:iCs/>
          <w:sz w:val="20"/>
          <w:szCs w:val="20"/>
          <w:lang w:eastAsia="en-US"/>
        </w:rPr>
        <w:t>calls</w:t>
      </w:r>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rsidR="000F06C4" w:rsidRPr="00E52213"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w:t>
      </w:r>
      <w:r w:rsidRPr="00E52213">
        <w:rPr>
          <w:rFonts w:ascii="Verdana" w:eastAsia="Arial Unicode MS" w:hAnsi="Verdana" w:cs="Arial"/>
          <w:sz w:val="20"/>
          <w:szCs w:val="20"/>
        </w:rPr>
        <w:t xml:space="preserve">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rsidR="000F06C4" w:rsidRPr="00E52213" w:rsidP="000F06C4">
      <w:pPr>
        <w:spacing w:line="320" w:lineRule="exact"/>
        <w:ind w:left="709" w:hanging="720"/>
        <w:contextualSpacing/>
        <w:jc w:val="both"/>
        <w:rPr>
          <w:rFonts w:ascii="Verdana" w:eastAsia="MS Mincho" w:hAnsi="Verdana" w:cs="Arial"/>
          <w:b/>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rsidR="000F06C4" w:rsidRPr="00E52213" w:rsidP="000F06C4">
      <w:pPr>
        <w:spacing w:line="320" w:lineRule="exact"/>
        <w:ind w:left="705" w:hanging="705"/>
        <w:contextualSpacing/>
        <w:jc w:val="both"/>
        <w:rPr>
          <w:rFonts w:ascii="Verdana" w:eastAsia="Arial Unicode MS" w:hAnsi="Verdana" w:cs="Arial"/>
          <w:sz w:val="20"/>
          <w:szCs w:val="20"/>
        </w:rPr>
      </w:pPr>
      <w:bookmarkStart w:id="372" w:name="_DV_M550"/>
      <w:bookmarkEnd w:id="372"/>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73" w:name="_DV_M564"/>
      <w:bookmarkEnd w:id="373"/>
      <w:r w:rsidRPr="00E52213">
        <w:rPr>
          <w:rFonts w:ascii="Verdana" w:eastAsia="Arial Unicode MS" w:hAnsi="Verdana" w:cs="Arial"/>
          <w:b/>
          <w:sz w:val="20"/>
          <w:szCs w:val="20"/>
        </w:rPr>
        <w:t xml:space="preserve">Despesas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374" w:name="_DV_M565"/>
      <w:bookmarkStart w:id="375" w:name="_Ref75441532"/>
      <w:bookmarkStart w:id="376" w:name="_Ref271282660"/>
      <w:bookmarkStart w:id="377" w:name="_Toc499990378"/>
      <w:bookmarkEnd w:id="348"/>
      <w:bookmarkEnd w:id="374"/>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375"/>
      <w:r w:rsidRPr="00E52213">
        <w:rPr>
          <w:rFonts w:ascii="Verdana" w:eastAsia="Arial Unicode MS" w:hAnsi="Verdana"/>
          <w:sz w:val="20"/>
        </w:rPr>
        <w:t xml:space="preserve"> </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376"/>
      <w:r w:rsidRPr="00E52213">
        <w:t xml:space="preserv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378"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e (ii)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Pr>
          <w:rFonts w:ascii="Verdana" w:eastAsia="Arial Unicode MS" w:hAnsi="Verdana"/>
          <w:sz w:val="20"/>
          <w:szCs w:val="20"/>
        </w:rPr>
        <w:t xml:space="preserve">e serão devidos </w:t>
      </w:r>
      <w:r w:rsidR="008552C1">
        <w:rPr>
          <w:rFonts w:ascii="Verdana" w:eastAsia="Arial Unicode MS" w:hAnsi="Verdana"/>
          <w:sz w:val="20"/>
          <w:szCs w:val="20"/>
        </w:rPr>
        <w:t>a partir de 15</w:t>
      </w:r>
      <w:r w:rsidR="00CF3B57">
        <w:rPr>
          <w:rFonts w:ascii="Verdana" w:eastAsia="Arial Unicode MS" w:hAnsi="Verdana"/>
          <w:sz w:val="20"/>
          <w:szCs w:val="20"/>
        </w:rPr>
        <w:t xml:space="preserve"> de fevereiro de </w:t>
      </w:r>
      <w:r w:rsidR="008552C1">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bookmarkEnd w:id="378"/>
    </w:p>
    <w:p w:rsidR="000F06C4" w:rsidRPr="00E52213" w:rsidP="000F06C4">
      <w:pPr>
        <w:tabs>
          <w:tab w:val="left" w:pos="1134"/>
        </w:tabs>
        <w:spacing w:line="320" w:lineRule="exact"/>
        <w:ind w:left="1134"/>
        <w:jc w:val="both"/>
        <w:rPr>
          <w:rFonts w:ascii="Verdana" w:eastAsia="Arial Unicode MS" w:hAnsi="Verdana"/>
          <w:sz w:val="20"/>
          <w:szCs w:val="20"/>
        </w:rPr>
      </w:pPr>
      <w:bookmarkEnd w:id="347"/>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379" w:name="_DV_M568"/>
      <w:bookmarkStart w:id="380" w:name="_Toc280370543"/>
      <w:bookmarkStart w:id="381" w:name="_Toc349040599"/>
      <w:bookmarkStart w:id="382" w:name="_Toc351469184"/>
      <w:bookmarkStart w:id="383" w:name="_Toc352767486"/>
      <w:bookmarkStart w:id="384" w:name="_Toc355626573"/>
      <w:bookmarkEnd w:id="379"/>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377"/>
      <w:bookmarkEnd w:id="380"/>
      <w:bookmarkEnd w:id="381"/>
      <w:bookmarkEnd w:id="382"/>
      <w:bookmarkEnd w:id="383"/>
      <w:bookmarkEnd w:id="384"/>
    </w:p>
    <w:p w:rsidR="000F06C4" w:rsidRPr="00E52213" w:rsidP="000F06C4">
      <w:pPr>
        <w:keepNext/>
        <w:widowControl w:val="0"/>
        <w:spacing w:line="320" w:lineRule="exact"/>
        <w:contextualSpacing/>
        <w:jc w:val="both"/>
        <w:rPr>
          <w:rFonts w:ascii="Verdana" w:eastAsia="Arial Unicode MS" w:hAnsi="Verdana" w:cs="Arial"/>
          <w:sz w:val="20"/>
          <w:szCs w:val="20"/>
        </w:rPr>
      </w:pPr>
      <w:bookmarkStart w:id="385" w:name="_Toc499990379"/>
    </w:p>
    <w:p w:rsidR="000F06C4" w:rsidRPr="00E52213" w:rsidP="00867416">
      <w:pPr>
        <w:pStyle w:val="ListParagraph"/>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386" w:name="_DV_M569"/>
      <w:bookmarkStart w:id="387" w:name="_Ref75441304"/>
      <w:bookmarkEnd w:id="385"/>
      <w:bookmarkEnd w:id="386"/>
      <w:r w:rsidRPr="00E52213">
        <w:rPr>
          <w:rFonts w:ascii="Verdana" w:eastAsia="Arial Unicode MS" w:hAnsi="Verdana" w:cs="Arial"/>
          <w:b/>
          <w:sz w:val="20"/>
          <w:szCs w:val="20"/>
        </w:rPr>
        <w:tab/>
        <w:t>Disposições Gerais</w:t>
      </w:r>
      <w:bookmarkEnd w:id="387"/>
    </w:p>
    <w:p w:rsidR="000F06C4" w:rsidRPr="00E52213" w:rsidP="000F06C4">
      <w:pPr>
        <w:widowControl w:val="0"/>
        <w:spacing w:line="320" w:lineRule="exact"/>
        <w:ind w:left="566" w:hanging="283"/>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bookmarkStart w:id="388" w:name="_Ref75440700"/>
      <w:r w:rsidRPr="00E52213">
        <w:rPr>
          <w:rFonts w:ascii="Verdana" w:eastAsia="Arial Unicode MS" w:hAnsi="Verdana" w:cs="Arial"/>
          <w:sz w:val="20"/>
          <w:szCs w:val="20"/>
        </w:rPr>
        <w:t>Os Debenturistas poderão, a qualquer tempo, reunir-se em assembleia(s) geral(</w:t>
      </w:r>
      <w:r w:rsidRPr="00E52213">
        <w:rPr>
          <w:rFonts w:ascii="Verdana" w:eastAsia="Arial Unicode MS" w:hAnsi="Verdana" w:cs="Arial"/>
          <w:sz w:val="20"/>
          <w:szCs w:val="20"/>
        </w:rPr>
        <w:t>is</w:t>
      </w:r>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r w:rsidRPr="00E52213">
        <w:rPr>
          <w:rFonts w:ascii="Verdana" w:eastAsia="Arial Unicode MS" w:hAnsi="Verdana" w:cs="Arial"/>
          <w:sz w:val="20"/>
          <w:szCs w:val="20"/>
          <w:u w:val="single"/>
        </w:rPr>
        <w:t>is</w:t>
      </w:r>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388"/>
      <w:r w:rsidRPr="00E52213">
        <w:rPr>
          <w:rFonts w:ascii="Verdana" w:eastAsia="Arial Unicode MS" w:hAnsi="Verdana" w:cs="Arial"/>
          <w:sz w:val="20"/>
          <w:szCs w:val="20"/>
        </w:rPr>
        <w:t xml:space="preserve"> </w:t>
      </w:r>
    </w:p>
    <w:p w:rsidR="000F06C4" w:rsidRPr="00E52213" w:rsidP="000F06C4">
      <w:pPr>
        <w:widowControl w:val="0"/>
        <w:spacing w:line="320" w:lineRule="exact"/>
        <w:ind w:left="720" w:hanging="720"/>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rsidR="000F06C4" w:rsidRPr="00E52213" w:rsidP="000F06C4">
      <w:pPr>
        <w:widowControl w:val="0"/>
        <w:spacing w:line="320" w:lineRule="exact"/>
        <w:contextualSpacing/>
        <w:jc w:val="both"/>
        <w:rPr>
          <w:rFonts w:ascii="Verdana" w:eastAsia="Arial Unicode MS" w:hAnsi="Verdana" w:cs="Arial"/>
          <w:b/>
          <w:sz w:val="20"/>
          <w:szCs w:val="20"/>
        </w:rPr>
      </w:pPr>
      <w:bookmarkStart w:id="389" w:name="_DV_M570"/>
      <w:bookmarkEnd w:id="389"/>
    </w:p>
    <w:p w:rsidR="000F06C4" w:rsidRPr="00E52213" w:rsidP="00867416">
      <w:pPr>
        <w:pStyle w:val="ListParagraph"/>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rsidR="000F06C4" w:rsidRPr="00E52213" w:rsidP="000F06C4">
      <w:pPr>
        <w:widowControl w:val="0"/>
        <w:spacing w:line="320" w:lineRule="exact"/>
        <w:ind w:left="709" w:hanging="709"/>
        <w:contextualSpacing/>
        <w:rPr>
          <w:rFonts w:ascii="Verdana" w:eastAsia="Arial Unicode MS" w:hAnsi="Verdana" w:cs="Arial"/>
          <w:sz w:val="20"/>
          <w:szCs w:val="20"/>
        </w:rPr>
      </w:pPr>
    </w:p>
    <w:p w:rsidR="000F06C4" w:rsidRPr="00E52213" w:rsidP="00867416">
      <w:pPr>
        <w:pStyle w:val="ListParagraph"/>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0" w:name="_DV_M571"/>
      <w:bookmarkEnd w:id="390"/>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1" w:name="_DV_M572"/>
      <w:bookmarkEnd w:id="391"/>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392" w:name="_DV_M573"/>
      <w:bookmarkEnd w:id="392"/>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3" w:name="_DV_M574"/>
      <w:bookmarkEnd w:id="393"/>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4" w:name="_DV_M575"/>
      <w:bookmarkEnd w:id="394"/>
      <w:r w:rsidRPr="00E52213">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rsidR="000F06C4" w:rsidRPr="00E52213" w:rsidP="000F06C4">
      <w:pPr>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8"/>
        </w:numPr>
        <w:spacing w:line="320" w:lineRule="exact"/>
        <w:ind w:left="709" w:hanging="709"/>
        <w:contextualSpacing/>
        <w:jc w:val="both"/>
        <w:rPr>
          <w:rFonts w:ascii="Verdana" w:eastAsia="Arial Unicode MS" w:hAnsi="Verdana"/>
          <w:sz w:val="20"/>
          <w:szCs w:val="20"/>
        </w:rPr>
      </w:pPr>
      <w:bookmarkStart w:id="395" w:name="_DV_M576"/>
      <w:bookmarkStart w:id="396" w:name="_Ref75441315"/>
      <w:bookmarkEnd w:id="395"/>
      <w:r w:rsidRPr="00E52213">
        <w:rPr>
          <w:rFonts w:ascii="Verdana" w:eastAsia="Arial Unicode MS" w:hAnsi="Verdana" w:cs="Arial"/>
          <w:b/>
          <w:sz w:val="20"/>
          <w:szCs w:val="20"/>
        </w:rPr>
        <w:t>Quórum de Instalação</w:t>
      </w:r>
      <w:bookmarkEnd w:id="396"/>
    </w:p>
    <w:p w:rsidR="000F06C4" w:rsidRPr="00E52213" w:rsidP="000F06C4">
      <w:pPr>
        <w:keepNext/>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5"/>
        </w:numPr>
        <w:spacing w:line="320" w:lineRule="exact"/>
        <w:ind w:hanging="720"/>
        <w:contextualSpacing/>
        <w:jc w:val="both"/>
        <w:rPr>
          <w:rFonts w:ascii="Verdana" w:eastAsia="Arial Unicode MS" w:hAnsi="Verdana" w:cs="Arial"/>
          <w:sz w:val="20"/>
          <w:szCs w:val="20"/>
        </w:rPr>
      </w:pPr>
      <w:bookmarkStart w:id="397" w:name="_DV_M577"/>
      <w:bookmarkEnd w:id="397"/>
      <w:r w:rsidRPr="00E52213">
        <w:rPr>
          <w:rFonts w:ascii="Verdana" w:eastAsia="Arial Unicode MS" w:hAnsi="Verdana" w:cs="Arial"/>
          <w:sz w:val="20"/>
          <w:szCs w:val="20"/>
        </w:rPr>
        <w:t xml:space="preserve">Nos termos do artigo 71, parágrafo terceiro, da Lei das Sociedades por Ações, </w:t>
      </w:r>
      <w:bookmarkStart w:id="398"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98"/>
      <w:r w:rsidRPr="00E52213">
        <w:rPr>
          <w:rFonts w:ascii="Verdana" w:eastAsia="Arial Unicode MS" w:hAnsi="Verdana" w:cs="Arial"/>
          <w:sz w:val="20"/>
          <w:szCs w:val="20"/>
        </w:rPr>
        <w:t xml:space="preserve"> </w:t>
      </w:r>
    </w:p>
    <w:p w:rsidR="000F06C4" w:rsidRPr="00E52213" w:rsidP="000F06C4">
      <w:pPr>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45"/>
        </w:numPr>
        <w:spacing w:line="320" w:lineRule="exact"/>
        <w:ind w:hanging="720"/>
        <w:contextualSpacing/>
        <w:jc w:val="both"/>
        <w:rPr>
          <w:rFonts w:ascii="Verdana" w:eastAsia="Arial Unicode MS" w:hAnsi="Verdana" w:cs="Arial"/>
          <w:sz w:val="20"/>
          <w:szCs w:val="20"/>
        </w:rPr>
      </w:pPr>
      <w:bookmarkStart w:id="399" w:name="_DV_M578"/>
      <w:bookmarkEnd w:id="399"/>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w:t>
      </w:r>
      <w:r w:rsidRPr="00E52213">
        <w:rPr>
          <w:rFonts w:ascii="Verdana" w:eastAsia="Arial Unicode MS" w:hAnsi="Verdana" w:cs="Arial"/>
          <w:sz w:val="20"/>
          <w:szCs w:val="20"/>
        </w:rPr>
        <w:t xml:space="preserve">da Emissora, incluindo, mas não se limitando a, pessoas direta ou indiretamente relacionadas a qualquer das pessoas anteriormente mencionadas, incluindo seus cônjuges, companheiros ou parentes até o 2º (segundo) grau. </w:t>
      </w:r>
    </w:p>
    <w:p w:rsidR="000F06C4" w:rsidRPr="00E52213" w:rsidP="000F06C4">
      <w:pPr>
        <w:autoSpaceDE/>
        <w:autoSpaceDN/>
        <w:adjustRightInd/>
        <w:spacing w:line="320" w:lineRule="exact"/>
        <w:rPr>
          <w:rFonts w:ascii="Verdana" w:eastAsia="Arial Unicode MS" w:hAnsi="Verdana"/>
          <w:b/>
          <w:sz w:val="20"/>
          <w:szCs w:val="20"/>
        </w:rPr>
      </w:pPr>
      <w:bookmarkStart w:id="400" w:name="_DV_M579"/>
      <w:bookmarkEnd w:id="400"/>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01" w:name="_DV_M580"/>
      <w:bookmarkStart w:id="402" w:name="_Ref75440787"/>
      <w:bookmarkStart w:id="403" w:name="_Ref130286717"/>
      <w:bookmarkEnd w:id="401"/>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fldChar w:fldCharType="separate"/>
      </w:r>
      <w:r w:rsidR="003B6622">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402"/>
    </w:p>
    <w:p w:rsidR="000F06C4" w:rsidRPr="00E52213" w:rsidP="000F06C4">
      <w:pPr>
        <w:spacing w:line="320" w:lineRule="exact"/>
        <w:contextualSpacing/>
        <w:jc w:val="both"/>
        <w:rPr>
          <w:rFonts w:ascii="Verdana" w:eastAsia="Arial Unicode MS" w:hAnsi="Verdana" w:cs="Arial"/>
          <w:sz w:val="20"/>
          <w:szCs w:val="20"/>
        </w:rPr>
      </w:pPr>
      <w:bookmarkEnd w:id="403"/>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b/>
          <w:sz w:val="20"/>
          <w:szCs w:val="20"/>
        </w:rPr>
      </w:pPr>
      <w:bookmarkStart w:id="404" w:name="_DV_M584"/>
      <w:bookmarkStart w:id="405" w:name="_DV_M585"/>
      <w:bookmarkStart w:id="406" w:name="_Ref75441551"/>
      <w:bookmarkEnd w:id="404"/>
      <w:bookmarkEnd w:id="405"/>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07" w:name="_DV_M586"/>
      <w:bookmarkStart w:id="408" w:name="_DV_M587"/>
      <w:bookmarkEnd w:id="407"/>
      <w:bookmarkEnd w:id="408"/>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criação de evento de repactuação, (</w:t>
      </w:r>
      <w:r w:rsidRPr="00E52213">
        <w:rPr>
          <w:rFonts w:ascii="Verdana" w:eastAsia="Arial Unicode MS" w:hAnsi="Verdana" w:cs="Arial"/>
          <w:sz w:val="20"/>
          <w:szCs w:val="20"/>
        </w:rPr>
        <w:t>Ix</w:t>
      </w:r>
      <w:r w:rsidRPr="00E52213">
        <w:rPr>
          <w:rFonts w:ascii="Verdana" w:eastAsia="Arial Unicode MS" w:hAnsi="Verdana" w:cs="Arial"/>
          <w:sz w:val="20"/>
          <w:szCs w:val="20"/>
        </w:rPr>
        <w:t>) das disposições relativas a resgate antecipado facultativo ou amortizações extraordinárias facultativas, e (x) da espécie das Debêntures.</w:t>
      </w:r>
      <w:bookmarkEnd w:id="406"/>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b/>
          <w:sz w:val="20"/>
          <w:szCs w:val="20"/>
        </w:rPr>
      </w:pPr>
    </w:p>
    <w:p w:rsidR="000F06C4" w:rsidRPr="00E52213" w:rsidP="00867416">
      <w:pPr>
        <w:pStyle w:val="ListParagraph"/>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09" w:name="_DV_M589"/>
      <w:bookmarkEnd w:id="409"/>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10" w:name="_DV_M590"/>
      <w:bookmarkEnd w:id="410"/>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bookmarkStart w:id="411" w:name="_Toc367387498"/>
      <w:bookmarkStart w:id="412" w:name="_Toc367387692"/>
      <w:bookmarkStart w:id="413" w:name="_Toc367389078"/>
      <w:bookmarkStart w:id="414" w:name="_Toc375090294"/>
      <w:bookmarkStart w:id="415" w:name="_Toc368667940"/>
      <w:r w:rsidRPr="00E52213">
        <w:rPr>
          <w:rFonts w:ascii="Verdana" w:eastAsia="Arial Unicode MS" w:hAnsi="Verdana" w:cs="Arial"/>
          <w:b/>
          <w:sz w:val="20"/>
          <w:szCs w:val="20"/>
        </w:rPr>
        <w:t>Mesa Diretora</w:t>
      </w:r>
      <w:bookmarkEnd w:id="411"/>
      <w:bookmarkEnd w:id="412"/>
      <w:bookmarkEnd w:id="413"/>
      <w:bookmarkEnd w:id="414"/>
      <w:bookmarkEnd w:id="415"/>
    </w:p>
    <w:p w:rsidR="000F06C4" w:rsidRPr="00E52213" w:rsidP="000F06C4">
      <w:pPr>
        <w:spacing w:line="320" w:lineRule="exact"/>
        <w:ind w:left="705" w:hanging="705"/>
        <w:contextualSpacing/>
        <w:jc w:val="both"/>
        <w:rPr>
          <w:rFonts w:ascii="Verdana" w:eastAsia="Arial Unicode MS" w:hAnsi="Verdana" w:cs="Arial"/>
          <w:sz w:val="20"/>
          <w:szCs w:val="20"/>
        </w:rPr>
      </w:pPr>
      <w:bookmarkStart w:id="416" w:name="_DV_M392"/>
      <w:bookmarkStart w:id="417" w:name="_Toc367387693"/>
      <w:bookmarkEnd w:id="416"/>
    </w:p>
    <w:p w:rsidR="000F06C4" w:rsidRPr="00E52213" w:rsidP="00867416">
      <w:pPr>
        <w:pStyle w:val="ListParagraph"/>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17"/>
    </w:p>
    <w:p w:rsidR="000F06C4" w:rsidRPr="00E52213" w:rsidP="000F06C4">
      <w:pPr>
        <w:spacing w:line="320" w:lineRule="exact"/>
        <w:ind w:left="705" w:hanging="705"/>
        <w:contextualSpacing/>
        <w:jc w:val="both"/>
        <w:rPr>
          <w:rFonts w:ascii="Verdana" w:eastAsia="Arial Unicode MS" w:hAnsi="Verdana" w:cs="Arial"/>
          <w:sz w:val="20"/>
          <w:szCs w:val="20"/>
        </w:rPr>
      </w:pPr>
      <w:bookmarkStart w:id="418" w:name="_DV_M393"/>
      <w:bookmarkEnd w:id="418"/>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19" w:name="_DV_M591"/>
      <w:bookmarkStart w:id="420" w:name="_Toc499990383"/>
      <w:bookmarkStart w:id="421" w:name="_Toc280370544"/>
      <w:bookmarkStart w:id="422" w:name="_Toc349040600"/>
      <w:bookmarkStart w:id="423" w:name="_Toc351469185"/>
      <w:bookmarkStart w:id="424" w:name="_Toc352767487"/>
      <w:bookmarkStart w:id="425" w:name="_Toc355626574"/>
      <w:bookmarkEnd w:id="419"/>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26" w:name="_DV_M592"/>
      <w:bookmarkEnd w:id="420"/>
      <w:bookmarkEnd w:id="426"/>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427" w:name="_DV_M593"/>
      <w:bookmarkEnd w:id="421"/>
      <w:bookmarkEnd w:id="422"/>
      <w:bookmarkEnd w:id="423"/>
      <w:bookmarkEnd w:id="424"/>
      <w:bookmarkEnd w:id="425"/>
      <w:bookmarkEnd w:id="427"/>
    </w:p>
    <w:p w:rsidR="000F06C4" w:rsidRPr="00E52213" w:rsidP="000F06C4">
      <w:pPr>
        <w:keepNext/>
        <w:keepLines/>
        <w:spacing w:line="320" w:lineRule="exact"/>
        <w:contextualSpacing/>
        <w:jc w:val="both"/>
        <w:rPr>
          <w:rFonts w:ascii="Verdana" w:eastAsia="Arial Unicode MS" w:hAnsi="Verdana"/>
          <w:b/>
          <w:kern w:val="32"/>
          <w:sz w:val="20"/>
          <w:szCs w:val="20"/>
        </w:rPr>
      </w:pPr>
    </w:p>
    <w:p w:rsidR="000F06C4" w:rsidRPr="00E52213" w:rsidP="00867416">
      <w:pPr>
        <w:pStyle w:val="ListParagraph"/>
        <w:keepNext/>
        <w:keepLines/>
        <w:numPr>
          <w:ilvl w:val="0"/>
          <w:numId w:val="41"/>
        </w:numPr>
        <w:spacing w:line="320" w:lineRule="exact"/>
        <w:ind w:hanging="720"/>
        <w:contextualSpacing/>
        <w:jc w:val="both"/>
        <w:rPr>
          <w:rFonts w:ascii="Verdana" w:eastAsia="Arial Unicode MS" w:hAnsi="Verdana" w:cs="Arial"/>
          <w:sz w:val="20"/>
          <w:szCs w:val="20"/>
        </w:rPr>
      </w:pPr>
      <w:bookmarkStart w:id="428" w:name="_DV_M594"/>
      <w:bookmarkEnd w:id="428"/>
      <w:r w:rsidRPr="00E52213">
        <w:rPr>
          <w:rFonts w:ascii="Verdana" w:eastAsia="Arial Unicode MS" w:hAnsi="Verdana" w:cs="Arial"/>
          <w:sz w:val="20"/>
          <w:szCs w:val="20"/>
        </w:rPr>
        <w:t>A Emissora declara e garante que na data de celebração desta Escritura de Emissão:</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29" w:name="_DV_M595"/>
      <w:bookmarkStart w:id="430" w:name="_Hlk6811234"/>
      <w:bookmarkEnd w:id="429"/>
      <w:r w:rsidRPr="00E52213">
        <w:rPr>
          <w:rFonts w:ascii="Verdana" w:eastAsia="Arial Unicode MS" w:hAnsi="Verdana" w:cs="Arial"/>
          <w:sz w:val="20"/>
          <w:szCs w:val="20"/>
        </w:rPr>
        <w:t>é</w:t>
      </w:r>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w:t>
      </w:r>
      <w:r w:rsidRPr="00E52213">
        <w:rPr>
          <w:rFonts w:ascii="Verdana" w:eastAsia="Arial Unicode MS" w:hAnsi="Verdana" w:cs="Arial"/>
          <w:sz w:val="20"/>
          <w:szCs w:val="20"/>
        </w:rPr>
        <w:t xml:space="preserve">tiveram os poderes legitimamente outorgados, estando os respectivos mandatos em pleno vigor e efeito;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Pr="0096018B" w:rsidR="005662C0">
        <w:rPr>
          <w:rFonts w:ascii="Verdana" w:eastAsia="Arial Unicode MS" w:hAnsi="Verdana" w:cs="Arial"/>
          <w:iCs/>
          <w:sz w:val="20"/>
          <w:szCs w:val="20"/>
          <w:u w:val="single"/>
        </w:rPr>
        <w:t>Efeito Material Adverso</w:t>
      </w:r>
      <w:r w:rsidR="005662C0">
        <w:rPr>
          <w:rFonts w:ascii="Verdana" w:eastAsia="Arial Unicode MS" w:hAnsi="Verdana" w:cs="Arial"/>
          <w:iCs/>
          <w:sz w:val="20"/>
          <w:szCs w:val="20"/>
          <w:u w:val="single"/>
        </w:rPr>
        <w:t>”</w:t>
      </w:r>
      <w:r w:rsidRPr="0096018B" w:rsidR="005662C0">
        <w:rPr>
          <w:rFonts w:ascii="Verdana" w:eastAsia="Arial Unicode MS" w:hAnsi="Verdana" w:cs="Arial"/>
          <w:sz w:val="20"/>
          <w:szCs w:val="20"/>
        </w:rPr>
        <w:t xml:space="preserve"> s</w:t>
      </w:r>
      <w:r w:rsidRPr="007003A3" w:rsidR="005662C0">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r w:rsidR="007C732F">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w:t>
      </w:r>
      <w:r w:rsidRPr="00E52213">
        <w:rPr>
          <w:rFonts w:ascii="Verdana" w:eastAsia="Arial Unicode MS" w:hAnsi="Verdana" w:cs="Arial"/>
          <w:sz w:val="20"/>
          <w:szCs w:val="20"/>
        </w:rPr>
        <w:t xml:space="preserve">financeiras na data referida e foram elaboradas em conformidade com as práticas contábeis adotadas no Brasil. Desde a data das demonstrações financeiras relativas ao exercício social encerrado em 31 de dezembro de </w:t>
      </w:r>
      <w:r w:rsidRPr="00E52213" w:rsidR="005662C0">
        <w:rPr>
          <w:rFonts w:ascii="Verdana" w:eastAsia="Arial Unicode MS" w:hAnsi="Verdana" w:cs="Arial"/>
          <w:sz w:val="20"/>
          <w:szCs w:val="20"/>
        </w:rPr>
        <w:t>20</w:t>
      </w:r>
      <w:r w:rsidR="005662C0">
        <w:rPr>
          <w:rFonts w:ascii="Verdana" w:eastAsia="Arial Unicode MS" w:hAnsi="Verdana" w:cs="Arial"/>
          <w:sz w:val="20"/>
          <w:szCs w:val="20"/>
        </w:rPr>
        <w:t>20</w:t>
      </w:r>
      <w:r w:rsidRPr="00E52213">
        <w:rPr>
          <w:rFonts w:ascii="Verdana" w:eastAsia="Arial Unicode MS" w:hAnsi="Verdana" w:cs="Arial"/>
          <w:sz w:val="20"/>
          <w:szCs w:val="20"/>
        </w:rPr>
        <w:t xml:space="preserve">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Adverso na situação financeira e nos resultados operacionais em questão, não houve 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20</w:t>
      </w:r>
      <w:r>
        <w:rPr>
          <w:rFonts w:ascii="Verdana" w:eastAsia="Arial Unicode MS" w:hAnsi="Verdana"/>
          <w:sz w:val="20"/>
          <w:szCs w:val="20"/>
        </w:rPr>
        <w:t>20</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e faz com que suas controladas cumpram</w:t>
      </w:r>
      <w:r w:rsidRPr="00E52213">
        <w:rPr>
          <w:rFonts w:ascii="Verdana" w:eastAsia="Arial Unicode MS" w:hAnsi="Verdana" w:cs="Arial"/>
          <w:sz w:val="20"/>
          <w:szCs w:val="20"/>
        </w:rPr>
        <w:t xml:space="preserv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rsidR="000F06C4" w:rsidRPr="00E52213" w:rsidP="000F06C4">
      <w:pPr>
        <w:spacing w:line="320" w:lineRule="exact"/>
        <w:ind w:left="709"/>
        <w:contextualSpacing/>
        <w:jc w:val="both"/>
        <w:rPr>
          <w:rFonts w:eastAsia="Calibri"/>
          <w:lang w:eastAsia="en-US"/>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controladas</w:t>
      </w:r>
      <w:r w:rsidRPr="00E52213">
        <w:rPr>
          <w:rFonts w:ascii="Verdana" w:eastAsia="Arial Unicode MS" w:hAnsi="Verdana" w:cs="Arial"/>
          <w:iCs/>
          <w:sz w:val="20"/>
          <w:szCs w:val="20"/>
        </w:rPr>
        <w:t>, 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Pr="00E52213" w:rsidR="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004814D5">
        <w:rPr>
          <w:rFonts w:ascii="Verdana" w:eastAsia="Arial Unicode MS" w:hAnsi="Verdana"/>
          <w:sz w:val="20"/>
        </w:rPr>
        <w:t>, suas controladas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rsidR="000F06C4" w:rsidRPr="00E52213" w:rsidP="000F06C4">
      <w:pPr>
        <w:spacing w:line="320" w:lineRule="exact"/>
        <w:ind w:left="709"/>
        <w:contextualSpacing/>
        <w:jc w:val="both"/>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termos da Lei 12.431 e foi considerado como prioritário nos termos da Portaria, a qual encontra-se válida e eficaz;</w:t>
      </w: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Pr="00E52213" w:rsidR="00B64F95">
        <w:rPr>
          <w:rFonts w:ascii="Verdana" w:eastAsia="Arial Unicode MS" w:hAnsi="Verdana"/>
          <w:sz w:val="20"/>
        </w:rPr>
        <w:t>a Emissora</w:t>
      </w:r>
      <w:r w:rsidR="0049226D">
        <w:rPr>
          <w:rFonts w:ascii="Verdana" w:eastAsia="Arial Unicode MS" w:hAnsi="Verdana"/>
          <w:sz w:val="20"/>
        </w:rPr>
        <w:t xml:space="preserve"> e suas controladas</w:t>
      </w:r>
      <w:r w:rsidRPr="00E52213" w:rsidR="00B64F95">
        <w:rPr>
          <w:rFonts w:ascii="Verdana" w:eastAsia="Arial Unicode MS" w:hAnsi="Verdana"/>
          <w:sz w:val="20"/>
        </w:rPr>
        <w:t xml:space="preserve"> </w:t>
      </w:r>
      <w:r w:rsidRPr="00E52213" w:rsidR="0049226D">
        <w:rPr>
          <w:rFonts w:ascii="Verdana" w:eastAsia="Arial Unicode MS" w:hAnsi="Verdana"/>
          <w:sz w:val="20"/>
        </w:rPr>
        <w:t>est</w:t>
      </w:r>
      <w:r w:rsidR="0049226D">
        <w:rPr>
          <w:rFonts w:ascii="Verdana" w:eastAsia="Arial Unicode MS" w:hAnsi="Verdana"/>
          <w:sz w:val="20"/>
        </w:rPr>
        <w:t>ão</w:t>
      </w:r>
      <w:r w:rsidRPr="00E52213" w:rsidR="0049226D">
        <w:rPr>
          <w:rFonts w:ascii="Verdana" w:eastAsia="Arial Unicode MS" w:hAnsi="Verdana"/>
          <w:sz w:val="20"/>
        </w:rPr>
        <w:t xml:space="preserve"> </w:t>
      </w:r>
      <w:r w:rsidRPr="00E52213" w:rsidR="00B64F95">
        <w:rPr>
          <w:rFonts w:ascii="Verdana" w:eastAsia="Arial Unicode MS" w:hAnsi="Verdana"/>
          <w:sz w:val="20"/>
        </w:rPr>
        <w:t xml:space="preserve">cumprindo </w:t>
      </w:r>
      <w:r w:rsidR="0049226D">
        <w:rPr>
          <w:rFonts w:ascii="Verdana" w:eastAsia="Arial Unicode MS" w:hAnsi="Verdana"/>
          <w:sz w:val="20"/>
        </w:rPr>
        <w:t xml:space="preserve">a </w:t>
      </w:r>
      <w:r w:rsidRPr="00E52213" w:rsidR="00B64F95">
        <w:rPr>
          <w:rFonts w:ascii="Verdana" w:eastAsia="Arial Unicode MS" w:hAnsi="Verdana" w:cs="Arial"/>
          <w:sz w:val="20"/>
          <w:szCs w:val="20"/>
        </w:rPr>
        <w:t xml:space="preserve">legislação em vigor, </w:t>
      </w:r>
      <w:r w:rsidRPr="00E52213" w:rsidR="00B64F95">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rsidR="00B64F95">
        <w:t>,</w:t>
      </w:r>
      <w:r w:rsidRPr="00E52213" w:rsidR="00B64F95">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sidR="00B64F95">
        <w:rPr>
          <w:rFonts w:ascii="Verdana" w:hAnsi="Verdana" w:cs="Arial"/>
          <w:sz w:val="20"/>
          <w:szCs w:val="20"/>
        </w:rPr>
        <w:t>exigidas pelas autoridades federais, estaduais e municipais,</w:t>
      </w:r>
      <w:r w:rsidRPr="00E52213" w:rsidR="00B64F95">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Pr="00E52213" w:rsidR="00B64F95">
        <w:rPr>
          <w:rFonts w:ascii="Verdana" w:eastAsia="Arial Unicode MS" w:hAnsi="Verdana" w:cs="Arial"/>
          <w:sz w:val="20"/>
          <w:szCs w:val="20"/>
        </w:rPr>
        <w:t xml:space="preserve"> todos os registros necessários, em conformidade com a legislação civil e ambiental aplicável, </w:t>
      </w:r>
      <w:r w:rsidRPr="00E52213" w:rsidR="00B64F95">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r w:rsidRPr="00E52213" w:rsidR="00B64F95">
        <w:rPr>
          <w:rFonts w:ascii="Verdana" w:eastAsia="Arial Unicode MS" w:hAnsi="Verdana"/>
          <w:sz w:val="20"/>
        </w:rPr>
        <w:t>informado</w:t>
      </w:r>
      <w:r w:rsidRPr="00E52213" w:rsidR="00B64F95">
        <w:rPr>
          <w:rFonts w:ascii="Verdana" w:eastAsia="Arial Unicode MS" w:hAnsi="Verdana"/>
          <w:sz w:val="20"/>
        </w:rPr>
        <w:t xml:space="preserve"> nas notas explicativas de suas demonstrações financeiras relativas ao exercício social encerrado em 31 de dezembro de 2020; e </w:t>
      </w:r>
    </w:p>
    <w:p w:rsidR="000F06C4" w:rsidRPr="00E52213" w:rsidP="000F06C4">
      <w:pPr>
        <w:spacing w:line="320" w:lineRule="exact"/>
        <w:ind w:left="709"/>
        <w:contextualSpacing/>
        <w:jc w:val="both"/>
        <w:rPr>
          <w:rFonts w:ascii="Verdana" w:eastAsia="Arial Unicode MS" w:hAnsi="Verdana"/>
          <w:sz w:val="20"/>
        </w:rPr>
      </w:pPr>
    </w:p>
    <w:p w:rsidR="000F06C4" w:rsidRPr="00E52213"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 xml:space="preserve">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w:t>
      </w:r>
      <w:r w:rsidRPr="00E52213">
        <w:rPr>
          <w:rFonts w:ascii="Verdana" w:hAnsi="Verdana"/>
          <w:bCs/>
          <w:kern w:val="32"/>
          <w:sz w:val="20"/>
          <w:szCs w:val="20"/>
        </w:rPr>
        <w:t>contratual, legal ou de ordem judicial, administrativa ou arbitral, por parte da Emissora que possa vir a causar Efeito Material Adverso na Emissora.</w:t>
      </w:r>
    </w:p>
    <w:p w:rsidR="000F06C4" w:rsidRPr="00E52213" w:rsidP="000F06C4">
      <w:pPr>
        <w:spacing w:line="320" w:lineRule="exact"/>
        <w:ind w:left="709"/>
        <w:contextualSpacing/>
        <w:jc w:val="both"/>
        <w:rPr>
          <w:rFonts w:ascii="Verdana" w:hAnsi="Verdana"/>
          <w:b/>
          <w:kern w:val="32"/>
          <w:sz w:val="20"/>
        </w:rPr>
      </w:pPr>
      <w:bookmarkStart w:id="431" w:name="_DV_M596"/>
      <w:bookmarkStart w:id="432" w:name="_DV_M598"/>
      <w:bookmarkStart w:id="433" w:name="_DV_M599"/>
      <w:bookmarkStart w:id="434" w:name="_DV_M601"/>
      <w:bookmarkStart w:id="435" w:name="_DV_M603"/>
      <w:bookmarkStart w:id="436" w:name="_DV_M604"/>
      <w:bookmarkStart w:id="437" w:name="_DV_M606"/>
      <w:bookmarkStart w:id="438" w:name="_DV_M607"/>
      <w:bookmarkStart w:id="439" w:name="_DV_M611"/>
      <w:bookmarkStart w:id="440" w:name="_DV_M612"/>
      <w:bookmarkStart w:id="441" w:name="_DV_M613"/>
      <w:bookmarkEnd w:id="430"/>
      <w:bookmarkEnd w:id="431"/>
      <w:bookmarkEnd w:id="432"/>
      <w:bookmarkEnd w:id="433"/>
      <w:bookmarkEnd w:id="434"/>
      <w:bookmarkEnd w:id="435"/>
      <w:bookmarkEnd w:id="436"/>
      <w:bookmarkEnd w:id="437"/>
      <w:bookmarkEnd w:id="438"/>
      <w:bookmarkEnd w:id="439"/>
      <w:bookmarkEnd w:id="440"/>
      <w:bookmarkEnd w:id="441"/>
    </w:p>
    <w:p w:rsidR="000F06C4" w:rsidRPr="00E52213" w:rsidP="00867416">
      <w:pPr>
        <w:pStyle w:val="ListParagraph"/>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rsidR="000F06C4" w:rsidRPr="00E52213" w:rsidP="000F06C4">
      <w:pPr>
        <w:spacing w:line="320" w:lineRule="exact"/>
        <w:jc w:val="both"/>
        <w:rPr>
          <w:rFonts w:ascii="Verdana" w:eastAsia="Arial Unicode MS" w:hAnsi="Verdana"/>
          <w:sz w:val="20"/>
          <w:szCs w:val="20"/>
        </w:rPr>
      </w:pPr>
    </w:p>
    <w:p w:rsidR="000F06C4" w:rsidRPr="00E52213" w:rsidP="00867416">
      <w:pPr>
        <w:pStyle w:val="ListParagraph"/>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0F06C4" w:rsidRPr="00E52213" w:rsidP="000F06C4">
      <w:pPr>
        <w:spacing w:line="320" w:lineRule="exact"/>
        <w:contextualSpacing/>
        <w:rPr>
          <w:rFonts w:ascii="Verdana" w:eastAsia="Arial Unicode MS"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42" w:name="_DV_M614"/>
      <w:bookmarkStart w:id="443" w:name="_Toc499990386"/>
      <w:bookmarkStart w:id="444" w:name="_Toc280370545"/>
      <w:bookmarkStart w:id="445" w:name="_Toc349040601"/>
      <w:bookmarkStart w:id="446" w:name="_Toc351469186"/>
      <w:bookmarkStart w:id="447" w:name="_Toc352767488"/>
      <w:bookmarkStart w:id="448" w:name="_Toc355626575"/>
      <w:bookmarkEnd w:id="442"/>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43"/>
      <w:bookmarkEnd w:id="444"/>
      <w:bookmarkEnd w:id="445"/>
      <w:bookmarkEnd w:id="446"/>
      <w:bookmarkEnd w:id="447"/>
      <w:bookmarkEnd w:id="448"/>
    </w:p>
    <w:p w:rsidR="000F06C4" w:rsidRPr="00E52213" w:rsidP="000F06C4">
      <w:pPr>
        <w:keepNext/>
        <w:spacing w:line="320" w:lineRule="exact"/>
        <w:contextualSpacing/>
        <w:jc w:val="both"/>
        <w:rPr>
          <w:rFonts w:ascii="Verdana" w:eastAsia="Arial Unicode MS" w:hAnsi="Verdana" w:cs="Arial"/>
          <w:sz w:val="20"/>
          <w:szCs w:val="20"/>
        </w:rPr>
      </w:pPr>
      <w:bookmarkStart w:id="449" w:name="_Toc499990387"/>
    </w:p>
    <w:p w:rsidR="000F06C4" w:rsidRPr="00E52213" w:rsidP="00867416">
      <w:pPr>
        <w:pStyle w:val="ListParagraph"/>
        <w:keepNext/>
        <w:numPr>
          <w:ilvl w:val="0"/>
          <w:numId w:val="32"/>
        </w:numPr>
        <w:spacing w:line="320" w:lineRule="exact"/>
        <w:ind w:left="709" w:hanging="709"/>
        <w:contextualSpacing/>
        <w:jc w:val="both"/>
        <w:rPr>
          <w:rFonts w:ascii="Verdana" w:eastAsia="Arial Unicode MS" w:hAnsi="Verdana" w:cs="Arial"/>
          <w:b/>
          <w:sz w:val="20"/>
          <w:szCs w:val="20"/>
        </w:rPr>
      </w:pPr>
      <w:bookmarkStart w:id="450" w:name="_DV_M615"/>
      <w:bookmarkEnd w:id="449"/>
      <w:bookmarkEnd w:id="450"/>
      <w:r w:rsidRPr="00E52213">
        <w:rPr>
          <w:rFonts w:ascii="Verdana" w:eastAsia="Arial Unicode MS" w:hAnsi="Verdana" w:cs="Arial"/>
          <w:b/>
          <w:sz w:val="20"/>
          <w:szCs w:val="20"/>
        </w:rPr>
        <w:tab/>
      </w:r>
      <w:bookmarkStart w:id="451" w:name="_Hlk77252717"/>
      <w:r w:rsidRPr="00E52213">
        <w:rPr>
          <w:rFonts w:ascii="Verdana" w:eastAsia="Arial Unicode MS" w:hAnsi="Verdana" w:cs="Arial"/>
          <w:b/>
          <w:sz w:val="20"/>
          <w:szCs w:val="20"/>
        </w:rPr>
        <w:t>Comunicações</w:t>
      </w:r>
    </w:p>
    <w:p w:rsidR="000F06C4" w:rsidRPr="00E52213" w:rsidP="000F06C4">
      <w:pPr>
        <w:keepNext/>
        <w:spacing w:line="320" w:lineRule="exact"/>
        <w:contextualSpacing/>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52" w:name="_DV_M616"/>
      <w:bookmarkEnd w:id="452"/>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rsidR="000F06C4" w:rsidRPr="00E52213" w:rsidP="000F06C4">
      <w:pPr>
        <w:spacing w:line="320" w:lineRule="exact"/>
        <w:contextualSpacing/>
        <w:jc w:val="both"/>
        <w:rPr>
          <w:rFonts w:ascii="Verdana" w:eastAsia="Arial Unicode MS" w:hAnsi="Verdana" w:cs="Arial"/>
          <w:sz w:val="20"/>
          <w:szCs w:val="20"/>
        </w:rPr>
      </w:pPr>
      <w:bookmarkEnd w:id="451"/>
    </w:p>
    <w:p w:rsidR="000F06C4" w:rsidRPr="00E52213" w:rsidP="000F06C4">
      <w:pPr>
        <w:spacing w:line="320" w:lineRule="exact"/>
        <w:ind w:left="708"/>
        <w:contextualSpacing/>
        <w:jc w:val="both"/>
        <w:rPr>
          <w:rFonts w:ascii="Verdana" w:eastAsia="Arial Unicode MS" w:hAnsi="Verdana" w:cs="Arial"/>
          <w:sz w:val="20"/>
          <w:szCs w:val="20"/>
        </w:rPr>
      </w:pPr>
      <w:bookmarkStart w:id="453" w:name="_DV_M617"/>
      <w:bookmarkEnd w:id="453"/>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54" w:name="_DV_M618"/>
      <w:bookmarkEnd w:id="454"/>
    </w:p>
    <w:p w:rsidR="000F06C4" w:rsidRPr="00E52213"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rsidR="000F06C4" w:rsidRPr="00E52213" w:rsidP="000F06C4">
      <w:pPr>
        <w:tabs>
          <w:tab w:val="left" w:pos="720"/>
          <w:tab w:val="left" w:pos="2366"/>
        </w:tabs>
        <w:spacing w:line="300" w:lineRule="atLeast"/>
        <w:ind w:left="708"/>
        <w:jc w:val="both"/>
        <w:rPr>
          <w:rFonts w:ascii="Verdana" w:hAnsi="Verdana" w:cs="Arial"/>
          <w:sz w:val="20"/>
          <w:szCs w:val="20"/>
        </w:rPr>
      </w:pPr>
      <w:bookmarkStart w:id="455" w:name="_DV_M619"/>
      <w:bookmarkStart w:id="456" w:name="_DV_M621"/>
      <w:bookmarkStart w:id="457" w:name="_DV_M622"/>
      <w:bookmarkStart w:id="458" w:name="_DV_M623"/>
      <w:bookmarkStart w:id="459" w:name="_DV_M624"/>
      <w:bookmarkStart w:id="460" w:name="_DV_M625"/>
      <w:bookmarkEnd w:id="455"/>
      <w:bookmarkEnd w:id="456"/>
      <w:bookmarkEnd w:id="457"/>
      <w:bookmarkEnd w:id="458"/>
      <w:bookmarkEnd w:id="459"/>
      <w:bookmarkEnd w:id="460"/>
      <w:r w:rsidRPr="00E52213">
        <w:rPr>
          <w:rFonts w:ascii="Verdana" w:hAnsi="Verdana" w:cs="Arial"/>
          <w:sz w:val="20"/>
          <w:szCs w:val="20"/>
        </w:rPr>
        <w:t>Rua Matias Cardoso, nº 169 – 9º andar</w:t>
      </w:r>
    </w:p>
    <w:p w:rsidR="000F06C4" w:rsidRPr="0096018B"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r w:rsidRPr="0096018B">
        <w:rPr>
          <w:rFonts w:ascii="Verdana" w:hAnsi="Verdana" w:cs="Arial"/>
          <w:sz w:val="20"/>
          <w:szCs w:val="20"/>
          <w:lang w:val="en-US"/>
        </w:rPr>
        <w:t>Srs</w:t>
      </w:r>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rsidR="000F06C4" w:rsidRPr="00E52213"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61" w:name="_DV_M627"/>
      <w:bookmarkEnd w:id="461"/>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rsidR="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rsidR="000F06C4"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rsidR="0096018B"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rsidR="000F06C4" w:rsidRPr="00E52213"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rsidR="000F06C4" w:rsidRPr="00E52213" w:rsidP="000F06C4">
      <w:pPr>
        <w:spacing w:line="300" w:lineRule="exact"/>
        <w:ind w:left="708"/>
        <w:jc w:val="both"/>
        <w:rPr>
          <w:rFonts w:ascii="Verdana" w:hAnsi="Verdana"/>
          <w:sz w:val="20"/>
        </w:rPr>
      </w:pPr>
    </w:p>
    <w:p w:rsidR="000F06C4" w:rsidRPr="00E52213" w:rsidP="000F06C4">
      <w:pPr>
        <w:spacing w:line="320" w:lineRule="exact"/>
        <w:ind w:left="708"/>
        <w:contextualSpacing/>
        <w:jc w:val="both"/>
        <w:rPr>
          <w:rFonts w:ascii="Verdana" w:eastAsia="Arial Unicode MS" w:hAnsi="Verdana" w:cs="Arial"/>
          <w:sz w:val="20"/>
          <w:szCs w:val="20"/>
        </w:rPr>
      </w:pPr>
      <w:bookmarkStart w:id="462" w:name="_DV_M628"/>
      <w:bookmarkStart w:id="463" w:name="_DV_M629"/>
      <w:bookmarkStart w:id="464" w:name="_DV_M630"/>
      <w:bookmarkStart w:id="465" w:name="_DV_M635"/>
      <w:bookmarkStart w:id="466" w:name="_DV_M649"/>
      <w:bookmarkEnd w:id="462"/>
      <w:bookmarkEnd w:id="463"/>
      <w:bookmarkEnd w:id="464"/>
      <w:bookmarkEnd w:id="465"/>
      <w:bookmarkEnd w:id="466"/>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rsidR="000F06C4" w:rsidRPr="00E52213" w:rsidP="000F06C4">
      <w:pPr>
        <w:spacing w:line="320" w:lineRule="exact"/>
        <w:ind w:left="708"/>
        <w:contextualSpacing/>
        <w:jc w:val="both"/>
        <w:rPr>
          <w:rFonts w:ascii="Verdana" w:eastAsia="Arial Unicode MS" w:hAnsi="Verdana" w:cs="Arial"/>
          <w:sz w:val="20"/>
          <w:szCs w:val="20"/>
        </w:rPr>
      </w:pPr>
    </w:p>
    <w:p w:rsidR="000F06C4" w:rsidRPr="00E52213" w:rsidP="000F06C4">
      <w:pPr>
        <w:autoSpaceDE/>
        <w:autoSpaceDN/>
        <w:adjustRightInd/>
        <w:spacing w:line="320" w:lineRule="exact"/>
        <w:ind w:left="708"/>
        <w:rPr>
          <w:rFonts w:ascii="Verdana" w:hAnsi="Verdana" w:cs="Arial"/>
          <w:b/>
          <w:sz w:val="20"/>
          <w:szCs w:val="20"/>
        </w:rPr>
      </w:pPr>
      <w:bookmarkStart w:id="467" w:name="_DV_M650"/>
      <w:bookmarkEnd w:id="467"/>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rsidR="000F06C4" w:rsidRPr="00E52213"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r>
        <w:fldChar w:fldCharType="begin"/>
      </w:r>
      <w:r>
        <w:instrText xml:space="preserve"> HYPERLINK "mailto:valores.mobiliarios@b3.com.br" </w:instrText>
      </w:r>
      <w:r>
        <w:fldChar w:fldCharType="separate"/>
      </w:r>
      <w:r w:rsidRPr="00E52213">
        <w:rPr>
          <w:rFonts w:ascii="Verdana" w:hAnsi="Verdana" w:cs="Calibri"/>
          <w:bCs/>
          <w:sz w:val="20"/>
          <w:szCs w:val="20"/>
          <w:u w:val="single"/>
        </w:rPr>
        <w:t>valores.mobiliarios@b3.com.br</w:t>
      </w:r>
      <w:r>
        <w:fldChar w:fldCharType="end"/>
      </w:r>
    </w:p>
    <w:p w:rsidR="000F06C4" w:rsidRPr="00E52213" w:rsidP="000F06C4">
      <w:pPr>
        <w:autoSpaceDE/>
        <w:autoSpaceDN/>
        <w:adjustRightInd/>
        <w:spacing w:line="320" w:lineRule="exact"/>
        <w:ind w:left="708"/>
        <w:rPr>
          <w:rFonts w:ascii="Verdana" w:hAnsi="Verdana" w:cs="Calibri"/>
          <w:bCs/>
          <w:sz w:val="20"/>
          <w:szCs w:val="20"/>
        </w:rPr>
      </w:pPr>
    </w:p>
    <w:p w:rsidR="000F06C4" w:rsidRPr="00E52213" w:rsidP="000F06C4">
      <w:pPr>
        <w:autoSpaceDE/>
        <w:autoSpaceDN/>
        <w:adjustRightInd/>
        <w:spacing w:line="320" w:lineRule="exact"/>
        <w:ind w:left="708"/>
        <w:rPr>
          <w:rFonts w:ascii="Verdana" w:hAnsi="Verdana" w:cs="Calibri"/>
          <w:bCs/>
          <w:sz w:val="20"/>
          <w:szCs w:val="20"/>
        </w:rPr>
      </w:pPr>
      <w:bookmarkStart w:id="468"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rsidR="000F06C4" w:rsidRPr="00E52213" w:rsidP="000F06C4">
      <w:pPr>
        <w:shd w:val="clear" w:color="auto" w:fill="FFFFFF"/>
        <w:spacing w:line="320" w:lineRule="exact"/>
        <w:ind w:left="708"/>
        <w:contextualSpacing/>
        <w:rPr>
          <w:rFonts w:ascii="Verdana" w:hAnsi="Verdana"/>
          <w:b/>
          <w:caps/>
          <w:sz w:val="20"/>
          <w:highlight w:val="yellow"/>
        </w:rPr>
      </w:pPr>
    </w:p>
    <w:p w:rsidR="000F06C4" w:rsidRPr="00846CD4"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rsidR="000F06C4" w:rsidRPr="0096018B"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rsidR="000F06C4" w:rsidRPr="00846CD4"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r w:rsidRPr="0096018B">
        <w:rPr>
          <w:rFonts w:ascii="Verdana" w:hAnsi="Verdana"/>
          <w:sz w:val="20"/>
        </w:rPr>
        <w:t>Bartalini</w:t>
      </w:r>
      <w:r w:rsidRPr="0096018B">
        <w:rPr>
          <w:rFonts w:ascii="Verdana" w:hAnsi="Verdana"/>
          <w:sz w:val="20"/>
        </w:rPr>
        <w:t xml:space="preserve"> </w:t>
      </w:r>
      <w:r w:rsidRPr="0096018B">
        <w:rPr>
          <w:rFonts w:ascii="Verdana" w:hAnsi="Verdana"/>
          <w:sz w:val="20"/>
        </w:rPr>
        <w:t>Tempeste</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rsidR="000F06C4" w:rsidRPr="0096018B"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rsidR="000F06C4" w:rsidRPr="00E52213"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p w:rsidR="000F06C4" w:rsidRPr="00E52213" w:rsidP="000F06C4">
      <w:pPr>
        <w:autoSpaceDE/>
        <w:autoSpaceDN/>
        <w:adjustRightInd/>
        <w:spacing w:line="320" w:lineRule="exact"/>
        <w:rPr>
          <w:rFonts w:ascii="Verdana" w:eastAsia="Arial Unicode MS" w:hAnsi="Verdana" w:cs="Arial"/>
          <w:bCs/>
          <w:sz w:val="20"/>
          <w:szCs w:val="20"/>
        </w:rPr>
      </w:pPr>
      <w:bookmarkEnd w:id="468"/>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69" w:name="_DV_M657"/>
      <w:bookmarkEnd w:id="469"/>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70" w:name="_DV_M658"/>
      <w:bookmarkEnd w:id="470"/>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471" w:name="_DV_M659"/>
      <w:bookmarkEnd w:id="471"/>
      <w:r w:rsidRPr="00E52213">
        <w:rPr>
          <w:rFonts w:ascii="Verdana" w:eastAsia="Arial Unicode MS" w:hAnsi="Verdana" w:cs="Arial"/>
          <w:b/>
          <w:sz w:val="20"/>
          <w:szCs w:val="20"/>
        </w:rPr>
        <w:t>Renúncia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bookmarkStart w:id="472" w:name="_DV_M660"/>
      <w:bookmarkEnd w:id="472"/>
      <w:r w:rsidRPr="00E52213">
        <w:rPr>
          <w:rFonts w:ascii="Verdana" w:eastAsia="Arial Unicode MS" w:hAnsi="Verdana" w:cs="Arial"/>
          <w:sz w:val="20"/>
          <w:szCs w:val="20"/>
        </w:rPr>
        <w:t xml:space="preserve">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w:t>
      </w:r>
      <w:r w:rsidRPr="00E52213">
        <w:rPr>
          <w:rFonts w:ascii="Verdana" w:eastAsia="Arial Unicode MS" w:hAnsi="Verdana" w:cs="Arial"/>
          <w:sz w:val="20"/>
          <w:szCs w:val="20"/>
        </w:rPr>
        <w:t>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0F06C4" w:rsidRPr="00E52213" w:rsidP="000F06C4">
      <w:pPr>
        <w:keepNext/>
        <w:keepLines/>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rsidR="000F06C4" w:rsidRPr="00E52213" w:rsidP="000F06C4">
      <w:pPr>
        <w:keepNext/>
        <w:keepLines/>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473" w:name="_DV_M661"/>
      <w:bookmarkEnd w:id="473"/>
      <w:r w:rsidRPr="00E52213">
        <w:rPr>
          <w:rFonts w:ascii="Verdana" w:eastAsia="Arial Unicode MS" w:hAnsi="Verdana" w:cs="Arial"/>
          <w:b/>
          <w:sz w:val="20"/>
          <w:szCs w:val="20"/>
        </w:rPr>
        <w:t>Independência das Disposições da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8"/>
        </w:numPr>
        <w:spacing w:line="320" w:lineRule="exact"/>
        <w:ind w:hanging="720"/>
        <w:contextualSpacing/>
        <w:jc w:val="both"/>
        <w:rPr>
          <w:rFonts w:ascii="Verdana" w:eastAsia="Arial Unicode MS" w:hAnsi="Verdana" w:cs="Arial"/>
          <w:sz w:val="20"/>
          <w:szCs w:val="20"/>
        </w:rPr>
      </w:pPr>
      <w:bookmarkStart w:id="474" w:name="_DV_M662"/>
      <w:bookmarkEnd w:id="474"/>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475" w:name="_DV_M663"/>
      <w:bookmarkStart w:id="476" w:name="_DV_M664"/>
      <w:bookmarkEnd w:id="475"/>
      <w:bookmarkEnd w:id="476"/>
      <w:r w:rsidRPr="00E52213">
        <w:rPr>
          <w:rFonts w:ascii="Verdana" w:eastAsia="Arial Unicode MS" w:hAnsi="Verdana" w:cs="Arial"/>
          <w:b/>
          <w:sz w:val="20"/>
          <w:szCs w:val="20"/>
        </w:rPr>
        <w:t>Título Executivo Extrajudicial e Execução Específica</w:t>
      </w:r>
    </w:p>
    <w:p w:rsidR="000F06C4" w:rsidRPr="00E52213" w:rsidP="000F06C4">
      <w:pPr>
        <w:keepNext/>
        <w:keepLines/>
        <w:spacing w:line="320" w:lineRule="exact"/>
        <w:contextualSpacing/>
        <w:jc w:val="both"/>
        <w:rPr>
          <w:rFonts w:ascii="Verdana" w:eastAsia="Arial Unicode MS" w:hAnsi="Verdana" w:cs="Arial"/>
          <w:sz w:val="20"/>
          <w:szCs w:val="20"/>
        </w:rPr>
      </w:pPr>
    </w:p>
    <w:p w:rsidR="000F06C4" w:rsidRPr="00E52213" w:rsidP="00867416">
      <w:pPr>
        <w:pStyle w:val="ListParagraph"/>
        <w:keepNext/>
        <w:keepLines/>
        <w:numPr>
          <w:ilvl w:val="0"/>
          <w:numId w:val="37"/>
        </w:numPr>
        <w:spacing w:line="320" w:lineRule="exact"/>
        <w:ind w:hanging="720"/>
        <w:contextualSpacing/>
        <w:jc w:val="both"/>
        <w:rPr>
          <w:rFonts w:ascii="Verdana" w:eastAsia="Arial Unicode MS" w:hAnsi="Verdana" w:cs="Arial"/>
          <w:sz w:val="20"/>
          <w:szCs w:val="20"/>
        </w:rPr>
      </w:pPr>
      <w:bookmarkStart w:id="477" w:name="_DV_M665"/>
      <w:bookmarkEnd w:id="477"/>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478" w:name="_DV_M666"/>
      <w:bookmarkEnd w:id="478"/>
      <w:r w:rsidRPr="00E52213">
        <w:rPr>
          <w:rFonts w:ascii="Verdana" w:eastAsia="Arial Unicode MS" w:hAnsi="Verdana" w:cs="Arial"/>
          <w:b/>
          <w:sz w:val="20"/>
          <w:szCs w:val="20"/>
        </w:rPr>
        <w:tab/>
        <w:t>Cômputo do Prazo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6"/>
        </w:numPr>
        <w:spacing w:line="320" w:lineRule="exact"/>
        <w:ind w:hanging="720"/>
        <w:contextualSpacing/>
        <w:jc w:val="both"/>
        <w:rPr>
          <w:rFonts w:ascii="Verdana" w:eastAsia="Arial Unicode MS" w:hAnsi="Verdana" w:cs="Arial"/>
          <w:sz w:val="20"/>
          <w:szCs w:val="20"/>
        </w:rPr>
      </w:pPr>
      <w:bookmarkStart w:id="479" w:name="_DV_M667"/>
      <w:bookmarkEnd w:id="479"/>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480" w:name="_DV_M668"/>
      <w:bookmarkEnd w:id="480"/>
      <w:r w:rsidRPr="00E52213">
        <w:rPr>
          <w:rFonts w:ascii="Verdana" w:eastAsia="Arial Unicode MS" w:hAnsi="Verdana" w:cs="Arial"/>
          <w:b/>
          <w:sz w:val="20"/>
          <w:szCs w:val="20"/>
        </w:rPr>
        <w:tab/>
        <w:t>Despesas</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4"/>
        </w:numPr>
        <w:spacing w:line="320" w:lineRule="exact"/>
        <w:ind w:hanging="720"/>
        <w:contextualSpacing/>
        <w:jc w:val="both"/>
        <w:rPr>
          <w:rFonts w:ascii="Verdana" w:eastAsia="Arial Unicode MS" w:hAnsi="Verdana" w:cs="Arial"/>
          <w:sz w:val="20"/>
          <w:szCs w:val="20"/>
        </w:rPr>
      </w:pPr>
      <w:bookmarkStart w:id="481" w:name="_DV_M669"/>
      <w:bookmarkEnd w:id="481"/>
      <w:r w:rsidRPr="00E52213">
        <w:rPr>
          <w:rFonts w:ascii="Verdana" w:eastAsia="Arial Unicode MS" w:hAnsi="Verdana" w:cs="Arial"/>
          <w:sz w:val="20"/>
          <w:szCs w:val="20"/>
        </w:rPr>
        <w:t>A Emissora arcará com todos os custos</w:t>
      </w:r>
      <w:bookmarkStart w:id="482" w:name="_DV_C345"/>
      <w:r w:rsidRPr="00E52213">
        <w:rPr>
          <w:rFonts w:ascii="Verdana" w:eastAsia="Arial Unicode MS" w:hAnsi="Verdana" w:cs="Arial"/>
          <w:sz w:val="20"/>
          <w:szCs w:val="20"/>
        </w:rPr>
        <w:t xml:space="preserve"> da Emissão, inclusive</w:t>
      </w:r>
      <w:bookmarkStart w:id="483" w:name="_DV_M670"/>
      <w:bookmarkEnd w:id="482"/>
      <w:bookmarkEnd w:id="483"/>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484" w:name="_DV_M671"/>
      <w:bookmarkEnd w:id="484"/>
      <w:r w:rsidRPr="00E52213">
        <w:rPr>
          <w:rFonts w:ascii="Verdana" w:eastAsia="Arial Unicode MS" w:hAnsi="Verdana" w:cs="Arial"/>
          <w:sz w:val="20"/>
          <w:szCs w:val="20"/>
        </w:rPr>
        <w:t>Escritura de Emissão e a AGE da Emissora.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485" w:name="_DV_M672"/>
      <w:bookmarkStart w:id="486" w:name="_DV_M674"/>
      <w:bookmarkEnd w:id="485"/>
      <w:bookmarkEnd w:id="486"/>
      <w:r w:rsidRPr="00E52213">
        <w:rPr>
          <w:rFonts w:ascii="Verdana" w:eastAsia="Arial Unicode MS" w:hAnsi="Verdana" w:cs="Arial"/>
          <w:b/>
          <w:sz w:val="20"/>
          <w:szCs w:val="20"/>
        </w:rPr>
        <w:tab/>
        <w:t>Lei Aplicável</w:t>
      </w:r>
    </w:p>
    <w:p w:rsidR="000F06C4" w:rsidRPr="00E52213" w:rsidP="000F06C4">
      <w:pPr>
        <w:tabs>
          <w:tab w:val="left" w:pos="2833"/>
        </w:tabs>
        <w:spacing w:line="320" w:lineRule="exact"/>
        <w:ind w:hanging="720"/>
        <w:contextualSpacing/>
        <w:rPr>
          <w:rFonts w:ascii="Verdana" w:eastAsia="Arial Unicode MS" w:hAnsi="Verdana" w:cs="Arial"/>
          <w:sz w:val="20"/>
          <w:szCs w:val="20"/>
        </w:rPr>
      </w:pPr>
    </w:p>
    <w:p w:rsidR="000F06C4" w:rsidRPr="00E52213" w:rsidP="00867416">
      <w:pPr>
        <w:pStyle w:val="ListParagraph"/>
        <w:numPr>
          <w:ilvl w:val="0"/>
          <w:numId w:val="35"/>
        </w:numPr>
        <w:spacing w:line="320" w:lineRule="exact"/>
        <w:ind w:hanging="720"/>
        <w:contextualSpacing/>
        <w:jc w:val="both"/>
        <w:rPr>
          <w:rFonts w:ascii="Verdana" w:eastAsia="Arial Unicode MS" w:hAnsi="Verdana" w:cs="Arial"/>
          <w:sz w:val="20"/>
          <w:szCs w:val="20"/>
        </w:rPr>
      </w:pPr>
      <w:bookmarkStart w:id="487" w:name="_DV_M675"/>
      <w:bookmarkEnd w:id="487"/>
      <w:r w:rsidRPr="00E52213">
        <w:rPr>
          <w:rFonts w:ascii="Verdana" w:eastAsia="Arial Unicode MS" w:hAnsi="Verdana" w:cs="Arial"/>
          <w:sz w:val="20"/>
          <w:szCs w:val="20"/>
        </w:rPr>
        <w:t>Esta Escritura de Emissão é regida pelas Leis da República Federativa do Brasil.</w:t>
      </w:r>
    </w:p>
    <w:p w:rsidR="000F06C4" w:rsidRPr="00E52213" w:rsidP="000F06C4">
      <w:pPr>
        <w:autoSpaceDE/>
        <w:autoSpaceDN/>
        <w:adjustRightInd/>
        <w:spacing w:line="320" w:lineRule="exact"/>
        <w:ind w:hanging="720"/>
        <w:rPr>
          <w:rFonts w:ascii="Verdana" w:eastAsia="Arial Unicode MS" w:hAnsi="Verdana" w:cs="Arial"/>
          <w:b/>
          <w:sz w:val="20"/>
          <w:szCs w:val="20"/>
        </w:rPr>
      </w:pPr>
      <w:bookmarkStart w:id="488" w:name="_DV_M676"/>
      <w:bookmarkStart w:id="489" w:name="_DV_M681"/>
      <w:bookmarkEnd w:id="488"/>
      <w:bookmarkEnd w:id="489"/>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33"/>
        </w:numPr>
        <w:spacing w:line="320" w:lineRule="exact"/>
        <w:ind w:left="709" w:hanging="720"/>
        <w:contextualSpacing/>
        <w:jc w:val="both"/>
        <w:rPr>
          <w:rFonts w:ascii="Verdana" w:eastAsia="Arial Unicode MS" w:hAnsi="Verdana" w:cs="Arial"/>
          <w:sz w:val="20"/>
          <w:szCs w:val="20"/>
        </w:rPr>
      </w:pPr>
      <w:bookmarkStart w:id="490" w:name="_DV_M682"/>
      <w:bookmarkEnd w:id="490"/>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bookmarkStart w:id="491" w:name="_DV_M683"/>
      <w:bookmarkEnd w:id="491"/>
    </w:p>
    <w:p w:rsidR="0084095A" w:rsidRPr="00E52213"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6527FE">
        <w:rPr>
          <w:rFonts w:ascii="Verdana" w:eastAsia="Arial Unicode MS" w:hAnsi="Verdana" w:cs="Arial"/>
          <w:sz w:val="20"/>
          <w:szCs w:val="20"/>
        </w:rPr>
        <w:t>04</w:t>
      </w:r>
      <w:r w:rsidRPr="00E52213" w:rsidR="006527FE">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6527FE">
        <w:rPr>
          <w:rFonts w:ascii="Verdana" w:eastAsia="Arial Unicode MS" w:hAnsi="Verdana" w:cs="Arial"/>
          <w:sz w:val="20"/>
          <w:szCs w:val="20"/>
        </w:rPr>
        <w:t>agosto</w:t>
      </w:r>
      <w:r w:rsidRPr="00E52213" w:rsidR="006527FE">
        <w:rPr>
          <w:rFonts w:ascii="Verdana" w:eastAsia="Arial Unicode MS" w:hAnsi="Verdana" w:cs="Arial"/>
          <w:sz w:val="20"/>
          <w:szCs w:val="20"/>
        </w:rPr>
        <w:t xml:space="preserve"> </w:t>
      </w:r>
      <w:r w:rsidRPr="00E52213">
        <w:rPr>
          <w:rFonts w:ascii="Verdana" w:eastAsia="Arial Unicode MS" w:hAnsi="Verdana" w:cs="Arial"/>
          <w:sz w:val="20"/>
          <w:szCs w:val="20"/>
        </w:rPr>
        <w:t>de 2021.</w:t>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6527FE" w:rsidR="006527FE">
        <w:rPr>
          <w:rFonts w:ascii="Verdana" w:eastAsia="Arial Unicode MS" w:hAnsi="Verdana" w:cs="Arial"/>
          <w:sz w:val="20"/>
          <w:szCs w:val="20"/>
        </w:rPr>
        <w:t>Wander Luiz de Oliveira</w:t>
      </w:r>
      <w:r w:rsidRPr="00E52213">
        <w:rPr>
          <w:rFonts w:ascii="Verdana" w:eastAsia="Arial Unicode MS" w:hAnsi="Verdana" w:cs="Arial"/>
          <w:sz w:val="20"/>
          <w:szCs w:val="20"/>
        </w:rPr>
        <w:t xml:space="preserve"> e </w:t>
      </w:r>
      <w:r w:rsidRPr="006527FE" w:rsidR="006527FE">
        <w:rPr>
          <w:rFonts w:ascii="Verdana" w:eastAsia="Arial Unicode MS" w:hAnsi="Verdana" w:cs="Arial"/>
          <w:sz w:val="20"/>
          <w:szCs w:val="20"/>
        </w:rPr>
        <w:t>Paulo de Tarso de Alexandria Cruz</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6527FE" w:rsidR="006527FE">
        <w:rPr>
          <w:rFonts w:ascii="Verdana" w:eastAsia="Arial Unicode MS" w:hAnsi="Verdana" w:cs="Arial"/>
          <w:sz w:val="20"/>
          <w:szCs w:val="20"/>
        </w:rPr>
        <w:t>Carlos Alberto Bacha</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6527FE" w:rsidR="006527FE">
        <w:rPr>
          <w:rFonts w:ascii="Verdana" w:eastAsia="Arial Unicode MS" w:hAnsi="Verdana" w:cs="Arial"/>
          <w:sz w:val="20"/>
          <w:szCs w:val="20"/>
        </w:rPr>
        <w:t>Henrique Silva Schuffner</w:t>
      </w:r>
      <w:r w:rsidRPr="00E52213">
        <w:rPr>
          <w:rFonts w:ascii="Verdana" w:eastAsia="Arial Unicode MS" w:hAnsi="Verdana" w:cs="Arial"/>
          <w:sz w:val="20"/>
          <w:szCs w:val="20"/>
        </w:rPr>
        <w:t xml:space="preserve"> e </w:t>
      </w:r>
      <w:r w:rsidRPr="006527FE" w:rsidR="006527FE">
        <w:rPr>
          <w:rFonts w:ascii="Verdana" w:eastAsia="Arial Unicode MS" w:hAnsi="Verdana" w:cs="Arial"/>
          <w:sz w:val="20"/>
          <w:szCs w:val="20"/>
        </w:rPr>
        <w:t>Natália Xavier Alencar</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i/>
          <w:sz w:val="20"/>
          <w:szCs w:val="20"/>
        </w:rPr>
      </w:pPr>
      <w:bookmarkStart w:id="492" w:name="_DV_M687"/>
      <w:bookmarkStart w:id="493" w:name="_DV_M688"/>
      <w:bookmarkEnd w:id="492"/>
      <w:bookmarkEnd w:id="493"/>
      <w:r w:rsidRPr="00E52213">
        <w:rPr>
          <w:rFonts w:ascii="Verdana" w:eastAsia="Arial Unicode MS" w:hAnsi="Verdana"/>
          <w:i/>
          <w:sz w:val="20"/>
          <w:szCs w:val="20"/>
        </w:rPr>
        <w:br w:type="page"/>
      </w:r>
    </w:p>
    <w:p w:rsidR="000F06C4" w:rsidRPr="00E52213" w:rsidP="000F06C4">
      <w:pPr>
        <w:autoSpaceDE/>
        <w:autoSpaceDN/>
        <w:adjustRightInd/>
        <w:spacing w:after="160" w:line="259" w:lineRule="auto"/>
        <w:rPr>
          <w:rFonts w:ascii="Verdana" w:hAnsi="Verdana" w:cs="Arial"/>
          <w:b/>
          <w:sz w:val="20"/>
          <w:szCs w:val="20"/>
          <w:u w:val="single"/>
        </w:rPr>
      </w:pPr>
      <w:bookmarkStart w:id="494" w:name="_DV_M689"/>
      <w:bookmarkStart w:id="495" w:name="_DV_M692"/>
      <w:bookmarkStart w:id="496" w:name="_DV_M694"/>
      <w:bookmarkEnd w:id="494"/>
      <w:bookmarkEnd w:id="495"/>
      <w:bookmarkEnd w:id="496"/>
    </w:p>
    <w:p w:rsidR="000F06C4" w:rsidRPr="00E52213"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rsidR="000F06C4" w:rsidRPr="00E52213"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rsidR="000F06C4" w:rsidRPr="00E52213" w:rsidP="000F06C4">
      <w:pPr>
        <w:tabs>
          <w:tab w:val="left" w:pos="2366"/>
        </w:tabs>
        <w:spacing w:line="340" w:lineRule="exact"/>
        <w:jc w:val="center"/>
        <w:rPr>
          <w:rFonts w:ascii="Verdana" w:hAnsi="Verdana" w:cs="Arial"/>
          <w:b/>
          <w:sz w:val="20"/>
          <w:szCs w:val="20"/>
          <w:u w:val="single"/>
        </w:rPr>
      </w:pP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p>
    <w:p w:rsidR="000F06C4" w:rsidRPr="00E52213" w:rsidP="000F06C4">
      <w:pPr>
        <w:tabs>
          <w:tab w:val="left" w:pos="2366"/>
        </w:tabs>
        <w:spacing w:line="340" w:lineRule="exact"/>
        <w:jc w:val="center"/>
        <w:rPr>
          <w:rFonts w:ascii="Verdana" w:hAnsi="Verdana"/>
          <w:b/>
          <w:sz w:val="20"/>
          <w:szCs w:val="20"/>
        </w:rPr>
      </w:pPr>
    </w:p>
    <w:sectPr>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A8E" w:rsidRPr="00F00523">
    <w:pPr>
      <w:pStyle w:val="Footer"/>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rsidR="00653A8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A8E" w:rsidP="000F06C4">
    <w:pPr>
      <w:pStyle w:val="Header"/>
      <w:jc w:val="right"/>
    </w:pPr>
    <w:r>
      <w:rPr>
        <w:noProof/>
      </w:rPr>
      <w:drawing>
        <wp:inline distT="0" distB="0" distL="0" distR="0">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D1902CE6"/>
    <w:lvl w:ilvl="0">
      <w:start w:val="1"/>
      <w:numFmt w:val="decimal"/>
      <w:lvlText w:val="2.%1."/>
      <w:lvlJc w:val="left"/>
      <w:pPr>
        <w:tabs>
          <w:tab w:val="num" w:pos="2160"/>
        </w:tabs>
      </w:pPr>
      <w:rPr>
        <w:rFonts w:ascii="Verdana" w:hAnsi="Verdana"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nsid w:val="00000010"/>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5"/>
    <w:multiLevelType w:val="hybridMultilevel"/>
    <w:tmpl w:val="DA30E394"/>
    <w:lvl w:ilvl="0">
      <w:start w:val="1"/>
      <w:numFmt w:val="lowerLetter"/>
      <w:lvlText w:val="(%1)"/>
      <w:lvlJc w:val="left"/>
      <w:pPr>
        <w:tabs>
          <w:tab w:val="num" w:pos="750"/>
        </w:tabs>
        <w:ind w:left="750" w:hanging="39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6"/>
    <w:multiLevelType w:val="hybridMultilevel"/>
    <w:tmpl w:val="86923360"/>
    <w:lvl w:ilvl="0">
      <w:start w:val="1"/>
      <w:numFmt w:val="lowerLetter"/>
      <w:lvlText w:val="(%1)"/>
      <w:lvlJc w:val="left"/>
      <w:pPr>
        <w:tabs>
          <w:tab w:val="num" w:pos="1145"/>
        </w:tabs>
        <w:ind w:left="1145" w:hanging="435"/>
      </w:pPr>
      <w:rPr>
        <w:rFonts w:cs="Times New Roman" w:hint="eastAsia"/>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nsid w:val="00283D62"/>
    <w:multiLevelType w:val="hybridMultilevel"/>
    <w:tmpl w:val="48C2CF64"/>
    <w:lvl w:ilvl="0">
      <w:start w:val="1"/>
      <w:numFmt w:val="decimal"/>
      <w:lvlText w:val="4.6.%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835E39"/>
    <w:multiLevelType w:val="hybridMultilevel"/>
    <w:tmpl w:val="03C4CC98"/>
    <w:lvl w:ilvl="0">
      <w:start w:val="1"/>
      <w:numFmt w:val="decimal"/>
      <w:lvlText w:val="4.5.%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931D87"/>
    <w:multiLevelType w:val="hybridMultilevel"/>
    <w:tmpl w:val="E45C6190"/>
    <w:lvl w:ilvl="0">
      <w:start w:val="1"/>
      <w:numFmt w:val="decimal"/>
      <w:lvlText w:val="7.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244897"/>
    <w:multiLevelType w:val="hybridMultilevel"/>
    <w:tmpl w:val="0A361DE4"/>
    <w:lvl w:ilvl="0">
      <w:start w:val="1"/>
      <w:numFmt w:val="decimal"/>
      <w:lvlText w:val="4.1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F27BB0"/>
    <w:multiLevelType w:val="hybridMultilevel"/>
    <w:tmpl w:val="BDD08B28"/>
    <w:lvl w:ilvl="0">
      <w:start w:val="1"/>
      <w:numFmt w:val="decimal"/>
      <w:lvlText w:val="7.4.1.%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8F12C2A"/>
    <w:multiLevelType w:val="hybridMultilevel"/>
    <w:tmpl w:val="EE8E709A"/>
    <w:lvl w:ilvl="0">
      <w:start w:val="1"/>
      <w:numFmt w:val="decimal"/>
      <w:lvlText w:val="4.2.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91E69B4"/>
    <w:multiLevelType w:val="hybridMultilevel"/>
    <w:tmpl w:val="10562214"/>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nsid w:val="0E841B88"/>
    <w:multiLevelType w:val="hybridMultilevel"/>
    <w:tmpl w:val="C9BA8F70"/>
    <w:lvl w:ilvl="0">
      <w:start w:val="1"/>
      <w:numFmt w:val="decimal"/>
      <w:lvlText w:val="7.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B4612"/>
    <w:multiLevelType w:val="hybridMultilevel"/>
    <w:tmpl w:val="4C025104"/>
    <w:lvl w:ilvl="0">
      <w:start w:val="1"/>
      <w:numFmt w:val="decimal"/>
      <w:lvlText w:val="7.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A35FDF"/>
    <w:multiLevelType w:val="hybridMultilevel"/>
    <w:tmpl w:val="620490A8"/>
    <w:lvl w:ilvl="0">
      <w:start w:val="1"/>
      <w:numFmt w:val="decimal"/>
      <w:lvlText w:val="4.1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237F95"/>
    <w:multiLevelType w:val="hybridMultilevel"/>
    <w:tmpl w:val="9072DD92"/>
    <w:lvl w:ilvl="0">
      <w:start w:val="1"/>
      <w:numFmt w:val="decimal"/>
      <w:lvlText w:val="4.1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D52980"/>
    <w:multiLevelType w:val="hybridMultilevel"/>
    <w:tmpl w:val="050E5530"/>
    <w:lvl w:ilvl="0">
      <w:start w:val="1"/>
      <w:numFmt w:val="decimal"/>
      <w:lvlText w:val="7.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nsid w:val="1B1F2540"/>
    <w:multiLevelType w:val="hybridMultilevel"/>
    <w:tmpl w:val="776835C4"/>
    <w:lvl w:ilvl="0">
      <w:start w:val="1"/>
      <w:numFmt w:val="decimal"/>
      <w:lvlText w:val="3.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5D7C1B"/>
    <w:multiLevelType w:val="hybridMultilevel"/>
    <w:tmpl w:val="069A8960"/>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D7C63D0"/>
    <w:multiLevelType w:val="hybridMultilevel"/>
    <w:tmpl w:val="F920083E"/>
    <w:lvl w:ilvl="0">
      <w:start w:val="1"/>
      <w:numFmt w:val="lowerLetter"/>
      <w:lvlText w:val="(%1)"/>
      <w:lvlJc w:val="left"/>
      <w:pPr>
        <w:ind w:left="502" w:hanging="360"/>
      </w:pPr>
      <w:rPr>
        <w:rFonts w:cs="Times New Roman"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7">
    <w:nsid w:val="1EC93918"/>
    <w:multiLevelType w:val="hybridMultilevel"/>
    <w:tmpl w:val="27DA5E64"/>
    <w:lvl w:ilvl="0">
      <w:start w:val="1"/>
      <w:numFmt w:val="lowerRoman"/>
      <w:lvlText w:val="(%1)"/>
      <w:lvlJc w:val="left"/>
      <w:pPr>
        <w:ind w:left="3197" w:hanging="360"/>
      </w:pPr>
      <w:rPr>
        <w:rFonts w:cs="Times New Roman" w:hint="default"/>
      </w:rPr>
    </w:lvl>
    <w:lvl w:ilvl="1" w:tentative="1">
      <w:start w:val="1"/>
      <w:numFmt w:val="lowerLetter"/>
      <w:lvlText w:val="%2."/>
      <w:lvlJc w:val="left"/>
      <w:pPr>
        <w:ind w:left="3917" w:hanging="360"/>
      </w:pPr>
    </w:lvl>
    <w:lvl w:ilvl="2" w:tentative="1">
      <w:start w:val="1"/>
      <w:numFmt w:val="lowerRoman"/>
      <w:lvlText w:val="%3."/>
      <w:lvlJc w:val="right"/>
      <w:pPr>
        <w:ind w:left="4637" w:hanging="180"/>
      </w:pPr>
    </w:lvl>
    <w:lvl w:ilvl="3" w:tentative="1">
      <w:start w:val="1"/>
      <w:numFmt w:val="decimal"/>
      <w:lvlText w:val="%4."/>
      <w:lvlJc w:val="left"/>
      <w:pPr>
        <w:ind w:left="5357" w:hanging="360"/>
      </w:pPr>
    </w:lvl>
    <w:lvl w:ilvl="4" w:tentative="1">
      <w:start w:val="1"/>
      <w:numFmt w:val="lowerLetter"/>
      <w:lvlText w:val="%5."/>
      <w:lvlJc w:val="left"/>
      <w:pPr>
        <w:ind w:left="6077" w:hanging="360"/>
      </w:pPr>
    </w:lvl>
    <w:lvl w:ilvl="5" w:tentative="1">
      <w:start w:val="1"/>
      <w:numFmt w:val="lowerRoman"/>
      <w:lvlText w:val="%6."/>
      <w:lvlJc w:val="right"/>
      <w:pPr>
        <w:ind w:left="6797" w:hanging="180"/>
      </w:pPr>
    </w:lvl>
    <w:lvl w:ilvl="6" w:tentative="1">
      <w:start w:val="1"/>
      <w:numFmt w:val="decimal"/>
      <w:lvlText w:val="%7."/>
      <w:lvlJc w:val="left"/>
      <w:pPr>
        <w:ind w:left="7517" w:hanging="360"/>
      </w:pPr>
    </w:lvl>
    <w:lvl w:ilvl="7" w:tentative="1">
      <w:start w:val="1"/>
      <w:numFmt w:val="lowerLetter"/>
      <w:lvlText w:val="%8."/>
      <w:lvlJc w:val="left"/>
      <w:pPr>
        <w:ind w:left="8237" w:hanging="360"/>
      </w:pPr>
    </w:lvl>
    <w:lvl w:ilvl="8" w:tentative="1">
      <w:start w:val="1"/>
      <w:numFmt w:val="lowerRoman"/>
      <w:lvlText w:val="%9."/>
      <w:lvlJc w:val="right"/>
      <w:pPr>
        <w:ind w:left="8957" w:hanging="180"/>
      </w:pPr>
    </w:lvl>
  </w:abstractNum>
  <w:abstractNum w:abstractNumId="28">
    <w:nsid w:val="1F675D12"/>
    <w:multiLevelType w:val="hybridMultilevel"/>
    <w:tmpl w:val="635ACAFE"/>
    <w:lvl w:ilvl="0">
      <w:start w:val="1"/>
      <w:numFmt w:val="decimal"/>
      <w:lvlText w:val="7.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5061B4"/>
    <w:multiLevelType w:val="hybridMultilevel"/>
    <w:tmpl w:val="B6962580"/>
    <w:lvl w:ilvl="0">
      <w:start w:val="1"/>
      <w:numFmt w:val="decimal"/>
      <w:lvlText w:val="8.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323535"/>
    <w:multiLevelType w:val="hybridMultilevel"/>
    <w:tmpl w:val="2592A77C"/>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2402443"/>
    <w:multiLevelType w:val="hybridMultilevel"/>
    <w:tmpl w:val="DE38BC4E"/>
    <w:lvl w:ilvl="0">
      <w:start w:val="1"/>
      <w:numFmt w:val="decimal"/>
      <w:lvlText w:val="4.10.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175D44"/>
    <w:multiLevelType w:val="hybridMultilevel"/>
    <w:tmpl w:val="7390F556"/>
    <w:lvl w:ilvl="0">
      <w:start w:val="1"/>
      <w:numFmt w:val="decimal"/>
      <w:lvlText w:val="3.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49773C8"/>
    <w:multiLevelType w:val="hybridMultilevel"/>
    <w:tmpl w:val="1FC41604"/>
    <w:lvl w:ilvl="0">
      <w:start w:val="1"/>
      <w:numFmt w:val="decimal"/>
      <w:lvlText w:val="8.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7CE5645"/>
    <w:multiLevelType w:val="hybridMultilevel"/>
    <w:tmpl w:val="D4D22BC8"/>
    <w:lvl w:ilvl="0">
      <w:start w:val="1"/>
      <w:numFmt w:val="decimal"/>
      <w:lvlText w:val="10.8.%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63264D"/>
    <w:multiLevelType w:val="hybridMultilevel"/>
    <w:tmpl w:val="2662F646"/>
    <w:lvl w:ilvl="0">
      <w:start w:val="1"/>
      <w:numFmt w:val="decimal"/>
      <w:lvlText w:val="8.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9377F2"/>
    <w:multiLevelType w:val="hybridMultilevel"/>
    <w:tmpl w:val="277047EE"/>
    <w:lvl w:ilvl="0">
      <w:start w:val="1"/>
      <w:numFmt w:val="decimal"/>
      <w:lvlText w:val="8.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AE96884"/>
    <w:multiLevelType w:val="hybridMultilevel"/>
    <w:tmpl w:val="AD7CDA68"/>
    <w:lvl w:ilvl="0">
      <w:start w:val="1"/>
      <w:numFmt w:val="decimal"/>
      <w:lvlText w:val="4.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CCB2F26"/>
    <w:multiLevelType w:val="hybridMultilevel"/>
    <w:tmpl w:val="8848BC50"/>
    <w:lvl w:ilvl="0">
      <w:start w:val="1"/>
      <w:numFmt w:val="decimal"/>
      <w:lvlText w:val="7.4.%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DB072D5"/>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24B332A"/>
    <w:multiLevelType w:val="hybridMultilevel"/>
    <w:tmpl w:val="FCE8E76C"/>
    <w:lvl w:ilvl="0">
      <w:start w:val="1"/>
      <w:numFmt w:val="decimal"/>
      <w:lvlText w:val="4.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48E70C0"/>
    <w:multiLevelType w:val="hybridMultilevel"/>
    <w:tmpl w:val="94ECBD9E"/>
    <w:lvl w:ilvl="0">
      <w:start w:val="1"/>
      <w:numFmt w:val="decimal"/>
      <w:lvlText w:val="8.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99B2B03"/>
    <w:multiLevelType w:val="hybridMultilevel"/>
    <w:tmpl w:val="13A02250"/>
    <w:lvl w:ilvl="0">
      <w:start w:val="1"/>
      <w:numFmt w:val="decimal"/>
      <w:lvlText w:val="4.2.%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126591"/>
    <w:multiLevelType w:val="hybridMultilevel"/>
    <w:tmpl w:val="98988CF8"/>
    <w:lvl w:ilvl="0">
      <w:start w:val="1"/>
      <w:numFmt w:val="decimal"/>
      <w:lvlText w:val="3.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C3A4084"/>
    <w:multiLevelType w:val="hybridMultilevel"/>
    <w:tmpl w:val="6FDA5CE0"/>
    <w:lvl w:ilvl="0">
      <w:start w:val="1"/>
      <w:numFmt w:val="decimal"/>
      <w:lvlText w:val="10.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EDD6CCE"/>
    <w:multiLevelType w:val="hybridMultilevel"/>
    <w:tmpl w:val="DEF60AE0"/>
    <w:lvl w:ilvl="0">
      <w:start w:val="1"/>
      <w:numFmt w:val="decimal"/>
      <w:lvlText w:val="4.4.%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3B963A0"/>
    <w:multiLevelType w:val="hybridMultilevel"/>
    <w:tmpl w:val="603E9B84"/>
    <w:lvl w:ilvl="0">
      <w:start w:val="1"/>
      <w:numFmt w:val="decimal"/>
      <w:lvlText w:val="4.1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4452F7"/>
    <w:multiLevelType w:val="hybridMultilevel"/>
    <w:tmpl w:val="3EEC54B6"/>
    <w:lvl w:ilvl="0">
      <w:start w:val="1"/>
      <w:numFmt w:val="lowerLetter"/>
      <w:lvlText w:val="(%1)"/>
      <w:lvlJc w:val="left"/>
      <w:pPr>
        <w:ind w:left="2880" w:hanging="360"/>
      </w:pPr>
      <w:rPr>
        <w:rFonts w:hint="default"/>
      </w:rPr>
    </w:lvl>
    <w:lvl w:ilvl="1">
      <w:start w:val="1"/>
      <w:numFmt w:val="lowerRoman"/>
      <w:lvlText w:val="(%2)"/>
      <w:lvlJc w:val="left"/>
      <w:pPr>
        <w:ind w:left="3960" w:hanging="720"/>
      </w:pPr>
      <w:rPr>
        <w:rFonts w:eastAsia="Times New Roman" w:hint="default"/>
        <w:w w:val="10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
    <w:nsid w:val="4E3C16FC"/>
    <w:multiLevelType w:val="hybridMultilevel"/>
    <w:tmpl w:val="0FD4B7FC"/>
    <w:lvl w:ilvl="0">
      <w:start w:val="1"/>
      <w:numFmt w:val="decimal"/>
      <w:lvlText w:val="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36D4890"/>
    <w:multiLevelType w:val="hybridMultilevel"/>
    <w:tmpl w:val="C2D03E92"/>
    <w:lvl w:ilvl="0">
      <w:start w:val="1"/>
      <w:numFmt w:val="decimal"/>
      <w:lvlText w:val="9.%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E07A6C"/>
    <w:multiLevelType w:val="hybridMultilevel"/>
    <w:tmpl w:val="B0E4D108"/>
    <w:lvl w:ilvl="0">
      <w:start w:val="1"/>
      <w:numFmt w:val="decimal"/>
      <w:lvlText w:val="4.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5235EE9"/>
    <w:multiLevelType w:val="hybridMultilevel"/>
    <w:tmpl w:val="13202202"/>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8A6446"/>
    <w:multiLevelType w:val="hybridMultilevel"/>
    <w:tmpl w:val="2474E6CA"/>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5C8294C"/>
    <w:multiLevelType w:val="hybridMultilevel"/>
    <w:tmpl w:val="0F84C0BE"/>
    <w:lvl w:ilvl="0">
      <w:start w:val="1"/>
      <w:numFmt w:val="decimal"/>
      <w:lvlText w:val="10.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E00AD"/>
    <w:multiLevelType w:val="hybridMultilevel"/>
    <w:tmpl w:val="160AE4B4"/>
    <w:lvl w:ilvl="0">
      <w:start w:val="1"/>
      <w:numFmt w:val="decimal"/>
      <w:lvlText w:val="4.2.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61A6556"/>
    <w:multiLevelType w:val="hybridMultilevel"/>
    <w:tmpl w:val="9EFEEA98"/>
    <w:lvl w:ilvl="0">
      <w:start w:val="1"/>
      <w:numFmt w:val="decimal"/>
      <w:lvlText w:val="6.%1."/>
      <w:lvlJc w:val="left"/>
      <w:pPr>
        <w:ind w:left="862" w:hanging="360"/>
      </w:pPr>
      <w:rPr>
        <w:rFonts w:hint="default"/>
        <w:b/>
        <w:bCs/>
        <w:i w:val="0"/>
        <w:i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6F417DD"/>
    <w:multiLevelType w:val="hybridMultilevel"/>
    <w:tmpl w:val="242C2998"/>
    <w:lvl w:ilvl="0">
      <w:start w:val="1"/>
      <w:numFmt w:val="decimal"/>
      <w:lvlText w:val="8.%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286AA6"/>
    <w:multiLevelType w:val="hybridMultilevel"/>
    <w:tmpl w:val="7E32BF9A"/>
    <w:lvl w:ilvl="0">
      <w:start w:val="1"/>
      <w:numFmt w:val="decimal"/>
      <w:lvlText w:val="4.9.%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A2A3D38"/>
    <w:multiLevelType w:val="hybridMultilevel"/>
    <w:tmpl w:val="99A604FE"/>
    <w:lvl w:ilvl="0">
      <w:start w:val="1"/>
      <w:numFmt w:val="decimal"/>
      <w:lvlText w:val="3.6.%1."/>
      <w:lvlJc w:val="left"/>
      <w:pPr>
        <w:ind w:left="720" w:hanging="360"/>
      </w:pPr>
      <w:rPr>
        <w:rFonts w:hint="default"/>
        <w:sz w:val="20"/>
        <w:szCs w:val="20"/>
        <w:lang w:val="pt-BR"/>
      </w:rPr>
    </w:lvl>
    <w:lvl w:ilvl="1">
      <w:start w:val="1"/>
      <w:numFmt w:val="lowerRoman"/>
      <w:lvlText w:val="(%2)"/>
      <w:lvlJc w:val="left"/>
      <w:pPr>
        <w:ind w:left="1800" w:hanging="720"/>
      </w:pPr>
      <w:rPr>
        <w:rFonts w:hint="default"/>
        <w:b w:val="0"/>
        <w:i w:val="0"/>
      </w:rPr>
    </w:lvl>
    <w:lvl w:ilvl="2">
      <w:start w:val="1"/>
      <w:numFmt w:val="lowerRoman"/>
      <w:lvlText w:val="%3."/>
      <w:lvlJc w:val="right"/>
      <w:pPr>
        <w:ind w:left="2160" w:hanging="180"/>
      </w:pPr>
    </w:lvl>
    <w:lvl w:ilvl="3">
      <w:start w:val="1"/>
      <w:numFmt w:val="lowerLetter"/>
      <w:lvlText w:val="(%4)"/>
      <w:lvlJc w:val="left"/>
      <w:pPr>
        <w:ind w:left="2880" w:hanging="360"/>
      </w:pPr>
      <w:rPr>
        <w:rFonts w:cs="Times New Roman" w:hint="eastAsia"/>
        <w:b w:val="0"/>
        <w:sz w:val="20"/>
        <w:szCs w:val="2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C43FF8"/>
    <w:multiLevelType w:val="hybridMultilevel"/>
    <w:tmpl w:val="C9264386"/>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2686A09"/>
    <w:multiLevelType w:val="hybridMultilevel"/>
    <w:tmpl w:val="76F2B7FC"/>
    <w:lvl w:ilvl="0">
      <w:start w:val="1"/>
      <w:numFmt w:val="decimal"/>
      <w:lvlText w:val="6.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3783656"/>
    <w:multiLevelType w:val="hybridMultilevel"/>
    <w:tmpl w:val="8DBAA7DC"/>
    <w:lvl w:ilvl="0">
      <w:start w:val="1"/>
      <w:numFmt w:val="decimal"/>
      <w:lvlText w:val="4.10.%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7CE1536"/>
    <w:multiLevelType w:val="hybridMultilevel"/>
    <w:tmpl w:val="BD9E0ECE"/>
    <w:lvl w:ilvl="0">
      <w:start w:val="1"/>
      <w:numFmt w:val="decimal"/>
      <w:lvlText w:val="8.4.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95D5AF4"/>
    <w:multiLevelType w:val="hybridMultilevel"/>
    <w:tmpl w:val="A15278D8"/>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A62018E"/>
    <w:multiLevelType w:val="hybridMultilevel"/>
    <w:tmpl w:val="69F8CD5A"/>
    <w:lvl w:ilvl="0">
      <w:start w:val="1"/>
      <w:numFmt w:val="lowerLetter"/>
      <w:pStyle w:val="Heading31"/>
      <w:lvlText w:val="%1)"/>
      <w:lvlJc w:val="left"/>
      <w:pPr>
        <w:tabs>
          <w:tab w:val="num" w:pos="720"/>
        </w:tabs>
        <w:ind w:left="720" w:hanging="360"/>
      </w:pPr>
    </w:lvl>
    <w:lvl w:ilvl="1">
      <w:start w:val="1"/>
      <w:numFmt w:val="none"/>
      <w:lvlText w:val="i."/>
      <w:lvlJc w:val="right"/>
      <w:pPr>
        <w:tabs>
          <w:tab w:val="num" w:pos="1260"/>
        </w:tabs>
        <w:ind w:left="1260" w:hanging="18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8">
    <w:nsid w:val="6FAF6CE3"/>
    <w:multiLevelType w:val="hybridMultilevel"/>
    <w:tmpl w:val="8C3A1F8A"/>
    <w:lvl w:ilvl="0">
      <w:start w:val="1"/>
      <w:numFmt w:val="decimal"/>
      <w:lvlText w:val="4.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01A5B3A"/>
    <w:multiLevelType w:val="hybridMultilevel"/>
    <w:tmpl w:val="F4784CA4"/>
    <w:lvl w:ilvl="0">
      <w:start w:val="1"/>
      <w:numFmt w:val="decimal"/>
      <w:lvlText w:val="10.7.%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0221AA9"/>
    <w:multiLevelType w:val="hybridMultilevel"/>
    <w:tmpl w:val="F4B0CB3E"/>
    <w:lvl w:ilvl="0">
      <w:start w:val="1"/>
      <w:numFmt w:val="decimal"/>
      <w:lvlText w:val="10.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2F21047"/>
    <w:multiLevelType w:val="hybridMultilevel"/>
    <w:tmpl w:val="3FD643BC"/>
    <w:lvl w:ilvl="0">
      <w:start w:val="1"/>
      <w:numFmt w:val="decimal"/>
      <w:lvlText w:val="4.1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33E52CF"/>
    <w:multiLevelType w:val="hybridMultilevel"/>
    <w:tmpl w:val="2CCA97D2"/>
    <w:lvl w:ilvl="0">
      <w:start w:val="1"/>
      <w:numFmt w:val="decimal"/>
      <w:lvlText w:val="3.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nsid w:val="79F21358"/>
    <w:multiLevelType w:val="hybridMultilevel"/>
    <w:tmpl w:val="7CD80C76"/>
    <w:lvl w:ilvl="0">
      <w:start w:val="1"/>
      <w:numFmt w:val="decimal"/>
      <w:lvlText w:val="4.1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BC34378"/>
    <w:multiLevelType w:val="hybridMultilevel"/>
    <w:tmpl w:val="2C9E0FC2"/>
    <w:lvl w:ilvl="0">
      <w:start w:val="1"/>
      <w:numFmt w:val="decimal"/>
      <w:lvlText w:val="10.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C9238E"/>
    <w:multiLevelType w:val="hybridMultilevel"/>
    <w:tmpl w:val="81040D66"/>
    <w:lvl w:ilvl="0">
      <w:start w:val="1"/>
      <w:numFmt w:val="decimal"/>
      <w:lvlText w:val="10.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D8A73DB"/>
    <w:multiLevelType w:val="hybridMultilevel"/>
    <w:tmpl w:val="DE143F5A"/>
    <w:lvl w:ilvl="0">
      <w:start w:val="1"/>
      <w:numFmt w:val="decimal"/>
      <w:lvlText w:val="7.%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F5C3FFF"/>
    <w:multiLevelType w:val="hybridMultilevel"/>
    <w:tmpl w:val="A404BB24"/>
    <w:lvl w:ilvl="0">
      <w:start w:val="1"/>
      <w:numFmt w:val="decimal"/>
      <w:lvlText w:val="10.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3"/>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3"/>
  </w:num>
  <w:num w:numId="14">
    <w:abstractNumId w:val="65"/>
  </w:num>
  <w:num w:numId="15">
    <w:abstractNumId w:val="24"/>
  </w:num>
  <w:num w:numId="16">
    <w:abstractNumId w:val="52"/>
  </w:num>
  <w:num w:numId="17">
    <w:abstractNumId w:val="59"/>
  </w:num>
  <w:num w:numId="18">
    <w:abstractNumId w:val="44"/>
  </w:num>
  <w:num w:numId="19">
    <w:abstractNumId w:val="48"/>
  </w:num>
  <w:num w:numId="20">
    <w:abstractNumId w:val="67"/>
  </w:num>
  <w:num w:numId="21">
    <w:abstractNumId w:val="66"/>
  </w:num>
  <w:num w:numId="22">
    <w:abstractNumId w:val="26"/>
  </w:num>
  <w:num w:numId="23">
    <w:abstractNumId w:val="27"/>
  </w:num>
  <w:num w:numId="24">
    <w:abstractNumId w:val="39"/>
  </w:num>
  <w:num w:numId="25">
    <w:abstractNumId w:val="73"/>
  </w:num>
  <w:num w:numId="26">
    <w:abstractNumId w:val="17"/>
  </w:num>
  <w:num w:numId="27">
    <w:abstractNumId w:val="23"/>
  </w:num>
  <w:num w:numId="28">
    <w:abstractNumId w:val="16"/>
  </w:num>
  <w:num w:numId="29">
    <w:abstractNumId w:val="68"/>
  </w:num>
  <w:num w:numId="30">
    <w:abstractNumId w:val="55"/>
  </w:num>
  <w:num w:numId="31">
    <w:abstractNumId w:val="60"/>
  </w:num>
  <w:num w:numId="32">
    <w:abstractNumId w:val="30"/>
  </w:num>
  <w:num w:numId="33">
    <w:abstractNumId w:val="34"/>
  </w:num>
  <w:num w:numId="34">
    <w:abstractNumId w:val="54"/>
  </w:num>
  <w:num w:numId="35">
    <w:abstractNumId w:val="69"/>
  </w:num>
  <w:num w:numId="36">
    <w:abstractNumId w:val="76"/>
  </w:num>
  <w:num w:numId="37">
    <w:abstractNumId w:val="70"/>
  </w:num>
  <w:num w:numId="38">
    <w:abstractNumId w:val="78"/>
  </w:num>
  <w:num w:numId="39">
    <w:abstractNumId w:val="75"/>
  </w:num>
  <w:num w:numId="40">
    <w:abstractNumId w:val="45"/>
  </w:num>
  <w:num w:numId="41">
    <w:abstractNumId w:val="50"/>
  </w:num>
  <w:num w:numId="42">
    <w:abstractNumId w:val="33"/>
  </w:num>
  <w:num w:numId="43">
    <w:abstractNumId w:val="42"/>
  </w:num>
  <w:num w:numId="44">
    <w:abstractNumId w:val="64"/>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1"/>
  </w:num>
  <w:num w:numId="56">
    <w:abstractNumId w:val="49"/>
  </w:num>
  <w:num w:numId="57">
    <w:abstractNumId w:val="21"/>
  </w:num>
  <w:num w:numId="58">
    <w:abstractNumId w:val="74"/>
  </w:num>
  <w:num w:numId="59">
    <w:abstractNumId w:val="47"/>
  </w:num>
  <w:num w:numId="60">
    <w:abstractNumId w:val="71"/>
  </w:num>
  <w:num w:numId="61">
    <w:abstractNumId w:val="12"/>
  </w:num>
  <w:num w:numId="62">
    <w:abstractNumId w:val="20"/>
  </w:num>
  <w:num w:numId="63">
    <w:abstractNumId w:val="31"/>
  </w:num>
  <w:num w:numId="64">
    <w:abstractNumId w:val="62"/>
  </w:num>
  <w:num w:numId="65">
    <w:abstractNumId w:val="58"/>
  </w:num>
  <w:num w:numId="66">
    <w:abstractNumId w:val="51"/>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2"/>
  </w:num>
  <w:num w:numId="75">
    <w:abstractNumId w:val="43"/>
  </w:num>
  <w:num w:numId="76">
    <w:abstractNumId w:val="56"/>
  </w:num>
  <w:num w:numId="77">
    <w:abstractNumId w:val="77"/>
  </w:num>
  <w:num w:numId="7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Heading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Heading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Heading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Ttulo7Char"/>
    <w:uiPriority w:val="9"/>
    <w:qFormat/>
    <w:rsid w:val="001866EF"/>
    <w:pPr>
      <w:keepNext/>
      <w:ind w:firstLine="708"/>
      <w:jc w:val="both"/>
      <w:outlineLvl w:val="6"/>
    </w:pPr>
    <w:rPr>
      <w:rFonts w:ascii="Calibri" w:hAnsi="Calibri"/>
    </w:rPr>
  </w:style>
  <w:style w:type="paragraph" w:styleId="Heading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Heading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rsid w:val="005C205D"/>
    <w:rPr>
      <w:rFonts w:ascii="Calibri" w:eastAsia="Times New Roman" w:hAnsi="Calibri" w:cs="Times New Roman"/>
      <w:b/>
      <w:bCs/>
      <w:sz w:val="28"/>
      <w:szCs w:val="28"/>
    </w:rPr>
  </w:style>
  <w:style w:type="paragraph" w:styleId="BodyText">
    <w:name w:val="Body Text"/>
    <w:aliases w:val=".BT,5,BT,bd,bt"/>
    <w:basedOn w:val="Normal"/>
    <w:next w:val="List2"/>
    <w:link w:val="CorpodetextoChar"/>
    <w:uiPriority w:val="99"/>
    <w:rsid w:val="005C205D"/>
  </w:style>
  <w:style w:type="character" w:customStyle="1" w:styleId="CorpodetextoChar">
    <w:name w:val="Corpo de texto Char"/>
    <w:aliases w:val=".BT Char,5 Char,BT Char,bd Char,bt Char"/>
    <w:basedOn w:val="DefaultParagraphFont"/>
    <w:link w:val="BodyText"/>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ListParagraph">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ListParagraph"/>
    <w:uiPriority w:val="72"/>
    <w:qFormat/>
    <w:locked/>
    <w:rsid w:val="005C205D"/>
    <w:rPr>
      <w:rFonts w:ascii="Calibri" w:eastAsia="Times New Roman" w:hAnsi="Calibri" w:cs="Times New Roman"/>
      <w:lang w:eastAsia="pt-BR"/>
    </w:rPr>
  </w:style>
  <w:style w:type="paragraph" w:styleId="List2">
    <w:name w:val="List 2"/>
    <w:basedOn w:val="Normal"/>
    <w:uiPriority w:val="99"/>
    <w:unhideWhenUsed/>
    <w:rsid w:val="005C205D"/>
    <w:pPr>
      <w:ind w:left="566" w:hanging="283"/>
      <w:contextualSpacing/>
    </w:pPr>
  </w:style>
  <w:style w:type="paragraph" w:styleId="BalloonText">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DefaultParagraphFont"/>
    <w:link w:val="BalloonText"/>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Header">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DefaultParagraphFont"/>
    <w:link w:val="Header"/>
    <w:rsid w:val="003F7CBB"/>
    <w:rPr>
      <w:rFonts w:ascii="Times New Roman" w:eastAsia="Times New Roman" w:hAnsi="Times New Roman" w:cs="Times New Roman"/>
      <w:sz w:val="24"/>
      <w:szCs w:val="24"/>
      <w:lang w:eastAsia="pt-BR"/>
    </w:rPr>
  </w:style>
  <w:style w:type="paragraph" w:styleId="Footer">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DefaultParagraphFont"/>
    <w:link w:val="Footer"/>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DefaultParagraphFont"/>
    <w:link w:val="Heading2"/>
    <w:uiPriority w:val="9"/>
    <w:rsid w:val="001866EF"/>
    <w:rPr>
      <w:rFonts w:asciiTheme="majorHAnsi" w:eastAsiaTheme="majorEastAsia" w:hAnsiTheme="majorHAnsi" w:cstheme="majorBidi"/>
      <w:color w:val="2F5496" w:themeColor="accent1" w:themeShade="BF"/>
      <w:sz w:val="26"/>
      <w:szCs w:val="26"/>
      <w:lang w:eastAsia="pt-BR"/>
    </w:rPr>
  </w:style>
  <w:style w:type="paragraph" w:styleId="BodyText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DefaultParagraphFont"/>
    <w:link w:val="BodyText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DefaultParagraphFont"/>
    <w:link w:val="Heading3"/>
    <w:uiPriority w:val="9"/>
    <w:rsid w:val="001866EF"/>
    <w:rPr>
      <w:rFonts w:ascii="Cambria" w:eastAsia="Times New Roman" w:hAnsi="Cambria" w:cs="Times New Roman"/>
      <w:b/>
      <w:bCs/>
      <w:sz w:val="26"/>
      <w:szCs w:val="26"/>
    </w:rPr>
  </w:style>
  <w:style w:type="character" w:customStyle="1" w:styleId="Ttulo5Char">
    <w:name w:val="Título 5 Char"/>
    <w:basedOn w:val="DefaultParagraphFont"/>
    <w:link w:val="Heading5"/>
    <w:uiPriority w:val="9"/>
    <w:rsid w:val="001866EF"/>
    <w:rPr>
      <w:rFonts w:ascii="Calibri" w:eastAsia="Times New Roman" w:hAnsi="Calibri" w:cs="Times New Roman"/>
      <w:b/>
      <w:bCs/>
      <w:i/>
      <w:iCs/>
      <w:sz w:val="26"/>
      <w:szCs w:val="26"/>
    </w:rPr>
  </w:style>
  <w:style w:type="character" w:customStyle="1" w:styleId="Ttulo6Char">
    <w:name w:val="Título 6 Char"/>
    <w:basedOn w:val="DefaultParagraphFont"/>
    <w:link w:val="Heading6"/>
    <w:uiPriority w:val="9"/>
    <w:rsid w:val="001866EF"/>
    <w:rPr>
      <w:rFonts w:ascii="Calibri" w:eastAsia="Times New Roman" w:hAnsi="Calibri" w:cs="Times New Roman"/>
      <w:b/>
      <w:bCs/>
      <w:sz w:val="20"/>
      <w:szCs w:val="20"/>
    </w:rPr>
  </w:style>
  <w:style w:type="character" w:customStyle="1" w:styleId="Ttulo7Char">
    <w:name w:val="Título 7 Char"/>
    <w:basedOn w:val="DefaultParagraphFont"/>
    <w:link w:val="Heading7"/>
    <w:uiPriority w:val="9"/>
    <w:rsid w:val="001866EF"/>
    <w:rPr>
      <w:rFonts w:ascii="Calibri" w:eastAsia="Times New Roman" w:hAnsi="Calibri" w:cs="Times New Roman"/>
      <w:sz w:val="24"/>
      <w:szCs w:val="24"/>
    </w:rPr>
  </w:style>
  <w:style w:type="character" w:customStyle="1" w:styleId="Ttulo8Char">
    <w:name w:val="Título 8 Char"/>
    <w:basedOn w:val="DefaultParagraphFont"/>
    <w:link w:val="Heading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DefaultParagraphFont"/>
    <w:link w:val="Heading9"/>
    <w:uiPriority w:val="9"/>
    <w:rsid w:val="001866EF"/>
    <w:rPr>
      <w:rFonts w:ascii="Cambria" w:eastAsia="Times New Roman" w:hAnsi="Cambria" w:cs="Times New Roman"/>
      <w:sz w:val="20"/>
      <w:szCs w:val="20"/>
    </w:rPr>
  </w:style>
  <w:style w:type="paragraph" w:styleId="Salutation">
    <w:name w:val="Salutation"/>
    <w:basedOn w:val="Normal"/>
    <w:next w:val="Normal"/>
    <w:link w:val="SaudaoChar"/>
    <w:uiPriority w:val="99"/>
    <w:rsid w:val="001866EF"/>
    <w:pPr>
      <w:ind w:firstLine="1440"/>
      <w:jc w:val="both"/>
    </w:pPr>
  </w:style>
  <w:style w:type="character" w:customStyle="1" w:styleId="SaudaoChar">
    <w:name w:val="Saudação Char"/>
    <w:basedOn w:val="DefaultParagraphFont"/>
    <w:link w:val="Salutation"/>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PageNumber">
    <w:name w:val="page number"/>
    <w:uiPriority w:val="99"/>
    <w:rsid w:val="001866EF"/>
    <w:rPr>
      <w:rFonts w:cs="Times New Roman"/>
    </w:rPr>
  </w:style>
  <w:style w:type="paragraph" w:styleId="BodyTextIndent">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DefaultParagraphFont"/>
    <w:link w:val="BodyTextIndent"/>
    <w:uiPriority w:val="99"/>
    <w:rsid w:val="001866EF"/>
    <w:rPr>
      <w:rFonts w:ascii="Times New Roman" w:eastAsia="Times New Roman" w:hAnsi="Times New Roman" w:cs="Times New Roman"/>
      <w:sz w:val="24"/>
      <w:szCs w:val="24"/>
    </w:rPr>
  </w:style>
  <w:style w:type="paragraph" w:styleId="BodyTextIndent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DefaultParagraphFont"/>
    <w:link w:val="BodyTextIndent2"/>
    <w:uiPriority w:val="99"/>
    <w:rsid w:val="001866EF"/>
    <w:rPr>
      <w:rFonts w:ascii="Times New Roman" w:eastAsia="Times New Roman" w:hAnsi="Times New Roman" w:cs="Times New Roman"/>
      <w:sz w:val="24"/>
      <w:szCs w:val="24"/>
    </w:rPr>
  </w:style>
  <w:style w:type="paragraph" w:styleId="BodyTextIndent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DefaultParagraphFont"/>
    <w:link w:val="BodyTextIndent3"/>
    <w:uiPriority w:val="99"/>
    <w:rsid w:val="001866EF"/>
    <w:rPr>
      <w:rFonts w:ascii="Times New Roman" w:eastAsia="Times New Roman" w:hAnsi="Times New Roman" w:cs="Times New Roman"/>
      <w:sz w:val="16"/>
      <w:szCs w:val="16"/>
    </w:rPr>
  </w:style>
  <w:style w:type="paragraph" w:styleId="FootnoteText">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DefaultParagraphFont"/>
    <w:link w:val="FootnoteText"/>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1866EF"/>
    <w:pPr>
      <w:tabs>
        <w:tab w:val="left" w:pos="9072"/>
      </w:tabs>
      <w:spacing w:line="240" w:lineRule="atLeast"/>
      <w:ind w:left="426" w:right="-1"/>
      <w:jc w:val="both"/>
    </w:pPr>
  </w:style>
  <w:style w:type="paragraph" w:styleId="Title">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DefaultParagraphFont"/>
    <w:link w:val="Title"/>
    <w:uiPriority w:val="10"/>
    <w:rsid w:val="001866EF"/>
    <w:rPr>
      <w:rFonts w:ascii="Cambria" w:eastAsia="Times New Roman" w:hAnsi="Cambria" w:cs="Times New Roman"/>
      <w:b/>
      <w:bCs/>
      <w:kern w:val="28"/>
      <w:sz w:val="32"/>
      <w:szCs w:val="32"/>
    </w:rPr>
  </w:style>
  <w:style w:type="paragraph" w:styleId="DocumentMap">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DefaultParagraphFont"/>
    <w:link w:val="DocumentMap"/>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FollowedHyperlink">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CommentText">
    <w:name w:val="annotation text"/>
    <w:basedOn w:val="Normal"/>
    <w:link w:val="TextodecomentrioChar"/>
    <w:uiPriority w:val="99"/>
    <w:rsid w:val="001866EF"/>
    <w:rPr>
      <w:sz w:val="20"/>
      <w:szCs w:val="20"/>
    </w:rPr>
  </w:style>
  <w:style w:type="character" w:customStyle="1" w:styleId="TextodecomentrioChar">
    <w:name w:val="Texto de comentário Char"/>
    <w:basedOn w:val="DefaultParagraphFont"/>
    <w:link w:val="CommentText"/>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BodyText2">
    <w:name w:val="Body Text 2"/>
    <w:basedOn w:val="Normal"/>
    <w:link w:val="Corpodetexto2Char"/>
    <w:uiPriority w:val="99"/>
    <w:rsid w:val="001866EF"/>
    <w:pPr>
      <w:jc w:val="both"/>
    </w:pPr>
  </w:style>
  <w:style w:type="character" w:customStyle="1" w:styleId="Corpodetexto2Char">
    <w:name w:val="Corpo de texto 2 Char"/>
    <w:basedOn w:val="DefaultParagraphFont"/>
    <w:link w:val="BodyText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CommentSubject">
    <w:name w:val="annotation subject"/>
    <w:basedOn w:val="CommentText"/>
    <w:next w:val="CommentText"/>
    <w:link w:val="AssuntodocomentrioChar"/>
    <w:uiPriority w:val="99"/>
    <w:rsid w:val="001866EF"/>
    <w:rPr>
      <w:b/>
      <w:bCs/>
    </w:rPr>
  </w:style>
  <w:style w:type="character" w:customStyle="1" w:styleId="AssuntodocomentrioChar">
    <w:name w:val="Assunto do comentário Char"/>
    <w:basedOn w:val="TextodecomentrioChar"/>
    <w:link w:val="CommentSubject"/>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itle">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DefaultParagraphFont"/>
    <w:link w:val="Subtitle"/>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Strong">
    <w:name w:val="Strong"/>
    <w:uiPriority w:val="22"/>
    <w:qFormat/>
    <w:rsid w:val="001866EF"/>
    <w:rPr>
      <w:b/>
    </w:rPr>
  </w:style>
  <w:style w:type="paragraph" w:customStyle="1" w:styleId="ListParagraph1">
    <w:name w:val="List Paragraph1"/>
    <w:basedOn w:val="Normal"/>
    <w:qFormat/>
    <w:rsid w:val="001866EF"/>
    <w:pPr>
      <w:ind w:left="720"/>
    </w:pPr>
  </w:style>
  <w:style w:type="character" w:styleId="Emphasis">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TOC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num" w:pos="0"/>
        <w:tab w:val="clear" w:pos="1854"/>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
    <w:name w:val="msoins"/>
    <w:rsid w:val="001866EF"/>
    <w:rPr>
      <w:rFonts w:cs="Times New Roman"/>
    </w:rPr>
  </w:style>
  <w:style w:type="paragraph" w:styleId="ListBullet">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
    <w:name w:val="msodel"/>
    <w:rsid w:val="001866EF"/>
    <w:rPr>
      <w:rFonts w:cs="Times New Roman"/>
    </w:rPr>
  </w:style>
  <w:style w:type="paragraph" w:styleId="EndnoteText">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DefaultParagraphFont"/>
    <w:link w:val="EndnoteText"/>
    <w:uiPriority w:val="99"/>
    <w:rsid w:val="001866EF"/>
    <w:rPr>
      <w:rFonts w:ascii="Calibri" w:eastAsia="Times New Roman" w:hAnsi="Calibri" w:cs="Times New Roman"/>
      <w:sz w:val="20"/>
      <w:szCs w:val="20"/>
    </w:rPr>
  </w:style>
  <w:style w:type="character" w:styleId="EndnoteReference">
    <w:name w:val="endnote reference"/>
    <w:uiPriority w:val="99"/>
    <w:rsid w:val="001866EF"/>
    <w:rPr>
      <w:vertAlign w:val="superscript"/>
    </w:rPr>
  </w:style>
  <w:style w:type="paragraph" w:styleId="PlainText">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DefaultParagraphFont"/>
    <w:link w:val="PlainText"/>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BodyText"/>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Heading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CommentReference">
    <w:name w:val="annotation reference"/>
    <w:uiPriority w:val="99"/>
    <w:rsid w:val="001866EF"/>
    <w:rPr>
      <w:sz w:val="16"/>
    </w:rPr>
  </w:style>
  <w:style w:type="paragraph" w:styleId="Revision">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BodyText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DefaultParagraphFont"/>
    <w:rsid w:val="001866EF"/>
    <w:rPr>
      <w:b/>
      <w:bCs/>
      <w:color w:val="333333"/>
    </w:rPr>
  </w:style>
  <w:style w:type="table" w:styleId="TableGrid">
    <w:name w:val="Table Grid"/>
    <w:basedOn w:val="Table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DefaultParagraphFont"/>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hAnsi="Arial" w:eastAsiaTheme="minorHAnsi" w:cs="Arial"/>
      <w:sz w:val="22"/>
      <w:szCs w:val="22"/>
      <w:lang w:eastAsia="en-US"/>
    </w:rPr>
  </w:style>
  <w:style w:type="character" w:styleId="PlaceholderText">
    <w:name w:val="Placeholder Text"/>
    <w:basedOn w:val="DefaultParagraphFont"/>
    <w:uiPriority w:val="99"/>
    <w:semiHidden/>
    <w:rsid w:val="001866EF"/>
    <w:rPr>
      <w:color w:val="808080"/>
    </w:rPr>
  </w:style>
  <w:style w:type="numbering" w:customStyle="1" w:styleId="Semlista1">
    <w:name w:val="Sem lista1"/>
    <w:next w:val="NoList"/>
    <w:uiPriority w:val="99"/>
    <w:semiHidden/>
    <w:unhideWhenUsed/>
    <w:rsid w:val="00B67793"/>
  </w:style>
  <w:style w:type="table" w:customStyle="1" w:styleId="Tabelacomgrade1">
    <w:name w:val="Tabela com grade1"/>
    <w:basedOn w:val="TableNormal"/>
    <w:next w:val="TableGrid"/>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 T E X T ! 5 4 9 4 6 3 5 8 . 1 < / d o c u m e n t i d >  
     < s e n d e r i d > P E O < / s e n d e r i d >  
     < s e n d e r e m a i l > P M I R A N D A @ M A C H A D O M E Y E R . C O M . B R < / s e n d e r e m a i l >  
     < l a s t m o d i f i e d > 2 0 2 1 - 0 8 - 1 1 T 2 3 : 1 8 : 0 0 . 0 0 0 0 0 0 0 - 0 3 : 0 0 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22473</Words>
  <Characters>128547</Characters>
  <Application>Microsoft Office Word</Application>
  <DocSecurity>0</DocSecurity>
  <Lines>1063</Lines>
  <Paragraphs>677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