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8974" w14:textId="77777777" w:rsidR="002D2013" w:rsidRPr="003C7BE7" w:rsidRDefault="004D4198" w:rsidP="00DC676E">
      <w:pPr>
        <w:pStyle w:val="BodyText"/>
        <w:spacing w:line="276" w:lineRule="auto"/>
        <w:rPr>
          <w:rFonts w:ascii="Arial" w:hAnsi="Arial" w:cs="Arial"/>
          <w:sz w:val="20"/>
          <w:szCs w:val="20"/>
        </w:rPr>
      </w:pPr>
      <w:r w:rsidRPr="003C7BE7">
        <w:rPr>
          <w:rFonts w:ascii="Arial" w:hAnsi="Arial" w:cs="Arial"/>
          <w:sz w:val="20"/>
          <w:szCs w:val="20"/>
        </w:rPr>
        <w:t>ATAKAREJO DISTRIBUIDOR DE ALIMENTOS E BEBIDAS S.A.</w:t>
      </w:r>
    </w:p>
    <w:p w14:paraId="0E0024A6" w14:textId="77777777" w:rsidR="00206DA5" w:rsidRPr="003C7BE7" w:rsidRDefault="002D2013" w:rsidP="00DC676E">
      <w:pPr>
        <w:pStyle w:val="BodyText"/>
        <w:spacing w:line="276" w:lineRule="auto"/>
        <w:rPr>
          <w:rFonts w:ascii="Arial" w:hAnsi="Arial" w:cs="Arial"/>
          <w:sz w:val="20"/>
          <w:szCs w:val="20"/>
        </w:rPr>
      </w:pPr>
      <w:r w:rsidRPr="003C7BE7">
        <w:rPr>
          <w:rFonts w:ascii="Arial" w:hAnsi="Arial" w:cs="Arial"/>
          <w:sz w:val="20"/>
          <w:szCs w:val="20"/>
        </w:rPr>
        <w:t xml:space="preserve">NIRE: </w:t>
      </w:r>
      <w:r w:rsidR="004D4198" w:rsidRPr="003C7BE7">
        <w:rPr>
          <w:rFonts w:ascii="Arial" w:hAnsi="Arial" w:cs="Arial"/>
          <w:sz w:val="20"/>
          <w:szCs w:val="20"/>
        </w:rPr>
        <w:t>29.300.036.382</w:t>
      </w:r>
    </w:p>
    <w:p w14:paraId="368AB15F" w14:textId="77777777" w:rsidR="002D2013" w:rsidRPr="003C7BE7" w:rsidRDefault="002D2013" w:rsidP="00DC676E">
      <w:pPr>
        <w:pStyle w:val="BodyText"/>
        <w:spacing w:line="276" w:lineRule="auto"/>
        <w:rPr>
          <w:rFonts w:ascii="Arial" w:hAnsi="Arial" w:cs="Arial"/>
          <w:b w:val="0"/>
          <w:snapToGrid w:val="0"/>
          <w:sz w:val="20"/>
          <w:szCs w:val="20"/>
        </w:rPr>
      </w:pPr>
      <w:r w:rsidRPr="003C7BE7">
        <w:rPr>
          <w:rFonts w:ascii="Arial" w:hAnsi="Arial" w:cs="Arial"/>
          <w:sz w:val="20"/>
          <w:szCs w:val="20"/>
        </w:rPr>
        <w:t>CNPJ/</w:t>
      </w:r>
      <w:r w:rsidR="00304545" w:rsidRPr="003C7BE7">
        <w:rPr>
          <w:rFonts w:ascii="Arial" w:hAnsi="Arial" w:cs="Arial"/>
          <w:sz w:val="20"/>
          <w:szCs w:val="20"/>
        </w:rPr>
        <w:t>ME</w:t>
      </w:r>
      <w:r w:rsidRPr="003C7BE7">
        <w:rPr>
          <w:rFonts w:ascii="Arial" w:hAnsi="Arial" w:cs="Arial"/>
          <w:sz w:val="20"/>
          <w:szCs w:val="20"/>
        </w:rPr>
        <w:t xml:space="preserve">: </w:t>
      </w:r>
      <w:r w:rsidR="004D4198" w:rsidRPr="003C7BE7">
        <w:rPr>
          <w:rFonts w:ascii="Arial" w:hAnsi="Arial" w:cs="Arial"/>
          <w:sz w:val="20"/>
          <w:szCs w:val="20"/>
        </w:rPr>
        <w:t>73.849.952/0001-58</w:t>
      </w:r>
    </w:p>
    <w:p w14:paraId="01C364C7" w14:textId="77777777" w:rsidR="002D2013" w:rsidRPr="003C7BE7" w:rsidRDefault="002D2013" w:rsidP="009E360F">
      <w:pPr>
        <w:widowControl w:val="0"/>
        <w:spacing w:line="276" w:lineRule="auto"/>
        <w:jc w:val="center"/>
        <w:rPr>
          <w:rFonts w:ascii="Arial" w:hAnsi="Arial" w:cs="Arial"/>
          <w:snapToGrid w:val="0"/>
          <w:sz w:val="20"/>
          <w:szCs w:val="20"/>
          <w:lang w:val="pt-BR"/>
        </w:rPr>
      </w:pPr>
    </w:p>
    <w:p w14:paraId="3FFDE2E9" w14:textId="77777777" w:rsidR="002D2013" w:rsidRPr="003C7BE7" w:rsidRDefault="002D2013" w:rsidP="009E360F">
      <w:pPr>
        <w:spacing w:line="276" w:lineRule="auto"/>
        <w:jc w:val="both"/>
        <w:rPr>
          <w:rFonts w:ascii="Arial" w:hAnsi="Arial" w:cs="Arial"/>
          <w:sz w:val="20"/>
          <w:szCs w:val="20"/>
          <w:lang w:val="pt-BR"/>
        </w:rPr>
      </w:pPr>
    </w:p>
    <w:p w14:paraId="09F6DC77" w14:textId="77777777" w:rsidR="002D2013" w:rsidRPr="003C7BE7" w:rsidRDefault="002D2013" w:rsidP="009E360F">
      <w:pPr>
        <w:pStyle w:val="BodyText"/>
        <w:spacing w:line="276" w:lineRule="auto"/>
        <w:rPr>
          <w:rFonts w:ascii="Arial" w:hAnsi="Arial" w:cs="Arial"/>
          <w:sz w:val="20"/>
          <w:szCs w:val="20"/>
        </w:rPr>
      </w:pPr>
      <w:r w:rsidRPr="003C7BE7">
        <w:rPr>
          <w:rFonts w:ascii="Arial" w:hAnsi="Arial" w:cs="Arial"/>
          <w:sz w:val="20"/>
          <w:szCs w:val="20"/>
        </w:rPr>
        <w:t xml:space="preserve">ATA DE ASSEMBLEIA GERAL EXTRAORDINÁRIA </w:t>
      </w:r>
    </w:p>
    <w:p w14:paraId="5E748736" w14:textId="0AE41B57" w:rsidR="002D2013" w:rsidRPr="003C7BE7" w:rsidRDefault="002D2013" w:rsidP="009E360F">
      <w:pPr>
        <w:tabs>
          <w:tab w:val="left" w:pos="1134"/>
        </w:tabs>
        <w:spacing w:line="276" w:lineRule="auto"/>
        <w:ind w:right="17"/>
        <w:jc w:val="center"/>
        <w:outlineLvl w:val="0"/>
        <w:rPr>
          <w:rFonts w:ascii="Arial" w:hAnsi="Arial" w:cs="Arial"/>
          <w:b/>
          <w:sz w:val="20"/>
          <w:szCs w:val="20"/>
          <w:lang w:val="pt-BR"/>
        </w:rPr>
      </w:pPr>
      <w:r w:rsidRPr="003C7BE7">
        <w:rPr>
          <w:rFonts w:ascii="Arial" w:hAnsi="Arial" w:cs="Arial"/>
          <w:b/>
          <w:sz w:val="20"/>
          <w:szCs w:val="20"/>
          <w:lang w:val="pt-BR"/>
        </w:rPr>
        <w:t xml:space="preserve">REALIZADA EM </w:t>
      </w:r>
      <w:r w:rsidR="00C32E6F" w:rsidRPr="0009233C">
        <w:rPr>
          <w:rFonts w:ascii="Arial" w:hAnsi="Arial" w:cs="Arial"/>
          <w:b/>
          <w:sz w:val="20"/>
          <w:szCs w:val="20"/>
          <w:highlight w:val="yellow"/>
          <w:lang w:val="pt-BR"/>
        </w:rPr>
        <w:t>[</w:t>
      </w:r>
      <w:r w:rsidR="00AA2CA5">
        <w:rPr>
          <w:rFonts w:ascii="Arial" w:hAnsi="Arial" w:cs="Arial"/>
          <w:b/>
          <w:sz w:val="20"/>
          <w:szCs w:val="20"/>
          <w:highlight w:val="yellow"/>
          <w:lang w:val="pt-BR"/>
        </w:rPr>
        <w:t>3</w:t>
      </w:r>
      <w:r w:rsidR="00C32E6F" w:rsidRPr="0009233C">
        <w:rPr>
          <w:rFonts w:ascii="Arial" w:hAnsi="Arial" w:cs="Arial"/>
          <w:b/>
          <w:sz w:val="20"/>
          <w:szCs w:val="20"/>
          <w:highlight w:val="yellow"/>
          <w:lang w:val="pt-BR"/>
        </w:rPr>
        <w:t>]</w:t>
      </w:r>
      <w:r w:rsidR="00C32E6F">
        <w:rPr>
          <w:rFonts w:ascii="Arial" w:hAnsi="Arial" w:cs="Arial"/>
          <w:b/>
          <w:sz w:val="20"/>
          <w:szCs w:val="20"/>
          <w:lang w:val="pt-BR"/>
        </w:rPr>
        <w:t xml:space="preserve"> </w:t>
      </w:r>
      <w:r w:rsidR="00BA43D5">
        <w:rPr>
          <w:rFonts w:ascii="Arial" w:hAnsi="Arial" w:cs="Arial"/>
          <w:b/>
          <w:sz w:val="20"/>
          <w:szCs w:val="20"/>
          <w:lang w:val="pt-BR"/>
        </w:rPr>
        <w:t>DE MARÇO</w:t>
      </w:r>
      <w:r w:rsidR="00684C8F">
        <w:rPr>
          <w:rFonts w:ascii="Arial" w:hAnsi="Arial" w:cs="Arial"/>
          <w:b/>
          <w:sz w:val="20"/>
          <w:szCs w:val="20"/>
          <w:lang w:val="pt-BR"/>
        </w:rPr>
        <w:t xml:space="preserve"> </w:t>
      </w:r>
      <w:r w:rsidRPr="003C7BE7">
        <w:rPr>
          <w:rFonts w:ascii="Arial" w:hAnsi="Arial" w:cs="Arial"/>
          <w:b/>
          <w:sz w:val="20"/>
          <w:szCs w:val="20"/>
          <w:lang w:val="pt-BR"/>
        </w:rPr>
        <w:t xml:space="preserve">DE </w:t>
      </w:r>
      <w:r w:rsidR="00C32E6F" w:rsidRPr="003C7BE7">
        <w:rPr>
          <w:rFonts w:ascii="Arial" w:hAnsi="Arial" w:cs="Arial"/>
          <w:b/>
          <w:sz w:val="20"/>
          <w:szCs w:val="20"/>
          <w:lang w:val="pt-BR"/>
        </w:rPr>
        <w:t>202</w:t>
      </w:r>
      <w:r w:rsidR="00C32E6F">
        <w:rPr>
          <w:rFonts w:ascii="Arial" w:hAnsi="Arial" w:cs="Arial"/>
          <w:b/>
          <w:sz w:val="20"/>
          <w:szCs w:val="20"/>
          <w:lang w:val="pt-BR"/>
        </w:rPr>
        <w:t>2</w:t>
      </w:r>
    </w:p>
    <w:p w14:paraId="3774157C" w14:textId="77777777" w:rsidR="002D2013" w:rsidRPr="003C7BE7" w:rsidRDefault="002D2013" w:rsidP="009E360F">
      <w:pPr>
        <w:tabs>
          <w:tab w:val="left" w:pos="1134"/>
        </w:tabs>
        <w:spacing w:line="276" w:lineRule="auto"/>
        <w:ind w:right="17"/>
        <w:jc w:val="center"/>
        <w:rPr>
          <w:rFonts w:ascii="Arial" w:hAnsi="Arial" w:cs="Arial"/>
          <w:b/>
          <w:sz w:val="20"/>
          <w:szCs w:val="20"/>
          <w:lang w:val="pt-BR"/>
        </w:rPr>
      </w:pPr>
    </w:p>
    <w:p w14:paraId="7B68FAFA" w14:textId="46813238" w:rsidR="002D2013" w:rsidRPr="003C7BE7" w:rsidRDefault="002D2013" w:rsidP="009E360F">
      <w:pPr>
        <w:spacing w:line="276" w:lineRule="auto"/>
        <w:ind w:right="17"/>
        <w:jc w:val="both"/>
        <w:rPr>
          <w:rFonts w:ascii="Arial" w:hAnsi="Arial" w:cs="Arial"/>
          <w:sz w:val="20"/>
          <w:szCs w:val="20"/>
          <w:lang w:val="pt-BR"/>
        </w:rPr>
      </w:pPr>
      <w:r w:rsidRPr="003C7BE7">
        <w:rPr>
          <w:rFonts w:ascii="Arial" w:hAnsi="Arial" w:cs="Arial"/>
          <w:b/>
          <w:sz w:val="20"/>
          <w:szCs w:val="20"/>
          <w:lang w:val="pt-BR"/>
        </w:rPr>
        <w:t>DATA – LOCAL – HORA:</w:t>
      </w:r>
      <w:r w:rsidRPr="003C7BE7">
        <w:rPr>
          <w:rFonts w:ascii="Arial" w:hAnsi="Arial" w:cs="Arial"/>
          <w:sz w:val="20"/>
          <w:szCs w:val="20"/>
          <w:lang w:val="pt-BR"/>
        </w:rPr>
        <w:t xml:space="preserve"> </w:t>
      </w:r>
      <w:r w:rsidR="00BA43D5">
        <w:rPr>
          <w:rFonts w:ascii="Arial" w:hAnsi="Arial" w:cs="Arial"/>
          <w:sz w:val="20"/>
          <w:szCs w:val="20"/>
          <w:lang w:val="pt-BR"/>
        </w:rPr>
        <w:t xml:space="preserve">Ao </w:t>
      </w:r>
      <w:r w:rsidR="00C32E6F" w:rsidRPr="0009233C">
        <w:rPr>
          <w:rFonts w:ascii="Arial" w:hAnsi="Arial" w:cs="Arial"/>
          <w:sz w:val="20"/>
          <w:szCs w:val="20"/>
          <w:highlight w:val="yellow"/>
          <w:lang w:val="pt-BR"/>
        </w:rPr>
        <w:t>[</w:t>
      </w:r>
      <w:r w:rsidR="00AA2CA5">
        <w:rPr>
          <w:rFonts w:ascii="Arial" w:hAnsi="Arial" w:cs="Arial"/>
          <w:sz w:val="20"/>
          <w:szCs w:val="20"/>
          <w:highlight w:val="yellow"/>
          <w:lang w:val="pt-BR"/>
        </w:rPr>
        <w:t>3º</w:t>
      </w:r>
      <w:r w:rsidR="00C32E6F" w:rsidRPr="0009233C">
        <w:rPr>
          <w:rFonts w:ascii="Arial" w:hAnsi="Arial" w:cs="Arial"/>
          <w:sz w:val="20"/>
          <w:szCs w:val="20"/>
          <w:highlight w:val="yellow"/>
          <w:lang w:val="pt-BR"/>
        </w:rPr>
        <w:t>]</w:t>
      </w:r>
      <w:r w:rsidR="00C32E6F">
        <w:rPr>
          <w:rFonts w:ascii="Arial" w:hAnsi="Arial" w:cs="Arial"/>
          <w:sz w:val="20"/>
          <w:szCs w:val="20"/>
          <w:lang w:val="pt-BR"/>
        </w:rPr>
        <w:t xml:space="preserve"> </w:t>
      </w:r>
      <w:r w:rsidR="0069135C">
        <w:rPr>
          <w:rFonts w:ascii="Arial" w:hAnsi="Arial" w:cs="Arial"/>
          <w:sz w:val="20"/>
          <w:szCs w:val="20"/>
          <w:lang w:val="pt-BR"/>
        </w:rPr>
        <w:t>dia</w:t>
      </w:r>
      <w:r w:rsidRPr="003C7BE7">
        <w:rPr>
          <w:rFonts w:ascii="Arial" w:hAnsi="Arial" w:cs="Arial"/>
          <w:sz w:val="20"/>
          <w:szCs w:val="20"/>
          <w:lang w:val="pt-BR"/>
        </w:rPr>
        <w:t xml:space="preserve"> do mês de</w:t>
      </w:r>
      <w:r w:rsidR="00BA43D5">
        <w:rPr>
          <w:rFonts w:ascii="Arial" w:hAnsi="Arial" w:cs="Arial"/>
          <w:sz w:val="20"/>
          <w:szCs w:val="20"/>
          <w:lang w:val="pt-BR"/>
        </w:rPr>
        <w:t xml:space="preserve"> março</w:t>
      </w:r>
      <w:r w:rsidR="006C3DEA">
        <w:rPr>
          <w:rFonts w:ascii="Arial" w:hAnsi="Arial" w:cs="Arial"/>
          <w:sz w:val="20"/>
          <w:szCs w:val="20"/>
          <w:lang w:val="pt-BR"/>
        </w:rPr>
        <w:t xml:space="preserve"> </w:t>
      </w:r>
      <w:r w:rsidRPr="003C7BE7">
        <w:rPr>
          <w:rFonts w:ascii="Arial" w:hAnsi="Arial" w:cs="Arial"/>
          <w:sz w:val="20"/>
          <w:szCs w:val="20"/>
          <w:lang w:val="pt-BR"/>
        </w:rPr>
        <w:t xml:space="preserve">de </w:t>
      </w:r>
      <w:r w:rsidR="00C32E6F" w:rsidRPr="003C7BE7">
        <w:rPr>
          <w:rFonts w:ascii="Arial" w:hAnsi="Arial" w:cs="Arial"/>
          <w:sz w:val="20"/>
          <w:szCs w:val="20"/>
          <w:lang w:val="pt-BR"/>
        </w:rPr>
        <w:t>202</w:t>
      </w:r>
      <w:r w:rsidR="00C32E6F">
        <w:rPr>
          <w:rFonts w:ascii="Arial" w:hAnsi="Arial" w:cs="Arial"/>
          <w:sz w:val="20"/>
          <w:szCs w:val="20"/>
          <w:lang w:val="pt-BR"/>
        </w:rPr>
        <w:t>2</w:t>
      </w:r>
      <w:r w:rsidRPr="003C7BE7">
        <w:rPr>
          <w:rFonts w:ascii="Arial" w:hAnsi="Arial" w:cs="Arial"/>
          <w:sz w:val="20"/>
          <w:szCs w:val="20"/>
          <w:lang w:val="pt-BR"/>
        </w:rPr>
        <w:t>, na sede s</w:t>
      </w:r>
      <w:r w:rsidR="002277C8" w:rsidRPr="003C7BE7">
        <w:rPr>
          <w:rFonts w:ascii="Arial" w:hAnsi="Arial" w:cs="Arial"/>
          <w:sz w:val="20"/>
          <w:szCs w:val="20"/>
          <w:lang w:val="pt-BR"/>
        </w:rPr>
        <w:t xml:space="preserve">ocial da Companhia, na Avenida </w:t>
      </w:r>
      <w:r w:rsidR="004D4198" w:rsidRPr="003C7BE7">
        <w:rPr>
          <w:rFonts w:ascii="Arial" w:hAnsi="Arial" w:cs="Arial"/>
          <w:sz w:val="20"/>
          <w:szCs w:val="20"/>
          <w:lang w:val="pt-BR"/>
        </w:rPr>
        <w:t>Santiago de Compostela, nº 425, Parque Bela Vista</w:t>
      </w:r>
      <w:r w:rsidR="002277C8" w:rsidRPr="003C7BE7">
        <w:rPr>
          <w:rFonts w:ascii="Arial" w:hAnsi="Arial" w:cs="Arial"/>
          <w:sz w:val="20"/>
          <w:szCs w:val="20"/>
          <w:lang w:val="pt-BR"/>
        </w:rPr>
        <w:t xml:space="preserve">, </w:t>
      </w:r>
      <w:r w:rsidR="00C32E6F">
        <w:rPr>
          <w:rFonts w:ascii="Arial" w:hAnsi="Arial" w:cs="Arial"/>
          <w:sz w:val="20"/>
          <w:szCs w:val="20"/>
          <w:lang w:val="pt-BR"/>
        </w:rPr>
        <w:t>c</w:t>
      </w:r>
      <w:r w:rsidR="00C32E6F" w:rsidRPr="003C7BE7">
        <w:rPr>
          <w:rFonts w:ascii="Arial" w:hAnsi="Arial" w:cs="Arial"/>
          <w:sz w:val="20"/>
          <w:szCs w:val="20"/>
          <w:lang w:val="pt-BR"/>
        </w:rPr>
        <w:t xml:space="preserve">idade </w:t>
      </w:r>
      <w:r w:rsidRPr="003C7BE7">
        <w:rPr>
          <w:rFonts w:ascii="Arial" w:hAnsi="Arial" w:cs="Arial"/>
          <w:sz w:val="20"/>
          <w:szCs w:val="20"/>
          <w:lang w:val="pt-BR"/>
        </w:rPr>
        <w:t xml:space="preserve">de </w:t>
      </w:r>
      <w:r w:rsidR="004D4198" w:rsidRPr="003C7BE7">
        <w:rPr>
          <w:rFonts w:ascii="Arial" w:hAnsi="Arial" w:cs="Arial"/>
          <w:sz w:val="20"/>
          <w:szCs w:val="20"/>
          <w:lang w:val="pt-BR"/>
        </w:rPr>
        <w:t>Salvador</w:t>
      </w:r>
      <w:r w:rsidRPr="003C7BE7">
        <w:rPr>
          <w:rFonts w:ascii="Arial" w:hAnsi="Arial" w:cs="Arial"/>
          <w:sz w:val="20"/>
          <w:szCs w:val="20"/>
          <w:lang w:val="pt-BR"/>
        </w:rPr>
        <w:t xml:space="preserve">, Estado </w:t>
      </w:r>
      <w:r w:rsidR="004D4198" w:rsidRPr="003C7BE7">
        <w:rPr>
          <w:rFonts w:ascii="Arial" w:hAnsi="Arial" w:cs="Arial"/>
          <w:sz w:val="20"/>
          <w:szCs w:val="20"/>
          <w:lang w:val="pt-BR"/>
        </w:rPr>
        <w:t>da Bahia</w:t>
      </w:r>
      <w:r w:rsidRPr="003C7BE7">
        <w:rPr>
          <w:rFonts w:ascii="Arial" w:hAnsi="Arial" w:cs="Arial"/>
          <w:sz w:val="20"/>
          <w:szCs w:val="20"/>
          <w:lang w:val="pt-BR"/>
        </w:rPr>
        <w:t xml:space="preserve">, às </w:t>
      </w:r>
      <w:r w:rsidR="001856A5" w:rsidRPr="003C7BE7">
        <w:rPr>
          <w:rFonts w:ascii="Arial" w:hAnsi="Arial" w:cs="Arial"/>
          <w:sz w:val="20"/>
          <w:szCs w:val="20"/>
          <w:lang w:val="pt-BR"/>
        </w:rPr>
        <w:t>13</w:t>
      </w:r>
      <w:r w:rsidR="00936E2F" w:rsidRPr="003C7BE7">
        <w:rPr>
          <w:rFonts w:ascii="Arial" w:hAnsi="Arial" w:cs="Arial"/>
          <w:b/>
          <w:sz w:val="20"/>
          <w:szCs w:val="20"/>
          <w:lang w:val="pt-BR"/>
        </w:rPr>
        <w:t xml:space="preserve"> </w:t>
      </w:r>
      <w:r w:rsidRPr="003C7BE7">
        <w:rPr>
          <w:rFonts w:ascii="Arial" w:hAnsi="Arial" w:cs="Arial"/>
          <w:sz w:val="20"/>
          <w:szCs w:val="20"/>
          <w:lang w:val="pt-BR"/>
        </w:rPr>
        <w:t>horas.</w:t>
      </w:r>
    </w:p>
    <w:p w14:paraId="05714D39" w14:textId="77777777" w:rsidR="002D2013" w:rsidRPr="003C7BE7" w:rsidRDefault="002D2013" w:rsidP="009E360F">
      <w:pPr>
        <w:spacing w:line="276" w:lineRule="auto"/>
        <w:ind w:right="17"/>
        <w:jc w:val="both"/>
        <w:rPr>
          <w:rFonts w:ascii="Arial" w:hAnsi="Arial" w:cs="Arial"/>
          <w:sz w:val="20"/>
          <w:szCs w:val="20"/>
          <w:lang w:val="pt-BR"/>
        </w:rPr>
      </w:pPr>
    </w:p>
    <w:p w14:paraId="66AC35AF" w14:textId="083F6A94" w:rsidR="002D2013" w:rsidRPr="003C7BE7" w:rsidRDefault="002D2013" w:rsidP="009E360F">
      <w:pPr>
        <w:widowControl w:val="0"/>
        <w:spacing w:line="276" w:lineRule="auto"/>
        <w:jc w:val="both"/>
        <w:rPr>
          <w:rFonts w:ascii="Arial" w:hAnsi="Arial" w:cs="Arial"/>
          <w:snapToGrid w:val="0"/>
          <w:sz w:val="20"/>
          <w:szCs w:val="20"/>
          <w:lang w:val="pt-BR"/>
        </w:rPr>
      </w:pPr>
      <w:r w:rsidRPr="003C7BE7">
        <w:rPr>
          <w:rFonts w:ascii="Arial" w:hAnsi="Arial" w:cs="Arial"/>
          <w:b/>
          <w:snapToGrid w:val="0"/>
          <w:sz w:val="20"/>
          <w:szCs w:val="20"/>
          <w:lang w:val="pt-BR"/>
        </w:rPr>
        <w:t>PRESENÇA:</w:t>
      </w:r>
      <w:r w:rsidRPr="003C7BE7">
        <w:rPr>
          <w:rFonts w:ascii="Arial" w:hAnsi="Arial" w:cs="Arial"/>
          <w:snapToGrid w:val="0"/>
          <w:sz w:val="20"/>
          <w:szCs w:val="20"/>
          <w:lang w:val="pt-BR"/>
        </w:rPr>
        <w:t xml:space="preserve"> Acionistas representando </w:t>
      </w:r>
      <w:r w:rsidR="00F925B3" w:rsidRPr="003C7BE7">
        <w:rPr>
          <w:rFonts w:ascii="Arial" w:hAnsi="Arial" w:cs="Arial"/>
          <w:sz w:val="20"/>
          <w:szCs w:val="20"/>
          <w:lang w:val="pt-BR"/>
        </w:rPr>
        <w:t xml:space="preserve">100% </w:t>
      </w:r>
      <w:r w:rsidR="005C116D" w:rsidRPr="003C7BE7">
        <w:rPr>
          <w:rFonts w:ascii="Arial" w:hAnsi="Arial" w:cs="Arial"/>
          <w:sz w:val="20"/>
          <w:szCs w:val="20"/>
          <w:lang w:val="pt-BR"/>
        </w:rPr>
        <w:t xml:space="preserve">(cem por cento) </w:t>
      </w:r>
      <w:r w:rsidRPr="003C7BE7">
        <w:rPr>
          <w:rFonts w:ascii="Arial" w:hAnsi="Arial" w:cs="Arial"/>
          <w:snapToGrid w:val="0"/>
          <w:sz w:val="20"/>
          <w:szCs w:val="20"/>
          <w:lang w:val="pt-BR"/>
        </w:rPr>
        <w:t>do capital social, conforme assinaturas lançadas no Livro de Presença de Acionistas, dispensadas, portanto, as formalidades de convocação, nos termos do artigo 124, parágrafo 4º, da Lei 6.404, de 15 de dezembro de 1976 (“</w:t>
      </w:r>
      <w:r w:rsidRPr="003C7BE7">
        <w:rPr>
          <w:rFonts w:ascii="Arial" w:hAnsi="Arial" w:cs="Arial"/>
          <w:b/>
          <w:snapToGrid w:val="0"/>
          <w:sz w:val="20"/>
          <w:szCs w:val="20"/>
          <w:lang w:val="pt-BR"/>
        </w:rPr>
        <w:t>Lei das Sociedades por Ações</w:t>
      </w:r>
      <w:r w:rsidR="002277C8" w:rsidRPr="003C7BE7">
        <w:rPr>
          <w:rFonts w:ascii="Arial" w:hAnsi="Arial" w:cs="Arial"/>
          <w:snapToGrid w:val="0"/>
          <w:sz w:val="20"/>
          <w:szCs w:val="20"/>
          <w:lang w:val="pt-BR"/>
        </w:rPr>
        <w:t>”)</w:t>
      </w:r>
      <w:r w:rsidRPr="003C7BE7">
        <w:rPr>
          <w:rFonts w:ascii="Arial" w:hAnsi="Arial" w:cs="Arial"/>
          <w:snapToGrid w:val="0"/>
          <w:sz w:val="20"/>
          <w:szCs w:val="20"/>
          <w:lang w:val="pt-BR"/>
        </w:rPr>
        <w:t>.</w:t>
      </w:r>
    </w:p>
    <w:p w14:paraId="77945A54" w14:textId="77777777" w:rsidR="002D2013" w:rsidRPr="003C7BE7" w:rsidRDefault="002D2013" w:rsidP="009E360F">
      <w:pPr>
        <w:pStyle w:val="BodyText"/>
        <w:spacing w:line="276" w:lineRule="auto"/>
        <w:rPr>
          <w:rFonts w:ascii="Arial" w:hAnsi="Arial" w:cs="Arial"/>
          <w:b w:val="0"/>
          <w:sz w:val="20"/>
          <w:szCs w:val="20"/>
        </w:rPr>
      </w:pPr>
    </w:p>
    <w:p w14:paraId="115A4DF7" w14:textId="65706A0E" w:rsidR="002D2013" w:rsidRPr="003C7BE7" w:rsidRDefault="002D2013" w:rsidP="009E360F">
      <w:pPr>
        <w:widowControl w:val="0"/>
        <w:spacing w:line="276" w:lineRule="auto"/>
        <w:jc w:val="both"/>
        <w:rPr>
          <w:rFonts w:ascii="Arial" w:hAnsi="Arial" w:cs="Arial"/>
          <w:snapToGrid w:val="0"/>
          <w:sz w:val="20"/>
          <w:szCs w:val="20"/>
          <w:lang w:val="pt-BR"/>
        </w:rPr>
      </w:pPr>
      <w:r w:rsidRPr="003C7BE7">
        <w:rPr>
          <w:rFonts w:ascii="Arial" w:hAnsi="Arial" w:cs="Arial"/>
          <w:b/>
          <w:snapToGrid w:val="0"/>
          <w:sz w:val="20"/>
          <w:szCs w:val="20"/>
          <w:lang w:val="pt-BR"/>
        </w:rPr>
        <w:t>COMPOSIÇÃO DA MESA:</w:t>
      </w:r>
      <w:r w:rsidRPr="003C7BE7">
        <w:rPr>
          <w:rFonts w:ascii="Arial" w:hAnsi="Arial" w:cs="Arial"/>
          <w:snapToGrid w:val="0"/>
          <w:sz w:val="20"/>
          <w:szCs w:val="20"/>
          <w:lang w:val="pt-BR"/>
        </w:rPr>
        <w:t xml:space="preserve"> </w:t>
      </w:r>
      <w:r w:rsidRPr="003C7BE7">
        <w:rPr>
          <w:rFonts w:ascii="Arial" w:hAnsi="Arial" w:cs="Arial"/>
          <w:b/>
          <w:snapToGrid w:val="0"/>
          <w:sz w:val="20"/>
          <w:szCs w:val="20"/>
          <w:lang w:val="pt-BR"/>
        </w:rPr>
        <w:t>(i)</w:t>
      </w:r>
      <w:r w:rsidRPr="003C7BE7">
        <w:rPr>
          <w:rFonts w:ascii="Arial" w:hAnsi="Arial" w:cs="Arial"/>
          <w:snapToGrid w:val="0"/>
          <w:sz w:val="20"/>
          <w:szCs w:val="20"/>
          <w:lang w:val="pt-BR"/>
        </w:rPr>
        <w:t xml:space="preserve"> </w:t>
      </w:r>
      <w:r w:rsidR="001856A5" w:rsidRPr="003C7BE7">
        <w:rPr>
          <w:rFonts w:ascii="Arial" w:hAnsi="Arial" w:cs="Arial"/>
          <w:b/>
          <w:sz w:val="20"/>
          <w:szCs w:val="20"/>
          <w:lang w:val="pt-BR"/>
        </w:rPr>
        <w:t xml:space="preserve">Sr. </w:t>
      </w:r>
      <w:r w:rsidR="003379BD" w:rsidRPr="003379BD">
        <w:rPr>
          <w:rFonts w:ascii="Arial" w:hAnsi="Arial" w:cs="Arial"/>
          <w:sz w:val="20"/>
          <w:szCs w:val="20"/>
          <w:lang w:val="pt-BR"/>
        </w:rPr>
        <w:t>Gabriel Nascimento da Costa</w:t>
      </w:r>
      <w:r w:rsidR="001856A5" w:rsidRPr="003C7BE7">
        <w:rPr>
          <w:rFonts w:ascii="Arial" w:hAnsi="Arial" w:cs="Arial"/>
          <w:snapToGrid w:val="0"/>
          <w:sz w:val="20"/>
          <w:szCs w:val="20"/>
          <w:lang w:val="pt-BR"/>
        </w:rPr>
        <w:t xml:space="preserve">, </w:t>
      </w:r>
      <w:r w:rsidRPr="003C7BE7">
        <w:rPr>
          <w:rFonts w:ascii="Arial" w:hAnsi="Arial" w:cs="Arial"/>
          <w:snapToGrid w:val="0"/>
          <w:sz w:val="20"/>
          <w:szCs w:val="20"/>
          <w:lang w:val="pt-BR"/>
        </w:rPr>
        <w:t xml:space="preserve">Presidente; e </w:t>
      </w:r>
      <w:r w:rsidRPr="003C7BE7">
        <w:rPr>
          <w:rFonts w:ascii="Arial" w:hAnsi="Arial" w:cs="Arial"/>
          <w:b/>
          <w:snapToGrid w:val="0"/>
          <w:sz w:val="20"/>
          <w:szCs w:val="20"/>
          <w:lang w:val="pt-BR"/>
        </w:rPr>
        <w:t>(</w:t>
      </w:r>
      <w:proofErr w:type="spellStart"/>
      <w:r w:rsidRPr="003C7BE7">
        <w:rPr>
          <w:rFonts w:ascii="Arial" w:hAnsi="Arial" w:cs="Arial"/>
          <w:b/>
          <w:snapToGrid w:val="0"/>
          <w:sz w:val="20"/>
          <w:szCs w:val="20"/>
          <w:lang w:val="pt-BR"/>
        </w:rPr>
        <w:t>ii</w:t>
      </w:r>
      <w:proofErr w:type="spellEnd"/>
      <w:r w:rsidRPr="003C7BE7">
        <w:rPr>
          <w:rFonts w:ascii="Arial" w:hAnsi="Arial" w:cs="Arial"/>
          <w:b/>
          <w:snapToGrid w:val="0"/>
          <w:sz w:val="20"/>
          <w:szCs w:val="20"/>
          <w:lang w:val="pt-BR"/>
        </w:rPr>
        <w:t>)</w:t>
      </w:r>
      <w:r w:rsidRPr="003C7BE7">
        <w:rPr>
          <w:rFonts w:ascii="Arial" w:hAnsi="Arial" w:cs="Arial"/>
          <w:snapToGrid w:val="0"/>
          <w:sz w:val="20"/>
          <w:szCs w:val="20"/>
          <w:lang w:val="pt-BR"/>
        </w:rPr>
        <w:t xml:space="preserve"> </w:t>
      </w:r>
      <w:r w:rsidR="001856A5" w:rsidRPr="003C7BE7">
        <w:rPr>
          <w:rFonts w:ascii="Arial" w:hAnsi="Arial" w:cs="Arial"/>
          <w:b/>
          <w:sz w:val="20"/>
          <w:szCs w:val="20"/>
          <w:lang w:val="pt-BR"/>
        </w:rPr>
        <w:t xml:space="preserve">Sr. </w:t>
      </w:r>
      <w:r w:rsidR="00C32E6F" w:rsidRPr="0009233C">
        <w:rPr>
          <w:rFonts w:ascii="Arial" w:hAnsi="Arial" w:cs="Arial"/>
          <w:sz w:val="20"/>
          <w:szCs w:val="20"/>
          <w:highlight w:val="yellow"/>
          <w:lang w:val="pt-BR"/>
        </w:rPr>
        <w:t>[</w:t>
      </w:r>
      <w:r w:rsidR="00C32E6F" w:rsidRPr="0009233C">
        <w:rPr>
          <w:rFonts w:ascii="Arial" w:hAnsi="Arial" w:cs="Arial"/>
          <w:sz w:val="20"/>
          <w:szCs w:val="20"/>
          <w:highlight w:val="yellow"/>
          <w:lang w:val="pt-BR"/>
        </w:rPr>
        <w:sym w:font="Symbol" w:char="F0B7"/>
      </w:r>
      <w:r w:rsidR="00C32E6F" w:rsidRPr="0009233C">
        <w:rPr>
          <w:rFonts w:ascii="Arial" w:hAnsi="Arial" w:cs="Arial"/>
          <w:sz w:val="20"/>
          <w:szCs w:val="20"/>
          <w:highlight w:val="yellow"/>
          <w:lang w:val="pt-BR"/>
        </w:rPr>
        <w:t>]</w:t>
      </w:r>
      <w:r w:rsidR="00936E2F" w:rsidRPr="003C7BE7">
        <w:rPr>
          <w:rFonts w:ascii="Arial" w:hAnsi="Arial" w:cs="Arial"/>
          <w:snapToGrid w:val="0"/>
          <w:sz w:val="20"/>
          <w:szCs w:val="20"/>
          <w:lang w:val="pt-BR"/>
        </w:rPr>
        <w:t>, Secretário</w:t>
      </w:r>
      <w:r w:rsidRPr="003C7BE7">
        <w:rPr>
          <w:rFonts w:ascii="Arial" w:hAnsi="Arial" w:cs="Arial"/>
          <w:snapToGrid w:val="0"/>
          <w:sz w:val="20"/>
          <w:szCs w:val="20"/>
          <w:lang w:val="pt-BR"/>
        </w:rPr>
        <w:t>.</w:t>
      </w:r>
      <w:r w:rsidR="00C32E6F">
        <w:rPr>
          <w:rFonts w:ascii="Arial" w:hAnsi="Arial" w:cs="Arial"/>
          <w:snapToGrid w:val="0"/>
          <w:sz w:val="20"/>
          <w:szCs w:val="20"/>
          <w:lang w:val="pt-BR"/>
        </w:rPr>
        <w:t xml:space="preserve"> </w:t>
      </w:r>
      <w:r w:rsidR="00C32E6F" w:rsidRPr="0009233C">
        <w:rPr>
          <w:rFonts w:ascii="Arial" w:hAnsi="Arial" w:cs="Arial"/>
          <w:b/>
          <w:bCs/>
          <w:snapToGrid w:val="0"/>
          <w:sz w:val="20"/>
          <w:szCs w:val="20"/>
          <w:highlight w:val="yellow"/>
          <w:lang w:val="pt-BR"/>
        </w:rPr>
        <w:t>[Nota Lefosse: Companhia, por gentileza confirmar e/ou indicar, conforme aplicável.</w:t>
      </w:r>
    </w:p>
    <w:p w14:paraId="506DC389" w14:textId="77777777" w:rsidR="002D2013" w:rsidRPr="003C7BE7" w:rsidRDefault="002D2013" w:rsidP="009E360F">
      <w:pPr>
        <w:widowControl w:val="0"/>
        <w:spacing w:line="276" w:lineRule="auto"/>
        <w:jc w:val="both"/>
        <w:rPr>
          <w:rFonts w:ascii="Arial" w:hAnsi="Arial" w:cs="Arial"/>
          <w:snapToGrid w:val="0"/>
          <w:sz w:val="20"/>
          <w:szCs w:val="20"/>
          <w:lang w:val="pt-BR"/>
        </w:rPr>
      </w:pPr>
    </w:p>
    <w:p w14:paraId="1DF35190" w14:textId="77777777" w:rsidR="00B13A5F" w:rsidRPr="003C7BE7" w:rsidRDefault="002D2013" w:rsidP="009E360F">
      <w:pPr>
        <w:pStyle w:val="BodyText"/>
        <w:spacing w:line="276" w:lineRule="auto"/>
        <w:jc w:val="both"/>
        <w:rPr>
          <w:rFonts w:ascii="Arial" w:hAnsi="Arial" w:cs="Arial"/>
          <w:b w:val="0"/>
          <w:sz w:val="20"/>
          <w:szCs w:val="20"/>
        </w:rPr>
      </w:pPr>
      <w:r w:rsidRPr="003C7BE7">
        <w:rPr>
          <w:rFonts w:ascii="Arial" w:hAnsi="Arial" w:cs="Arial"/>
          <w:sz w:val="20"/>
          <w:szCs w:val="20"/>
        </w:rPr>
        <w:t xml:space="preserve">ORDEM DO DIA: </w:t>
      </w:r>
      <w:r w:rsidRPr="003C7BE7">
        <w:rPr>
          <w:rFonts w:ascii="Arial" w:hAnsi="Arial" w:cs="Arial"/>
          <w:b w:val="0"/>
          <w:sz w:val="20"/>
          <w:szCs w:val="20"/>
        </w:rPr>
        <w:t>Deliberar sobre</w:t>
      </w:r>
      <w:r w:rsidR="00B13A5F" w:rsidRPr="003C7BE7">
        <w:rPr>
          <w:rFonts w:ascii="Arial" w:hAnsi="Arial" w:cs="Arial"/>
          <w:b w:val="0"/>
          <w:sz w:val="20"/>
          <w:szCs w:val="20"/>
        </w:rPr>
        <w:t>:</w:t>
      </w:r>
      <w:r w:rsidRPr="003C7BE7">
        <w:rPr>
          <w:rFonts w:ascii="Arial" w:hAnsi="Arial" w:cs="Arial"/>
          <w:b w:val="0"/>
          <w:sz w:val="20"/>
          <w:szCs w:val="20"/>
        </w:rPr>
        <w:t xml:space="preserve"> </w:t>
      </w:r>
    </w:p>
    <w:p w14:paraId="1A8CBF48" w14:textId="72F29E47" w:rsidR="00EF2EFC" w:rsidRDefault="002D2013" w:rsidP="0009233C">
      <w:pPr>
        <w:pStyle w:val="BodyText"/>
        <w:spacing w:before="140" w:line="276" w:lineRule="auto"/>
        <w:jc w:val="both"/>
        <w:rPr>
          <w:rFonts w:ascii="Arial" w:hAnsi="Arial" w:cs="Arial"/>
          <w:b w:val="0"/>
          <w:sz w:val="20"/>
          <w:szCs w:val="20"/>
        </w:rPr>
      </w:pPr>
      <w:r w:rsidRPr="003C7BE7">
        <w:rPr>
          <w:rFonts w:ascii="Arial" w:hAnsi="Arial" w:cs="Arial"/>
          <w:sz w:val="20"/>
          <w:szCs w:val="20"/>
        </w:rPr>
        <w:t>(i)</w:t>
      </w:r>
      <w:r w:rsidRPr="003C7BE7">
        <w:rPr>
          <w:rFonts w:ascii="Arial" w:hAnsi="Arial" w:cs="Arial"/>
          <w:b w:val="0"/>
          <w:sz w:val="20"/>
          <w:szCs w:val="20"/>
        </w:rPr>
        <w:t xml:space="preserve"> a aprovação da </w:t>
      </w:r>
      <w:r w:rsidR="00C32E6F">
        <w:rPr>
          <w:rFonts w:ascii="Arial" w:hAnsi="Arial" w:cs="Arial"/>
          <w:b w:val="0"/>
          <w:sz w:val="20"/>
          <w:szCs w:val="20"/>
        </w:rPr>
        <w:t>3</w:t>
      </w:r>
      <w:r w:rsidR="00C32E6F" w:rsidRPr="003C7BE7">
        <w:rPr>
          <w:rFonts w:ascii="Arial" w:hAnsi="Arial" w:cs="Arial"/>
          <w:b w:val="0"/>
          <w:sz w:val="20"/>
          <w:szCs w:val="20"/>
        </w:rPr>
        <w:t xml:space="preserve">ª </w:t>
      </w:r>
      <w:r w:rsidRPr="003C7BE7">
        <w:rPr>
          <w:rFonts w:ascii="Arial" w:hAnsi="Arial" w:cs="Arial"/>
          <w:b w:val="0"/>
          <w:sz w:val="20"/>
          <w:szCs w:val="20"/>
        </w:rPr>
        <w:t>(</w:t>
      </w:r>
      <w:r w:rsidR="00C32E6F">
        <w:rPr>
          <w:rFonts w:ascii="Arial" w:hAnsi="Arial" w:cs="Arial"/>
          <w:b w:val="0"/>
          <w:sz w:val="20"/>
          <w:szCs w:val="20"/>
        </w:rPr>
        <w:t>terceira</w:t>
      </w:r>
      <w:r w:rsidRPr="003C7BE7">
        <w:rPr>
          <w:rFonts w:ascii="Arial" w:hAnsi="Arial" w:cs="Arial"/>
          <w:b w:val="0"/>
          <w:sz w:val="20"/>
          <w:szCs w:val="20"/>
        </w:rPr>
        <w:t xml:space="preserve">) emissão de debêntures simples, não conversíveis em ações, da espécie </w:t>
      </w:r>
      <w:r w:rsidR="00F925B3" w:rsidRPr="003C7BE7">
        <w:rPr>
          <w:rFonts w:ascii="Arial" w:hAnsi="Arial" w:cs="Arial"/>
          <w:b w:val="0"/>
          <w:sz w:val="20"/>
          <w:szCs w:val="20"/>
        </w:rPr>
        <w:t xml:space="preserve">quirografária, </w:t>
      </w:r>
      <w:r w:rsidR="002277C8" w:rsidRPr="003C7BE7">
        <w:rPr>
          <w:rFonts w:ascii="Arial" w:hAnsi="Arial" w:cs="Arial"/>
          <w:b w:val="0"/>
          <w:sz w:val="20"/>
          <w:szCs w:val="20"/>
        </w:rPr>
        <w:t>com garantia</w:t>
      </w:r>
      <w:r w:rsidR="000F4ACB" w:rsidRPr="003C7BE7">
        <w:rPr>
          <w:rFonts w:ascii="Arial" w:hAnsi="Arial" w:cs="Arial"/>
          <w:b w:val="0"/>
          <w:sz w:val="20"/>
          <w:szCs w:val="20"/>
        </w:rPr>
        <w:t xml:space="preserve"> adicional</w:t>
      </w:r>
      <w:r w:rsidR="002277C8" w:rsidRPr="003C7BE7">
        <w:rPr>
          <w:rFonts w:ascii="Arial" w:hAnsi="Arial" w:cs="Arial"/>
          <w:b w:val="0"/>
          <w:sz w:val="20"/>
          <w:szCs w:val="20"/>
        </w:rPr>
        <w:t xml:space="preserve"> </w:t>
      </w:r>
      <w:r w:rsidR="00F925B3" w:rsidRPr="003C7BE7">
        <w:rPr>
          <w:rFonts w:ascii="Arial" w:hAnsi="Arial" w:cs="Arial"/>
          <w:b w:val="0"/>
          <w:sz w:val="20"/>
          <w:szCs w:val="20"/>
        </w:rPr>
        <w:t xml:space="preserve">fidejussória, a ser convolada em espécie com garantia real, </w:t>
      </w:r>
      <w:r w:rsidR="002A26BB" w:rsidRPr="003C7BE7">
        <w:rPr>
          <w:rFonts w:ascii="Arial" w:hAnsi="Arial" w:cs="Arial"/>
          <w:b w:val="0"/>
          <w:sz w:val="20"/>
          <w:szCs w:val="20"/>
        </w:rPr>
        <w:t xml:space="preserve">com garantia adicional </w:t>
      </w:r>
      <w:r w:rsidR="002277C8" w:rsidRPr="003C7BE7">
        <w:rPr>
          <w:rFonts w:ascii="Arial" w:hAnsi="Arial" w:cs="Arial"/>
          <w:b w:val="0"/>
          <w:sz w:val="20"/>
          <w:szCs w:val="20"/>
        </w:rPr>
        <w:t>fidejussória</w:t>
      </w:r>
      <w:r w:rsidRPr="003C7BE7">
        <w:rPr>
          <w:rFonts w:ascii="Arial" w:hAnsi="Arial" w:cs="Arial"/>
          <w:b w:val="0"/>
          <w:sz w:val="20"/>
          <w:szCs w:val="20"/>
        </w:rPr>
        <w:t>,</w:t>
      </w:r>
      <w:r w:rsidR="004D4198" w:rsidRPr="003C7BE7">
        <w:rPr>
          <w:rFonts w:ascii="Arial" w:hAnsi="Arial" w:cs="Arial"/>
          <w:b w:val="0"/>
          <w:sz w:val="20"/>
          <w:szCs w:val="20"/>
        </w:rPr>
        <w:t xml:space="preserve"> em série única,</w:t>
      </w:r>
      <w:r w:rsidRPr="003C7BE7">
        <w:rPr>
          <w:rFonts w:ascii="Arial" w:hAnsi="Arial" w:cs="Arial"/>
          <w:b w:val="0"/>
          <w:sz w:val="20"/>
          <w:szCs w:val="20"/>
        </w:rPr>
        <w:t xml:space="preserve"> para distribuição pública com esforços restritos, nos termos da Instrução </w:t>
      </w:r>
      <w:r w:rsidR="000274C6" w:rsidRPr="003C7BE7">
        <w:rPr>
          <w:rFonts w:ascii="Arial" w:hAnsi="Arial" w:cs="Arial"/>
          <w:b w:val="0"/>
          <w:sz w:val="20"/>
          <w:szCs w:val="20"/>
        </w:rPr>
        <w:t xml:space="preserve">da </w:t>
      </w:r>
      <w:r w:rsidRPr="003C7BE7">
        <w:rPr>
          <w:rFonts w:ascii="Arial" w:hAnsi="Arial" w:cs="Arial"/>
          <w:b w:val="0"/>
          <w:sz w:val="20"/>
          <w:szCs w:val="20"/>
        </w:rPr>
        <w:t>CVM nº 476, de 16 de janeiro de 2009, conforme alterada (“</w:t>
      </w:r>
      <w:r w:rsidRPr="003C7BE7">
        <w:rPr>
          <w:rFonts w:ascii="Arial" w:hAnsi="Arial" w:cs="Arial"/>
          <w:sz w:val="20"/>
          <w:szCs w:val="20"/>
        </w:rPr>
        <w:t>Emissão</w:t>
      </w:r>
      <w:r w:rsidRPr="003C7BE7">
        <w:rPr>
          <w:rFonts w:ascii="Arial" w:hAnsi="Arial" w:cs="Arial"/>
          <w:b w:val="0"/>
          <w:sz w:val="20"/>
          <w:szCs w:val="20"/>
        </w:rPr>
        <w:t>”, “</w:t>
      </w:r>
      <w:r w:rsidRPr="003C7BE7">
        <w:rPr>
          <w:rFonts w:ascii="Arial" w:hAnsi="Arial" w:cs="Arial"/>
          <w:sz w:val="20"/>
          <w:szCs w:val="20"/>
        </w:rPr>
        <w:t>Debêntures</w:t>
      </w:r>
      <w:r w:rsidRPr="003C7BE7">
        <w:rPr>
          <w:rFonts w:ascii="Arial" w:hAnsi="Arial" w:cs="Arial"/>
          <w:b w:val="0"/>
          <w:sz w:val="20"/>
          <w:szCs w:val="20"/>
        </w:rPr>
        <w:t>” e “</w:t>
      </w:r>
      <w:r w:rsidRPr="003C7BE7">
        <w:rPr>
          <w:rFonts w:ascii="Arial" w:hAnsi="Arial" w:cs="Arial"/>
          <w:sz w:val="20"/>
          <w:szCs w:val="20"/>
        </w:rPr>
        <w:t xml:space="preserve">Instrução CVM </w:t>
      </w:r>
      <w:r w:rsidR="00993ADA" w:rsidRPr="003C7BE7">
        <w:rPr>
          <w:rFonts w:ascii="Arial" w:hAnsi="Arial" w:cs="Arial"/>
          <w:sz w:val="20"/>
          <w:szCs w:val="20"/>
        </w:rPr>
        <w:t xml:space="preserve">nº </w:t>
      </w:r>
      <w:r w:rsidRPr="003C7BE7">
        <w:rPr>
          <w:rFonts w:ascii="Arial" w:hAnsi="Arial" w:cs="Arial"/>
          <w:sz w:val="20"/>
          <w:szCs w:val="20"/>
        </w:rPr>
        <w:t>476</w:t>
      </w:r>
      <w:r w:rsidRPr="003C7BE7">
        <w:rPr>
          <w:rFonts w:ascii="Arial" w:hAnsi="Arial" w:cs="Arial"/>
          <w:b w:val="0"/>
          <w:sz w:val="20"/>
          <w:szCs w:val="20"/>
        </w:rPr>
        <w:t>”, respectivamente)</w:t>
      </w:r>
      <w:r w:rsidR="00965185" w:rsidRPr="003C7BE7">
        <w:rPr>
          <w:rFonts w:ascii="Arial" w:hAnsi="Arial" w:cs="Arial"/>
          <w:b w:val="0"/>
          <w:sz w:val="20"/>
          <w:szCs w:val="20"/>
        </w:rPr>
        <w:t xml:space="preserve">, cujos termos e </w:t>
      </w:r>
      <w:r w:rsidR="00965185" w:rsidRPr="00C32E6F">
        <w:rPr>
          <w:rFonts w:ascii="Arial" w:hAnsi="Arial" w:cs="Arial"/>
          <w:b w:val="0"/>
          <w:sz w:val="20"/>
          <w:szCs w:val="20"/>
        </w:rPr>
        <w:t xml:space="preserve">condições estarão previstos, caso sejam aprovadas as deliberações objeto da presente assembleia geral, no </w:t>
      </w:r>
      <w:r w:rsidR="00C32E6F" w:rsidRPr="0009233C">
        <w:rPr>
          <w:rFonts w:ascii="Arial" w:hAnsi="Arial" w:cs="Arial"/>
          <w:b w:val="0"/>
          <w:sz w:val="20"/>
          <w:szCs w:val="20"/>
        </w:rPr>
        <w:t>“</w:t>
      </w:r>
      <w:r w:rsidR="00C32E6F" w:rsidRPr="0009233C">
        <w:rPr>
          <w:rFonts w:ascii="Arial" w:hAnsi="Arial" w:cs="Arial"/>
          <w:b w:val="0"/>
          <w:i/>
          <w:sz w:val="20"/>
          <w:szCs w:val="20"/>
        </w:rPr>
        <w:t xml:space="preserve">Instrumento Particular de Escritura da 3ª (Terceira)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de Distribuição, do </w:t>
      </w:r>
      <w:bookmarkStart w:id="0" w:name="_Hlk43395712"/>
      <w:proofErr w:type="spellStart"/>
      <w:r w:rsidR="00C32E6F" w:rsidRPr="0009233C">
        <w:rPr>
          <w:rFonts w:ascii="Arial" w:hAnsi="Arial" w:cs="Arial"/>
          <w:b w:val="0"/>
          <w:i/>
          <w:sz w:val="20"/>
          <w:szCs w:val="20"/>
        </w:rPr>
        <w:t>Atakarejo</w:t>
      </w:r>
      <w:proofErr w:type="spellEnd"/>
      <w:r w:rsidR="00C32E6F" w:rsidRPr="0009233C">
        <w:rPr>
          <w:rFonts w:ascii="Arial" w:hAnsi="Arial" w:cs="Arial"/>
          <w:b w:val="0"/>
          <w:i/>
          <w:sz w:val="20"/>
          <w:szCs w:val="20"/>
        </w:rPr>
        <w:t xml:space="preserve"> Distribuidor de Alimentos e Bebidas S.A.</w:t>
      </w:r>
      <w:bookmarkEnd w:id="0"/>
      <w:r w:rsidR="00C32E6F" w:rsidRPr="0009233C">
        <w:rPr>
          <w:rFonts w:ascii="Arial" w:hAnsi="Arial" w:cs="Arial"/>
          <w:b w:val="0"/>
          <w:sz w:val="20"/>
          <w:szCs w:val="20"/>
        </w:rPr>
        <w:t>”</w:t>
      </w:r>
      <w:r w:rsidR="00965185" w:rsidRPr="003C7BE7">
        <w:rPr>
          <w:rFonts w:ascii="Arial" w:hAnsi="Arial" w:cs="Arial"/>
          <w:b w:val="0"/>
          <w:sz w:val="20"/>
          <w:szCs w:val="20"/>
        </w:rPr>
        <w:t xml:space="preserve"> (“</w:t>
      </w:r>
      <w:r w:rsidR="00965185" w:rsidRPr="003C7BE7">
        <w:rPr>
          <w:rFonts w:ascii="Arial" w:hAnsi="Arial" w:cs="Arial"/>
          <w:sz w:val="20"/>
          <w:szCs w:val="20"/>
        </w:rPr>
        <w:t>Escritura de Emissão</w:t>
      </w:r>
      <w:r w:rsidR="00965185" w:rsidRPr="003C7BE7">
        <w:rPr>
          <w:rFonts w:ascii="Arial" w:hAnsi="Arial" w:cs="Arial"/>
          <w:b w:val="0"/>
          <w:sz w:val="20"/>
          <w:szCs w:val="20"/>
        </w:rPr>
        <w:t>”), a ser celebrado entre a Companhia, a Simplific Pavarini Distribuidora de Títulos e Valores Mobiliários Ltda.</w:t>
      </w:r>
      <w:r w:rsidR="00DD53F3" w:rsidRPr="003C7BE7">
        <w:rPr>
          <w:rFonts w:ascii="Arial" w:hAnsi="Arial" w:cs="Arial"/>
          <w:b w:val="0"/>
          <w:sz w:val="20"/>
          <w:szCs w:val="20"/>
        </w:rPr>
        <w:t>, na qualidade de representante dos Debenturistas (conforme definidos abaixo)</w:t>
      </w:r>
      <w:r w:rsidR="00B27B6B" w:rsidRPr="003C7BE7">
        <w:rPr>
          <w:rFonts w:ascii="Arial" w:hAnsi="Arial" w:cs="Arial"/>
          <w:b w:val="0"/>
          <w:sz w:val="20"/>
          <w:szCs w:val="20"/>
        </w:rPr>
        <w:t xml:space="preserve"> (“</w:t>
      </w:r>
      <w:r w:rsidR="00B27B6B" w:rsidRPr="003C7BE7">
        <w:rPr>
          <w:rFonts w:ascii="Arial" w:hAnsi="Arial" w:cs="Arial"/>
          <w:sz w:val="20"/>
          <w:szCs w:val="20"/>
        </w:rPr>
        <w:t>Agente Fiduciário</w:t>
      </w:r>
      <w:r w:rsidR="00B27B6B" w:rsidRPr="003C7BE7">
        <w:rPr>
          <w:rFonts w:ascii="Arial" w:hAnsi="Arial" w:cs="Arial"/>
          <w:b w:val="0"/>
          <w:sz w:val="20"/>
          <w:szCs w:val="20"/>
        </w:rPr>
        <w:t>”)</w:t>
      </w:r>
      <w:r w:rsidR="006C1C1B" w:rsidRPr="003C7BE7">
        <w:rPr>
          <w:rFonts w:ascii="Arial" w:hAnsi="Arial" w:cs="Arial"/>
          <w:b w:val="0"/>
          <w:sz w:val="20"/>
          <w:szCs w:val="20"/>
        </w:rPr>
        <w:t>,</w:t>
      </w:r>
      <w:r w:rsidR="00DC14A8" w:rsidRPr="003C7BE7">
        <w:rPr>
          <w:rFonts w:ascii="Arial" w:hAnsi="Arial" w:cs="Arial"/>
          <w:b w:val="0"/>
          <w:sz w:val="20"/>
          <w:szCs w:val="20"/>
        </w:rPr>
        <w:t xml:space="preserve"> e os Fiadores (conforme definidos abaixo)</w:t>
      </w:r>
      <w:r w:rsidR="00CB23D6" w:rsidRPr="003C7BE7">
        <w:rPr>
          <w:rFonts w:ascii="Arial" w:hAnsi="Arial" w:cs="Arial"/>
          <w:b w:val="0"/>
          <w:sz w:val="20"/>
          <w:szCs w:val="20"/>
        </w:rPr>
        <w:t>,</w:t>
      </w:r>
      <w:r w:rsidR="006C1C1B" w:rsidRPr="003C7BE7">
        <w:rPr>
          <w:rFonts w:ascii="Arial" w:hAnsi="Arial" w:cs="Arial"/>
          <w:b w:val="0"/>
          <w:sz w:val="20"/>
          <w:szCs w:val="20"/>
        </w:rPr>
        <w:t xml:space="preserve"> que terá como garantias (“</w:t>
      </w:r>
      <w:r w:rsidR="006C1C1B" w:rsidRPr="003C7BE7">
        <w:rPr>
          <w:rFonts w:ascii="Arial" w:hAnsi="Arial" w:cs="Arial"/>
          <w:sz w:val="20"/>
          <w:szCs w:val="20"/>
        </w:rPr>
        <w:t>Garantias</w:t>
      </w:r>
      <w:r w:rsidR="006C1C1B" w:rsidRPr="003C7BE7">
        <w:rPr>
          <w:rFonts w:ascii="Arial" w:hAnsi="Arial" w:cs="Arial"/>
          <w:b w:val="0"/>
          <w:sz w:val="20"/>
          <w:szCs w:val="20"/>
        </w:rPr>
        <w:t xml:space="preserve">”): </w:t>
      </w:r>
      <w:r w:rsidR="00E815CA" w:rsidRPr="003C7BE7">
        <w:rPr>
          <w:rFonts w:ascii="Arial" w:hAnsi="Arial" w:cs="Arial"/>
          <w:b w:val="0"/>
          <w:sz w:val="20"/>
          <w:szCs w:val="20"/>
        </w:rPr>
        <w:t xml:space="preserve">(a) </w:t>
      </w:r>
      <w:r w:rsidR="00F925B3" w:rsidRPr="003C7BE7">
        <w:rPr>
          <w:rFonts w:ascii="Arial" w:hAnsi="Arial" w:cs="Arial"/>
          <w:b w:val="0"/>
          <w:sz w:val="20"/>
          <w:szCs w:val="20"/>
        </w:rPr>
        <w:t xml:space="preserve">Fiança (conforme definida abaixo) </w:t>
      </w:r>
      <w:r w:rsidR="00E815CA" w:rsidRPr="003C7BE7">
        <w:rPr>
          <w:rFonts w:ascii="Arial" w:hAnsi="Arial" w:cs="Arial"/>
          <w:b w:val="0"/>
          <w:sz w:val="20"/>
          <w:szCs w:val="20"/>
        </w:rPr>
        <w:t xml:space="preserve">prestada pelo Sr. </w:t>
      </w:r>
      <w:r w:rsidR="004D4198" w:rsidRPr="003C7BE7">
        <w:rPr>
          <w:rFonts w:ascii="Arial" w:hAnsi="Arial" w:cs="Arial"/>
          <w:b w:val="0"/>
          <w:sz w:val="20"/>
          <w:szCs w:val="20"/>
        </w:rPr>
        <w:t>Teobaldo Luis da Costa</w:t>
      </w:r>
      <w:r w:rsidR="00F925B3" w:rsidRPr="003C7BE7">
        <w:rPr>
          <w:rFonts w:ascii="Arial" w:hAnsi="Arial" w:cs="Arial"/>
          <w:b w:val="0"/>
          <w:sz w:val="20"/>
          <w:szCs w:val="20"/>
        </w:rPr>
        <w:t xml:space="preserve"> (“</w:t>
      </w:r>
      <w:r w:rsidR="00F925B3" w:rsidRPr="003C7BE7">
        <w:rPr>
          <w:rFonts w:ascii="Arial" w:hAnsi="Arial" w:cs="Arial"/>
          <w:sz w:val="20"/>
          <w:szCs w:val="20"/>
        </w:rPr>
        <w:t>Teobaldo</w:t>
      </w:r>
      <w:r w:rsidR="00F925B3" w:rsidRPr="003C7BE7">
        <w:rPr>
          <w:rFonts w:ascii="Arial" w:hAnsi="Arial" w:cs="Arial"/>
          <w:b w:val="0"/>
          <w:sz w:val="20"/>
          <w:szCs w:val="20"/>
        </w:rPr>
        <w:t>”)</w:t>
      </w:r>
      <w:r w:rsidR="00EB6890" w:rsidRPr="003C7BE7">
        <w:rPr>
          <w:rFonts w:ascii="Arial" w:hAnsi="Arial" w:cs="Arial"/>
          <w:b w:val="0"/>
          <w:sz w:val="20"/>
          <w:szCs w:val="20"/>
        </w:rPr>
        <w:t>,</w:t>
      </w:r>
      <w:r w:rsidR="00E815CA" w:rsidRPr="003C7BE7">
        <w:rPr>
          <w:rFonts w:ascii="Arial" w:hAnsi="Arial" w:cs="Arial"/>
          <w:b w:val="0"/>
          <w:sz w:val="20"/>
          <w:szCs w:val="20"/>
        </w:rPr>
        <w:t xml:space="preserve"> </w:t>
      </w:r>
      <w:r w:rsidR="004D4198" w:rsidRPr="003C7BE7">
        <w:rPr>
          <w:rFonts w:ascii="Arial" w:hAnsi="Arial" w:cs="Arial"/>
          <w:b w:val="0"/>
          <w:sz w:val="20"/>
          <w:szCs w:val="20"/>
        </w:rPr>
        <w:t>pel</w:t>
      </w:r>
      <w:r w:rsidR="004D4198" w:rsidRPr="003C7BE7">
        <w:rPr>
          <w:rFonts w:ascii="Arial" w:eastAsia="Arial Unicode MS" w:hAnsi="Arial" w:cs="Arial"/>
          <w:b w:val="0"/>
          <w:w w:val="0"/>
          <w:sz w:val="20"/>
          <w:szCs w:val="20"/>
        </w:rPr>
        <w:t>o Sr. Gabriel Nascimento da Costa</w:t>
      </w:r>
      <w:r w:rsidR="00F925B3" w:rsidRPr="003C7BE7">
        <w:rPr>
          <w:rFonts w:ascii="Arial" w:eastAsia="Arial Unicode MS" w:hAnsi="Arial" w:cs="Arial"/>
          <w:b w:val="0"/>
          <w:w w:val="0"/>
          <w:sz w:val="20"/>
          <w:szCs w:val="20"/>
        </w:rPr>
        <w:t xml:space="preserve"> (“</w:t>
      </w:r>
      <w:r w:rsidR="00F925B3" w:rsidRPr="003C7BE7">
        <w:rPr>
          <w:rFonts w:ascii="Arial" w:eastAsia="Arial Unicode MS" w:hAnsi="Arial" w:cs="Arial"/>
          <w:w w:val="0"/>
          <w:sz w:val="20"/>
          <w:szCs w:val="20"/>
        </w:rPr>
        <w:t>Gabriel</w:t>
      </w:r>
      <w:r w:rsidR="00F925B3" w:rsidRPr="003C7BE7">
        <w:rPr>
          <w:rFonts w:ascii="Arial" w:eastAsia="Arial Unicode MS" w:hAnsi="Arial" w:cs="Arial"/>
          <w:b w:val="0"/>
          <w:w w:val="0"/>
          <w:sz w:val="20"/>
          <w:szCs w:val="20"/>
        </w:rPr>
        <w:t>”)</w:t>
      </w:r>
      <w:r w:rsidR="00EB6890" w:rsidRPr="003C7BE7">
        <w:rPr>
          <w:rFonts w:ascii="Arial" w:eastAsia="Arial Unicode MS" w:hAnsi="Arial" w:cs="Arial"/>
          <w:b w:val="0"/>
          <w:w w:val="0"/>
          <w:sz w:val="20"/>
          <w:szCs w:val="20"/>
        </w:rPr>
        <w:t xml:space="preserve"> e pela </w:t>
      </w:r>
      <w:proofErr w:type="spellStart"/>
      <w:r w:rsidR="00EB6890" w:rsidRPr="003C7BE7">
        <w:rPr>
          <w:rFonts w:ascii="Arial" w:eastAsia="Arial Unicode MS" w:hAnsi="Arial" w:cs="Arial"/>
          <w:b w:val="0"/>
          <w:w w:val="0"/>
          <w:sz w:val="20"/>
          <w:szCs w:val="20"/>
        </w:rPr>
        <w:t>Damrak</w:t>
      </w:r>
      <w:proofErr w:type="spellEnd"/>
      <w:r w:rsidR="00EB6890" w:rsidRPr="003C7BE7">
        <w:rPr>
          <w:rFonts w:ascii="Arial" w:eastAsia="Arial Unicode MS" w:hAnsi="Arial" w:cs="Arial"/>
          <w:b w:val="0"/>
          <w:w w:val="0"/>
          <w:sz w:val="20"/>
          <w:szCs w:val="20"/>
        </w:rPr>
        <w:t xml:space="preserve"> do Brasil Participações e Empreendimentos Ltda.</w:t>
      </w:r>
      <w:r w:rsidR="00E815CA" w:rsidRPr="003C7BE7">
        <w:rPr>
          <w:rFonts w:ascii="Arial" w:eastAsia="Arial Unicode MS" w:hAnsi="Arial" w:cs="Arial"/>
          <w:b w:val="0"/>
          <w:w w:val="0"/>
          <w:sz w:val="20"/>
          <w:szCs w:val="20"/>
        </w:rPr>
        <w:t xml:space="preserve"> </w:t>
      </w:r>
      <w:r w:rsidR="00F925B3" w:rsidRPr="003C7BE7">
        <w:rPr>
          <w:rFonts w:ascii="Arial" w:eastAsia="Arial Unicode MS" w:hAnsi="Arial" w:cs="Arial"/>
          <w:b w:val="0"/>
          <w:w w:val="0"/>
          <w:sz w:val="20"/>
          <w:szCs w:val="20"/>
        </w:rPr>
        <w:lastRenderedPageBreak/>
        <w:t>(“</w:t>
      </w:r>
      <w:proofErr w:type="spellStart"/>
      <w:r w:rsidR="00F925B3" w:rsidRPr="003C7BE7">
        <w:rPr>
          <w:rFonts w:ascii="Arial" w:eastAsia="Arial Unicode MS" w:hAnsi="Arial" w:cs="Arial"/>
          <w:w w:val="0"/>
          <w:sz w:val="20"/>
          <w:szCs w:val="20"/>
        </w:rPr>
        <w:t>Damrak</w:t>
      </w:r>
      <w:proofErr w:type="spellEnd"/>
      <w:r w:rsidR="00F925B3" w:rsidRPr="003C7BE7">
        <w:rPr>
          <w:rFonts w:ascii="Arial" w:eastAsia="Arial Unicode MS" w:hAnsi="Arial" w:cs="Arial"/>
          <w:b w:val="0"/>
          <w:w w:val="0"/>
          <w:sz w:val="20"/>
          <w:szCs w:val="20"/>
        </w:rPr>
        <w:t>” e, quando em conjunto com o Gabriel e com o Teobaldo, denominados simplesmente de “</w:t>
      </w:r>
      <w:r w:rsidR="00F925B3" w:rsidRPr="003C7BE7">
        <w:rPr>
          <w:rFonts w:ascii="Arial" w:eastAsia="Arial Unicode MS" w:hAnsi="Arial" w:cs="Arial"/>
          <w:w w:val="0"/>
          <w:sz w:val="20"/>
          <w:szCs w:val="20"/>
        </w:rPr>
        <w:t>Fiadores</w:t>
      </w:r>
      <w:r w:rsidR="00F925B3" w:rsidRPr="003C7BE7">
        <w:rPr>
          <w:rFonts w:ascii="Arial" w:eastAsia="Arial Unicode MS" w:hAnsi="Arial" w:cs="Arial"/>
          <w:b w:val="0"/>
          <w:w w:val="0"/>
          <w:sz w:val="20"/>
          <w:szCs w:val="20"/>
        </w:rPr>
        <w:t>”)</w:t>
      </w:r>
      <w:r w:rsidR="00E815CA" w:rsidRPr="003C7BE7">
        <w:rPr>
          <w:rFonts w:ascii="Arial" w:eastAsia="Arial Unicode MS" w:hAnsi="Arial" w:cs="Arial"/>
          <w:b w:val="0"/>
          <w:w w:val="0"/>
          <w:sz w:val="20"/>
          <w:szCs w:val="20"/>
        </w:rPr>
        <w:t>;</w:t>
      </w:r>
      <w:r w:rsidR="00E815CA" w:rsidRPr="003C7BE7">
        <w:rPr>
          <w:rFonts w:ascii="Arial" w:hAnsi="Arial" w:cs="Arial"/>
          <w:b w:val="0"/>
          <w:sz w:val="20"/>
          <w:szCs w:val="20"/>
        </w:rPr>
        <w:t xml:space="preserve"> </w:t>
      </w:r>
      <w:r w:rsidR="00A85BA9">
        <w:rPr>
          <w:rFonts w:ascii="Arial" w:hAnsi="Arial" w:cs="Arial"/>
          <w:b w:val="0"/>
          <w:sz w:val="20"/>
          <w:szCs w:val="20"/>
        </w:rPr>
        <w:t xml:space="preserve">e </w:t>
      </w:r>
      <w:r w:rsidR="006C1C1B" w:rsidRPr="003C7BE7">
        <w:rPr>
          <w:rFonts w:ascii="Arial" w:hAnsi="Arial" w:cs="Arial"/>
          <w:b w:val="0"/>
          <w:sz w:val="20"/>
          <w:szCs w:val="20"/>
        </w:rPr>
        <w:t>(</w:t>
      </w:r>
      <w:r w:rsidR="00E815CA" w:rsidRPr="003C7BE7">
        <w:rPr>
          <w:rFonts w:ascii="Arial" w:hAnsi="Arial" w:cs="Arial"/>
          <w:b w:val="0"/>
          <w:sz w:val="20"/>
          <w:szCs w:val="20"/>
        </w:rPr>
        <w:t>b</w:t>
      </w:r>
      <w:r w:rsidR="006C1C1B" w:rsidRPr="003C7BE7">
        <w:rPr>
          <w:rFonts w:ascii="Arial" w:hAnsi="Arial" w:cs="Arial"/>
          <w:b w:val="0"/>
          <w:sz w:val="20"/>
          <w:szCs w:val="20"/>
        </w:rPr>
        <w:t>)</w:t>
      </w:r>
      <w:r w:rsidR="000710AE" w:rsidRPr="003C7BE7">
        <w:rPr>
          <w:rFonts w:ascii="Arial" w:hAnsi="Arial" w:cs="Arial"/>
          <w:b w:val="0"/>
          <w:sz w:val="20"/>
          <w:szCs w:val="20"/>
        </w:rPr>
        <w:t xml:space="preserve"> a </w:t>
      </w:r>
      <w:r w:rsidR="00F925B3" w:rsidRPr="003C7BE7">
        <w:rPr>
          <w:rFonts w:ascii="Arial" w:hAnsi="Arial" w:cs="Arial"/>
          <w:b w:val="0"/>
          <w:sz w:val="20"/>
          <w:szCs w:val="20"/>
        </w:rPr>
        <w:t>Alienação Fiduciária</w:t>
      </w:r>
      <w:r w:rsidR="00233FA2" w:rsidRPr="003C7BE7">
        <w:rPr>
          <w:rFonts w:ascii="Arial" w:hAnsi="Arial" w:cs="Arial"/>
          <w:b w:val="0"/>
          <w:sz w:val="20"/>
          <w:szCs w:val="20"/>
        </w:rPr>
        <w:t xml:space="preserve"> de Imóve</w:t>
      </w:r>
      <w:r w:rsidR="00C32E6F">
        <w:rPr>
          <w:rFonts w:ascii="Arial" w:hAnsi="Arial" w:cs="Arial"/>
          <w:b w:val="0"/>
          <w:sz w:val="20"/>
          <w:szCs w:val="20"/>
        </w:rPr>
        <w:t>l</w:t>
      </w:r>
      <w:r w:rsidR="00F925B3" w:rsidRPr="003C7BE7">
        <w:rPr>
          <w:rFonts w:ascii="Arial" w:hAnsi="Arial" w:cs="Arial"/>
          <w:b w:val="0"/>
          <w:sz w:val="20"/>
          <w:szCs w:val="20"/>
        </w:rPr>
        <w:t xml:space="preserve"> (conforme definido abaixo) dos Imóve</w:t>
      </w:r>
      <w:r w:rsidR="00C32E6F">
        <w:rPr>
          <w:rFonts w:ascii="Arial" w:hAnsi="Arial" w:cs="Arial"/>
          <w:b w:val="0"/>
          <w:sz w:val="20"/>
          <w:szCs w:val="20"/>
        </w:rPr>
        <w:t>l</w:t>
      </w:r>
      <w:r w:rsidR="00F925B3" w:rsidRPr="003C7BE7">
        <w:rPr>
          <w:rFonts w:ascii="Arial" w:hAnsi="Arial" w:cs="Arial"/>
          <w:b w:val="0"/>
          <w:sz w:val="20"/>
          <w:szCs w:val="20"/>
        </w:rPr>
        <w:t xml:space="preserve"> (conforme definido abaixo) </w:t>
      </w:r>
      <w:r w:rsidR="000710AE" w:rsidRPr="003C7BE7">
        <w:rPr>
          <w:rFonts w:ascii="Arial" w:hAnsi="Arial" w:cs="Arial"/>
          <w:b w:val="0"/>
          <w:sz w:val="20"/>
          <w:szCs w:val="20"/>
        </w:rPr>
        <w:t xml:space="preserve">de propriedade da </w:t>
      </w:r>
      <w:r w:rsidR="00C32E6F" w:rsidRPr="00C32E6F">
        <w:rPr>
          <w:rFonts w:ascii="Arial" w:hAnsi="Arial" w:cs="Arial"/>
          <w:b w:val="0"/>
          <w:sz w:val="20"/>
          <w:szCs w:val="20"/>
        </w:rPr>
        <w:t xml:space="preserve">VG Empreendimentos Imobiliários Comercial SPE </w:t>
      </w:r>
      <w:proofErr w:type="spellStart"/>
      <w:r w:rsidR="00C32E6F" w:rsidRPr="00C32E6F">
        <w:rPr>
          <w:rFonts w:ascii="Arial" w:hAnsi="Arial" w:cs="Arial"/>
          <w:b w:val="0"/>
          <w:sz w:val="20"/>
          <w:szCs w:val="20"/>
        </w:rPr>
        <w:t>Eireli</w:t>
      </w:r>
      <w:proofErr w:type="spellEnd"/>
      <w:r w:rsidR="00C32E6F" w:rsidRPr="00C32E6F">
        <w:rPr>
          <w:rFonts w:ascii="Arial" w:hAnsi="Arial" w:cs="Arial"/>
          <w:b w:val="0"/>
          <w:sz w:val="20"/>
          <w:szCs w:val="20"/>
        </w:rPr>
        <w:t>, inscrita no CNPJ/ME sob o nº</w:t>
      </w:r>
      <w:r w:rsidR="00F3789C">
        <w:rPr>
          <w:rFonts w:ascii="Arial" w:hAnsi="Arial" w:cs="Arial"/>
          <w:b w:val="0"/>
          <w:sz w:val="20"/>
          <w:szCs w:val="20"/>
        </w:rPr>
        <w:t> </w:t>
      </w:r>
      <w:r w:rsidR="00C32E6F" w:rsidRPr="00C32E6F">
        <w:rPr>
          <w:rFonts w:ascii="Arial" w:hAnsi="Arial" w:cs="Arial"/>
          <w:b w:val="0"/>
          <w:sz w:val="20"/>
          <w:szCs w:val="20"/>
        </w:rPr>
        <w:t>30.865.492/0001-49 (“</w:t>
      </w:r>
      <w:r w:rsidR="00C32E6F" w:rsidRPr="0009233C">
        <w:rPr>
          <w:rFonts w:ascii="Arial" w:hAnsi="Arial" w:cs="Arial"/>
          <w:bCs w:val="0"/>
          <w:sz w:val="20"/>
          <w:szCs w:val="20"/>
        </w:rPr>
        <w:t>VG Empreendimentos</w:t>
      </w:r>
      <w:r w:rsidR="00C32E6F" w:rsidRPr="00C32E6F">
        <w:rPr>
          <w:rFonts w:ascii="Arial" w:hAnsi="Arial" w:cs="Arial"/>
          <w:b w:val="0"/>
          <w:sz w:val="20"/>
          <w:szCs w:val="20"/>
        </w:rPr>
        <w:t>”)</w:t>
      </w:r>
      <w:r w:rsidR="00F925B3" w:rsidRPr="003C7BE7">
        <w:rPr>
          <w:rFonts w:ascii="Arial" w:hAnsi="Arial" w:cs="Arial"/>
          <w:b w:val="0"/>
          <w:sz w:val="20"/>
          <w:szCs w:val="20"/>
        </w:rPr>
        <w:t>.</w:t>
      </w:r>
    </w:p>
    <w:p w14:paraId="2492E8F3" w14:textId="77777777" w:rsidR="00EF2EFC" w:rsidRPr="003C7BE7" w:rsidRDefault="00EF2EFC" w:rsidP="00EF2EFC">
      <w:pPr>
        <w:pStyle w:val="BodyText"/>
        <w:spacing w:line="276" w:lineRule="auto"/>
        <w:jc w:val="both"/>
        <w:rPr>
          <w:rFonts w:ascii="Arial" w:hAnsi="Arial" w:cs="Arial"/>
          <w:b w:val="0"/>
          <w:sz w:val="20"/>
          <w:szCs w:val="20"/>
        </w:rPr>
      </w:pPr>
    </w:p>
    <w:p w14:paraId="10646FF0" w14:textId="77777777" w:rsidR="00B13A5F" w:rsidRPr="003C7BE7" w:rsidRDefault="00B13A5F" w:rsidP="009E360F">
      <w:pPr>
        <w:pStyle w:val="BodyText"/>
        <w:spacing w:line="276" w:lineRule="auto"/>
        <w:jc w:val="both"/>
        <w:rPr>
          <w:rFonts w:ascii="Arial" w:hAnsi="Arial" w:cs="Arial"/>
          <w:sz w:val="20"/>
          <w:szCs w:val="20"/>
        </w:rPr>
      </w:pPr>
    </w:p>
    <w:p w14:paraId="7826F545" w14:textId="2742B77B" w:rsidR="00E659CE" w:rsidRPr="003C7BE7" w:rsidRDefault="00B13A5F" w:rsidP="00AF3C84">
      <w:pPr>
        <w:pStyle w:val="BodyText"/>
        <w:spacing w:line="276" w:lineRule="auto"/>
        <w:jc w:val="both"/>
        <w:rPr>
          <w:rFonts w:ascii="Arial" w:hAnsi="Arial" w:cs="Arial"/>
          <w:sz w:val="20"/>
          <w:szCs w:val="20"/>
        </w:rPr>
      </w:pPr>
      <w:r w:rsidRPr="003C7BE7">
        <w:rPr>
          <w:rFonts w:ascii="Arial" w:hAnsi="Arial" w:cs="Arial"/>
          <w:sz w:val="20"/>
          <w:szCs w:val="20"/>
        </w:rPr>
        <w:t>(</w:t>
      </w:r>
      <w:proofErr w:type="spellStart"/>
      <w:r w:rsidR="00206DA5" w:rsidRPr="003C7BE7">
        <w:rPr>
          <w:rFonts w:ascii="Arial" w:hAnsi="Arial" w:cs="Arial"/>
          <w:sz w:val="20"/>
          <w:szCs w:val="20"/>
        </w:rPr>
        <w:t>iii</w:t>
      </w:r>
      <w:proofErr w:type="spellEnd"/>
      <w:r w:rsidRPr="003C7BE7">
        <w:rPr>
          <w:rFonts w:ascii="Arial" w:hAnsi="Arial" w:cs="Arial"/>
          <w:sz w:val="20"/>
          <w:szCs w:val="20"/>
        </w:rPr>
        <w:t>)</w:t>
      </w:r>
      <w:r w:rsidRPr="003C7BE7">
        <w:rPr>
          <w:rFonts w:ascii="Arial" w:hAnsi="Arial" w:cs="Arial"/>
          <w:b w:val="0"/>
          <w:sz w:val="20"/>
          <w:szCs w:val="20"/>
        </w:rPr>
        <w:t xml:space="preserve"> </w:t>
      </w:r>
      <w:r w:rsidR="002D2013" w:rsidRPr="003C7BE7">
        <w:rPr>
          <w:rFonts w:ascii="Arial" w:hAnsi="Arial" w:cs="Arial"/>
          <w:b w:val="0"/>
          <w:sz w:val="20"/>
          <w:szCs w:val="20"/>
        </w:rPr>
        <w:t xml:space="preserve">a autorização </w:t>
      </w:r>
      <w:r w:rsidR="006C1C1B" w:rsidRPr="003C7BE7">
        <w:rPr>
          <w:rFonts w:ascii="Arial" w:hAnsi="Arial" w:cs="Arial"/>
          <w:b w:val="0"/>
          <w:sz w:val="20"/>
          <w:szCs w:val="20"/>
        </w:rPr>
        <w:t xml:space="preserve">expressa </w:t>
      </w:r>
      <w:r w:rsidR="002D2013" w:rsidRPr="003C7BE7">
        <w:rPr>
          <w:rFonts w:ascii="Arial" w:hAnsi="Arial" w:cs="Arial"/>
          <w:b w:val="0"/>
          <w:sz w:val="20"/>
          <w:szCs w:val="20"/>
        </w:rPr>
        <w:t xml:space="preserve">para a Diretoria </w:t>
      </w:r>
      <w:r w:rsidR="00206DA5" w:rsidRPr="003C7BE7">
        <w:rPr>
          <w:rFonts w:ascii="Arial" w:hAnsi="Arial" w:cs="Arial"/>
          <w:b w:val="0"/>
          <w:sz w:val="20"/>
          <w:szCs w:val="20"/>
        </w:rPr>
        <w:t xml:space="preserve">da Companhia </w:t>
      </w:r>
      <w:r w:rsidR="002D2013" w:rsidRPr="003C7BE7">
        <w:rPr>
          <w:rFonts w:ascii="Arial" w:hAnsi="Arial" w:cs="Arial"/>
          <w:b w:val="0"/>
          <w:sz w:val="20"/>
          <w:szCs w:val="20"/>
        </w:rPr>
        <w:t xml:space="preserve">praticar todos e quaisquer atos necessários </w:t>
      </w:r>
      <w:r w:rsidR="006C1C1B" w:rsidRPr="003C7BE7">
        <w:rPr>
          <w:rFonts w:ascii="Arial" w:hAnsi="Arial" w:cs="Arial"/>
          <w:b w:val="0"/>
          <w:sz w:val="20"/>
          <w:szCs w:val="20"/>
        </w:rPr>
        <w:t xml:space="preserve">à formalização, efetivação e administração das deliberações desta Assembleia para a emissão das Debêntures e implementação e operacionalização das Garantias, bem como a assinatura de todos e quaisquer instrumentos relacionados à Emissão, incluindo, mas </w:t>
      </w:r>
      <w:r w:rsidRPr="003C7BE7">
        <w:rPr>
          <w:rFonts w:ascii="Arial" w:hAnsi="Arial" w:cs="Arial"/>
          <w:b w:val="0"/>
          <w:sz w:val="20"/>
          <w:szCs w:val="20"/>
        </w:rPr>
        <w:t>não se limitando à Escritura de Emissão</w:t>
      </w:r>
      <w:r w:rsidR="006C1C1B" w:rsidRPr="003C7BE7">
        <w:rPr>
          <w:rFonts w:ascii="Arial" w:hAnsi="Arial" w:cs="Arial"/>
          <w:b w:val="0"/>
          <w:sz w:val="20"/>
          <w:szCs w:val="20"/>
        </w:rPr>
        <w:t xml:space="preserve">, ao </w:t>
      </w:r>
      <w:r w:rsidR="0075136D" w:rsidRPr="003C7BE7">
        <w:rPr>
          <w:rFonts w:ascii="Arial" w:hAnsi="Arial" w:cs="Arial"/>
          <w:b w:val="0"/>
          <w:sz w:val="20"/>
          <w:szCs w:val="20"/>
        </w:rPr>
        <w:t xml:space="preserve">Contrato </w:t>
      </w:r>
      <w:r w:rsidR="006C1C1B" w:rsidRPr="003C7BE7">
        <w:rPr>
          <w:rFonts w:ascii="Arial" w:hAnsi="Arial" w:cs="Arial"/>
          <w:b w:val="0"/>
          <w:sz w:val="20"/>
          <w:szCs w:val="20"/>
        </w:rPr>
        <w:t xml:space="preserve">de </w:t>
      </w:r>
      <w:r w:rsidR="00C32E6F">
        <w:rPr>
          <w:rFonts w:ascii="Arial" w:hAnsi="Arial" w:cs="Arial"/>
          <w:b w:val="0"/>
          <w:sz w:val="20"/>
          <w:szCs w:val="20"/>
        </w:rPr>
        <w:t>Alienação Fiduciária de Imóvel</w:t>
      </w:r>
      <w:r w:rsidR="00C32E6F" w:rsidRPr="003C7BE7">
        <w:rPr>
          <w:rFonts w:ascii="Arial" w:hAnsi="Arial" w:cs="Arial"/>
          <w:b w:val="0"/>
          <w:sz w:val="20"/>
          <w:szCs w:val="20"/>
        </w:rPr>
        <w:t xml:space="preserve"> </w:t>
      </w:r>
      <w:r w:rsidR="0075136D" w:rsidRPr="003C7BE7">
        <w:rPr>
          <w:rFonts w:ascii="Arial" w:hAnsi="Arial" w:cs="Arial"/>
          <w:b w:val="0"/>
          <w:sz w:val="20"/>
          <w:szCs w:val="20"/>
        </w:rPr>
        <w:t>(conforme definido abaixo)</w:t>
      </w:r>
      <w:r w:rsidR="00E815CA" w:rsidRPr="003C7BE7">
        <w:rPr>
          <w:rFonts w:ascii="Arial" w:hAnsi="Arial" w:cs="Arial"/>
          <w:b w:val="0"/>
          <w:sz w:val="20"/>
          <w:szCs w:val="20"/>
        </w:rPr>
        <w:t>, e quaisquer aditamentos a tais instrumentos caso necessário</w:t>
      </w:r>
      <w:r w:rsidR="0075136D" w:rsidRPr="003C7BE7">
        <w:rPr>
          <w:rFonts w:ascii="Arial" w:hAnsi="Arial" w:cs="Arial"/>
          <w:b w:val="0"/>
          <w:sz w:val="20"/>
          <w:szCs w:val="20"/>
        </w:rPr>
        <w:t>; e</w:t>
      </w:r>
    </w:p>
    <w:p w14:paraId="099C42EB" w14:textId="77777777" w:rsidR="0075136D" w:rsidRPr="003C7BE7" w:rsidRDefault="0075136D" w:rsidP="00AF3C84">
      <w:pPr>
        <w:pStyle w:val="BodyText"/>
        <w:spacing w:line="276" w:lineRule="auto"/>
        <w:jc w:val="both"/>
        <w:rPr>
          <w:rFonts w:ascii="Arial" w:hAnsi="Arial" w:cs="Arial"/>
          <w:sz w:val="20"/>
          <w:szCs w:val="20"/>
        </w:rPr>
      </w:pPr>
      <w:r w:rsidRPr="003C7BE7">
        <w:rPr>
          <w:rFonts w:ascii="Arial" w:hAnsi="Arial" w:cs="Arial"/>
          <w:sz w:val="20"/>
          <w:szCs w:val="20"/>
        </w:rPr>
        <w:t xml:space="preserve"> </w:t>
      </w:r>
    </w:p>
    <w:p w14:paraId="4ABFE5BF" w14:textId="77777777" w:rsidR="0075136D" w:rsidRPr="003C7BE7" w:rsidRDefault="0075136D" w:rsidP="00AF3C84">
      <w:pPr>
        <w:pStyle w:val="BodyText"/>
        <w:spacing w:line="276" w:lineRule="auto"/>
        <w:jc w:val="both"/>
        <w:rPr>
          <w:rFonts w:ascii="Arial" w:hAnsi="Arial" w:cs="Arial"/>
          <w:sz w:val="20"/>
          <w:szCs w:val="20"/>
        </w:rPr>
      </w:pPr>
      <w:r w:rsidRPr="003C7BE7">
        <w:rPr>
          <w:rFonts w:ascii="Arial" w:hAnsi="Arial" w:cs="Arial"/>
          <w:sz w:val="20"/>
          <w:szCs w:val="20"/>
        </w:rPr>
        <w:t>(</w:t>
      </w:r>
      <w:proofErr w:type="spellStart"/>
      <w:r w:rsidRPr="003C7BE7">
        <w:rPr>
          <w:rFonts w:ascii="Arial" w:hAnsi="Arial" w:cs="Arial"/>
          <w:sz w:val="20"/>
          <w:szCs w:val="20"/>
        </w:rPr>
        <w:t>iv</w:t>
      </w:r>
      <w:proofErr w:type="spellEnd"/>
      <w:r w:rsidRPr="003C7BE7">
        <w:rPr>
          <w:rFonts w:ascii="Arial" w:hAnsi="Arial" w:cs="Arial"/>
          <w:sz w:val="20"/>
          <w:szCs w:val="20"/>
        </w:rPr>
        <w:t>)</w:t>
      </w:r>
      <w:r w:rsidRPr="003C7BE7">
        <w:rPr>
          <w:rFonts w:ascii="Arial" w:hAnsi="Arial" w:cs="Arial"/>
          <w:b w:val="0"/>
          <w:sz w:val="20"/>
          <w:szCs w:val="20"/>
        </w:rPr>
        <w:t xml:space="preserve"> a ratificação de todos os atos que tenham sido praticados pela administração da Companhia relacionados às matérias acima.</w:t>
      </w:r>
    </w:p>
    <w:p w14:paraId="3EDDA8F4" w14:textId="77777777" w:rsidR="0075136D" w:rsidRPr="003C7BE7" w:rsidRDefault="0075136D" w:rsidP="00AF3C84">
      <w:pPr>
        <w:pStyle w:val="BodyText"/>
        <w:spacing w:line="276" w:lineRule="auto"/>
        <w:jc w:val="both"/>
        <w:rPr>
          <w:rFonts w:ascii="Arial" w:hAnsi="Arial" w:cs="Arial"/>
          <w:sz w:val="20"/>
          <w:szCs w:val="20"/>
        </w:rPr>
      </w:pPr>
    </w:p>
    <w:p w14:paraId="58A766F1" w14:textId="77777777" w:rsidR="002D2013" w:rsidRPr="003C7BE7" w:rsidRDefault="002D2013" w:rsidP="009E360F">
      <w:p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DELIBERAÇÕES</w:t>
      </w:r>
      <w:r w:rsidR="000A1736" w:rsidRPr="003C7BE7">
        <w:rPr>
          <w:rFonts w:ascii="Arial" w:hAnsi="Arial" w:cs="Arial"/>
          <w:b/>
          <w:sz w:val="20"/>
          <w:szCs w:val="20"/>
          <w:lang w:val="pt-BR"/>
        </w:rPr>
        <w:t xml:space="preserve"> TOMADAS PELA UNANIMIDADE DOS ACIONISTAS</w:t>
      </w:r>
      <w:r w:rsidRPr="003C7BE7">
        <w:rPr>
          <w:rFonts w:ascii="Arial" w:hAnsi="Arial" w:cs="Arial"/>
          <w:b/>
          <w:sz w:val="20"/>
          <w:szCs w:val="20"/>
          <w:lang w:val="pt-BR"/>
        </w:rPr>
        <w:t>:</w:t>
      </w:r>
      <w:r w:rsidRPr="003C7BE7">
        <w:rPr>
          <w:rFonts w:ascii="Arial" w:hAnsi="Arial" w:cs="Arial"/>
          <w:sz w:val="20"/>
          <w:szCs w:val="20"/>
          <w:lang w:val="pt-BR"/>
        </w:rPr>
        <w:t xml:space="preserve"> </w:t>
      </w:r>
      <w:r w:rsidR="000A1736" w:rsidRPr="003C7BE7">
        <w:rPr>
          <w:rFonts w:ascii="Arial" w:hAnsi="Arial" w:cs="Arial"/>
          <w:sz w:val="20"/>
          <w:szCs w:val="20"/>
          <w:lang w:val="pt-BR"/>
        </w:rPr>
        <w:t>Aprovaram sem ressalvar as seguintes deliberações:</w:t>
      </w:r>
      <w:r w:rsidRPr="003C7BE7">
        <w:rPr>
          <w:rFonts w:ascii="Arial" w:hAnsi="Arial" w:cs="Arial"/>
          <w:sz w:val="20"/>
          <w:szCs w:val="20"/>
          <w:lang w:val="pt-BR"/>
        </w:rPr>
        <w:t xml:space="preserve"> </w:t>
      </w:r>
    </w:p>
    <w:p w14:paraId="2924FE46" w14:textId="77777777" w:rsidR="002D2013" w:rsidRPr="003C7BE7" w:rsidRDefault="002D2013" w:rsidP="009E360F">
      <w:pPr>
        <w:autoSpaceDE w:val="0"/>
        <w:autoSpaceDN w:val="0"/>
        <w:adjustRightInd w:val="0"/>
        <w:spacing w:line="276" w:lineRule="auto"/>
        <w:ind w:right="18"/>
        <w:jc w:val="both"/>
        <w:rPr>
          <w:rFonts w:ascii="Arial" w:hAnsi="Arial" w:cs="Arial"/>
          <w:sz w:val="20"/>
          <w:szCs w:val="20"/>
          <w:lang w:val="pt-BR"/>
        </w:rPr>
      </w:pPr>
    </w:p>
    <w:p w14:paraId="0B3B8B4A" w14:textId="77777777" w:rsidR="0075136D" w:rsidRPr="003C7BE7" w:rsidRDefault="002D2013" w:rsidP="009E360F">
      <w:p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1.</w:t>
      </w:r>
      <w:r w:rsidRPr="003C7BE7">
        <w:rPr>
          <w:rFonts w:ascii="Arial" w:hAnsi="Arial" w:cs="Arial"/>
          <w:sz w:val="20"/>
          <w:szCs w:val="20"/>
          <w:lang w:val="pt-BR"/>
        </w:rPr>
        <w:t xml:space="preserve"> Aprovar, nos termos do artigo 59 da Lei das Sociedades por Ações, a Emissão com as seguintes características:</w:t>
      </w:r>
      <w:r w:rsidR="00E32991" w:rsidRPr="003C7BE7">
        <w:rPr>
          <w:rFonts w:ascii="Arial" w:hAnsi="Arial" w:cs="Arial"/>
          <w:sz w:val="20"/>
          <w:szCs w:val="20"/>
          <w:lang w:val="pt-BR"/>
        </w:rPr>
        <w:t xml:space="preserve"> </w:t>
      </w:r>
    </w:p>
    <w:p w14:paraId="065B50C8" w14:textId="77777777" w:rsidR="0075136D" w:rsidRPr="003C7BE7" w:rsidRDefault="0075136D" w:rsidP="009E360F">
      <w:pPr>
        <w:autoSpaceDE w:val="0"/>
        <w:autoSpaceDN w:val="0"/>
        <w:adjustRightInd w:val="0"/>
        <w:spacing w:line="276" w:lineRule="auto"/>
        <w:ind w:right="18"/>
        <w:jc w:val="both"/>
        <w:rPr>
          <w:rFonts w:ascii="Arial" w:hAnsi="Arial" w:cs="Arial"/>
          <w:sz w:val="20"/>
          <w:szCs w:val="20"/>
          <w:lang w:val="pt-BR"/>
        </w:rPr>
      </w:pPr>
    </w:p>
    <w:p w14:paraId="7836B34A" w14:textId="5FBCB294" w:rsidR="0075136D" w:rsidRPr="003C7BE7" w:rsidRDefault="0075136D" w:rsidP="0075136D">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Número da Emissão</w:t>
      </w:r>
      <w:r w:rsidRPr="003C7BE7">
        <w:rPr>
          <w:rFonts w:ascii="Arial" w:hAnsi="Arial" w:cs="Arial"/>
          <w:sz w:val="20"/>
          <w:szCs w:val="20"/>
          <w:lang w:val="pt-BR"/>
        </w:rPr>
        <w:t xml:space="preserve">: a Emissão constituirá a </w:t>
      </w:r>
      <w:r w:rsidR="00A85BA9" w:rsidRPr="00A85BA9">
        <w:rPr>
          <w:rFonts w:ascii="Arial" w:hAnsi="Arial" w:cs="Arial"/>
          <w:sz w:val="20"/>
          <w:szCs w:val="20"/>
          <w:lang w:val="pt-BR"/>
        </w:rPr>
        <w:t>3ª (terceira)</w:t>
      </w:r>
      <w:r w:rsidRPr="003C7BE7">
        <w:rPr>
          <w:rFonts w:ascii="Arial" w:hAnsi="Arial" w:cs="Arial"/>
          <w:sz w:val="20"/>
          <w:szCs w:val="20"/>
          <w:lang w:val="pt-BR"/>
        </w:rPr>
        <w:t xml:space="preserve"> emissão de debêntures da Companhia;</w:t>
      </w:r>
    </w:p>
    <w:p w14:paraId="65890548" w14:textId="77777777" w:rsidR="0075136D" w:rsidRPr="003C7BE7" w:rsidRDefault="0075136D" w:rsidP="00AF3C84">
      <w:pPr>
        <w:pStyle w:val="ListParagraph"/>
        <w:autoSpaceDE w:val="0"/>
        <w:autoSpaceDN w:val="0"/>
        <w:adjustRightInd w:val="0"/>
        <w:spacing w:line="276" w:lineRule="auto"/>
        <w:ind w:left="1080" w:right="18"/>
        <w:jc w:val="both"/>
        <w:rPr>
          <w:rFonts w:ascii="Arial" w:hAnsi="Arial" w:cs="Arial"/>
          <w:sz w:val="20"/>
          <w:szCs w:val="20"/>
          <w:lang w:val="pt-BR"/>
        </w:rPr>
      </w:pPr>
    </w:p>
    <w:p w14:paraId="549C8E78" w14:textId="4E9EA533" w:rsidR="002A26BB" w:rsidRPr="003C7BE7" w:rsidRDefault="00C360B8" w:rsidP="00AB2BF0">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 xml:space="preserve">Quantidade </w:t>
      </w:r>
      <w:r w:rsidR="002D2013" w:rsidRPr="003C7BE7">
        <w:rPr>
          <w:rFonts w:ascii="Arial" w:hAnsi="Arial" w:cs="Arial"/>
          <w:b/>
          <w:sz w:val="20"/>
          <w:szCs w:val="20"/>
          <w:lang w:val="pt-BR"/>
        </w:rPr>
        <w:t>total de Debêntures</w:t>
      </w:r>
      <w:r w:rsidR="002D2013" w:rsidRPr="003C7BE7">
        <w:rPr>
          <w:rFonts w:ascii="Arial" w:hAnsi="Arial" w:cs="Arial"/>
          <w:sz w:val="20"/>
          <w:szCs w:val="20"/>
          <w:lang w:val="pt-BR"/>
        </w:rPr>
        <w:t xml:space="preserve">: </w:t>
      </w:r>
      <w:r w:rsidR="00EB6890" w:rsidRPr="003C7BE7">
        <w:rPr>
          <w:rFonts w:ascii="Arial" w:hAnsi="Arial" w:cs="Arial"/>
          <w:sz w:val="20"/>
          <w:szCs w:val="20"/>
          <w:lang w:val="pt-BR"/>
        </w:rPr>
        <w:t xml:space="preserve">serão emitidas </w:t>
      </w:r>
      <w:r w:rsidR="00A85BA9" w:rsidRPr="00A85BA9">
        <w:rPr>
          <w:rFonts w:ascii="Arial" w:hAnsi="Arial" w:cs="Arial"/>
          <w:sz w:val="20"/>
          <w:szCs w:val="20"/>
          <w:lang w:val="pt-BR"/>
        </w:rPr>
        <w:t>140.000 (cento e quarenta mil)</w:t>
      </w:r>
      <w:r w:rsidR="00E32991" w:rsidRPr="003C7BE7">
        <w:rPr>
          <w:rFonts w:ascii="Arial" w:hAnsi="Arial" w:cs="Arial"/>
          <w:sz w:val="20"/>
          <w:szCs w:val="20"/>
          <w:lang w:val="pt-BR"/>
        </w:rPr>
        <w:t xml:space="preserve"> </w:t>
      </w:r>
      <w:r w:rsidR="00EB6890" w:rsidRPr="003C7BE7">
        <w:rPr>
          <w:rFonts w:ascii="Arial" w:hAnsi="Arial" w:cs="Arial"/>
          <w:sz w:val="20"/>
          <w:szCs w:val="20"/>
          <w:lang w:val="pt-BR"/>
        </w:rPr>
        <w:t xml:space="preserve">de </w:t>
      </w:r>
      <w:r w:rsidR="002D2013" w:rsidRPr="003C7BE7">
        <w:rPr>
          <w:rFonts w:ascii="Arial" w:hAnsi="Arial" w:cs="Arial"/>
          <w:sz w:val="20"/>
          <w:szCs w:val="20"/>
          <w:lang w:val="pt-BR"/>
        </w:rPr>
        <w:t xml:space="preserve">Debêntures; </w:t>
      </w:r>
    </w:p>
    <w:p w14:paraId="15128057" w14:textId="77777777" w:rsidR="002A26BB" w:rsidRPr="003C7BE7" w:rsidRDefault="002A26BB" w:rsidP="009E360F">
      <w:pPr>
        <w:pStyle w:val="ListParagraph"/>
        <w:autoSpaceDE w:val="0"/>
        <w:autoSpaceDN w:val="0"/>
        <w:adjustRightInd w:val="0"/>
        <w:spacing w:line="276" w:lineRule="auto"/>
        <w:ind w:left="1080" w:right="18"/>
        <w:jc w:val="both"/>
        <w:rPr>
          <w:rFonts w:ascii="Arial" w:hAnsi="Arial" w:cs="Arial"/>
          <w:sz w:val="20"/>
          <w:szCs w:val="20"/>
          <w:lang w:val="pt-BR"/>
        </w:rPr>
      </w:pPr>
    </w:p>
    <w:p w14:paraId="01D24EEB" w14:textId="77777777" w:rsidR="002A26BB" w:rsidRPr="003C7BE7" w:rsidRDefault="00C360B8" w:rsidP="009E360F">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Valor Nominal Unitário</w:t>
      </w:r>
      <w:r w:rsidR="002D2013" w:rsidRPr="003C7BE7">
        <w:rPr>
          <w:rFonts w:ascii="Arial" w:hAnsi="Arial" w:cs="Arial"/>
          <w:sz w:val="20"/>
          <w:szCs w:val="20"/>
          <w:lang w:val="pt-BR"/>
        </w:rPr>
        <w:t xml:space="preserve">: </w:t>
      </w:r>
      <w:bookmarkStart w:id="1" w:name="OLE_LINK1"/>
      <w:bookmarkStart w:id="2" w:name="OLE_LINK2"/>
      <w:r w:rsidR="002D2013" w:rsidRPr="003C7BE7">
        <w:rPr>
          <w:rFonts w:ascii="Arial" w:hAnsi="Arial" w:cs="Arial"/>
          <w:sz w:val="20"/>
          <w:szCs w:val="20"/>
          <w:lang w:val="pt-BR"/>
        </w:rPr>
        <w:t>R$</w:t>
      </w:r>
      <w:r w:rsidR="00EB6890" w:rsidRPr="003C7BE7">
        <w:rPr>
          <w:rFonts w:ascii="Arial" w:hAnsi="Arial" w:cs="Arial"/>
          <w:sz w:val="20"/>
          <w:szCs w:val="20"/>
          <w:lang w:val="pt-BR"/>
        </w:rPr>
        <w:t>1</w:t>
      </w:r>
      <w:r w:rsidR="00E755BF" w:rsidRPr="003C7BE7">
        <w:rPr>
          <w:rFonts w:ascii="Arial" w:hAnsi="Arial" w:cs="Arial"/>
          <w:sz w:val="20"/>
          <w:szCs w:val="20"/>
          <w:lang w:val="pt-BR"/>
        </w:rPr>
        <w:t>.000</w:t>
      </w:r>
      <w:r w:rsidR="00EB6890" w:rsidRPr="003C7BE7">
        <w:rPr>
          <w:rFonts w:ascii="Arial" w:hAnsi="Arial" w:cs="Arial"/>
          <w:sz w:val="20"/>
          <w:szCs w:val="20"/>
          <w:lang w:val="pt-BR"/>
        </w:rPr>
        <w:t>,00</w:t>
      </w:r>
      <w:r w:rsidR="002D2013" w:rsidRPr="003C7BE7">
        <w:rPr>
          <w:rFonts w:ascii="Arial" w:hAnsi="Arial" w:cs="Arial"/>
          <w:sz w:val="20"/>
          <w:szCs w:val="20"/>
          <w:lang w:val="pt-BR"/>
        </w:rPr>
        <w:t xml:space="preserve"> (</w:t>
      </w:r>
      <w:r w:rsidR="00E755BF" w:rsidRPr="003C7BE7">
        <w:rPr>
          <w:rFonts w:ascii="Arial" w:hAnsi="Arial" w:cs="Arial"/>
          <w:sz w:val="20"/>
          <w:szCs w:val="20"/>
          <w:lang w:val="pt-BR"/>
        </w:rPr>
        <w:t>mil</w:t>
      </w:r>
      <w:r w:rsidR="00EB6890" w:rsidRPr="003C7BE7">
        <w:rPr>
          <w:rFonts w:ascii="Arial" w:hAnsi="Arial" w:cs="Arial"/>
          <w:sz w:val="20"/>
          <w:szCs w:val="20"/>
          <w:lang w:val="pt-BR"/>
        </w:rPr>
        <w:t xml:space="preserve"> rea</w:t>
      </w:r>
      <w:r w:rsidR="00E755BF" w:rsidRPr="003C7BE7">
        <w:rPr>
          <w:rFonts w:ascii="Arial" w:hAnsi="Arial" w:cs="Arial"/>
          <w:sz w:val="20"/>
          <w:szCs w:val="20"/>
          <w:lang w:val="pt-BR"/>
        </w:rPr>
        <w:t>is</w:t>
      </w:r>
      <w:r w:rsidR="002D2013" w:rsidRPr="003C7BE7">
        <w:rPr>
          <w:rFonts w:ascii="Arial" w:hAnsi="Arial" w:cs="Arial"/>
          <w:sz w:val="20"/>
          <w:szCs w:val="20"/>
          <w:lang w:val="pt-BR"/>
        </w:rPr>
        <w:t xml:space="preserve">) por </w:t>
      </w:r>
      <w:bookmarkEnd w:id="1"/>
      <w:bookmarkEnd w:id="2"/>
      <w:r w:rsidR="002D2013" w:rsidRPr="003C7BE7">
        <w:rPr>
          <w:rFonts w:ascii="Arial" w:hAnsi="Arial" w:cs="Arial"/>
          <w:sz w:val="20"/>
          <w:szCs w:val="20"/>
          <w:lang w:val="pt-BR"/>
        </w:rPr>
        <w:t>Debênture</w:t>
      </w:r>
      <w:r w:rsidR="00EB6890" w:rsidRPr="003C7BE7">
        <w:rPr>
          <w:rFonts w:ascii="Arial" w:hAnsi="Arial" w:cs="Arial"/>
          <w:sz w:val="20"/>
          <w:szCs w:val="20"/>
          <w:lang w:val="pt-BR"/>
        </w:rPr>
        <w:t>, na Data de Emissão</w:t>
      </w:r>
      <w:r w:rsidR="002D2013" w:rsidRPr="003C7BE7">
        <w:rPr>
          <w:rFonts w:ascii="Arial" w:hAnsi="Arial" w:cs="Arial"/>
          <w:sz w:val="20"/>
          <w:szCs w:val="20"/>
          <w:lang w:val="pt-BR"/>
        </w:rPr>
        <w:t xml:space="preserve"> </w:t>
      </w:r>
      <w:r w:rsidR="0075136D" w:rsidRPr="003C7BE7">
        <w:rPr>
          <w:rFonts w:ascii="Arial" w:hAnsi="Arial" w:cs="Arial"/>
          <w:sz w:val="20"/>
          <w:szCs w:val="20"/>
          <w:lang w:val="pt-BR"/>
        </w:rPr>
        <w:t xml:space="preserve">(conforme definido abaixo) </w:t>
      </w:r>
      <w:r w:rsidR="002D2013" w:rsidRPr="003C7BE7">
        <w:rPr>
          <w:rFonts w:ascii="Arial" w:hAnsi="Arial" w:cs="Arial"/>
          <w:sz w:val="20"/>
          <w:szCs w:val="20"/>
          <w:lang w:val="pt-BR"/>
        </w:rPr>
        <w:t>(“</w:t>
      </w:r>
      <w:r w:rsidR="002D2013" w:rsidRPr="003C7BE7">
        <w:rPr>
          <w:rFonts w:ascii="Arial" w:hAnsi="Arial" w:cs="Arial"/>
          <w:b/>
          <w:sz w:val="20"/>
          <w:szCs w:val="20"/>
          <w:lang w:val="pt-BR"/>
        </w:rPr>
        <w:t>Valor Nominal</w:t>
      </w:r>
      <w:r w:rsidRPr="003C7BE7">
        <w:rPr>
          <w:rFonts w:ascii="Arial" w:hAnsi="Arial" w:cs="Arial"/>
          <w:b/>
          <w:sz w:val="20"/>
          <w:szCs w:val="20"/>
          <w:lang w:val="pt-BR"/>
        </w:rPr>
        <w:t xml:space="preserve"> Unitário</w:t>
      </w:r>
      <w:r w:rsidR="002D2013" w:rsidRPr="003C7BE7">
        <w:rPr>
          <w:rFonts w:ascii="Arial" w:hAnsi="Arial" w:cs="Arial"/>
          <w:sz w:val="20"/>
          <w:szCs w:val="20"/>
          <w:lang w:val="pt-BR"/>
        </w:rPr>
        <w:t xml:space="preserve">”); </w:t>
      </w:r>
    </w:p>
    <w:p w14:paraId="7C2A4185" w14:textId="77777777" w:rsidR="002A26BB" w:rsidRPr="003C7BE7" w:rsidRDefault="002A26BB" w:rsidP="009E360F">
      <w:pPr>
        <w:autoSpaceDE w:val="0"/>
        <w:autoSpaceDN w:val="0"/>
        <w:adjustRightInd w:val="0"/>
        <w:spacing w:line="276" w:lineRule="auto"/>
        <w:ind w:right="18"/>
        <w:jc w:val="both"/>
        <w:rPr>
          <w:rFonts w:ascii="Arial" w:hAnsi="Arial" w:cs="Arial"/>
          <w:sz w:val="20"/>
          <w:szCs w:val="20"/>
          <w:lang w:val="pt-BR"/>
        </w:rPr>
      </w:pPr>
    </w:p>
    <w:p w14:paraId="7C207557" w14:textId="77777777" w:rsidR="002A26BB" w:rsidRPr="003C7BE7" w:rsidRDefault="00C360B8" w:rsidP="009E360F">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 xml:space="preserve">Número </w:t>
      </w:r>
      <w:r w:rsidR="002D2013" w:rsidRPr="003C7BE7">
        <w:rPr>
          <w:rFonts w:ascii="Arial" w:hAnsi="Arial" w:cs="Arial"/>
          <w:b/>
          <w:sz w:val="20"/>
          <w:szCs w:val="20"/>
          <w:lang w:val="pt-BR"/>
        </w:rPr>
        <w:t xml:space="preserve">de </w:t>
      </w:r>
      <w:r w:rsidRPr="003C7BE7">
        <w:rPr>
          <w:rFonts w:ascii="Arial" w:hAnsi="Arial" w:cs="Arial"/>
          <w:b/>
          <w:sz w:val="20"/>
          <w:szCs w:val="20"/>
          <w:lang w:val="pt-BR"/>
        </w:rPr>
        <w:t>Séries</w:t>
      </w:r>
      <w:r w:rsidR="002D2013" w:rsidRPr="003C7BE7">
        <w:rPr>
          <w:rFonts w:ascii="Arial" w:hAnsi="Arial" w:cs="Arial"/>
          <w:sz w:val="20"/>
          <w:szCs w:val="20"/>
          <w:lang w:val="pt-BR"/>
        </w:rPr>
        <w:t xml:space="preserve">: série única; </w:t>
      </w:r>
    </w:p>
    <w:p w14:paraId="04427C47" w14:textId="77777777" w:rsidR="002A26BB" w:rsidRPr="003C7BE7" w:rsidRDefault="002A26BB" w:rsidP="009E360F">
      <w:pPr>
        <w:autoSpaceDE w:val="0"/>
        <w:autoSpaceDN w:val="0"/>
        <w:adjustRightInd w:val="0"/>
        <w:spacing w:line="276" w:lineRule="auto"/>
        <w:ind w:right="18"/>
        <w:jc w:val="both"/>
        <w:rPr>
          <w:rFonts w:ascii="Arial" w:hAnsi="Arial" w:cs="Arial"/>
          <w:sz w:val="20"/>
          <w:szCs w:val="20"/>
          <w:lang w:val="pt-BR"/>
        </w:rPr>
      </w:pPr>
    </w:p>
    <w:p w14:paraId="05A6520A" w14:textId="1E77B55B" w:rsidR="002A26BB" w:rsidRPr="003C7BE7" w:rsidRDefault="00C360B8" w:rsidP="009E360F">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 xml:space="preserve">Valor Total </w:t>
      </w:r>
      <w:r w:rsidR="002D2013" w:rsidRPr="003C7BE7">
        <w:rPr>
          <w:rFonts w:ascii="Arial" w:hAnsi="Arial" w:cs="Arial"/>
          <w:b/>
          <w:sz w:val="20"/>
          <w:szCs w:val="20"/>
          <w:lang w:val="pt-BR"/>
        </w:rPr>
        <w:t>da Emissão</w:t>
      </w:r>
      <w:r w:rsidR="002D2013" w:rsidRPr="003C7BE7">
        <w:rPr>
          <w:rFonts w:ascii="Arial" w:hAnsi="Arial" w:cs="Arial"/>
          <w:sz w:val="20"/>
          <w:szCs w:val="20"/>
          <w:lang w:val="pt-BR"/>
        </w:rPr>
        <w:t xml:space="preserve">: </w:t>
      </w:r>
      <w:r w:rsidR="00A85BA9" w:rsidRPr="00A85BA9">
        <w:rPr>
          <w:rFonts w:ascii="Arial" w:hAnsi="Arial" w:cs="Arial"/>
          <w:sz w:val="20"/>
          <w:szCs w:val="20"/>
          <w:lang w:val="pt-BR"/>
        </w:rPr>
        <w:t>R$140.000.000,00 (cento e quarenta milhões de reais)</w:t>
      </w:r>
      <w:r w:rsidR="001C29DA" w:rsidRPr="003C7BE7">
        <w:rPr>
          <w:rFonts w:ascii="Arial" w:hAnsi="Arial" w:cs="Arial"/>
          <w:sz w:val="20"/>
          <w:szCs w:val="20"/>
          <w:lang w:val="pt-BR"/>
        </w:rPr>
        <w:t>, na Data de Emissão (conforme definida abaixo)</w:t>
      </w:r>
      <w:r w:rsidR="002D2013" w:rsidRPr="003C7BE7">
        <w:rPr>
          <w:rFonts w:ascii="Arial" w:hAnsi="Arial" w:cs="Arial"/>
          <w:sz w:val="20"/>
          <w:szCs w:val="20"/>
          <w:lang w:val="pt-BR"/>
        </w:rPr>
        <w:t xml:space="preserve">; </w:t>
      </w:r>
    </w:p>
    <w:p w14:paraId="58A5FD7B" w14:textId="77777777" w:rsidR="002A26BB" w:rsidRPr="003C7BE7" w:rsidRDefault="002A26BB" w:rsidP="009E360F">
      <w:pPr>
        <w:pStyle w:val="ListParagraph"/>
        <w:spacing w:line="276" w:lineRule="auto"/>
        <w:rPr>
          <w:rFonts w:ascii="Arial" w:hAnsi="Arial" w:cs="Arial"/>
          <w:b/>
          <w:sz w:val="20"/>
          <w:szCs w:val="20"/>
          <w:lang w:val="pt-BR"/>
        </w:rPr>
      </w:pPr>
    </w:p>
    <w:p w14:paraId="72FA4C32" w14:textId="77777777" w:rsidR="002A26BB" w:rsidRPr="003C7BE7" w:rsidRDefault="00C360B8" w:rsidP="009E360F">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Forma</w:t>
      </w:r>
      <w:r w:rsidR="002D2013" w:rsidRPr="003C7BE7">
        <w:rPr>
          <w:rFonts w:ascii="Arial" w:hAnsi="Arial" w:cs="Arial"/>
          <w:sz w:val="20"/>
          <w:szCs w:val="20"/>
          <w:lang w:val="pt-BR"/>
        </w:rPr>
        <w:t>: as Debêntures serão emitidas sob a forma nominativa</w:t>
      </w:r>
      <w:r w:rsidR="002277C8" w:rsidRPr="003C7BE7">
        <w:rPr>
          <w:rFonts w:ascii="Arial" w:hAnsi="Arial" w:cs="Arial"/>
          <w:sz w:val="20"/>
          <w:szCs w:val="20"/>
          <w:lang w:val="pt-BR"/>
        </w:rPr>
        <w:t xml:space="preserve"> e</w:t>
      </w:r>
      <w:r w:rsidR="002D2013" w:rsidRPr="003C7BE7">
        <w:rPr>
          <w:rFonts w:ascii="Arial" w:hAnsi="Arial" w:cs="Arial"/>
          <w:sz w:val="20"/>
          <w:szCs w:val="20"/>
          <w:lang w:val="pt-BR"/>
        </w:rPr>
        <w:t xml:space="preserve"> escritural</w:t>
      </w:r>
      <w:r w:rsidR="00200D06" w:rsidRPr="003C7BE7">
        <w:rPr>
          <w:rFonts w:ascii="Arial" w:hAnsi="Arial" w:cs="Arial"/>
          <w:sz w:val="20"/>
          <w:szCs w:val="20"/>
          <w:lang w:val="pt-BR"/>
        </w:rPr>
        <w:t>, sem a emissão de cautelas ou certificados</w:t>
      </w:r>
      <w:r w:rsidR="002D2013" w:rsidRPr="003C7BE7">
        <w:rPr>
          <w:rFonts w:ascii="Arial" w:hAnsi="Arial" w:cs="Arial"/>
          <w:sz w:val="20"/>
          <w:szCs w:val="20"/>
          <w:lang w:val="pt-BR"/>
        </w:rPr>
        <w:t>;</w:t>
      </w:r>
      <w:r w:rsidR="002D2013" w:rsidRPr="003C7BE7">
        <w:rPr>
          <w:rFonts w:ascii="Arial" w:hAnsi="Arial" w:cs="Arial"/>
          <w:b/>
          <w:sz w:val="20"/>
          <w:szCs w:val="20"/>
          <w:lang w:val="pt-BR"/>
        </w:rPr>
        <w:t xml:space="preserve"> </w:t>
      </w:r>
    </w:p>
    <w:p w14:paraId="074A0551" w14:textId="77777777" w:rsidR="002A26BB" w:rsidRPr="003C7BE7" w:rsidRDefault="002A26BB" w:rsidP="009E360F">
      <w:pPr>
        <w:pStyle w:val="ListParagraph"/>
        <w:spacing w:line="276" w:lineRule="auto"/>
        <w:rPr>
          <w:rFonts w:ascii="Arial" w:hAnsi="Arial" w:cs="Arial"/>
          <w:b/>
          <w:sz w:val="20"/>
          <w:szCs w:val="20"/>
          <w:lang w:val="pt-BR"/>
        </w:rPr>
      </w:pPr>
    </w:p>
    <w:p w14:paraId="3DBA9E50" w14:textId="77777777" w:rsidR="0075136D" w:rsidRPr="003C7BE7" w:rsidRDefault="00C360B8" w:rsidP="009E360F">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Conversibilidade</w:t>
      </w:r>
      <w:r w:rsidR="002D2013" w:rsidRPr="003C7BE7">
        <w:rPr>
          <w:rFonts w:ascii="Arial" w:hAnsi="Arial" w:cs="Arial"/>
          <w:sz w:val="20"/>
          <w:szCs w:val="20"/>
          <w:lang w:val="pt-BR"/>
        </w:rPr>
        <w:t xml:space="preserve">: as Debêntures </w:t>
      </w:r>
      <w:r w:rsidR="002277C8" w:rsidRPr="003C7BE7">
        <w:rPr>
          <w:rFonts w:ascii="Arial" w:hAnsi="Arial" w:cs="Arial"/>
          <w:sz w:val="20"/>
          <w:szCs w:val="20"/>
          <w:lang w:val="pt-BR"/>
        </w:rPr>
        <w:t xml:space="preserve">serão simples, </w:t>
      </w:r>
      <w:r w:rsidR="002D2013" w:rsidRPr="003C7BE7">
        <w:rPr>
          <w:rFonts w:ascii="Arial" w:hAnsi="Arial" w:cs="Arial"/>
          <w:sz w:val="20"/>
          <w:szCs w:val="20"/>
          <w:lang w:val="pt-BR"/>
        </w:rPr>
        <w:t xml:space="preserve">não conversíveis em ações </w:t>
      </w:r>
      <w:r w:rsidR="002277C8" w:rsidRPr="003C7BE7">
        <w:rPr>
          <w:rFonts w:ascii="Arial" w:hAnsi="Arial" w:cs="Arial"/>
          <w:sz w:val="20"/>
          <w:szCs w:val="20"/>
          <w:lang w:val="pt-BR"/>
        </w:rPr>
        <w:t xml:space="preserve">de emissão </w:t>
      </w:r>
      <w:r w:rsidR="002D2013" w:rsidRPr="003C7BE7">
        <w:rPr>
          <w:rFonts w:ascii="Arial" w:hAnsi="Arial" w:cs="Arial"/>
          <w:sz w:val="20"/>
          <w:szCs w:val="20"/>
          <w:lang w:val="pt-BR"/>
        </w:rPr>
        <w:t>da Companhia</w:t>
      </w:r>
      <w:r w:rsidR="00EA597F" w:rsidRPr="003C7BE7">
        <w:rPr>
          <w:rFonts w:ascii="Arial" w:hAnsi="Arial" w:cs="Arial"/>
          <w:sz w:val="20"/>
          <w:szCs w:val="20"/>
          <w:lang w:val="pt-BR"/>
        </w:rPr>
        <w:t>;</w:t>
      </w:r>
      <w:r w:rsidR="002D2013" w:rsidRPr="003C7BE7">
        <w:rPr>
          <w:rFonts w:ascii="Arial" w:hAnsi="Arial" w:cs="Arial"/>
          <w:sz w:val="20"/>
          <w:szCs w:val="20"/>
          <w:lang w:val="pt-BR"/>
        </w:rPr>
        <w:t xml:space="preserve"> </w:t>
      </w:r>
    </w:p>
    <w:p w14:paraId="3B582B25" w14:textId="77777777" w:rsidR="0075136D" w:rsidRPr="003C7BE7" w:rsidRDefault="0075136D" w:rsidP="00AF3C84">
      <w:pPr>
        <w:pStyle w:val="ListParagraph"/>
        <w:rPr>
          <w:rFonts w:ascii="Arial" w:hAnsi="Arial" w:cs="Arial"/>
          <w:sz w:val="20"/>
          <w:szCs w:val="20"/>
          <w:lang w:val="pt-BR"/>
        </w:rPr>
      </w:pPr>
    </w:p>
    <w:p w14:paraId="407BFA3E" w14:textId="3A8637A4" w:rsidR="002A26BB" w:rsidRPr="003C7BE7" w:rsidRDefault="0075136D" w:rsidP="009E360F">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Espécie</w:t>
      </w:r>
      <w:r w:rsidRPr="003C7BE7">
        <w:rPr>
          <w:rFonts w:ascii="Arial" w:hAnsi="Arial" w:cs="Arial"/>
          <w:sz w:val="20"/>
          <w:szCs w:val="20"/>
          <w:lang w:val="pt-BR"/>
        </w:rPr>
        <w:t xml:space="preserve">: as Debêntures </w:t>
      </w:r>
      <w:r w:rsidR="002D2013" w:rsidRPr="003C7BE7">
        <w:rPr>
          <w:rFonts w:ascii="Arial" w:hAnsi="Arial" w:cs="Arial"/>
          <w:sz w:val="20"/>
          <w:szCs w:val="20"/>
          <w:lang w:val="pt-BR"/>
        </w:rPr>
        <w:t>serão da espécie</w:t>
      </w:r>
      <w:r w:rsidRPr="003C7BE7">
        <w:rPr>
          <w:rFonts w:ascii="Arial" w:hAnsi="Arial" w:cs="Arial"/>
          <w:sz w:val="20"/>
          <w:szCs w:val="20"/>
          <w:lang w:val="pt-BR"/>
        </w:rPr>
        <w:t xml:space="preserve"> quirografária,</w:t>
      </w:r>
      <w:r w:rsidR="002D2013" w:rsidRPr="003C7BE7">
        <w:rPr>
          <w:rFonts w:ascii="Arial" w:hAnsi="Arial" w:cs="Arial"/>
          <w:sz w:val="20"/>
          <w:szCs w:val="20"/>
          <w:lang w:val="pt-BR"/>
        </w:rPr>
        <w:t xml:space="preserve"> </w:t>
      </w:r>
      <w:r w:rsidR="002A26BB" w:rsidRPr="003C7BE7">
        <w:rPr>
          <w:rFonts w:ascii="Arial" w:hAnsi="Arial" w:cs="Arial"/>
          <w:sz w:val="20"/>
          <w:szCs w:val="20"/>
          <w:lang w:val="pt-BR"/>
        </w:rPr>
        <w:t xml:space="preserve">com garantia </w:t>
      </w:r>
      <w:r w:rsidRPr="003C7BE7">
        <w:rPr>
          <w:rFonts w:ascii="Arial" w:hAnsi="Arial" w:cs="Arial"/>
          <w:sz w:val="20"/>
          <w:szCs w:val="20"/>
          <w:lang w:val="pt-BR"/>
        </w:rPr>
        <w:t>adicional fidejussória, a ser convolada em espécie com garantia real, com garantia adicional fidejussória, observado o disposto no item (</w:t>
      </w:r>
      <w:proofErr w:type="spellStart"/>
      <w:r w:rsidRPr="003C7BE7">
        <w:rPr>
          <w:rFonts w:ascii="Arial" w:hAnsi="Arial" w:cs="Arial"/>
          <w:sz w:val="20"/>
          <w:szCs w:val="20"/>
          <w:lang w:val="pt-BR"/>
        </w:rPr>
        <w:t>ix</w:t>
      </w:r>
      <w:proofErr w:type="spellEnd"/>
      <w:r w:rsidRPr="003C7BE7">
        <w:rPr>
          <w:rFonts w:ascii="Arial" w:hAnsi="Arial" w:cs="Arial"/>
          <w:sz w:val="20"/>
          <w:szCs w:val="20"/>
          <w:lang w:val="pt-BR"/>
        </w:rPr>
        <w:t>) abaixo</w:t>
      </w:r>
      <w:r w:rsidR="002D2013" w:rsidRPr="003C7BE7">
        <w:rPr>
          <w:rFonts w:ascii="Arial" w:hAnsi="Arial" w:cs="Arial"/>
          <w:sz w:val="20"/>
          <w:szCs w:val="20"/>
          <w:lang w:val="pt-BR"/>
        </w:rPr>
        <w:t xml:space="preserve">; </w:t>
      </w:r>
    </w:p>
    <w:p w14:paraId="6F3BE128" w14:textId="77777777" w:rsidR="0075136D" w:rsidRPr="003C7BE7" w:rsidRDefault="0075136D" w:rsidP="00AF3C84">
      <w:pPr>
        <w:pStyle w:val="ListParagraph"/>
        <w:rPr>
          <w:rFonts w:ascii="Arial" w:hAnsi="Arial" w:cs="Arial"/>
          <w:sz w:val="20"/>
          <w:szCs w:val="20"/>
          <w:lang w:val="pt-BR"/>
        </w:rPr>
      </w:pPr>
    </w:p>
    <w:p w14:paraId="6739A40E" w14:textId="56CA3F0B" w:rsidR="0075136D" w:rsidRPr="003C7BE7" w:rsidRDefault="0075136D" w:rsidP="0075136D">
      <w:pPr>
        <w:pStyle w:val="ListParagraph"/>
        <w:numPr>
          <w:ilvl w:val="0"/>
          <w:numId w:val="1"/>
        </w:numPr>
        <w:autoSpaceDE w:val="0"/>
        <w:autoSpaceDN w:val="0"/>
        <w:adjustRightInd w:val="0"/>
        <w:spacing w:line="276" w:lineRule="auto"/>
        <w:ind w:right="18"/>
        <w:jc w:val="both"/>
        <w:rPr>
          <w:rFonts w:ascii="Arial" w:hAnsi="Arial" w:cs="Arial"/>
          <w:b/>
          <w:sz w:val="20"/>
          <w:szCs w:val="20"/>
          <w:lang w:val="pt-BR"/>
        </w:rPr>
      </w:pPr>
      <w:bookmarkStart w:id="3" w:name="_Ref5132138"/>
      <w:r w:rsidRPr="003C7BE7">
        <w:rPr>
          <w:rFonts w:ascii="Arial" w:hAnsi="Arial" w:cs="Arial"/>
          <w:b/>
          <w:sz w:val="20"/>
          <w:szCs w:val="20"/>
          <w:lang w:val="pt-BR"/>
        </w:rPr>
        <w:t>Convolação em Debêntures da Espécie com Garantia Real</w:t>
      </w:r>
      <w:r w:rsidRPr="003C7BE7">
        <w:rPr>
          <w:rFonts w:ascii="Arial" w:hAnsi="Arial" w:cs="Arial"/>
          <w:sz w:val="20"/>
          <w:szCs w:val="20"/>
          <w:lang w:val="pt-BR"/>
        </w:rPr>
        <w:t xml:space="preserve">: Uma vez </w:t>
      </w:r>
      <w:r w:rsidR="00977EE4" w:rsidRPr="003C7BE7">
        <w:rPr>
          <w:rFonts w:ascii="Arial" w:hAnsi="Arial" w:cs="Arial"/>
          <w:sz w:val="20"/>
          <w:szCs w:val="20"/>
          <w:lang w:val="pt-BR"/>
        </w:rPr>
        <w:t>constituída a</w:t>
      </w:r>
      <w:r w:rsidRPr="003C7BE7">
        <w:rPr>
          <w:rFonts w:ascii="Arial" w:hAnsi="Arial" w:cs="Arial"/>
          <w:sz w:val="20"/>
          <w:szCs w:val="20"/>
          <w:lang w:val="pt-BR"/>
        </w:rPr>
        <w:t xml:space="preserve"> Garantia Rea</w:t>
      </w:r>
      <w:r w:rsidR="00A85BA9">
        <w:rPr>
          <w:rFonts w:ascii="Arial" w:hAnsi="Arial" w:cs="Arial"/>
          <w:sz w:val="20"/>
          <w:szCs w:val="20"/>
          <w:lang w:val="pt-BR"/>
        </w:rPr>
        <w:t>l</w:t>
      </w:r>
      <w:r w:rsidR="008E574F">
        <w:rPr>
          <w:rFonts w:ascii="Arial" w:hAnsi="Arial" w:cs="Arial"/>
          <w:sz w:val="20"/>
          <w:szCs w:val="20"/>
          <w:lang w:val="pt-BR"/>
        </w:rPr>
        <w:t xml:space="preserve"> </w:t>
      </w:r>
      <w:r w:rsidR="008E574F" w:rsidRPr="003C7BE7">
        <w:rPr>
          <w:rFonts w:ascii="Arial" w:eastAsia="Arial Unicode MS" w:hAnsi="Arial" w:cs="Arial"/>
          <w:w w:val="0"/>
          <w:sz w:val="20"/>
          <w:szCs w:val="20"/>
          <w:lang w:val="pt-BR"/>
        </w:rPr>
        <w:t>(conforme abaixo definida)</w:t>
      </w:r>
      <w:r w:rsidRPr="003C7BE7">
        <w:rPr>
          <w:rFonts w:ascii="Arial" w:hAnsi="Arial" w:cs="Arial"/>
          <w:sz w:val="20"/>
          <w:szCs w:val="20"/>
          <w:lang w:val="pt-BR"/>
        </w:rPr>
        <w:t>, as Debêntures deixarão de ser da espécie quirografária</w:t>
      </w:r>
      <w:r w:rsidR="00977EE4" w:rsidRPr="003C7BE7">
        <w:rPr>
          <w:rFonts w:ascii="Arial" w:hAnsi="Arial" w:cs="Arial"/>
          <w:sz w:val="20"/>
          <w:szCs w:val="20"/>
          <w:lang w:val="pt-BR"/>
        </w:rPr>
        <w:t xml:space="preserve">, </w:t>
      </w:r>
      <w:r w:rsidRPr="003C7BE7">
        <w:rPr>
          <w:rFonts w:ascii="Arial" w:hAnsi="Arial" w:cs="Arial"/>
          <w:sz w:val="20"/>
          <w:szCs w:val="20"/>
          <w:lang w:val="pt-BR"/>
        </w:rPr>
        <w:t>e passarão a ser da espécie com garantia real,</w:t>
      </w:r>
      <w:r w:rsidR="00977EE4" w:rsidRPr="003C7BE7">
        <w:rPr>
          <w:rFonts w:ascii="Arial" w:hAnsi="Arial" w:cs="Arial"/>
          <w:sz w:val="20"/>
          <w:szCs w:val="20"/>
          <w:lang w:val="pt-BR"/>
        </w:rPr>
        <w:t xml:space="preserve"> e contarão, adicionalmente,</w:t>
      </w:r>
      <w:r w:rsidRPr="003C7BE7">
        <w:rPr>
          <w:rFonts w:ascii="Arial" w:hAnsi="Arial" w:cs="Arial"/>
          <w:sz w:val="20"/>
          <w:szCs w:val="20"/>
          <w:lang w:val="pt-BR"/>
        </w:rPr>
        <w:t xml:space="preserve"> com garantia fidejussória,</w:t>
      </w:r>
      <w:r w:rsidR="00977EE4" w:rsidRPr="003C7BE7">
        <w:rPr>
          <w:rFonts w:ascii="Arial" w:hAnsi="Arial" w:cs="Arial"/>
          <w:sz w:val="20"/>
          <w:szCs w:val="20"/>
          <w:lang w:val="pt-BR"/>
        </w:rPr>
        <w:t xml:space="preserve"> qual seja fiança,</w:t>
      </w:r>
      <w:r w:rsidRPr="003C7BE7">
        <w:rPr>
          <w:rFonts w:ascii="Arial" w:hAnsi="Arial" w:cs="Arial"/>
          <w:sz w:val="20"/>
          <w:szCs w:val="20"/>
          <w:lang w:val="pt-BR"/>
        </w:rPr>
        <w:t xml:space="preserve"> mediante a celebração de aditamento à Escritura de Emissão apenas para fins formais, de forma indicar a convolação da espécie das Debêntures de “quirografária” para “com garantia real”. Fica, desde já, estabelecido que não será necessária a realização de qualquer ato societário adicional da Companhia, </w:t>
      </w:r>
      <w:r w:rsidR="009407E9">
        <w:rPr>
          <w:rFonts w:ascii="Arial" w:hAnsi="Arial" w:cs="Arial"/>
          <w:sz w:val="20"/>
          <w:szCs w:val="20"/>
          <w:lang w:val="pt-BR"/>
        </w:rPr>
        <w:t xml:space="preserve">da </w:t>
      </w:r>
      <w:proofErr w:type="spellStart"/>
      <w:r w:rsidR="009407E9">
        <w:rPr>
          <w:rFonts w:ascii="Arial" w:hAnsi="Arial" w:cs="Arial"/>
          <w:sz w:val="20"/>
          <w:szCs w:val="20"/>
          <w:lang w:val="pt-BR"/>
        </w:rPr>
        <w:t>Damrak</w:t>
      </w:r>
      <w:proofErr w:type="spellEnd"/>
      <w:r w:rsidR="009407E9">
        <w:rPr>
          <w:rFonts w:ascii="Arial" w:hAnsi="Arial" w:cs="Arial"/>
          <w:sz w:val="20"/>
          <w:szCs w:val="20"/>
          <w:lang w:val="pt-BR"/>
        </w:rPr>
        <w:t xml:space="preserve">, </w:t>
      </w:r>
      <w:r w:rsidRPr="003C7BE7">
        <w:rPr>
          <w:rFonts w:ascii="Arial" w:hAnsi="Arial" w:cs="Arial"/>
          <w:sz w:val="20"/>
          <w:szCs w:val="20"/>
          <w:lang w:val="pt-BR"/>
        </w:rPr>
        <w:t xml:space="preserve">da </w:t>
      </w:r>
      <w:r w:rsidR="00A85BA9">
        <w:rPr>
          <w:rFonts w:ascii="Arial" w:hAnsi="Arial" w:cs="Arial"/>
          <w:sz w:val="20"/>
          <w:szCs w:val="20"/>
          <w:lang w:val="pt-BR"/>
        </w:rPr>
        <w:t>VG Empreendimentos</w:t>
      </w:r>
      <w:r w:rsidR="00A85BA9" w:rsidRPr="003C7BE7">
        <w:rPr>
          <w:rFonts w:ascii="Arial" w:hAnsi="Arial" w:cs="Arial"/>
          <w:sz w:val="20"/>
          <w:szCs w:val="20"/>
          <w:lang w:val="pt-BR"/>
        </w:rPr>
        <w:t xml:space="preserve"> </w:t>
      </w:r>
      <w:r w:rsidRPr="003C7BE7">
        <w:rPr>
          <w:rFonts w:ascii="Arial" w:hAnsi="Arial" w:cs="Arial"/>
          <w:sz w:val="20"/>
          <w:szCs w:val="20"/>
          <w:lang w:val="pt-BR"/>
        </w:rPr>
        <w:t>ou de assembleia geral de titulares das Debêntures (“</w:t>
      </w:r>
      <w:r w:rsidRPr="003C7BE7">
        <w:rPr>
          <w:rFonts w:ascii="Arial" w:hAnsi="Arial" w:cs="Arial"/>
          <w:b/>
          <w:sz w:val="20"/>
          <w:szCs w:val="20"/>
          <w:lang w:val="pt-BR"/>
        </w:rPr>
        <w:t>Debenturistas</w:t>
      </w:r>
      <w:r w:rsidRPr="003C7BE7">
        <w:rPr>
          <w:rFonts w:ascii="Arial" w:hAnsi="Arial" w:cs="Arial"/>
          <w:sz w:val="20"/>
          <w:szCs w:val="20"/>
          <w:lang w:val="pt-BR"/>
        </w:rPr>
        <w:t>”) para aprovação do referido aditamento.</w:t>
      </w:r>
      <w:bookmarkEnd w:id="3"/>
    </w:p>
    <w:p w14:paraId="295795EA" w14:textId="77777777" w:rsidR="002A26BB" w:rsidRPr="003C7BE7" w:rsidRDefault="002A26BB" w:rsidP="009E360F">
      <w:pPr>
        <w:pStyle w:val="ListParagraph"/>
        <w:spacing w:line="276" w:lineRule="auto"/>
        <w:rPr>
          <w:rFonts w:ascii="Arial" w:hAnsi="Arial" w:cs="Arial"/>
          <w:b/>
          <w:sz w:val="20"/>
          <w:szCs w:val="20"/>
          <w:lang w:val="pt-BR"/>
        </w:rPr>
      </w:pPr>
    </w:p>
    <w:p w14:paraId="201EE9E8" w14:textId="74A6D375" w:rsidR="002A26BB" w:rsidRPr="003C7BE7" w:rsidRDefault="00C360B8" w:rsidP="009E360F">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 xml:space="preserve">Data </w:t>
      </w:r>
      <w:r w:rsidR="002D2013" w:rsidRPr="003C7BE7">
        <w:rPr>
          <w:rFonts w:ascii="Arial" w:hAnsi="Arial" w:cs="Arial"/>
          <w:b/>
          <w:sz w:val="20"/>
          <w:szCs w:val="20"/>
          <w:lang w:val="pt-BR"/>
        </w:rPr>
        <w:t xml:space="preserve">de </w:t>
      </w:r>
      <w:r w:rsidRPr="003C7BE7">
        <w:rPr>
          <w:rFonts w:ascii="Arial" w:hAnsi="Arial" w:cs="Arial"/>
          <w:b/>
          <w:sz w:val="20"/>
          <w:szCs w:val="20"/>
          <w:lang w:val="pt-BR"/>
        </w:rPr>
        <w:t>Emissão</w:t>
      </w:r>
      <w:r w:rsidR="002D2013" w:rsidRPr="003C7BE7">
        <w:rPr>
          <w:rFonts w:ascii="Arial" w:hAnsi="Arial" w:cs="Arial"/>
          <w:sz w:val="20"/>
          <w:szCs w:val="20"/>
          <w:lang w:val="pt-BR"/>
        </w:rPr>
        <w:t>: para todos os fins e efeitos legais, a data de emissão das Debêntures será</w:t>
      </w:r>
      <w:r w:rsidR="009E54BA">
        <w:rPr>
          <w:rFonts w:ascii="Arial" w:hAnsi="Arial" w:cs="Arial"/>
          <w:sz w:val="20"/>
          <w:szCs w:val="20"/>
          <w:lang w:val="pt-BR"/>
        </w:rPr>
        <w:t xml:space="preserve"> </w:t>
      </w:r>
      <w:r w:rsidR="00A85BA9" w:rsidRPr="00A85BA9">
        <w:rPr>
          <w:rFonts w:ascii="Arial" w:hAnsi="Arial" w:cs="Arial"/>
          <w:sz w:val="20"/>
          <w:szCs w:val="20"/>
          <w:lang w:val="pt-BR"/>
        </w:rPr>
        <w:t>18 de março de 2022</w:t>
      </w:r>
      <w:r w:rsidR="00A85BA9" w:rsidRPr="00A85BA9" w:rsidDel="00A85BA9">
        <w:rPr>
          <w:rFonts w:ascii="Arial" w:hAnsi="Arial" w:cs="Arial"/>
          <w:sz w:val="20"/>
          <w:szCs w:val="20"/>
          <w:lang w:val="pt-BR"/>
        </w:rPr>
        <w:t xml:space="preserve"> </w:t>
      </w:r>
      <w:r w:rsidR="002D2013" w:rsidRPr="003C7BE7">
        <w:rPr>
          <w:rFonts w:ascii="Arial" w:hAnsi="Arial" w:cs="Arial"/>
          <w:sz w:val="20"/>
          <w:szCs w:val="20"/>
          <w:lang w:val="pt-BR"/>
        </w:rPr>
        <w:t>(“</w:t>
      </w:r>
      <w:r w:rsidR="002D2013" w:rsidRPr="003C7BE7">
        <w:rPr>
          <w:rFonts w:ascii="Arial" w:hAnsi="Arial" w:cs="Arial"/>
          <w:b/>
          <w:sz w:val="20"/>
          <w:szCs w:val="20"/>
          <w:lang w:val="pt-BR"/>
        </w:rPr>
        <w:t>Data de Emissão</w:t>
      </w:r>
      <w:r w:rsidR="002D2013" w:rsidRPr="003C7BE7">
        <w:rPr>
          <w:rFonts w:ascii="Arial" w:hAnsi="Arial" w:cs="Arial"/>
          <w:sz w:val="20"/>
          <w:szCs w:val="20"/>
          <w:lang w:val="pt-BR"/>
        </w:rPr>
        <w:t xml:space="preserve">”); </w:t>
      </w:r>
    </w:p>
    <w:p w14:paraId="5D003016" w14:textId="77777777" w:rsidR="002A26BB" w:rsidRPr="003C7BE7" w:rsidRDefault="002A26BB" w:rsidP="009E360F">
      <w:pPr>
        <w:pStyle w:val="ListParagraph"/>
        <w:spacing w:line="276" w:lineRule="auto"/>
        <w:rPr>
          <w:rFonts w:ascii="Arial" w:hAnsi="Arial" w:cs="Arial"/>
          <w:b/>
          <w:sz w:val="20"/>
          <w:szCs w:val="20"/>
          <w:lang w:val="pt-BR"/>
        </w:rPr>
      </w:pPr>
    </w:p>
    <w:p w14:paraId="6B41AEC8" w14:textId="397F7EAE" w:rsidR="002A26BB" w:rsidRPr="003C7BE7" w:rsidRDefault="00C360B8" w:rsidP="009E360F">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 xml:space="preserve">Prazo </w:t>
      </w:r>
      <w:r w:rsidR="002D2013" w:rsidRPr="003C7BE7">
        <w:rPr>
          <w:rFonts w:ascii="Arial" w:hAnsi="Arial" w:cs="Arial"/>
          <w:b/>
          <w:sz w:val="20"/>
          <w:szCs w:val="20"/>
          <w:lang w:val="pt-BR"/>
        </w:rPr>
        <w:t xml:space="preserve">de </w:t>
      </w:r>
      <w:r w:rsidRPr="003C7BE7">
        <w:rPr>
          <w:rFonts w:ascii="Arial" w:hAnsi="Arial" w:cs="Arial"/>
          <w:b/>
          <w:sz w:val="20"/>
          <w:szCs w:val="20"/>
          <w:lang w:val="pt-BR"/>
        </w:rPr>
        <w:t>Vencimento</w:t>
      </w:r>
      <w:r w:rsidR="002D2013" w:rsidRPr="003C7BE7">
        <w:rPr>
          <w:rFonts w:ascii="Arial" w:hAnsi="Arial" w:cs="Arial"/>
          <w:sz w:val="20"/>
          <w:szCs w:val="20"/>
          <w:lang w:val="pt-BR"/>
        </w:rPr>
        <w:t xml:space="preserve">: </w:t>
      </w:r>
      <w:r w:rsidR="00206DA5" w:rsidRPr="003C7BE7">
        <w:rPr>
          <w:rFonts w:ascii="Arial" w:hAnsi="Arial" w:cs="Arial"/>
          <w:sz w:val="20"/>
          <w:szCs w:val="20"/>
          <w:lang w:val="pt-BR"/>
        </w:rPr>
        <w:t xml:space="preserve">as Debêntures terão prazo de </w:t>
      </w:r>
      <w:r w:rsidR="00977EE4" w:rsidRPr="003C7BE7">
        <w:rPr>
          <w:rFonts w:ascii="Arial" w:hAnsi="Arial" w:cs="Arial"/>
          <w:sz w:val="20"/>
          <w:szCs w:val="20"/>
          <w:lang w:val="pt-BR"/>
        </w:rPr>
        <w:t>7</w:t>
      </w:r>
      <w:r w:rsidR="00206DA5" w:rsidRPr="003C7BE7">
        <w:rPr>
          <w:rFonts w:ascii="Arial" w:hAnsi="Arial" w:cs="Arial"/>
          <w:sz w:val="20"/>
          <w:szCs w:val="20"/>
          <w:lang w:val="pt-BR"/>
        </w:rPr>
        <w:t xml:space="preserve"> (</w:t>
      </w:r>
      <w:r w:rsidR="00977EE4" w:rsidRPr="003C7BE7">
        <w:rPr>
          <w:rFonts w:ascii="Arial" w:hAnsi="Arial" w:cs="Arial"/>
          <w:sz w:val="20"/>
          <w:szCs w:val="20"/>
          <w:lang w:val="pt-BR"/>
        </w:rPr>
        <w:t>sete</w:t>
      </w:r>
      <w:r w:rsidR="00206DA5" w:rsidRPr="003C7BE7">
        <w:rPr>
          <w:rFonts w:ascii="Arial" w:hAnsi="Arial" w:cs="Arial"/>
          <w:sz w:val="20"/>
          <w:szCs w:val="20"/>
          <w:lang w:val="pt-BR"/>
        </w:rPr>
        <w:t xml:space="preserve">) anos contados da Data de Emissão, de forma que vencerão no dia </w:t>
      </w:r>
      <w:r w:rsidR="00A85BA9" w:rsidRPr="00A85BA9">
        <w:rPr>
          <w:rFonts w:ascii="Arial" w:hAnsi="Arial" w:cs="Arial"/>
          <w:sz w:val="20"/>
          <w:szCs w:val="20"/>
          <w:lang w:val="pt-BR"/>
        </w:rPr>
        <w:t xml:space="preserve">18 de março de 2029 </w:t>
      </w:r>
      <w:r w:rsidR="00206DA5" w:rsidRPr="003C7BE7">
        <w:rPr>
          <w:rFonts w:ascii="Arial" w:hAnsi="Arial" w:cs="Arial"/>
          <w:sz w:val="20"/>
          <w:szCs w:val="20"/>
          <w:lang w:val="pt-BR"/>
        </w:rPr>
        <w:t>(“</w:t>
      </w:r>
      <w:r w:rsidR="00206DA5" w:rsidRPr="003C7BE7">
        <w:rPr>
          <w:rFonts w:ascii="Arial" w:hAnsi="Arial" w:cs="Arial"/>
          <w:b/>
          <w:sz w:val="20"/>
          <w:szCs w:val="20"/>
          <w:lang w:val="pt-BR"/>
        </w:rPr>
        <w:t>Data de Vencimento</w:t>
      </w:r>
      <w:r w:rsidR="00206DA5" w:rsidRPr="003C7BE7">
        <w:rPr>
          <w:rFonts w:ascii="Arial" w:hAnsi="Arial" w:cs="Arial"/>
          <w:sz w:val="20"/>
          <w:szCs w:val="20"/>
          <w:lang w:val="pt-BR"/>
        </w:rPr>
        <w:t xml:space="preserve">”), ressalvadas as hipóteses de resgate antecipado da totalidade das Debêntures ou de vencimento antecipado das obrigações decorrentes das Debêntures, </w:t>
      </w:r>
      <w:r w:rsidR="002D2013" w:rsidRPr="003C7BE7">
        <w:rPr>
          <w:rFonts w:ascii="Arial" w:hAnsi="Arial" w:cs="Arial"/>
          <w:sz w:val="20"/>
          <w:szCs w:val="20"/>
          <w:lang w:val="pt-BR"/>
        </w:rPr>
        <w:t>nos termos a serem previstos na Escritura de Emissão, conforme abaixo definida (“</w:t>
      </w:r>
      <w:r w:rsidR="002D2013" w:rsidRPr="003C7BE7">
        <w:rPr>
          <w:rFonts w:ascii="Arial" w:hAnsi="Arial" w:cs="Arial"/>
          <w:b/>
          <w:sz w:val="20"/>
          <w:szCs w:val="20"/>
          <w:lang w:val="pt-BR"/>
        </w:rPr>
        <w:t>Data de Vencimento</w:t>
      </w:r>
      <w:r w:rsidR="002D2013" w:rsidRPr="003C7BE7">
        <w:rPr>
          <w:rFonts w:ascii="Arial" w:hAnsi="Arial" w:cs="Arial"/>
          <w:sz w:val="20"/>
          <w:szCs w:val="20"/>
          <w:lang w:val="pt-BR"/>
        </w:rPr>
        <w:t xml:space="preserve">”); </w:t>
      </w:r>
    </w:p>
    <w:p w14:paraId="51DB12FC" w14:textId="77777777" w:rsidR="002A26BB" w:rsidRPr="003C7BE7" w:rsidRDefault="002A26BB" w:rsidP="009E360F">
      <w:pPr>
        <w:pStyle w:val="ListParagraph"/>
        <w:spacing w:line="276" w:lineRule="auto"/>
        <w:rPr>
          <w:rFonts w:ascii="Arial" w:hAnsi="Arial" w:cs="Arial"/>
          <w:b/>
          <w:sz w:val="20"/>
          <w:szCs w:val="20"/>
          <w:lang w:val="pt-BR"/>
        </w:rPr>
      </w:pPr>
    </w:p>
    <w:p w14:paraId="5C742FC7" w14:textId="6B2BB046" w:rsidR="002A26BB" w:rsidRPr="003C7BE7" w:rsidRDefault="00206DA5" w:rsidP="00AB2BF0">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Forma de Subscrição e Integralização e Preço de Integralização</w:t>
      </w:r>
      <w:r w:rsidR="002D2013" w:rsidRPr="003C7BE7">
        <w:rPr>
          <w:rFonts w:ascii="Arial" w:hAnsi="Arial" w:cs="Arial"/>
          <w:sz w:val="20"/>
          <w:szCs w:val="20"/>
          <w:lang w:val="pt-BR"/>
        </w:rPr>
        <w:t xml:space="preserve">: </w:t>
      </w:r>
      <w:r w:rsidRPr="003C7BE7">
        <w:rPr>
          <w:rFonts w:ascii="Arial" w:hAnsi="Arial" w:cs="Arial"/>
          <w:sz w:val="20"/>
          <w:szCs w:val="20"/>
          <w:lang w:val="pt-BR"/>
        </w:rPr>
        <w:t xml:space="preserve">as Debêntures serão subscritas e integralizadas à vista, em moeda corrente nacional, no ato da subscrição, pelo seu Valor Nominal Unitário, de acordo com os procedimentos da </w:t>
      </w:r>
      <w:r w:rsidR="0075136D" w:rsidRPr="003C7BE7">
        <w:rPr>
          <w:rFonts w:ascii="Arial" w:hAnsi="Arial" w:cs="Arial"/>
          <w:color w:val="000000"/>
          <w:sz w:val="20"/>
          <w:szCs w:val="20"/>
          <w:lang w:val="pt-BR"/>
        </w:rPr>
        <w:t xml:space="preserve">B3 S.A. – Brasil, Bolsa, Balcão - </w:t>
      </w:r>
      <w:r w:rsidR="00A85BA9">
        <w:rPr>
          <w:rFonts w:ascii="Arial" w:hAnsi="Arial" w:cs="Arial"/>
          <w:color w:val="000000"/>
          <w:sz w:val="20"/>
          <w:szCs w:val="20"/>
          <w:lang w:val="pt-BR"/>
        </w:rPr>
        <w:t>Balcão B3</w:t>
      </w:r>
      <w:r w:rsidR="0075136D" w:rsidRPr="003C7BE7">
        <w:rPr>
          <w:rFonts w:ascii="Arial" w:hAnsi="Arial" w:cs="Arial"/>
          <w:color w:val="000000"/>
          <w:sz w:val="20"/>
          <w:szCs w:val="20"/>
          <w:lang w:val="pt-BR"/>
        </w:rPr>
        <w:t xml:space="preserve"> (“</w:t>
      </w:r>
      <w:r w:rsidR="0075136D" w:rsidRPr="003C7BE7">
        <w:rPr>
          <w:rFonts w:ascii="Arial" w:hAnsi="Arial" w:cs="Arial"/>
          <w:b/>
          <w:color w:val="000000"/>
          <w:sz w:val="20"/>
          <w:szCs w:val="20"/>
          <w:lang w:val="pt-BR"/>
        </w:rPr>
        <w:t>B3</w:t>
      </w:r>
      <w:r w:rsidR="0075136D" w:rsidRPr="003C7BE7">
        <w:rPr>
          <w:rFonts w:ascii="Arial" w:hAnsi="Arial" w:cs="Arial"/>
          <w:color w:val="000000"/>
          <w:sz w:val="20"/>
          <w:szCs w:val="20"/>
          <w:lang w:val="pt-BR"/>
        </w:rPr>
        <w:t>”)</w:t>
      </w:r>
      <w:r w:rsidRPr="003C7BE7">
        <w:rPr>
          <w:rFonts w:ascii="Arial" w:hAnsi="Arial" w:cs="Arial"/>
          <w:sz w:val="20"/>
          <w:szCs w:val="20"/>
          <w:lang w:val="pt-BR"/>
        </w:rPr>
        <w:t xml:space="preserve">. Caso ocorra integralização das Debêntures após a Primeira Data de Integralização (conforme abaixo definido), o preço de subscrição das Debêntures será o seu Valor Nominal Unitário acrescido da Remuneração (conforme abaixo definido), calculada </w:t>
      </w:r>
      <w:r w:rsidRPr="003C7BE7">
        <w:rPr>
          <w:rFonts w:ascii="Arial" w:hAnsi="Arial" w:cs="Arial"/>
          <w:i/>
          <w:sz w:val="20"/>
          <w:szCs w:val="20"/>
          <w:lang w:val="pt-BR"/>
        </w:rPr>
        <w:t xml:space="preserve">pro rata </w:t>
      </w:r>
      <w:proofErr w:type="spellStart"/>
      <w:r w:rsidRPr="003C7BE7">
        <w:rPr>
          <w:rFonts w:ascii="Arial" w:hAnsi="Arial" w:cs="Arial"/>
          <w:i/>
          <w:sz w:val="20"/>
          <w:szCs w:val="20"/>
          <w:lang w:val="pt-BR"/>
        </w:rPr>
        <w:t>temporis</w:t>
      </w:r>
      <w:proofErr w:type="spellEnd"/>
      <w:r w:rsidRPr="003C7BE7">
        <w:rPr>
          <w:rFonts w:ascii="Arial" w:hAnsi="Arial" w:cs="Arial"/>
          <w:sz w:val="20"/>
          <w:szCs w:val="20"/>
          <w:lang w:val="pt-BR"/>
        </w:rPr>
        <w:t xml:space="preserve"> desde a Primeira Data de Integralização</w:t>
      </w:r>
      <w:r w:rsidRPr="003C7BE7" w:rsidDel="00690F04">
        <w:rPr>
          <w:rFonts w:ascii="Arial" w:hAnsi="Arial" w:cs="Arial"/>
          <w:sz w:val="20"/>
          <w:szCs w:val="20"/>
          <w:lang w:val="pt-BR"/>
        </w:rPr>
        <w:t xml:space="preserve"> </w:t>
      </w:r>
      <w:r w:rsidRPr="003C7BE7">
        <w:rPr>
          <w:rFonts w:ascii="Arial" w:hAnsi="Arial" w:cs="Arial"/>
          <w:sz w:val="20"/>
          <w:szCs w:val="20"/>
          <w:lang w:val="pt-BR"/>
        </w:rPr>
        <w:t>até a data de sua efetiva integralização.</w:t>
      </w:r>
      <w:r w:rsidR="002D2013" w:rsidRPr="003C7BE7">
        <w:rPr>
          <w:rFonts w:ascii="Arial" w:hAnsi="Arial" w:cs="Arial"/>
          <w:sz w:val="20"/>
          <w:szCs w:val="20"/>
          <w:lang w:val="pt-BR"/>
        </w:rPr>
        <w:t xml:space="preserve"> </w:t>
      </w:r>
      <w:r w:rsidRPr="003C7BE7">
        <w:rPr>
          <w:rFonts w:ascii="Arial" w:hAnsi="Arial" w:cs="Arial"/>
          <w:sz w:val="20"/>
          <w:szCs w:val="20"/>
          <w:lang w:val="pt-BR"/>
        </w:rPr>
        <w:t>Para os fins da Escritura de Emissão, considera-se “</w:t>
      </w:r>
      <w:r w:rsidRPr="003C7BE7">
        <w:rPr>
          <w:rFonts w:ascii="Arial" w:hAnsi="Arial" w:cs="Arial"/>
          <w:b/>
          <w:sz w:val="20"/>
          <w:szCs w:val="20"/>
          <w:lang w:val="pt-BR"/>
        </w:rPr>
        <w:t>Primeira</w:t>
      </w:r>
      <w:r w:rsidRPr="003C7BE7">
        <w:rPr>
          <w:rFonts w:ascii="Arial" w:hAnsi="Arial" w:cs="Arial"/>
          <w:sz w:val="20"/>
          <w:szCs w:val="20"/>
          <w:lang w:val="pt-BR"/>
        </w:rPr>
        <w:t xml:space="preserve"> </w:t>
      </w:r>
      <w:r w:rsidRPr="003C7BE7">
        <w:rPr>
          <w:rFonts w:ascii="Arial" w:hAnsi="Arial" w:cs="Arial"/>
          <w:b/>
          <w:sz w:val="20"/>
          <w:szCs w:val="20"/>
          <w:lang w:val="pt-BR"/>
        </w:rPr>
        <w:t>Data de Integralização</w:t>
      </w:r>
      <w:r w:rsidRPr="003C7BE7">
        <w:rPr>
          <w:rFonts w:ascii="Arial" w:hAnsi="Arial" w:cs="Arial"/>
          <w:sz w:val="20"/>
          <w:szCs w:val="20"/>
          <w:lang w:val="pt-BR"/>
        </w:rPr>
        <w:t xml:space="preserve">” a data em que ocorrerá a primeira subscrição e a integralização das Debêntures. </w:t>
      </w:r>
    </w:p>
    <w:p w14:paraId="7059C426" w14:textId="77777777" w:rsidR="002A26BB" w:rsidRPr="003C7BE7" w:rsidRDefault="002A26BB" w:rsidP="00DC676E">
      <w:pPr>
        <w:spacing w:line="276" w:lineRule="auto"/>
        <w:rPr>
          <w:rFonts w:ascii="Arial" w:hAnsi="Arial" w:cs="Arial"/>
          <w:b/>
          <w:sz w:val="20"/>
          <w:szCs w:val="20"/>
          <w:lang w:val="pt-BR"/>
        </w:rPr>
      </w:pPr>
    </w:p>
    <w:p w14:paraId="3EC6E45C" w14:textId="77777777" w:rsidR="00C4502C" w:rsidRPr="003C7BE7" w:rsidRDefault="00C4502C" w:rsidP="009E360F">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Depósito para Distribuição e Negociação:</w:t>
      </w:r>
      <w:r w:rsidRPr="003C7BE7">
        <w:rPr>
          <w:rFonts w:ascii="Arial" w:hAnsi="Arial" w:cs="Arial"/>
          <w:sz w:val="20"/>
          <w:szCs w:val="20"/>
          <w:lang w:val="pt-BR"/>
        </w:rPr>
        <w:t xml:space="preserve"> as Debêntures serão depositadas para distribuição pública com esforços restritos no mercado primário por meio do MDA – Módulo de Distribuição de Ativos (“</w:t>
      </w:r>
      <w:r w:rsidRPr="003C7BE7">
        <w:rPr>
          <w:rFonts w:ascii="Arial" w:hAnsi="Arial" w:cs="Arial"/>
          <w:b/>
          <w:sz w:val="20"/>
          <w:szCs w:val="20"/>
          <w:lang w:val="pt-BR"/>
        </w:rPr>
        <w:t>MDA</w:t>
      </w:r>
      <w:r w:rsidRPr="003C7BE7">
        <w:rPr>
          <w:rFonts w:ascii="Arial" w:hAnsi="Arial" w:cs="Arial"/>
          <w:sz w:val="20"/>
          <w:szCs w:val="20"/>
          <w:lang w:val="pt-BR"/>
        </w:rPr>
        <w:t>”) e no mercado secundário por meio do CETIP21</w:t>
      </w:r>
      <w:r w:rsidR="00AB2BF0" w:rsidRPr="003C7BE7">
        <w:rPr>
          <w:rFonts w:ascii="Arial" w:hAnsi="Arial" w:cs="Arial"/>
          <w:sz w:val="20"/>
          <w:szCs w:val="20"/>
          <w:lang w:val="pt-BR"/>
        </w:rPr>
        <w:t xml:space="preserve"> – Títulos e Valores Mobiliários (“</w:t>
      </w:r>
      <w:r w:rsidR="00AB2BF0" w:rsidRPr="003C7BE7">
        <w:rPr>
          <w:rFonts w:ascii="Arial" w:hAnsi="Arial" w:cs="Arial"/>
          <w:b/>
          <w:sz w:val="20"/>
          <w:szCs w:val="20"/>
          <w:lang w:val="pt-BR"/>
        </w:rPr>
        <w:t>CETIP 21</w:t>
      </w:r>
      <w:r w:rsidR="00AB2BF0" w:rsidRPr="003C7BE7">
        <w:rPr>
          <w:rFonts w:ascii="Arial" w:hAnsi="Arial" w:cs="Arial"/>
          <w:sz w:val="20"/>
          <w:szCs w:val="20"/>
          <w:lang w:val="pt-BR"/>
        </w:rPr>
        <w:t>”)</w:t>
      </w:r>
      <w:r w:rsidRPr="003C7BE7">
        <w:rPr>
          <w:rFonts w:ascii="Arial" w:hAnsi="Arial" w:cs="Arial"/>
          <w:sz w:val="20"/>
          <w:szCs w:val="20"/>
          <w:lang w:val="pt-BR"/>
        </w:rPr>
        <w:t xml:space="preserve">, ambos administrados e operacionalizados pela </w:t>
      </w:r>
      <w:r w:rsidRPr="0009233C">
        <w:rPr>
          <w:rFonts w:ascii="Arial" w:hAnsi="Arial" w:cs="Arial"/>
          <w:bCs/>
          <w:color w:val="000000"/>
          <w:sz w:val="20"/>
          <w:szCs w:val="20"/>
          <w:lang w:val="pt-BR"/>
        </w:rPr>
        <w:t>B3</w:t>
      </w:r>
      <w:r w:rsidRPr="003C7BE7">
        <w:rPr>
          <w:rFonts w:ascii="Arial" w:hAnsi="Arial" w:cs="Arial"/>
          <w:sz w:val="20"/>
          <w:szCs w:val="20"/>
          <w:lang w:val="pt-BR"/>
        </w:rPr>
        <w:t>, sendo as negociações liquidadas financeiramente e as Debêntures custodiadas eletronicamente na B3</w:t>
      </w:r>
      <w:r w:rsidRPr="003C7BE7">
        <w:rPr>
          <w:rFonts w:ascii="Arial" w:hAnsi="Arial" w:cs="Arial"/>
          <w:color w:val="000000"/>
          <w:sz w:val="20"/>
          <w:szCs w:val="20"/>
          <w:lang w:val="pt-BR"/>
        </w:rPr>
        <w:t>, sendo que a negociação das Debêntures deverá sempre respeitar as disposições legais e regulamentares aplicáveis</w:t>
      </w:r>
      <w:r w:rsidRPr="003C7BE7">
        <w:rPr>
          <w:rFonts w:ascii="Arial" w:hAnsi="Arial" w:cs="Arial"/>
          <w:sz w:val="20"/>
          <w:szCs w:val="20"/>
          <w:lang w:val="pt-BR"/>
        </w:rPr>
        <w:t xml:space="preserve">. </w:t>
      </w:r>
    </w:p>
    <w:p w14:paraId="6F336F51" w14:textId="77777777" w:rsidR="00C4502C" w:rsidRPr="003C7BE7" w:rsidRDefault="00C4502C" w:rsidP="009E360F">
      <w:pPr>
        <w:autoSpaceDE w:val="0"/>
        <w:autoSpaceDN w:val="0"/>
        <w:adjustRightInd w:val="0"/>
        <w:spacing w:line="276" w:lineRule="auto"/>
        <w:ind w:right="18"/>
        <w:jc w:val="both"/>
        <w:rPr>
          <w:rFonts w:ascii="Arial" w:hAnsi="Arial" w:cs="Arial"/>
          <w:sz w:val="20"/>
          <w:szCs w:val="20"/>
          <w:lang w:val="pt-BR"/>
        </w:rPr>
      </w:pPr>
    </w:p>
    <w:p w14:paraId="234264B9" w14:textId="77777777" w:rsidR="00695E81" w:rsidRPr="003C7BE7" w:rsidRDefault="00EB6890" w:rsidP="00DC676E">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Prazo</w:t>
      </w:r>
      <w:r w:rsidR="00C360B8" w:rsidRPr="003C7BE7">
        <w:rPr>
          <w:rFonts w:ascii="Arial" w:hAnsi="Arial" w:cs="Arial"/>
          <w:b/>
          <w:sz w:val="20"/>
          <w:szCs w:val="20"/>
          <w:lang w:val="pt-BR"/>
        </w:rPr>
        <w:t xml:space="preserve"> </w:t>
      </w:r>
      <w:r w:rsidR="002D2013" w:rsidRPr="003C7BE7">
        <w:rPr>
          <w:rFonts w:ascii="Arial" w:hAnsi="Arial" w:cs="Arial"/>
          <w:b/>
          <w:sz w:val="20"/>
          <w:szCs w:val="20"/>
          <w:lang w:val="pt-BR"/>
        </w:rPr>
        <w:t xml:space="preserve">de </w:t>
      </w:r>
      <w:r w:rsidR="00C360B8" w:rsidRPr="003C7BE7">
        <w:rPr>
          <w:rFonts w:ascii="Arial" w:hAnsi="Arial" w:cs="Arial"/>
          <w:b/>
          <w:sz w:val="20"/>
          <w:szCs w:val="20"/>
          <w:lang w:val="pt-BR"/>
        </w:rPr>
        <w:t xml:space="preserve">Subscrição </w:t>
      </w:r>
      <w:r w:rsidR="002D2013" w:rsidRPr="003C7BE7">
        <w:rPr>
          <w:rFonts w:ascii="Arial" w:hAnsi="Arial" w:cs="Arial"/>
          <w:b/>
          <w:sz w:val="20"/>
          <w:szCs w:val="20"/>
          <w:lang w:val="pt-BR"/>
        </w:rPr>
        <w:t xml:space="preserve">e </w:t>
      </w:r>
      <w:r w:rsidR="00C360B8" w:rsidRPr="003C7BE7">
        <w:rPr>
          <w:rFonts w:ascii="Arial" w:hAnsi="Arial" w:cs="Arial"/>
          <w:b/>
          <w:sz w:val="20"/>
          <w:szCs w:val="20"/>
          <w:lang w:val="pt-BR"/>
        </w:rPr>
        <w:t>Integralização</w:t>
      </w:r>
      <w:r w:rsidR="002D2013" w:rsidRPr="003C7BE7">
        <w:rPr>
          <w:rFonts w:ascii="Arial" w:hAnsi="Arial" w:cs="Arial"/>
          <w:sz w:val="20"/>
          <w:szCs w:val="20"/>
          <w:lang w:val="pt-BR"/>
        </w:rPr>
        <w:t xml:space="preserve">: </w:t>
      </w:r>
      <w:r w:rsidR="00351CE3" w:rsidRPr="003C7BE7">
        <w:rPr>
          <w:rFonts w:ascii="Arial" w:hAnsi="Arial" w:cs="Arial"/>
          <w:sz w:val="20"/>
          <w:szCs w:val="20"/>
          <w:lang w:val="pt-BR"/>
        </w:rPr>
        <w:t xml:space="preserve">as Debêntures </w:t>
      </w:r>
      <w:r w:rsidR="00EA597F" w:rsidRPr="003C7BE7">
        <w:rPr>
          <w:rFonts w:ascii="Arial" w:hAnsi="Arial" w:cs="Arial"/>
          <w:sz w:val="20"/>
          <w:szCs w:val="20"/>
          <w:lang w:val="pt-BR"/>
        </w:rPr>
        <w:t xml:space="preserve">serão </w:t>
      </w:r>
      <w:r w:rsidR="00351CE3" w:rsidRPr="003C7BE7">
        <w:rPr>
          <w:rFonts w:ascii="Arial" w:hAnsi="Arial" w:cs="Arial"/>
          <w:sz w:val="20"/>
          <w:szCs w:val="20"/>
          <w:lang w:val="pt-BR"/>
        </w:rPr>
        <w:t>subscritas e integralizadas, a qualquer tempo, a partir da data de início de distribuição da Oferta, observado o disposto na Instrução CVM 476</w:t>
      </w:r>
      <w:r w:rsidR="00C4502C" w:rsidRPr="003C7BE7">
        <w:rPr>
          <w:rFonts w:ascii="Arial" w:hAnsi="Arial" w:cs="Arial"/>
          <w:sz w:val="20"/>
          <w:szCs w:val="20"/>
          <w:lang w:val="pt-BR"/>
        </w:rPr>
        <w:t>.</w:t>
      </w:r>
    </w:p>
    <w:p w14:paraId="451ECF12" w14:textId="77777777" w:rsidR="002A26BB" w:rsidRPr="003C7BE7" w:rsidRDefault="00C4502C" w:rsidP="00DC676E">
      <w:pPr>
        <w:rPr>
          <w:rFonts w:ascii="Arial" w:hAnsi="Arial" w:cs="Arial"/>
          <w:b/>
          <w:sz w:val="20"/>
          <w:szCs w:val="20"/>
          <w:lang w:val="pt-BR"/>
        </w:rPr>
      </w:pPr>
      <w:r w:rsidRPr="003C7BE7">
        <w:rPr>
          <w:rFonts w:ascii="Arial" w:hAnsi="Arial" w:cs="Arial"/>
          <w:sz w:val="20"/>
          <w:szCs w:val="20"/>
          <w:lang w:val="pt-BR"/>
        </w:rPr>
        <w:t xml:space="preserve"> </w:t>
      </w:r>
    </w:p>
    <w:p w14:paraId="49FAB26A" w14:textId="77777777" w:rsidR="002A26BB" w:rsidRPr="003C7BE7" w:rsidRDefault="00C360B8" w:rsidP="009E360F">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 xml:space="preserve">Atualização </w:t>
      </w:r>
      <w:r w:rsidR="00FD5365">
        <w:rPr>
          <w:rFonts w:ascii="Arial" w:hAnsi="Arial" w:cs="Arial"/>
          <w:b/>
          <w:sz w:val="20"/>
          <w:szCs w:val="20"/>
          <w:lang w:val="pt-BR"/>
        </w:rPr>
        <w:t xml:space="preserve">Monetária </w:t>
      </w:r>
      <w:r w:rsidR="002D2013" w:rsidRPr="003C7BE7">
        <w:rPr>
          <w:rFonts w:ascii="Arial" w:hAnsi="Arial" w:cs="Arial"/>
          <w:b/>
          <w:sz w:val="20"/>
          <w:szCs w:val="20"/>
          <w:lang w:val="pt-BR"/>
        </w:rPr>
        <w:t xml:space="preserve">do </w:t>
      </w:r>
      <w:r w:rsidRPr="003C7BE7">
        <w:rPr>
          <w:rFonts w:ascii="Arial" w:hAnsi="Arial" w:cs="Arial"/>
          <w:b/>
          <w:sz w:val="20"/>
          <w:szCs w:val="20"/>
          <w:lang w:val="pt-BR"/>
        </w:rPr>
        <w:t>Valor Nominal Unitário</w:t>
      </w:r>
      <w:r w:rsidR="002D2013" w:rsidRPr="003C7BE7">
        <w:rPr>
          <w:rFonts w:ascii="Arial" w:hAnsi="Arial" w:cs="Arial"/>
          <w:sz w:val="20"/>
          <w:szCs w:val="20"/>
          <w:lang w:val="pt-BR"/>
        </w:rPr>
        <w:t xml:space="preserve">: não haverá atualização </w:t>
      </w:r>
      <w:r w:rsidR="00FD5365">
        <w:rPr>
          <w:rFonts w:ascii="Arial" w:hAnsi="Arial" w:cs="Arial"/>
          <w:sz w:val="20"/>
          <w:szCs w:val="20"/>
          <w:lang w:val="pt-BR"/>
        </w:rPr>
        <w:t xml:space="preserve">monetária </w:t>
      </w:r>
      <w:r w:rsidR="002D2013" w:rsidRPr="003C7BE7">
        <w:rPr>
          <w:rFonts w:ascii="Arial" w:hAnsi="Arial" w:cs="Arial"/>
          <w:sz w:val="20"/>
          <w:szCs w:val="20"/>
          <w:lang w:val="pt-BR"/>
        </w:rPr>
        <w:t xml:space="preserve">do Valor Nominal </w:t>
      </w:r>
      <w:r w:rsidRPr="003C7BE7">
        <w:rPr>
          <w:rFonts w:ascii="Arial" w:hAnsi="Arial" w:cs="Arial"/>
          <w:sz w:val="20"/>
          <w:szCs w:val="20"/>
          <w:lang w:val="pt-BR"/>
        </w:rPr>
        <w:t xml:space="preserve">Unitário </w:t>
      </w:r>
      <w:r w:rsidR="002D2013" w:rsidRPr="003C7BE7">
        <w:rPr>
          <w:rFonts w:ascii="Arial" w:hAnsi="Arial" w:cs="Arial"/>
          <w:sz w:val="20"/>
          <w:szCs w:val="20"/>
          <w:lang w:val="pt-BR"/>
        </w:rPr>
        <w:t xml:space="preserve">das Debêntures; </w:t>
      </w:r>
    </w:p>
    <w:p w14:paraId="319B7449" w14:textId="77777777" w:rsidR="002A26BB" w:rsidRPr="003C7BE7" w:rsidRDefault="002A26BB" w:rsidP="009E360F">
      <w:pPr>
        <w:pStyle w:val="ListParagraph"/>
        <w:spacing w:line="276" w:lineRule="auto"/>
        <w:rPr>
          <w:rFonts w:ascii="Arial" w:hAnsi="Arial" w:cs="Arial"/>
          <w:b/>
          <w:sz w:val="20"/>
          <w:szCs w:val="20"/>
          <w:lang w:val="pt-BR"/>
        </w:rPr>
      </w:pPr>
    </w:p>
    <w:p w14:paraId="33C8DDF3" w14:textId="34DE3B5D" w:rsidR="002A26BB" w:rsidRPr="003C7BE7" w:rsidRDefault="00C360B8" w:rsidP="009E360F">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Remuneração</w:t>
      </w:r>
      <w:r w:rsidR="002D2013" w:rsidRPr="003C7BE7">
        <w:rPr>
          <w:rFonts w:ascii="Arial" w:hAnsi="Arial" w:cs="Arial"/>
          <w:sz w:val="20"/>
          <w:szCs w:val="20"/>
          <w:lang w:val="pt-BR"/>
        </w:rPr>
        <w:t xml:space="preserve">: </w:t>
      </w:r>
      <w:bookmarkStart w:id="4" w:name="_Hlk96677273"/>
      <w:r w:rsidR="002C16A4">
        <w:rPr>
          <w:rFonts w:ascii="Arial" w:hAnsi="Arial" w:cs="Arial"/>
          <w:sz w:val="20"/>
          <w:szCs w:val="20"/>
          <w:lang w:val="pt-BR"/>
        </w:rPr>
        <w:t>s</w:t>
      </w:r>
      <w:r w:rsidR="002F2A53" w:rsidRPr="002F2A53">
        <w:rPr>
          <w:rFonts w:ascii="Arial" w:hAnsi="Arial" w:cs="Arial"/>
          <w:sz w:val="20"/>
          <w:szCs w:val="20"/>
          <w:lang w:val="pt-BR"/>
        </w:rPr>
        <w:t>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002F2A53" w:rsidRPr="0009233C">
        <w:rPr>
          <w:rFonts w:ascii="Arial" w:hAnsi="Arial" w:cs="Arial"/>
          <w:b/>
          <w:bCs/>
          <w:sz w:val="20"/>
          <w:szCs w:val="20"/>
          <w:lang w:val="pt-BR"/>
        </w:rPr>
        <w:t>Taxa DI</w:t>
      </w:r>
      <w:r w:rsidR="002F2A53" w:rsidRPr="002F2A53">
        <w:rPr>
          <w:rFonts w:ascii="Arial" w:hAnsi="Arial" w:cs="Arial"/>
          <w:sz w:val="20"/>
          <w:szCs w:val="20"/>
          <w:lang w:val="pt-BR"/>
        </w:rPr>
        <w:t>”), acrescida de uma sobretaxa de 2,58% (dois inteiros e cinquenta e oito centésimos por cento) ao ano, base 252 (duzentos e cinquenta e dois) Dias Úteis (“</w:t>
      </w:r>
      <w:r w:rsidR="002F2A53" w:rsidRPr="0009233C">
        <w:rPr>
          <w:rFonts w:ascii="Arial" w:hAnsi="Arial" w:cs="Arial"/>
          <w:b/>
          <w:bCs/>
          <w:sz w:val="20"/>
          <w:szCs w:val="20"/>
          <w:lang w:val="pt-BR"/>
        </w:rPr>
        <w:t>Remuneração</w:t>
      </w:r>
      <w:r w:rsidR="002F2A53" w:rsidRPr="002F2A53">
        <w:rPr>
          <w:rFonts w:ascii="Arial" w:hAnsi="Arial" w:cs="Arial"/>
          <w:sz w:val="20"/>
          <w:szCs w:val="20"/>
          <w:lang w:val="pt-BR"/>
        </w:rPr>
        <w:t xml:space="preserve">”), calculados de forma exponencial e cumulativa </w:t>
      </w:r>
      <w:r w:rsidR="002F2A53" w:rsidRPr="0009233C">
        <w:rPr>
          <w:rFonts w:ascii="Arial" w:hAnsi="Arial" w:cs="Arial"/>
          <w:i/>
          <w:iCs/>
          <w:sz w:val="20"/>
          <w:szCs w:val="20"/>
          <w:lang w:val="pt-BR"/>
        </w:rPr>
        <w:t xml:space="preserve">pro rata </w:t>
      </w:r>
      <w:proofErr w:type="spellStart"/>
      <w:r w:rsidR="002F2A53" w:rsidRPr="0009233C">
        <w:rPr>
          <w:rFonts w:ascii="Arial" w:hAnsi="Arial" w:cs="Arial"/>
          <w:i/>
          <w:iCs/>
          <w:sz w:val="20"/>
          <w:szCs w:val="20"/>
          <w:lang w:val="pt-BR"/>
        </w:rPr>
        <w:t>temporis</w:t>
      </w:r>
      <w:proofErr w:type="spellEnd"/>
      <w:r w:rsidR="002F2A53" w:rsidRPr="002F2A53">
        <w:rPr>
          <w:rFonts w:ascii="Arial" w:hAnsi="Arial" w:cs="Arial"/>
          <w:sz w:val="20"/>
          <w:szCs w:val="20"/>
          <w:lang w:val="pt-BR"/>
        </w:rPr>
        <w:t>, por dias úteis decorridos, desde a Primeira Data de Integralização ou a Data de Pagamento da Remuneração (conforme abaixo definido) imediatamente anterior, conforme o caso, até a data do efetivo pagamento</w:t>
      </w:r>
      <w:r w:rsidR="002D2013" w:rsidRPr="003C7BE7">
        <w:rPr>
          <w:rFonts w:ascii="Arial" w:hAnsi="Arial" w:cs="Arial"/>
          <w:sz w:val="20"/>
          <w:szCs w:val="20"/>
          <w:lang w:val="pt-BR"/>
        </w:rPr>
        <w:t xml:space="preserve">, de </w:t>
      </w:r>
      <w:r w:rsidR="00B13A5F" w:rsidRPr="003C7BE7">
        <w:rPr>
          <w:rFonts w:ascii="Arial" w:hAnsi="Arial" w:cs="Arial"/>
          <w:sz w:val="20"/>
          <w:szCs w:val="20"/>
          <w:lang w:val="pt-BR"/>
        </w:rPr>
        <w:t xml:space="preserve">acordo com fórmula </w:t>
      </w:r>
      <w:r w:rsidR="00FD5365">
        <w:rPr>
          <w:rFonts w:ascii="Arial" w:hAnsi="Arial" w:cs="Arial"/>
          <w:sz w:val="20"/>
          <w:szCs w:val="20"/>
          <w:lang w:val="pt-BR"/>
        </w:rPr>
        <w:t xml:space="preserve">a ser </w:t>
      </w:r>
      <w:r w:rsidR="00B13A5F" w:rsidRPr="003C7BE7">
        <w:rPr>
          <w:rFonts w:ascii="Arial" w:hAnsi="Arial" w:cs="Arial"/>
          <w:sz w:val="20"/>
          <w:szCs w:val="20"/>
          <w:lang w:val="pt-BR"/>
        </w:rPr>
        <w:t>prevista na Escritura de Emissão</w:t>
      </w:r>
      <w:bookmarkEnd w:id="4"/>
      <w:r w:rsidR="002D2013" w:rsidRPr="003C7BE7">
        <w:rPr>
          <w:rFonts w:ascii="Arial" w:hAnsi="Arial" w:cs="Arial"/>
          <w:sz w:val="20"/>
          <w:szCs w:val="20"/>
          <w:lang w:val="pt-BR"/>
        </w:rPr>
        <w:t xml:space="preserve">; </w:t>
      </w:r>
    </w:p>
    <w:p w14:paraId="3BF78D6B" w14:textId="77777777" w:rsidR="002A26BB" w:rsidRPr="003C7BE7" w:rsidRDefault="002A26BB" w:rsidP="009E360F">
      <w:pPr>
        <w:pStyle w:val="ListParagraph"/>
        <w:spacing w:line="276" w:lineRule="auto"/>
        <w:rPr>
          <w:rFonts w:ascii="Arial" w:hAnsi="Arial" w:cs="Arial"/>
          <w:b/>
          <w:sz w:val="20"/>
          <w:szCs w:val="20"/>
          <w:lang w:val="pt-BR"/>
        </w:rPr>
      </w:pPr>
    </w:p>
    <w:p w14:paraId="22F9090E" w14:textId="66AACD82" w:rsidR="00695E81" w:rsidRPr="002F2A53" w:rsidRDefault="00C360B8" w:rsidP="006C1785">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 xml:space="preserve">Pagamento </w:t>
      </w:r>
      <w:r w:rsidR="002D2013" w:rsidRPr="003C7BE7">
        <w:rPr>
          <w:rFonts w:ascii="Arial" w:hAnsi="Arial" w:cs="Arial"/>
          <w:b/>
          <w:sz w:val="20"/>
          <w:szCs w:val="20"/>
          <w:lang w:val="pt-BR"/>
        </w:rPr>
        <w:t xml:space="preserve">da </w:t>
      </w:r>
      <w:r w:rsidRPr="003C7BE7">
        <w:rPr>
          <w:rFonts w:ascii="Arial" w:hAnsi="Arial" w:cs="Arial"/>
          <w:b/>
          <w:sz w:val="20"/>
          <w:szCs w:val="20"/>
          <w:lang w:val="pt-BR"/>
        </w:rPr>
        <w:t>Remuneração</w:t>
      </w:r>
      <w:r w:rsidR="002D2013" w:rsidRPr="003C7BE7">
        <w:rPr>
          <w:rFonts w:ascii="Arial" w:hAnsi="Arial" w:cs="Arial"/>
          <w:sz w:val="20"/>
          <w:szCs w:val="20"/>
          <w:lang w:val="pt-BR"/>
        </w:rPr>
        <w:t>:</w:t>
      </w:r>
      <w:r w:rsidR="002D2013" w:rsidRPr="003C7BE7">
        <w:rPr>
          <w:rFonts w:ascii="Arial" w:hAnsi="Arial" w:cs="Arial"/>
          <w:b/>
          <w:sz w:val="20"/>
          <w:szCs w:val="20"/>
          <w:lang w:val="pt-BR"/>
        </w:rPr>
        <w:t xml:space="preserve"> </w:t>
      </w:r>
      <w:r w:rsidR="002C16A4">
        <w:rPr>
          <w:rFonts w:ascii="Arial" w:hAnsi="Arial" w:cs="Arial"/>
          <w:bCs/>
          <w:sz w:val="20"/>
          <w:szCs w:val="20"/>
          <w:lang w:val="pt-BR"/>
        </w:rPr>
        <w:t>s</w:t>
      </w:r>
      <w:r w:rsidR="002F2A53" w:rsidRPr="0009233C">
        <w:rPr>
          <w:rFonts w:ascii="Arial" w:hAnsi="Arial" w:cs="Arial"/>
          <w:bCs/>
          <w:sz w:val="20"/>
          <w:szCs w:val="20"/>
          <w:lang w:val="pt-BR"/>
        </w:rPr>
        <w:t>em prejuízo dos pagamentos em decorrência do vencimento antecipado e resgate antecipado das Debêntures, nos termos d</w:t>
      </w:r>
      <w:r w:rsidR="004234F8">
        <w:rPr>
          <w:rFonts w:ascii="Arial" w:hAnsi="Arial" w:cs="Arial"/>
          <w:bCs/>
          <w:sz w:val="20"/>
          <w:szCs w:val="20"/>
          <w:lang w:val="pt-BR"/>
        </w:rPr>
        <w:t>a</w:t>
      </w:r>
      <w:r w:rsidR="002F2A53" w:rsidRPr="0009233C">
        <w:rPr>
          <w:rFonts w:ascii="Arial" w:hAnsi="Arial" w:cs="Arial"/>
          <w:bCs/>
          <w:sz w:val="20"/>
          <w:szCs w:val="20"/>
          <w:lang w:val="pt-BR"/>
        </w:rPr>
        <w:t xml:space="preserve"> Escritura de Emissão, a Remuneração será paga trimestralmente, todo dia 18 (dezoito) dos meses de março, junho, setembro e dezembro de cada ano, a partir da Data de Emissão, sendo o primeiro pagamento devido em 18 de junho de 2022 e o último na Data de Vencimento, conforme cronograma descrito abaixo (“</w:t>
      </w:r>
      <w:r w:rsidR="002F2A53" w:rsidRPr="002F2A53">
        <w:rPr>
          <w:rFonts w:ascii="Arial" w:hAnsi="Arial" w:cs="Arial"/>
          <w:b/>
          <w:sz w:val="20"/>
          <w:szCs w:val="20"/>
          <w:lang w:val="pt-BR"/>
        </w:rPr>
        <w:t>Data de Pagamento da Remuneração</w:t>
      </w:r>
      <w:r w:rsidR="002F2A53" w:rsidRPr="0009233C">
        <w:rPr>
          <w:rFonts w:ascii="Arial" w:hAnsi="Arial" w:cs="Arial"/>
          <w:bCs/>
          <w:sz w:val="20"/>
          <w:szCs w:val="20"/>
          <w:lang w:val="pt-BR"/>
        </w:rPr>
        <w:t>”)</w:t>
      </w:r>
      <w:r w:rsidR="002C16A4">
        <w:rPr>
          <w:rFonts w:ascii="Arial" w:hAnsi="Arial" w:cs="Arial"/>
          <w:bCs/>
          <w:sz w:val="20"/>
          <w:szCs w:val="20"/>
          <w:lang w:val="pt-BR"/>
        </w:rPr>
        <w:t>:</w:t>
      </w:r>
    </w:p>
    <w:p w14:paraId="2AD4E4BE" w14:textId="77777777" w:rsidR="002F2A53" w:rsidRPr="0009233C" w:rsidRDefault="002F2A53" w:rsidP="0009233C">
      <w:pPr>
        <w:pStyle w:val="ListParagraph"/>
        <w:rPr>
          <w:rFonts w:ascii="Arial" w:hAnsi="Arial" w:cs="Arial"/>
          <w:sz w:val="20"/>
          <w:szCs w:val="20"/>
          <w:lang w:val="pt-BR"/>
        </w:rPr>
      </w:pPr>
    </w:p>
    <w:tbl>
      <w:tblPr>
        <w:tblStyle w:val="TableGrid"/>
        <w:tblW w:w="7005" w:type="dxa"/>
        <w:tblInd w:w="1413" w:type="dxa"/>
        <w:tblCellMar>
          <w:top w:w="28" w:type="dxa"/>
          <w:left w:w="57" w:type="dxa"/>
          <w:bottom w:w="28" w:type="dxa"/>
          <w:right w:w="57" w:type="dxa"/>
        </w:tblCellMar>
        <w:tblLook w:val="04A0" w:firstRow="1" w:lastRow="0" w:firstColumn="1" w:lastColumn="0" w:noHBand="0" w:noVBand="1"/>
      </w:tblPr>
      <w:tblGrid>
        <w:gridCol w:w="7005"/>
      </w:tblGrid>
      <w:tr w:rsidR="002F2A53" w:rsidRPr="0096157F" w14:paraId="085DC278" w14:textId="77777777" w:rsidTr="00ED5C4C">
        <w:trPr>
          <w:trHeight w:val="352"/>
        </w:trPr>
        <w:tc>
          <w:tcPr>
            <w:tcW w:w="7005" w:type="dxa"/>
            <w:shd w:val="clear" w:color="auto" w:fill="17365D" w:themeFill="text2" w:themeFillShade="BF"/>
          </w:tcPr>
          <w:p w14:paraId="64D2DC64" w14:textId="77777777" w:rsidR="002F2A53" w:rsidRPr="0045539C" w:rsidRDefault="002F2A53" w:rsidP="00ED5C4C">
            <w:pPr>
              <w:pStyle w:val="Level3"/>
              <w:numPr>
                <w:ilvl w:val="0"/>
                <w:numId w:val="0"/>
              </w:numPr>
              <w:spacing w:before="140" w:after="0"/>
              <w:jc w:val="center"/>
              <w:outlineLvl w:val="9"/>
              <w:rPr>
                <w:b/>
                <w:color w:val="FFFFFF" w:themeColor="background1"/>
                <w:sz w:val="18"/>
              </w:rPr>
            </w:pPr>
            <w:r w:rsidRPr="0045539C">
              <w:rPr>
                <w:b/>
                <w:color w:val="FFFFFF" w:themeColor="background1"/>
                <w:sz w:val="18"/>
              </w:rPr>
              <w:t xml:space="preserve">Datas de Pagamento da Remuneração </w:t>
            </w:r>
          </w:p>
        </w:tc>
      </w:tr>
      <w:tr w:rsidR="002F2A53" w:rsidRPr="0045539C" w14:paraId="0DFA6734" w14:textId="77777777" w:rsidTr="00ED5C4C">
        <w:trPr>
          <w:trHeight w:val="340"/>
        </w:trPr>
        <w:tc>
          <w:tcPr>
            <w:tcW w:w="7005" w:type="dxa"/>
          </w:tcPr>
          <w:p w14:paraId="0FFA3CC7" w14:textId="77777777" w:rsidR="002F2A53" w:rsidRPr="00E0416E" w:rsidRDefault="002F2A53" w:rsidP="00ED5C4C">
            <w:pPr>
              <w:pStyle w:val="Default"/>
              <w:spacing w:before="140" w:line="290" w:lineRule="auto"/>
              <w:jc w:val="center"/>
              <w:rPr>
                <w:sz w:val="18"/>
                <w:szCs w:val="18"/>
              </w:rPr>
            </w:pPr>
            <w:r w:rsidRPr="00377CF4">
              <w:rPr>
                <w:sz w:val="18"/>
                <w:szCs w:val="18"/>
              </w:rPr>
              <w:t>18/06/2022</w:t>
            </w:r>
          </w:p>
        </w:tc>
      </w:tr>
      <w:tr w:rsidR="002F2A53" w:rsidRPr="0045539C" w14:paraId="2B627E48" w14:textId="77777777" w:rsidTr="00ED5C4C">
        <w:trPr>
          <w:trHeight w:val="352"/>
        </w:trPr>
        <w:tc>
          <w:tcPr>
            <w:tcW w:w="7005" w:type="dxa"/>
          </w:tcPr>
          <w:p w14:paraId="5A55DF40" w14:textId="77777777" w:rsidR="002F2A53" w:rsidRPr="00E0416E" w:rsidRDefault="002F2A53" w:rsidP="00ED5C4C">
            <w:pPr>
              <w:pStyle w:val="Default"/>
              <w:spacing w:before="140" w:line="290" w:lineRule="auto"/>
              <w:jc w:val="center"/>
              <w:rPr>
                <w:sz w:val="18"/>
                <w:szCs w:val="18"/>
              </w:rPr>
            </w:pPr>
            <w:r w:rsidRPr="00377CF4">
              <w:rPr>
                <w:sz w:val="18"/>
                <w:szCs w:val="18"/>
              </w:rPr>
              <w:t>18/09/2022</w:t>
            </w:r>
          </w:p>
        </w:tc>
      </w:tr>
      <w:tr w:rsidR="002F2A53" w:rsidRPr="0045539C" w14:paraId="3B67EF10" w14:textId="77777777" w:rsidTr="00ED5C4C">
        <w:trPr>
          <w:trHeight w:val="352"/>
        </w:trPr>
        <w:tc>
          <w:tcPr>
            <w:tcW w:w="7005" w:type="dxa"/>
          </w:tcPr>
          <w:p w14:paraId="7C935670"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18/12/2022</w:t>
            </w:r>
          </w:p>
        </w:tc>
      </w:tr>
      <w:tr w:rsidR="002F2A53" w:rsidRPr="0045539C" w14:paraId="643FA087" w14:textId="77777777" w:rsidTr="00ED5C4C">
        <w:trPr>
          <w:trHeight w:val="352"/>
        </w:trPr>
        <w:tc>
          <w:tcPr>
            <w:tcW w:w="7005" w:type="dxa"/>
          </w:tcPr>
          <w:p w14:paraId="1D4B13B4"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18/03/2023</w:t>
            </w:r>
          </w:p>
        </w:tc>
      </w:tr>
      <w:tr w:rsidR="002F2A53" w:rsidRPr="0045539C" w14:paraId="710873B3" w14:textId="77777777" w:rsidTr="00ED5C4C">
        <w:trPr>
          <w:trHeight w:val="352"/>
        </w:trPr>
        <w:tc>
          <w:tcPr>
            <w:tcW w:w="7005" w:type="dxa"/>
          </w:tcPr>
          <w:p w14:paraId="77FE4776"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18/06/2023</w:t>
            </w:r>
          </w:p>
        </w:tc>
      </w:tr>
      <w:tr w:rsidR="002F2A53" w:rsidRPr="0045539C" w14:paraId="27AE461E" w14:textId="77777777" w:rsidTr="00ED5C4C">
        <w:trPr>
          <w:trHeight w:val="352"/>
        </w:trPr>
        <w:tc>
          <w:tcPr>
            <w:tcW w:w="7005" w:type="dxa"/>
          </w:tcPr>
          <w:p w14:paraId="6C4B815A"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18/09/2023</w:t>
            </w:r>
          </w:p>
        </w:tc>
      </w:tr>
      <w:tr w:rsidR="002F2A53" w:rsidRPr="0045539C" w14:paraId="0E179D33" w14:textId="77777777" w:rsidTr="00ED5C4C">
        <w:trPr>
          <w:trHeight w:val="352"/>
        </w:trPr>
        <w:tc>
          <w:tcPr>
            <w:tcW w:w="7005" w:type="dxa"/>
          </w:tcPr>
          <w:p w14:paraId="63C4C071"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18/12/2023</w:t>
            </w:r>
          </w:p>
        </w:tc>
      </w:tr>
      <w:tr w:rsidR="002F2A53" w:rsidRPr="0045539C" w14:paraId="19057443" w14:textId="77777777" w:rsidTr="00ED5C4C">
        <w:trPr>
          <w:trHeight w:val="352"/>
        </w:trPr>
        <w:tc>
          <w:tcPr>
            <w:tcW w:w="7005" w:type="dxa"/>
          </w:tcPr>
          <w:p w14:paraId="3AF66174"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18/03/2024</w:t>
            </w:r>
          </w:p>
        </w:tc>
      </w:tr>
      <w:tr w:rsidR="002F2A53" w:rsidRPr="0045539C" w14:paraId="0C62C9D7" w14:textId="77777777" w:rsidTr="00ED5C4C">
        <w:trPr>
          <w:trHeight w:val="352"/>
        </w:trPr>
        <w:tc>
          <w:tcPr>
            <w:tcW w:w="7005" w:type="dxa"/>
          </w:tcPr>
          <w:p w14:paraId="0149EF02"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18/06/2024</w:t>
            </w:r>
          </w:p>
        </w:tc>
      </w:tr>
      <w:tr w:rsidR="002F2A53" w:rsidRPr="0045539C" w14:paraId="44C41BDF" w14:textId="77777777" w:rsidTr="00ED5C4C">
        <w:trPr>
          <w:trHeight w:val="352"/>
        </w:trPr>
        <w:tc>
          <w:tcPr>
            <w:tcW w:w="7005" w:type="dxa"/>
          </w:tcPr>
          <w:p w14:paraId="44E5F3BB"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18/09/2024</w:t>
            </w:r>
          </w:p>
        </w:tc>
      </w:tr>
      <w:tr w:rsidR="002F2A53" w:rsidRPr="0045539C" w14:paraId="432A8D4F" w14:textId="77777777" w:rsidTr="00ED5C4C">
        <w:trPr>
          <w:trHeight w:val="352"/>
        </w:trPr>
        <w:tc>
          <w:tcPr>
            <w:tcW w:w="7005" w:type="dxa"/>
          </w:tcPr>
          <w:p w14:paraId="326E0E62"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18/12/2024</w:t>
            </w:r>
          </w:p>
        </w:tc>
      </w:tr>
      <w:tr w:rsidR="002F2A53" w:rsidRPr="0045539C" w14:paraId="75C1100E" w14:textId="77777777" w:rsidTr="00ED5C4C">
        <w:trPr>
          <w:trHeight w:val="352"/>
        </w:trPr>
        <w:tc>
          <w:tcPr>
            <w:tcW w:w="7005" w:type="dxa"/>
          </w:tcPr>
          <w:p w14:paraId="527BE305"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18/03/2025</w:t>
            </w:r>
          </w:p>
        </w:tc>
      </w:tr>
      <w:tr w:rsidR="002F2A53" w:rsidRPr="0045539C" w14:paraId="16DB59CF" w14:textId="77777777" w:rsidTr="00ED5C4C">
        <w:trPr>
          <w:trHeight w:val="352"/>
        </w:trPr>
        <w:tc>
          <w:tcPr>
            <w:tcW w:w="7005" w:type="dxa"/>
          </w:tcPr>
          <w:p w14:paraId="0A91CFBE"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18/06/2025</w:t>
            </w:r>
          </w:p>
        </w:tc>
      </w:tr>
      <w:tr w:rsidR="002F2A53" w:rsidRPr="0045539C" w14:paraId="412C98AF" w14:textId="77777777" w:rsidTr="00ED5C4C">
        <w:trPr>
          <w:trHeight w:val="352"/>
        </w:trPr>
        <w:tc>
          <w:tcPr>
            <w:tcW w:w="7005" w:type="dxa"/>
          </w:tcPr>
          <w:p w14:paraId="78110CFF"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18/09/2025</w:t>
            </w:r>
          </w:p>
        </w:tc>
      </w:tr>
      <w:tr w:rsidR="002F2A53" w:rsidRPr="0045539C" w14:paraId="451CB606" w14:textId="77777777" w:rsidTr="00ED5C4C">
        <w:trPr>
          <w:trHeight w:val="352"/>
        </w:trPr>
        <w:tc>
          <w:tcPr>
            <w:tcW w:w="7005" w:type="dxa"/>
          </w:tcPr>
          <w:p w14:paraId="66EA49C3"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18/12/2025</w:t>
            </w:r>
          </w:p>
        </w:tc>
      </w:tr>
      <w:tr w:rsidR="002F2A53" w:rsidRPr="0045539C" w14:paraId="3B7AA036" w14:textId="77777777" w:rsidTr="00ED5C4C">
        <w:trPr>
          <w:trHeight w:val="352"/>
        </w:trPr>
        <w:tc>
          <w:tcPr>
            <w:tcW w:w="7005" w:type="dxa"/>
          </w:tcPr>
          <w:p w14:paraId="797FEB81"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18/03/2026</w:t>
            </w:r>
          </w:p>
        </w:tc>
      </w:tr>
      <w:tr w:rsidR="002F2A53" w:rsidRPr="0045539C" w14:paraId="26ED9DF0" w14:textId="77777777" w:rsidTr="00ED5C4C">
        <w:trPr>
          <w:trHeight w:val="352"/>
        </w:trPr>
        <w:tc>
          <w:tcPr>
            <w:tcW w:w="7005" w:type="dxa"/>
          </w:tcPr>
          <w:p w14:paraId="6A610444"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18/06/2026</w:t>
            </w:r>
          </w:p>
        </w:tc>
      </w:tr>
      <w:tr w:rsidR="002F2A53" w:rsidRPr="0045539C" w14:paraId="5AADD732" w14:textId="77777777" w:rsidTr="00ED5C4C">
        <w:trPr>
          <w:trHeight w:val="352"/>
        </w:trPr>
        <w:tc>
          <w:tcPr>
            <w:tcW w:w="7005" w:type="dxa"/>
          </w:tcPr>
          <w:p w14:paraId="04D0D5FC"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18/09/2026</w:t>
            </w:r>
          </w:p>
        </w:tc>
      </w:tr>
      <w:tr w:rsidR="002F2A53" w:rsidRPr="0045539C" w14:paraId="6E430AC9" w14:textId="77777777" w:rsidTr="00ED5C4C">
        <w:trPr>
          <w:trHeight w:val="352"/>
        </w:trPr>
        <w:tc>
          <w:tcPr>
            <w:tcW w:w="7005" w:type="dxa"/>
          </w:tcPr>
          <w:p w14:paraId="5A259146"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18/12/2026</w:t>
            </w:r>
          </w:p>
        </w:tc>
      </w:tr>
      <w:tr w:rsidR="002F2A53" w:rsidRPr="0045539C" w14:paraId="6502D49C" w14:textId="77777777" w:rsidTr="00ED5C4C">
        <w:trPr>
          <w:trHeight w:val="352"/>
        </w:trPr>
        <w:tc>
          <w:tcPr>
            <w:tcW w:w="7005" w:type="dxa"/>
          </w:tcPr>
          <w:p w14:paraId="1D01B17D"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18/03/2027</w:t>
            </w:r>
          </w:p>
        </w:tc>
      </w:tr>
      <w:tr w:rsidR="002F2A53" w:rsidRPr="0045539C" w14:paraId="6DD22905" w14:textId="77777777" w:rsidTr="00ED5C4C">
        <w:trPr>
          <w:trHeight w:val="352"/>
        </w:trPr>
        <w:tc>
          <w:tcPr>
            <w:tcW w:w="7005" w:type="dxa"/>
          </w:tcPr>
          <w:p w14:paraId="38A35A76"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lastRenderedPageBreak/>
              <w:t>18/06/2027</w:t>
            </w:r>
          </w:p>
        </w:tc>
      </w:tr>
      <w:tr w:rsidR="002F2A53" w:rsidRPr="0045539C" w14:paraId="725DA7F0" w14:textId="77777777" w:rsidTr="00ED5C4C">
        <w:trPr>
          <w:trHeight w:val="352"/>
        </w:trPr>
        <w:tc>
          <w:tcPr>
            <w:tcW w:w="7005" w:type="dxa"/>
          </w:tcPr>
          <w:p w14:paraId="327CA1F3"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18/09/2027</w:t>
            </w:r>
          </w:p>
        </w:tc>
      </w:tr>
      <w:tr w:rsidR="002F2A53" w:rsidRPr="0045539C" w14:paraId="47FB5851" w14:textId="77777777" w:rsidTr="00ED5C4C">
        <w:trPr>
          <w:trHeight w:val="352"/>
        </w:trPr>
        <w:tc>
          <w:tcPr>
            <w:tcW w:w="7005" w:type="dxa"/>
          </w:tcPr>
          <w:p w14:paraId="0E009907"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18/12/2027</w:t>
            </w:r>
          </w:p>
        </w:tc>
      </w:tr>
      <w:tr w:rsidR="002F2A53" w:rsidRPr="0045539C" w14:paraId="63C431FD" w14:textId="77777777" w:rsidTr="00ED5C4C">
        <w:trPr>
          <w:trHeight w:val="352"/>
        </w:trPr>
        <w:tc>
          <w:tcPr>
            <w:tcW w:w="7005" w:type="dxa"/>
          </w:tcPr>
          <w:p w14:paraId="1077ECCD"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18/03/2028</w:t>
            </w:r>
          </w:p>
        </w:tc>
      </w:tr>
      <w:tr w:rsidR="002F2A53" w:rsidRPr="0045539C" w14:paraId="427EBF04" w14:textId="77777777" w:rsidTr="00ED5C4C">
        <w:trPr>
          <w:trHeight w:val="352"/>
        </w:trPr>
        <w:tc>
          <w:tcPr>
            <w:tcW w:w="7005" w:type="dxa"/>
          </w:tcPr>
          <w:p w14:paraId="78BE959E"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18/06/2028</w:t>
            </w:r>
          </w:p>
        </w:tc>
      </w:tr>
      <w:tr w:rsidR="002F2A53" w:rsidRPr="0045539C" w14:paraId="379F4C67" w14:textId="77777777" w:rsidTr="00ED5C4C">
        <w:trPr>
          <w:trHeight w:val="352"/>
        </w:trPr>
        <w:tc>
          <w:tcPr>
            <w:tcW w:w="7005" w:type="dxa"/>
          </w:tcPr>
          <w:p w14:paraId="1372D698"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18/09/2028</w:t>
            </w:r>
          </w:p>
        </w:tc>
      </w:tr>
      <w:tr w:rsidR="002F2A53" w:rsidRPr="0045539C" w14:paraId="1FD843E1" w14:textId="77777777" w:rsidTr="00ED5C4C">
        <w:trPr>
          <w:trHeight w:val="352"/>
        </w:trPr>
        <w:tc>
          <w:tcPr>
            <w:tcW w:w="7005" w:type="dxa"/>
          </w:tcPr>
          <w:p w14:paraId="7542D452"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18/12/2028</w:t>
            </w:r>
          </w:p>
        </w:tc>
      </w:tr>
      <w:tr w:rsidR="002F2A53" w:rsidRPr="0045539C" w14:paraId="079E7811" w14:textId="77777777" w:rsidTr="00ED5C4C">
        <w:trPr>
          <w:trHeight w:val="352"/>
        </w:trPr>
        <w:tc>
          <w:tcPr>
            <w:tcW w:w="7005" w:type="dxa"/>
          </w:tcPr>
          <w:p w14:paraId="46B0CC67"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18/03/2029</w:t>
            </w:r>
          </w:p>
        </w:tc>
      </w:tr>
      <w:tr w:rsidR="002F2A53" w:rsidRPr="0045539C" w14:paraId="373B9A40" w14:textId="77777777" w:rsidTr="00ED5C4C">
        <w:trPr>
          <w:trHeight w:val="340"/>
        </w:trPr>
        <w:tc>
          <w:tcPr>
            <w:tcW w:w="7005" w:type="dxa"/>
          </w:tcPr>
          <w:p w14:paraId="6570E630" w14:textId="77777777" w:rsidR="002F2A53" w:rsidRPr="00431C34" w:rsidRDefault="002F2A53" w:rsidP="00ED5C4C">
            <w:pPr>
              <w:pStyle w:val="Default"/>
              <w:spacing w:before="140" w:line="290" w:lineRule="auto"/>
              <w:jc w:val="center"/>
              <w:rPr>
                <w:b/>
                <w:bCs/>
                <w:sz w:val="18"/>
                <w:szCs w:val="18"/>
              </w:rPr>
            </w:pPr>
            <w:r w:rsidRPr="00431C34">
              <w:rPr>
                <w:b/>
                <w:bCs/>
                <w:color w:val="auto"/>
                <w:sz w:val="18"/>
                <w:szCs w:val="18"/>
              </w:rPr>
              <w:t>Data de Vencimento</w:t>
            </w:r>
            <w:r w:rsidRPr="00431C34" w:rsidDel="00DA19C4">
              <w:rPr>
                <w:b/>
                <w:bCs/>
                <w:color w:val="auto"/>
                <w:sz w:val="18"/>
                <w:szCs w:val="18"/>
                <w:highlight w:val="yellow"/>
              </w:rPr>
              <w:t xml:space="preserve"> </w:t>
            </w:r>
          </w:p>
        </w:tc>
      </w:tr>
    </w:tbl>
    <w:p w14:paraId="53CE425E" w14:textId="77777777" w:rsidR="002F2A53" w:rsidRDefault="002F2A53" w:rsidP="0009233C">
      <w:pPr>
        <w:pStyle w:val="ListParagraph"/>
        <w:autoSpaceDE w:val="0"/>
        <w:autoSpaceDN w:val="0"/>
        <w:adjustRightInd w:val="0"/>
        <w:spacing w:line="276" w:lineRule="auto"/>
        <w:ind w:left="1080" w:right="18"/>
        <w:jc w:val="both"/>
        <w:rPr>
          <w:rFonts w:ascii="Arial" w:hAnsi="Arial" w:cs="Arial"/>
          <w:sz w:val="20"/>
          <w:szCs w:val="20"/>
          <w:lang w:val="pt-BR"/>
        </w:rPr>
      </w:pPr>
    </w:p>
    <w:p w14:paraId="3AE5268D" w14:textId="77777777" w:rsidR="0095179F" w:rsidRPr="003C7BE7" w:rsidRDefault="0095179F" w:rsidP="0095179F">
      <w:pPr>
        <w:pStyle w:val="ListParagraph"/>
        <w:autoSpaceDE w:val="0"/>
        <w:autoSpaceDN w:val="0"/>
        <w:adjustRightInd w:val="0"/>
        <w:spacing w:line="276" w:lineRule="auto"/>
        <w:ind w:left="1080" w:right="18"/>
        <w:jc w:val="both"/>
        <w:rPr>
          <w:rFonts w:ascii="Arial" w:hAnsi="Arial" w:cs="Arial"/>
          <w:sz w:val="20"/>
          <w:szCs w:val="20"/>
          <w:lang w:val="pt-BR"/>
        </w:rPr>
      </w:pPr>
    </w:p>
    <w:p w14:paraId="632260F5" w14:textId="518C639F" w:rsidR="002F2A53" w:rsidRDefault="00695E81" w:rsidP="00C313ED">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2F2A53">
        <w:rPr>
          <w:rFonts w:ascii="Arial" w:hAnsi="Arial" w:cs="Arial"/>
          <w:b/>
          <w:sz w:val="20"/>
          <w:szCs w:val="20"/>
          <w:lang w:val="pt-BR"/>
        </w:rPr>
        <w:t xml:space="preserve">Pagamento </w:t>
      </w:r>
      <w:r w:rsidR="002D2013" w:rsidRPr="002F2A53">
        <w:rPr>
          <w:rFonts w:ascii="Arial" w:hAnsi="Arial" w:cs="Arial"/>
          <w:b/>
          <w:sz w:val="20"/>
          <w:szCs w:val="20"/>
          <w:lang w:val="pt-BR"/>
        </w:rPr>
        <w:t xml:space="preserve">do Valor Nominal: </w:t>
      </w:r>
      <w:bookmarkStart w:id="5" w:name="_Hlk71656395"/>
      <w:r w:rsidR="002C16A4">
        <w:rPr>
          <w:rFonts w:ascii="Arial" w:hAnsi="Arial" w:cs="Arial"/>
          <w:sz w:val="20"/>
          <w:szCs w:val="20"/>
          <w:lang w:val="pt-BR"/>
        </w:rPr>
        <w:t>s</w:t>
      </w:r>
      <w:r w:rsidR="002F2A53" w:rsidRPr="0009233C">
        <w:rPr>
          <w:rFonts w:ascii="Arial" w:hAnsi="Arial" w:cs="Arial"/>
          <w:sz w:val="20"/>
          <w:szCs w:val="20"/>
          <w:lang w:val="pt-BR"/>
        </w:rPr>
        <w:t>em prejuízo dos pagamentos em decorrência do vencimento antecipado e resgate antecipado das Debêntures, nos termos d</w:t>
      </w:r>
      <w:r w:rsidR="004234F8">
        <w:rPr>
          <w:rFonts w:ascii="Arial" w:hAnsi="Arial" w:cs="Arial"/>
          <w:sz w:val="20"/>
          <w:szCs w:val="20"/>
          <w:lang w:val="pt-BR"/>
        </w:rPr>
        <w:t>a</w:t>
      </w:r>
      <w:r w:rsidR="002F2A53" w:rsidRPr="0009233C">
        <w:rPr>
          <w:rFonts w:ascii="Arial" w:hAnsi="Arial" w:cs="Arial"/>
          <w:sz w:val="20"/>
          <w:szCs w:val="20"/>
          <w:lang w:val="pt-BR"/>
        </w:rPr>
        <w:t xml:space="preserve"> Escritura de Emissão</w:t>
      </w:r>
      <w:r w:rsidR="002F2A53" w:rsidRPr="0009233C">
        <w:rPr>
          <w:rFonts w:ascii="Arial" w:hAnsi="Arial" w:cs="Arial"/>
          <w:sz w:val="20"/>
          <w:szCs w:val="22"/>
          <w:lang w:val="pt-BR"/>
        </w:rPr>
        <w:t>, o saldo do Valor Nominal Unitário, será amortizado,</w:t>
      </w:r>
      <w:bookmarkEnd w:id="5"/>
      <w:r w:rsidR="002F2A53" w:rsidRPr="0009233C">
        <w:rPr>
          <w:rFonts w:ascii="Arial" w:hAnsi="Arial" w:cs="Arial"/>
          <w:sz w:val="20"/>
          <w:szCs w:val="22"/>
          <w:lang w:val="pt-BR"/>
        </w:rPr>
        <w:t xml:space="preserve"> em parcelas trimestrais e sucessivas, após o período de carência que se encerra no 18º (décimo oitavo) mês (inclusive) contado da Data de Emissão, no </w:t>
      </w:r>
      <w:r w:rsidR="002F2A53" w:rsidRPr="0009233C">
        <w:rPr>
          <w:rFonts w:ascii="Arial" w:hAnsi="Arial" w:cs="Arial"/>
          <w:sz w:val="20"/>
          <w:szCs w:val="16"/>
          <w:lang w:val="pt-BR"/>
        </w:rPr>
        <w:t xml:space="preserve">dia </w:t>
      </w:r>
      <w:r w:rsidR="002F2A53" w:rsidRPr="0009233C">
        <w:rPr>
          <w:rFonts w:ascii="Arial" w:hAnsi="Arial" w:cs="Arial"/>
          <w:sz w:val="20"/>
          <w:szCs w:val="20"/>
          <w:lang w:val="pt-BR"/>
        </w:rPr>
        <w:t xml:space="preserve">18 (dezoito) </w:t>
      </w:r>
      <w:r w:rsidR="002F2A53" w:rsidRPr="0009233C">
        <w:rPr>
          <w:rFonts w:ascii="Arial" w:hAnsi="Arial" w:cs="Arial"/>
          <w:sz w:val="20"/>
          <w:szCs w:val="16"/>
          <w:lang w:val="pt-BR"/>
        </w:rPr>
        <w:t xml:space="preserve">dos meses de </w:t>
      </w:r>
      <w:r w:rsidR="002F2A53" w:rsidRPr="0009233C">
        <w:rPr>
          <w:rFonts w:ascii="Arial" w:hAnsi="Arial" w:cs="Arial"/>
          <w:sz w:val="20"/>
          <w:szCs w:val="20"/>
          <w:lang w:val="pt-BR"/>
        </w:rPr>
        <w:t xml:space="preserve">março, junho, setembro e dezembro </w:t>
      </w:r>
      <w:r w:rsidR="002F2A53" w:rsidRPr="0009233C">
        <w:rPr>
          <w:rFonts w:ascii="Arial" w:hAnsi="Arial" w:cs="Arial"/>
          <w:sz w:val="20"/>
          <w:szCs w:val="16"/>
          <w:lang w:val="pt-BR"/>
        </w:rPr>
        <w:t>de cada ano</w:t>
      </w:r>
      <w:r w:rsidR="002F2A53" w:rsidRPr="0009233C">
        <w:rPr>
          <w:rFonts w:ascii="Arial" w:hAnsi="Arial" w:cs="Arial"/>
          <w:sz w:val="20"/>
          <w:szCs w:val="22"/>
          <w:lang w:val="pt-BR"/>
        </w:rPr>
        <w:t xml:space="preserve">, </w:t>
      </w:r>
      <w:r w:rsidR="002F2A53" w:rsidRPr="0009233C">
        <w:rPr>
          <w:rFonts w:ascii="Arial" w:hAnsi="Arial" w:cs="Arial"/>
          <w:sz w:val="20"/>
          <w:szCs w:val="16"/>
          <w:lang w:val="pt-BR"/>
        </w:rPr>
        <w:t xml:space="preserve">sendo o primeiro pagamento </w:t>
      </w:r>
      <w:r w:rsidR="002F2A53" w:rsidRPr="0009233C">
        <w:rPr>
          <w:rFonts w:ascii="Arial" w:hAnsi="Arial" w:cs="Arial"/>
          <w:sz w:val="20"/>
          <w:szCs w:val="22"/>
          <w:lang w:val="pt-BR"/>
        </w:rPr>
        <w:t xml:space="preserve">devido em </w:t>
      </w:r>
      <w:r w:rsidR="002F2A53" w:rsidRPr="0009233C">
        <w:rPr>
          <w:rFonts w:ascii="Arial" w:hAnsi="Arial" w:cs="Arial"/>
          <w:sz w:val="20"/>
          <w:szCs w:val="20"/>
          <w:lang w:val="pt-BR"/>
        </w:rPr>
        <w:t>18</w:t>
      </w:r>
      <w:r w:rsidR="002F2A53" w:rsidRPr="0009233C">
        <w:rPr>
          <w:rFonts w:ascii="Arial" w:hAnsi="Arial" w:cs="Arial"/>
          <w:sz w:val="20"/>
          <w:szCs w:val="22"/>
          <w:lang w:val="pt-BR"/>
        </w:rPr>
        <w:t xml:space="preserve"> </w:t>
      </w:r>
      <w:r w:rsidR="002F2A53" w:rsidRPr="0009233C">
        <w:rPr>
          <w:rFonts w:ascii="Arial" w:hAnsi="Arial" w:cs="Arial"/>
          <w:sz w:val="20"/>
          <w:szCs w:val="16"/>
          <w:lang w:val="pt-BR"/>
        </w:rPr>
        <w:t xml:space="preserve">de </w:t>
      </w:r>
      <w:r w:rsidR="002F2A53" w:rsidRPr="0009233C">
        <w:rPr>
          <w:rFonts w:ascii="Arial" w:hAnsi="Arial" w:cs="Arial"/>
          <w:sz w:val="20"/>
          <w:szCs w:val="20"/>
          <w:lang w:val="pt-BR"/>
        </w:rPr>
        <w:t xml:space="preserve">setembro </w:t>
      </w:r>
      <w:r w:rsidR="002F2A53" w:rsidRPr="0009233C">
        <w:rPr>
          <w:rFonts w:ascii="Arial" w:hAnsi="Arial" w:cs="Arial"/>
          <w:sz w:val="20"/>
          <w:szCs w:val="16"/>
          <w:lang w:val="pt-BR"/>
        </w:rPr>
        <w:t>de 2023 e o último na Data de Vencimento,</w:t>
      </w:r>
      <w:r w:rsidR="002F2A53" w:rsidRPr="0009233C">
        <w:rPr>
          <w:rFonts w:ascii="Arial" w:hAnsi="Arial" w:cs="Arial"/>
          <w:sz w:val="20"/>
          <w:szCs w:val="22"/>
          <w:lang w:val="pt-BR"/>
        </w:rPr>
        <w:t xml:space="preserve"> nos percentuais e datas indicados na tabela abaixo (“</w:t>
      </w:r>
      <w:r w:rsidR="002F2A53" w:rsidRPr="0009233C">
        <w:rPr>
          <w:rFonts w:ascii="Arial" w:hAnsi="Arial" w:cs="Arial"/>
          <w:b/>
          <w:sz w:val="20"/>
          <w:szCs w:val="22"/>
          <w:lang w:val="pt-BR"/>
        </w:rPr>
        <w:t>Datas de Pagamento do Valor Nominal Unitário</w:t>
      </w:r>
      <w:r w:rsidR="002F2A53" w:rsidRPr="0009233C">
        <w:rPr>
          <w:rFonts w:ascii="Arial" w:hAnsi="Arial" w:cs="Arial"/>
          <w:sz w:val="20"/>
          <w:szCs w:val="22"/>
          <w:lang w:val="pt-BR"/>
        </w:rPr>
        <w:t>”):</w:t>
      </w:r>
      <w:r w:rsidR="002F2A53" w:rsidRPr="0009233C">
        <w:rPr>
          <w:sz w:val="20"/>
          <w:szCs w:val="22"/>
          <w:lang w:val="pt-BR"/>
        </w:rPr>
        <w:t xml:space="preserve"> </w:t>
      </w:r>
    </w:p>
    <w:p w14:paraId="2894EB16" w14:textId="60021DE9" w:rsidR="00353A38" w:rsidRDefault="00353A38" w:rsidP="002F2A53">
      <w:pPr>
        <w:pStyle w:val="ListParagraph"/>
        <w:autoSpaceDE w:val="0"/>
        <w:autoSpaceDN w:val="0"/>
        <w:adjustRightInd w:val="0"/>
        <w:spacing w:line="276" w:lineRule="auto"/>
        <w:ind w:left="1080" w:right="18"/>
        <w:jc w:val="both"/>
        <w:rPr>
          <w:rFonts w:ascii="Arial" w:hAnsi="Arial" w:cs="Arial"/>
          <w:sz w:val="20"/>
          <w:szCs w:val="20"/>
          <w:lang w:val="pt-BR"/>
        </w:rPr>
      </w:pPr>
    </w:p>
    <w:tbl>
      <w:tblPr>
        <w:tblStyle w:val="TableGrid2"/>
        <w:tblW w:w="7082" w:type="dxa"/>
        <w:tblInd w:w="1413" w:type="dxa"/>
        <w:tblLook w:val="04A0" w:firstRow="1" w:lastRow="0" w:firstColumn="1" w:lastColumn="0" w:noHBand="0" w:noVBand="1"/>
      </w:tblPr>
      <w:tblGrid>
        <w:gridCol w:w="2844"/>
        <w:gridCol w:w="4238"/>
      </w:tblGrid>
      <w:tr w:rsidR="002F2A53" w:rsidRPr="0096157F" w14:paraId="01A71200" w14:textId="77777777" w:rsidTr="0009233C">
        <w:tc>
          <w:tcPr>
            <w:tcW w:w="2844" w:type="dxa"/>
            <w:shd w:val="clear" w:color="auto" w:fill="002060"/>
          </w:tcPr>
          <w:p w14:paraId="6E196774" w14:textId="77777777" w:rsidR="002F2A53" w:rsidRPr="003440CE" w:rsidRDefault="002F2A53" w:rsidP="00ED5C4C">
            <w:pPr>
              <w:pStyle w:val="Default"/>
              <w:spacing w:before="140" w:line="290" w:lineRule="auto"/>
              <w:jc w:val="center"/>
              <w:rPr>
                <w:b/>
                <w:color w:val="FFFFFF" w:themeColor="background1"/>
                <w:sz w:val="20"/>
                <w:szCs w:val="20"/>
              </w:rPr>
            </w:pPr>
            <w:r w:rsidRPr="003440CE">
              <w:rPr>
                <w:b/>
                <w:color w:val="FFFFFF" w:themeColor="background1"/>
                <w:sz w:val="20"/>
                <w:szCs w:val="20"/>
              </w:rPr>
              <w:t>Data de Amortização</w:t>
            </w:r>
          </w:p>
        </w:tc>
        <w:tc>
          <w:tcPr>
            <w:tcW w:w="4238" w:type="dxa"/>
            <w:shd w:val="clear" w:color="auto" w:fill="002060"/>
          </w:tcPr>
          <w:p w14:paraId="5FA2BFDB" w14:textId="69BA6223" w:rsidR="002F2A53" w:rsidRPr="00C67344" w:rsidRDefault="002F2A53" w:rsidP="00ED5C4C">
            <w:pPr>
              <w:pStyle w:val="Default"/>
              <w:spacing w:before="140" w:line="290" w:lineRule="auto"/>
              <w:jc w:val="center"/>
              <w:rPr>
                <w:b/>
                <w:color w:val="FFFFFF" w:themeColor="background1"/>
                <w:sz w:val="20"/>
                <w:szCs w:val="20"/>
              </w:rPr>
            </w:pPr>
            <w:r w:rsidRPr="0015046B">
              <w:rPr>
                <w:b/>
                <w:color w:val="FFFFFF" w:themeColor="background1"/>
                <w:sz w:val="20"/>
                <w:szCs w:val="20"/>
              </w:rPr>
              <w:t>Percentual do</w:t>
            </w:r>
            <w:r w:rsidRPr="008328FA">
              <w:rPr>
                <w:b/>
                <w:color w:val="FFFFFF" w:themeColor="background1"/>
                <w:sz w:val="20"/>
                <w:szCs w:val="20"/>
              </w:rPr>
              <w:t xml:space="preserve"> </w:t>
            </w:r>
            <w:r>
              <w:rPr>
                <w:b/>
                <w:color w:val="FFFFFF" w:themeColor="background1"/>
                <w:sz w:val="20"/>
                <w:szCs w:val="20"/>
              </w:rPr>
              <w:t xml:space="preserve">saldo do Valor Nominal Unitário </w:t>
            </w:r>
            <w:r w:rsidRPr="00FD1FEB">
              <w:rPr>
                <w:b/>
                <w:color w:val="FFFFFF" w:themeColor="background1"/>
                <w:sz w:val="20"/>
                <w:szCs w:val="20"/>
              </w:rPr>
              <w:t>a ser amortizado</w:t>
            </w:r>
          </w:p>
        </w:tc>
      </w:tr>
      <w:tr w:rsidR="002F2A53" w:rsidRPr="00FD1FEB" w14:paraId="261148D4" w14:textId="77777777" w:rsidTr="002F2A53">
        <w:tc>
          <w:tcPr>
            <w:tcW w:w="2844" w:type="dxa"/>
          </w:tcPr>
          <w:p w14:paraId="016A2A86" w14:textId="77777777" w:rsidR="002F2A53" w:rsidRPr="00896319" w:rsidRDefault="002F2A53" w:rsidP="00ED5C4C">
            <w:pPr>
              <w:pStyle w:val="Default"/>
              <w:spacing w:before="140" w:line="290" w:lineRule="auto"/>
              <w:jc w:val="center"/>
              <w:rPr>
                <w:color w:val="auto"/>
                <w:sz w:val="18"/>
                <w:szCs w:val="18"/>
              </w:rPr>
            </w:pPr>
            <w:r w:rsidRPr="00F2506A">
              <w:rPr>
                <w:sz w:val="18"/>
                <w:szCs w:val="18"/>
              </w:rPr>
              <w:t>18/06/2022</w:t>
            </w:r>
          </w:p>
        </w:tc>
        <w:tc>
          <w:tcPr>
            <w:tcW w:w="4238" w:type="dxa"/>
          </w:tcPr>
          <w:p w14:paraId="60EE03B6"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0,0000%</w:t>
            </w:r>
          </w:p>
        </w:tc>
      </w:tr>
      <w:tr w:rsidR="002F2A53" w:rsidRPr="00FD1FEB" w14:paraId="1AACA743" w14:textId="77777777" w:rsidTr="002F2A53">
        <w:tc>
          <w:tcPr>
            <w:tcW w:w="2844" w:type="dxa"/>
          </w:tcPr>
          <w:p w14:paraId="0023A0DF" w14:textId="77777777" w:rsidR="002F2A53" w:rsidRPr="00896319" w:rsidRDefault="002F2A53" w:rsidP="00ED5C4C">
            <w:pPr>
              <w:pStyle w:val="Default"/>
              <w:spacing w:before="140" w:line="290" w:lineRule="auto"/>
              <w:jc w:val="center"/>
              <w:rPr>
                <w:color w:val="auto"/>
                <w:sz w:val="18"/>
                <w:szCs w:val="18"/>
              </w:rPr>
            </w:pPr>
            <w:r w:rsidRPr="00F2506A">
              <w:rPr>
                <w:sz w:val="18"/>
                <w:szCs w:val="18"/>
              </w:rPr>
              <w:t>18/09/2022</w:t>
            </w:r>
          </w:p>
        </w:tc>
        <w:tc>
          <w:tcPr>
            <w:tcW w:w="4238" w:type="dxa"/>
          </w:tcPr>
          <w:p w14:paraId="71DF32CC"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0,0000%</w:t>
            </w:r>
          </w:p>
        </w:tc>
      </w:tr>
      <w:tr w:rsidR="002F2A53" w:rsidRPr="00FD1FEB" w14:paraId="5AA6CB31" w14:textId="77777777" w:rsidTr="002F2A53">
        <w:tc>
          <w:tcPr>
            <w:tcW w:w="2844" w:type="dxa"/>
          </w:tcPr>
          <w:p w14:paraId="6C996D75"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18/12/2022</w:t>
            </w:r>
          </w:p>
        </w:tc>
        <w:tc>
          <w:tcPr>
            <w:tcW w:w="4238" w:type="dxa"/>
          </w:tcPr>
          <w:p w14:paraId="55092394"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0,0000%</w:t>
            </w:r>
          </w:p>
        </w:tc>
      </w:tr>
      <w:tr w:rsidR="002F2A53" w:rsidRPr="00FD1FEB" w14:paraId="682DAEB1" w14:textId="77777777" w:rsidTr="002F2A53">
        <w:tc>
          <w:tcPr>
            <w:tcW w:w="2844" w:type="dxa"/>
          </w:tcPr>
          <w:p w14:paraId="4BCDFC41"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18/03/2023</w:t>
            </w:r>
          </w:p>
        </w:tc>
        <w:tc>
          <w:tcPr>
            <w:tcW w:w="4238" w:type="dxa"/>
          </w:tcPr>
          <w:p w14:paraId="38532135"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0,0000%</w:t>
            </w:r>
          </w:p>
        </w:tc>
      </w:tr>
      <w:tr w:rsidR="002F2A53" w:rsidRPr="00FD1FEB" w14:paraId="511EAF55" w14:textId="77777777" w:rsidTr="002F2A53">
        <w:tc>
          <w:tcPr>
            <w:tcW w:w="2844" w:type="dxa"/>
          </w:tcPr>
          <w:p w14:paraId="3B939E3C"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18/06/2023</w:t>
            </w:r>
          </w:p>
        </w:tc>
        <w:tc>
          <w:tcPr>
            <w:tcW w:w="4238" w:type="dxa"/>
          </w:tcPr>
          <w:p w14:paraId="292A26C9"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0,0000%</w:t>
            </w:r>
          </w:p>
        </w:tc>
      </w:tr>
      <w:tr w:rsidR="002F2A53" w:rsidRPr="00FD1FEB" w14:paraId="22DC9E3B" w14:textId="77777777" w:rsidTr="002F2A53">
        <w:tc>
          <w:tcPr>
            <w:tcW w:w="2844" w:type="dxa"/>
          </w:tcPr>
          <w:p w14:paraId="21392034"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lastRenderedPageBreak/>
              <w:t>18/09/2023</w:t>
            </w:r>
          </w:p>
        </w:tc>
        <w:tc>
          <w:tcPr>
            <w:tcW w:w="4238" w:type="dxa"/>
          </w:tcPr>
          <w:p w14:paraId="279539F1"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4,3478%</w:t>
            </w:r>
          </w:p>
        </w:tc>
      </w:tr>
      <w:tr w:rsidR="002F2A53" w:rsidRPr="00FD1FEB" w14:paraId="423F833B" w14:textId="77777777" w:rsidTr="002F2A53">
        <w:tc>
          <w:tcPr>
            <w:tcW w:w="2844" w:type="dxa"/>
          </w:tcPr>
          <w:p w14:paraId="04AF0272"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18/12/2023</w:t>
            </w:r>
          </w:p>
        </w:tc>
        <w:tc>
          <w:tcPr>
            <w:tcW w:w="4238" w:type="dxa"/>
          </w:tcPr>
          <w:p w14:paraId="48FD8E0E"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4,5455%</w:t>
            </w:r>
          </w:p>
        </w:tc>
      </w:tr>
      <w:tr w:rsidR="002F2A53" w:rsidRPr="00FD1FEB" w14:paraId="411340D2" w14:textId="77777777" w:rsidTr="002F2A53">
        <w:tc>
          <w:tcPr>
            <w:tcW w:w="2844" w:type="dxa"/>
          </w:tcPr>
          <w:p w14:paraId="199A479A"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18/03/2024</w:t>
            </w:r>
          </w:p>
        </w:tc>
        <w:tc>
          <w:tcPr>
            <w:tcW w:w="4238" w:type="dxa"/>
          </w:tcPr>
          <w:p w14:paraId="4EB99844"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4,7619%</w:t>
            </w:r>
          </w:p>
        </w:tc>
      </w:tr>
      <w:tr w:rsidR="002F2A53" w:rsidRPr="00FD1FEB" w14:paraId="383FEBA7" w14:textId="77777777" w:rsidTr="002F2A53">
        <w:tc>
          <w:tcPr>
            <w:tcW w:w="2844" w:type="dxa"/>
          </w:tcPr>
          <w:p w14:paraId="1AAA8325"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18/06/2024</w:t>
            </w:r>
          </w:p>
        </w:tc>
        <w:tc>
          <w:tcPr>
            <w:tcW w:w="4238" w:type="dxa"/>
          </w:tcPr>
          <w:p w14:paraId="1A75E787"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5,0000%</w:t>
            </w:r>
          </w:p>
        </w:tc>
      </w:tr>
      <w:tr w:rsidR="002F2A53" w:rsidRPr="00FD1FEB" w14:paraId="741F3444" w14:textId="77777777" w:rsidTr="002F2A53">
        <w:tc>
          <w:tcPr>
            <w:tcW w:w="2844" w:type="dxa"/>
          </w:tcPr>
          <w:p w14:paraId="074035B2"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18/09/2024</w:t>
            </w:r>
          </w:p>
        </w:tc>
        <w:tc>
          <w:tcPr>
            <w:tcW w:w="4238" w:type="dxa"/>
          </w:tcPr>
          <w:p w14:paraId="4558A0D7"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5,2632%</w:t>
            </w:r>
          </w:p>
        </w:tc>
      </w:tr>
      <w:tr w:rsidR="002F2A53" w:rsidRPr="00FD1FEB" w14:paraId="6284DB8E" w14:textId="77777777" w:rsidTr="002F2A53">
        <w:tc>
          <w:tcPr>
            <w:tcW w:w="2844" w:type="dxa"/>
          </w:tcPr>
          <w:p w14:paraId="6C24FE93"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18/12/2024</w:t>
            </w:r>
          </w:p>
        </w:tc>
        <w:tc>
          <w:tcPr>
            <w:tcW w:w="4238" w:type="dxa"/>
          </w:tcPr>
          <w:p w14:paraId="62474091"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5,5556%</w:t>
            </w:r>
          </w:p>
        </w:tc>
      </w:tr>
      <w:tr w:rsidR="002F2A53" w:rsidRPr="00FD1FEB" w14:paraId="179DF53E" w14:textId="77777777" w:rsidTr="002F2A53">
        <w:tc>
          <w:tcPr>
            <w:tcW w:w="2844" w:type="dxa"/>
          </w:tcPr>
          <w:p w14:paraId="1DE7D179"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18/03/2025</w:t>
            </w:r>
          </w:p>
        </w:tc>
        <w:tc>
          <w:tcPr>
            <w:tcW w:w="4238" w:type="dxa"/>
          </w:tcPr>
          <w:p w14:paraId="615BBE3C"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5,8824%</w:t>
            </w:r>
          </w:p>
        </w:tc>
      </w:tr>
      <w:tr w:rsidR="002F2A53" w:rsidRPr="00FD1FEB" w14:paraId="01A997A9" w14:textId="77777777" w:rsidTr="002F2A53">
        <w:tc>
          <w:tcPr>
            <w:tcW w:w="2844" w:type="dxa"/>
          </w:tcPr>
          <w:p w14:paraId="21D5FF27"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18/06/2025</w:t>
            </w:r>
          </w:p>
        </w:tc>
        <w:tc>
          <w:tcPr>
            <w:tcW w:w="4238" w:type="dxa"/>
          </w:tcPr>
          <w:p w14:paraId="29AA346A"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6,2500%</w:t>
            </w:r>
          </w:p>
        </w:tc>
      </w:tr>
      <w:tr w:rsidR="002F2A53" w:rsidRPr="00FD1FEB" w14:paraId="3A899948" w14:textId="77777777" w:rsidTr="002F2A53">
        <w:tc>
          <w:tcPr>
            <w:tcW w:w="2844" w:type="dxa"/>
          </w:tcPr>
          <w:p w14:paraId="622BD701"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18/09/2025</w:t>
            </w:r>
          </w:p>
        </w:tc>
        <w:tc>
          <w:tcPr>
            <w:tcW w:w="4238" w:type="dxa"/>
          </w:tcPr>
          <w:p w14:paraId="46E42C70"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6,6667%</w:t>
            </w:r>
          </w:p>
        </w:tc>
      </w:tr>
      <w:tr w:rsidR="002F2A53" w:rsidRPr="00FD1FEB" w14:paraId="151DDE0C" w14:textId="77777777" w:rsidTr="002F2A53">
        <w:tc>
          <w:tcPr>
            <w:tcW w:w="2844" w:type="dxa"/>
          </w:tcPr>
          <w:p w14:paraId="4BCA3BC4"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18/12/2025</w:t>
            </w:r>
          </w:p>
        </w:tc>
        <w:tc>
          <w:tcPr>
            <w:tcW w:w="4238" w:type="dxa"/>
          </w:tcPr>
          <w:p w14:paraId="2863BB86"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7,1429%</w:t>
            </w:r>
          </w:p>
        </w:tc>
      </w:tr>
      <w:tr w:rsidR="002F2A53" w:rsidRPr="00FD1FEB" w14:paraId="7C87A89D" w14:textId="77777777" w:rsidTr="002F2A53">
        <w:tc>
          <w:tcPr>
            <w:tcW w:w="2844" w:type="dxa"/>
          </w:tcPr>
          <w:p w14:paraId="35DC2815"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18/03/2026</w:t>
            </w:r>
          </w:p>
        </w:tc>
        <w:tc>
          <w:tcPr>
            <w:tcW w:w="4238" w:type="dxa"/>
          </w:tcPr>
          <w:p w14:paraId="59FA9088"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7,6923%</w:t>
            </w:r>
          </w:p>
        </w:tc>
      </w:tr>
      <w:tr w:rsidR="002F2A53" w:rsidRPr="00FD1FEB" w14:paraId="6F69BB21" w14:textId="77777777" w:rsidTr="002F2A53">
        <w:tc>
          <w:tcPr>
            <w:tcW w:w="2844" w:type="dxa"/>
          </w:tcPr>
          <w:p w14:paraId="7B5C8EDC"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18/06/2026</w:t>
            </w:r>
          </w:p>
        </w:tc>
        <w:tc>
          <w:tcPr>
            <w:tcW w:w="4238" w:type="dxa"/>
          </w:tcPr>
          <w:p w14:paraId="28E189A1"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8,3333%</w:t>
            </w:r>
          </w:p>
        </w:tc>
      </w:tr>
      <w:tr w:rsidR="002F2A53" w:rsidRPr="00FD1FEB" w14:paraId="0A47CCA1" w14:textId="77777777" w:rsidTr="002F2A53">
        <w:tc>
          <w:tcPr>
            <w:tcW w:w="2844" w:type="dxa"/>
          </w:tcPr>
          <w:p w14:paraId="463CD26E"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18/09/2026</w:t>
            </w:r>
          </w:p>
        </w:tc>
        <w:tc>
          <w:tcPr>
            <w:tcW w:w="4238" w:type="dxa"/>
          </w:tcPr>
          <w:p w14:paraId="2661A01A"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9,0909%</w:t>
            </w:r>
          </w:p>
        </w:tc>
      </w:tr>
      <w:tr w:rsidR="002F2A53" w:rsidRPr="00FD1FEB" w14:paraId="6FF69D89" w14:textId="77777777" w:rsidTr="002F2A53">
        <w:tc>
          <w:tcPr>
            <w:tcW w:w="2844" w:type="dxa"/>
          </w:tcPr>
          <w:p w14:paraId="7F820564"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18/12/2026</w:t>
            </w:r>
          </w:p>
        </w:tc>
        <w:tc>
          <w:tcPr>
            <w:tcW w:w="4238" w:type="dxa"/>
          </w:tcPr>
          <w:p w14:paraId="3A15C36A"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10,0000%</w:t>
            </w:r>
          </w:p>
        </w:tc>
      </w:tr>
      <w:tr w:rsidR="002F2A53" w:rsidRPr="00FD1FEB" w14:paraId="0806FFA9" w14:textId="77777777" w:rsidTr="002F2A53">
        <w:tc>
          <w:tcPr>
            <w:tcW w:w="2844" w:type="dxa"/>
          </w:tcPr>
          <w:p w14:paraId="63067D6A"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18/03/2027</w:t>
            </w:r>
          </w:p>
        </w:tc>
        <w:tc>
          <w:tcPr>
            <w:tcW w:w="4238" w:type="dxa"/>
          </w:tcPr>
          <w:p w14:paraId="0B063409"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11,1111%</w:t>
            </w:r>
          </w:p>
        </w:tc>
      </w:tr>
      <w:tr w:rsidR="002F2A53" w:rsidRPr="00FD1FEB" w14:paraId="5C247FAE" w14:textId="77777777" w:rsidTr="002F2A53">
        <w:tc>
          <w:tcPr>
            <w:tcW w:w="2844" w:type="dxa"/>
          </w:tcPr>
          <w:p w14:paraId="0F8AA753"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18/06/2027</w:t>
            </w:r>
          </w:p>
        </w:tc>
        <w:tc>
          <w:tcPr>
            <w:tcW w:w="4238" w:type="dxa"/>
          </w:tcPr>
          <w:p w14:paraId="5541E614"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12,5000%</w:t>
            </w:r>
          </w:p>
        </w:tc>
      </w:tr>
      <w:tr w:rsidR="002F2A53" w:rsidRPr="00FD1FEB" w14:paraId="0C7819B7" w14:textId="77777777" w:rsidTr="002F2A53">
        <w:tc>
          <w:tcPr>
            <w:tcW w:w="2844" w:type="dxa"/>
          </w:tcPr>
          <w:p w14:paraId="7F431E0F"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18/09/2027</w:t>
            </w:r>
          </w:p>
        </w:tc>
        <w:tc>
          <w:tcPr>
            <w:tcW w:w="4238" w:type="dxa"/>
          </w:tcPr>
          <w:p w14:paraId="4CE51C36"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14,2857%</w:t>
            </w:r>
          </w:p>
        </w:tc>
      </w:tr>
      <w:tr w:rsidR="002F2A53" w:rsidRPr="00FD1FEB" w14:paraId="0A108CD3" w14:textId="77777777" w:rsidTr="002F2A53">
        <w:tc>
          <w:tcPr>
            <w:tcW w:w="2844" w:type="dxa"/>
          </w:tcPr>
          <w:p w14:paraId="767F29A4"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18/12/2027</w:t>
            </w:r>
          </w:p>
        </w:tc>
        <w:tc>
          <w:tcPr>
            <w:tcW w:w="4238" w:type="dxa"/>
          </w:tcPr>
          <w:p w14:paraId="076D6035"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16,6667%</w:t>
            </w:r>
          </w:p>
        </w:tc>
      </w:tr>
      <w:tr w:rsidR="002F2A53" w:rsidRPr="00FD1FEB" w14:paraId="7E84C126" w14:textId="77777777" w:rsidTr="002F2A53">
        <w:tc>
          <w:tcPr>
            <w:tcW w:w="2844" w:type="dxa"/>
          </w:tcPr>
          <w:p w14:paraId="37F73DA4"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18/03/2028</w:t>
            </w:r>
          </w:p>
        </w:tc>
        <w:tc>
          <w:tcPr>
            <w:tcW w:w="4238" w:type="dxa"/>
          </w:tcPr>
          <w:p w14:paraId="23047EE4"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20,0000%</w:t>
            </w:r>
          </w:p>
        </w:tc>
      </w:tr>
      <w:tr w:rsidR="002F2A53" w:rsidRPr="00FD1FEB" w14:paraId="7932DF0E" w14:textId="77777777" w:rsidTr="002F2A53">
        <w:tc>
          <w:tcPr>
            <w:tcW w:w="2844" w:type="dxa"/>
          </w:tcPr>
          <w:p w14:paraId="45F2C438"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18/06/2028</w:t>
            </w:r>
          </w:p>
        </w:tc>
        <w:tc>
          <w:tcPr>
            <w:tcW w:w="4238" w:type="dxa"/>
          </w:tcPr>
          <w:p w14:paraId="0D5E641A"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25,0000%</w:t>
            </w:r>
          </w:p>
        </w:tc>
      </w:tr>
      <w:tr w:rsidR="002F2A53" w:rsidRPr="00FD1FEB" w14:paraId="71A52691" w14:textId="77777777" w:rsidTr="002F2A53">
        <w:tc>
          <w:tcPr>
            <w:tcW w:w="2844" w:type="dxa"/>
          </w:tcPr>
          <w:p w14:paraId="2FA42355"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18/09/2028</w:t>
            </w:r>
          </w:p>
        </w:tc>
        <w:tc>
          <w:tcPr>
            <w:tcW w:w="4238" w:type="dxa"/>
          </w:tcPr>
          <w:p w14:paraId="46EC4879"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33,3333%</w:t>
            </w:r>
          </w:p>
        </w:tc>
      </w:tr>
      <w:tr w:rsidR="002F2A53" w:rsidRPr="00FD1FEB" w14:paraId="1D8CC5F6" w14:textId="77777777" w:rsidTr="002F2A53">
        <w:tc>
          <w:tcPr>
            <w:tcW w:w="2844" w:type="dxa"/>
          </w:tcPr>
          <w:p w14:paraId="67C575FE"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18/12/2028</w:t>
            </w:r>
          </w:p>
        </w:tc>
        <w:tc>
          <w:tcPr>
            <w:tcW w:w="4238" w:type="dxa"/>
          </w:tcPr>
          <w:p w14:paraId="1D4C9214" w14:textId="77777777" w:rsidR="002F2A53" w:rsidRPr="00E0416E" w:rsidRDefault="002F2A53" w:rsidP="00ED5C4C">
            <w:pPr>
              <w:pStyle w:val="Default"/>
              <w:spacing w:before="140" w:line="290" w:lineRule="auto"/>
              <w:jc w:val="center"/>
              <w:rPr>
                <w:color w:val="auto"/>
                <w:sz w:val="18"/>
                <w:szCs w:val="18"/>
                <w:highlight w:val="yellow"/>
              </w:rPr>
            </w:pPr>
            <w:r w:rsidRPr="00377CF4">
              <w:rPr>
                <w:sz w:val="18"/>
                <w:szCs w:val="18"/>
              </w:rPr>
              <w:t>50,0000%</w:t>
            </w:r>
          </w:p>
        </w:tc>
      </w:tr>
      <w:tr w:rsidR="002F2A53" w:rsidRPr="00FD1FEB" w14:paraId="6BA5E440" w14:textId="77777777" w:rsidTr="002F2A53">
        <w:tc>
          <w:tcPr>
            <w:tcW w:w="2844" w:type="dxa"/>
          </w:tcPr>
          <w:p w14:paraId="3C9326CA" w14:textId="77777777" w:rsidR="002F2A53" w:rsidRPr="00005B52" w:rsidRDefault="002F2A53" w:rsidP="00ED5C4C">
            <w:pPr>
              <w:pStyle w:val="Default"/>
              <w:spacing w:before="140" w:line="290" w:lineRule="auto"/>
              <w:jc w:val="center"/>
              <w:rPr>
                <w:color w:val="auto"/>
                <w:sz w:val="18"/>
                <w:szCs w:val="18"/>
                <w:highlight w:val="yellow"/>
              </w:rPr>
            </w:pPr>
            <w:r w:rsidRPr="00F2506A">
              <w:rPr>
                <w:sz w:val="18"/>
                <w:szCs w:val="18"/>
              </w:rPr>
              <w:t>18/03/2029</w:t>
            </w:r>
          </w:p>
        </w:tc>
        <w:tc>
          <w:tcPr>
            <w:tcW w:w="4238" w:type="dxa"/>
          </w:tcPr>
          <w:p w14:paraId="7443E49A" w14:textId="77777777" w:rsidR="002F2A53" w:rsidRPr="00A42D5A" w:rsidRDefault="002F2A53" w:rsidP="00ED5C4C">
            <w:pPr>
              <w:pStyle w:val="Default"/>
              <w:spacing w:before="140" w:line="290" w:lineRule="auto"/>
              <w:jc w:val="center"/>
              <w:rPr>
                <w:color w:val="auto"/>
                <w:sz w:val="18"/>
                <w:szCs w:val="18"/>
                <w:highlight w:val="yellow"/>
              </w:rPr>
            </w:pPr>
            <w:r>
              <w:rPr>
                <w:sz w:val="18"/>
                <w:szCs w:val="18"/>
              </w:rPr>
              <w:t>10</w:t>
            </w:r>
            <w:r w:rsidRPr="00F2506A">
              <w:rPr>
                <w:sz w:val="18"/>
                <w:szCs w:val="18"/>
              </w:rPr>
              <w:t>0,0000%</w:t>
            </w:r>
          </w:p>
        </w:tc>
      </w:tr>
      <w:tr w:rsidR="002F2A53" w:rsidRPr="00FD1FEB" w14:paraId="6FE3738F" w14:textId="77777777" w:rsidTr="002F2A53">
        <w:tc>
          <w:tcPr>
            <w:tcW w:w="2844" w:type="dxa"/>
          </w:tcPr>
          <w:p w14:paraId="56325246" w14:textId="77777777" w:rsidR="002F2A53" w:rsidRPr="00896319" w:rsidRDefault="002F2A53" w:rsidP="00ED5C4C">
            <w:pPr>
              <w:pStyle w:val="Default"/>
              <w:spacing w:before="140" w:line="290" w:lineRule="auto"/>
              <w:jc w:val="center"/>
              <w:rPr>
                <w:b/>
                <w:bCs/>
                <w:color w:val="auto"/>
                <w:sz w:val="18"/>
                <w:szCs w:val="18"/>
              </w:rPr>
            </w:pPr>
            <w:r w:rsidRPr="00896319">
              <w:rPr>
                <w:b/>
                <w:bCs/>
                <w:color w:val="auto"/>
                <w:sz w:val="18"/>
                <w:szCs w:val="18"/>
              </w:rPr>
              <w:t>Data de Vencimento</w:t>
            </w:r>
          </w:p>
        </w:tc>
        <w:tc>
          <w:tcPr>
            <w:tcW w:w="4238" w:type="dxa"/>
          </w:tcPr>
          <w:p w14:paraId="638B3E57" w14:textId="77777777" w:rsidR="002F2A53" w:rsidRPr="00896319" w:rsidRDefault="002F2A53" w:rsidP="00ED5C4C">
            <w:pPr>
              <w:pStyle w:val="Default"/>
              <w:spacing w:before="140" w:line="290" w:lineRule="auto"/>
              <w:jc w:val="center"/>
              <w:rPr>
                <w:b/>
                <w:color w:val="auto"/>
                <w:sz w:val="18"/>
                <w:szCs w:val="18"/>
              </w:rPr>
            </w:pPr>
            <w:r w:rsidRPr="00896319">
              <w:rPr>
                <w:b/>
                <w:color w:val="auto"/>
                <w:sz w:val="18"/>
                <w:szCs w:val="18"/>
              </w:rPr>
              <w:t>100,0000%</w:t>
            </w:r>
          </w:p>
        </w:tc>
      </w:tr>
    </w:tbl>
    <w:p w14:paraId="173BD7F5" w14:textId="77777777" w:rsidR="00EA597F" w:rsidRPr="003C7BE7" w:rsidRDefault="00EA597F" w:rsidP="00353A38">
      <w:pPr>
        <w:pStyle w:val="Level3"/>
        <w:numPr>
          <w:ilvl w:val="0"/>
          <w:numId w:val="0"/>
        </w:numPr>
        <w:spacing w:before="140" w:after="0"/>
        <w:ind w:left="1361" w:hanging="681"/>
        <w:rPr>
          <w:szCs w:val="20"/>
        </w:rPr>
      </w:pPr>
    </w:p>
    <w:p w14:paraId="434C68F2" w14:textId="49148055" w:rsidR="009E0831" w:rsidRDefault="00E659CE" w:rsidP="00AF3C84">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lastRenderedPageBreak/>
        <w:t>R</w:t>
      </w:r>
      <w:r w:rsidR="00C360B8" w:rsidRPr="003C7BE7">
        <w:rPr>
          <w:rFonts w:ascii="Arial" w:hAnsi="Arial" w:cs="Arial"/>
          <w:b/>
          <w:sz w:val="20"/>
          <w:szCs w:val="20"/>
          <w:lang w:val="pt-BR"/>
        </w:rPr>
        <w:t xml:space="preserve">esgate Antecipado </w:t>
      </w:r>
      <w:r w:rsidR="00695E81" w:rsidRPr="003C7BE7">
        <w:rPr>
          <w:rFonts w:ascii="Arial" w:hAnsi="Arial" w:cs="Arial"/>
          <w:b/>
          <w:sz w:val="20"/>
          <w:szCs w:val="20"/>
          <w:lang w:val="pt-BR"/>
        </w:rPr>
        <w:t>Facultativo</w:t>
      </w:r>
      <w:r w:rsidR="002D2013" w:rsidRPr="003C7BE7">
        <w:rPr>
          <w:rFonts w:ascii="Arial" w:hAnsi="Arial" w:cs="Arial"/>
          <w:sz w:val="20"/>
          <w:szCs w:val="20"/>
          <w:lang w:val="pt-BR"/>
        </w:rPr>
        <w:t xml:space="preserve">: </w:t>
      </w:r>
      <w:bookmarkStart w:id="6" w:name="_Ref481077719"/>
      <w:r w:rsidR="00695E81" w:rsidRPr="003C7BE7">
        <w:rPr>
          <w:rFonts w:ascii="Arial" w:hAnsi="Arial" w:cs="Arial"/>
          <w:bCs/>
          <w:sz w:val="20"/>
          <w:szCs w:val="20"/>
          <w:lang w:val="pt-BR"/>
        </w:rPr>
        <w:t xml:space="preserve">a </w:t>
      </w:r>
      <w:r w:rsidR="0075136D" w:rsidRPr="003C7BE7">
        <w:rPr>
          <w:rFonts w:ascii="Arial" w:hAnsi="Arial" w:cs="Arial"/>
          <w:bCs/>
          <w:sz w:val="20"/>
          <w:szCs w:val="20"/>
          <w:lang w:val="pt-BR"/>
        </w:rPr>
        <w:t xml:space="preserve">Companhia </w:t>
      </w:r>
      <w:r w:rsidR="00695E81" w:rsidRPr="003C7BE7">
        <w:rPr>
          <w:rFonts w:ascii="Arial" w:hAnsi="Arial" w:cs="Arial"/>
          <w:bCs/>
          <w:sz w:val="20"/>
          <w:szCs w:val="20"/>
          <w:lang w:val="pt-BR"/>
        </w:rPr>
        <w:t xml:space="preserve">poderá, </w:t>
      </w:r>
      <w:r w:rsidR="00695E81" w:rsidRPr="003C7BE7">
        <w:rPr>
          <w:rFonts w:ascii="Arial" w:hAnsi="Arial" w:cs="Arial"/>
          <w:sz w:val="20"/>
          <w:szCs w:val="20"/>
          <w:lang w:val="pt-BR"/>
        </w:rPr>
        <w:t>a qualquer momento a partir da Data de Emissão, e a seu exclusivo critério, realizar o resgate antecipado facultativo da totalidade (sendo vedado o resgate parcial) das Debêntures, com o consequente cancelamento de tais Debêntures (“</w:t>
      </w:r>
      <w:r w:rsidR="00695E81" w:rsidRPr="003C7BE7">
        <w:rPr>
          <w:rFonts w:ascii="Arial" w:hAnsi="Arial" w:cs="Arial"/>
          <w:b/>
          <w:sz w:val="20"/>
          <w:szCs w:val="20"/>
          <w:lang w:val="pt-BR"/>
        </w:rPr>
        <w:t>Resgate Antecipado Facultativo</w:t>
      </w:r>
      <w:r w:rsidR="00695E81" w:rsidRPr="003C7BE7">
        <w:rPr>
          <w:rFonts w:ascii="Arial" w:hAnsi="Arial" w:cs="Arial"/>
          <w:sz w:val="20"/>
          <w:szCs w:val="20"/>
          <w:lang w:val="pt-BR"/>
        </w:rPr>
        <w:t xml:space="preserve">”), </w:t>
      </w:r>
      <w:r w:rsidR="00695E81" w:rsidRPr="003C7BE7">
        <w:rPr>
          <w:rFonts w:ascii="Arial" w:hAnsi="Arial" w:cs="Arial"/>
          <w:snapToGrid w:val="0"/>
          <w:sz w:val="20"/>
          <w:szCs w:val="20"/>
          <w:lang w:val="pt-BR"/>
        </w:rPr>
        <w:t xml:space="preserve">de acordo com os termos e condições </w:t>
      </w:r>
      <w:r w:rsidR="0005016B" w:rsidRPr="003C7BE7">
        <w:rPr>
          <w:rFonts w:ascii="Arial" w:hAnsi="Arial" w:cs="Arial"/>
          <w:snapToGrid w:val="0"/>
          <w:sz w:val="20"/>
          <w:szCs w:val="20"/>
          <w:lang w:val="pt-BR"/>
        </w:rPr>
        <w:t xml:space="preserve">a serem </w:t>
      </w:r>
      <w:r w:rsidR="00695E81" w:rsidRPr="003C7BE7">
        <w:rPr>
          <w:rFonts w:ascii="Arial" w:hAnsi="Arial" w:cs="Arial"/>
          <w:snapToGrid w:val="0"/>
          <w:sz w:val="20"/>
          <w:szCs w:val="20"/>
          <w:lang w:val="pt-BR"/>
        </w:rPr>
        <w:t xml:space="preserve">previstos </w:t>
      </w:r>
      <w:bookmarkEnd w:id="6"/>
      <w:r w:rsidR="0005016B" w:rsidRPr="003C7BE7">
        <w:rPr>
          <w:rFonts w:ascii="Arial" w:hAnsi="Arial" w:cs="Arial"/>
          <w:snapToGrid w:val="0"/>
          <w:sz w:val="20"/>
          <w:szCs w:val="20"/>
          <w:lang w:val="pt-BR"/>
        </w:rPr>
        <w:t xml:space="preserve">na Escritura de Emissão. </w:t>
      </w:r>
      <w:bookmarkStart w:id="7" w:name="_Ref480808857"/>
      <w:r w:rsidR="0005016B" w:rsidRPr="003C7BE7">
        <w:rPr>
          <w:rFonts w:ascii="Arial" w:hAnsi="Arial" w:cs="Arial"/>
          <w:sz w:val="20"/>
          <w:szCs w:val="20"/>
          <w:lang w:val="pt-BR"/>
        </w:rPr>
        <w:t xml:space="preserve">Não será permitido o Resgate Antecipado Facultativo parcial das Debêntures. A </w:t>
      </w:r>
      <w:r w:rsidR="0075136D" w:rsidRPr="003C7BE7">
        <w:rPr>
          <w:rFonts w:ascii="Arial" w:hAnsi="Arial" w:cs="Arial"/>
          <w:sz w:val="20"/>
          <w:szCs w:val="20"/>
          <w:lang w:val="pt-BR"/>
        </w:rPr>
        <w:t xml:space="preserve">Companhia </w:t>
      </w:r>
      <w:r w:rsidR="0005016B" w:rsidRPr="003C7BE7">
        <w:rPr>
          <w:rFonts w:ascii="Arial" w:hAnsi="Arial" w:cs="Arial"/>
          <w:sz w:val="20"/>
          <w:szCs w:val="20"/>
          <w:lang w:val="pt-BR"/>
        </w:rPr>
        <w:t xml:space="preserve">deverá, com antecedência mínima de 3 (três) Dias Úteis (conforme abaixo definido) da respectiva data do Resgate Antecipado Facultativo, comunicar ao </w:t>
      </w:r>
      <w:proofErr w:type="spellStart"/>
      <w:r w:rsidR="0005016B" w:rsidRPr="003C7BE7">
        <w:rPr>
          <w:rFonts w:ascii="Arial" w:hAnsi="Arial" w:cs="Arial"/>
          <w:sz w:val="20"/>
          <w:szCs w:val="20"/>
          <w:lang w:val="pt-BR"/>
        </w:rPr>
        <w:t>Escriturador</w:t>
      </w:r>
      <w:proofErr w:type="spellEnd"/>
      <w:r w:rsidR="0005016B" w:rsidRPr="003C7BE7">
        <w:rPr>
          <w:rFonts w:ascii="Arial" w:hAnsi="Arial" w:cs="Arial"/>
          <w:sz w:val="20"/>
          <w:szCs w:val="20"/>
          <w:lang w:val="pt-BR"/>
        </w:rPr>
        <w:t xml:space="preserve">, ao Banco Liquidante e à B3 a respectiva data do Resgate Antecipado Facultativo. O valor a ser pago em relação a cada uma das Debêntures objeto do Resgate Antecipado Facultativo será equivalente ao seu respectivo Valor Nominal Unitário ou saldo do Valor Nominal Unitário, conforme o caso, acrescido: </w:t>
      </w:r>
      <w:r w:rsidR="0005016B" w:rsidRPr="003C7BE7">
        <w:rPr>
          <w:rFonts w:ascii="Arial" w:hAnsi="Arial" w:cs="Arial"/>
          <w:b/>
          <w:sz w:val="20"/>
          <w:szCs w:val="20"/>
          <w:lang w:val="pt-BR"/>
        </w:rPr>
        <w:t>(i)</w:t>
      </w:r>
      <w:r w:rsidR="00351CE3" w:rsidRPr="003C7BE7">
        <w:rPr>
          <w:rFonts w:ascii="Arial" w:hAnsi="Arial" w:cs="Arial"/>
          <w:sz w:val="20"/>
          <w:szCs w:val="20"/>
          <w:lang w:val="pt-BR"/>
        </w:rPr>
        <w:t> </w:t>
      </w:r>
      <w:r w:rsidR="0005016B" w:rsidRPr="003C7BE7">
        <w:rPr>
          <w:rFonts w:ascii="Arial" w:hAnsi="Arial" w:cs="Arial"/>
          <w:sz w:val="20"/>
          <w:szCs w:val="20"/>
          <w:lang w:val="pt-BR"/>
        </w:rPr>
        <w:t xml:space="preserve">da Remuneração, calculada </w:t>
      </w:r>
      <w:r w:rsidR="0005016B" w:rsidRPr="003C7BE7">
        <w:rPr>
          <w:rFonts w:ascii="Arial" w:hAnsi="Arial" w:cs="Arial"/>
          <w:i/>
          <w:sz w:val="20"/>
          <w:szCs w:val="20"/>
          <w:lang w:val="pt-BR"/>
        </w:rPr>
        <w:t xml:space="preserve">pro rata </w:t>
      </w:r>
      <w:proofErr w:type="spellStart"/>
      <w:r w:rsidR="0005016B" w:rsidRPr="003C7BE7">
        <w:rPr>
          <w:rFonts w:ascii="Arial" w:hAnsi="Arial" w:cs="Arial"/>
          <w:i/>
          <w:sz w:val="20"/>
          <w:szCs w:val="20"/>
          <w:lang w:val="pt-BR"/>
        </w:rPr>
        <w:t>temporis</w:t>
      </w:r>
      <w:proofErr w:type="spellEnd"/>
      <w:r w:rsidR="0005016B" w:rsidRPr="003C7BE7">
        <w:rPr>
          <w:rFonts w:ascii="Arial" w:hAnsi="Arial" w:cs="Arial"/>
          <w:sz w:val="20"/>
          <w:szCs w:val="20"/>
          <w:lang w:val="pt-BR"/>
        </w:rPr>
        <w:t xml:space="preserve">, desde a Primeira Data de Integralização ou da Data de Pagamento da Remuneração imediatamente anterior, conforme o caso, até a data do efetivo pagamento do Resgate Antecipado Facultativo; </w:t>
      </w:r>
      <w:r w:rsidR="0005016B" w:rsidRPr="003C7BE7">
        <w:rPr>
          <w:rFonts w:ascii="Arial" w:hAnsi="Arial" w:cs="Arial"/>
          <w:b/>
          <w:sz w:val="20"/>
          <w:szCs w:val="20"/>
          <w:lang w:val="pt-BR"/>
        </w:rPr>
        <w:t>(</w:t>
      </w:r>
      <w:proofErr w:type="spellStart"/>
      <w:r w:rsidR="0005016B" w:rsidRPr="003C7BE7">
        <w:rPr>
          <w:rFonts w:ascii="Arial" w:hAnsi="Arial" w:cs="Arial"/>
          <w:b/>
          <w:sz w:val="20"/>
          <w:szCs w:val="20"/>
          <w:lang w:val="pt-BR"/>
        </w:rPr>
        <w:t>ii</w:t>
      </w:r>
      <w:proofErr w:type="spellEnd"/>
      <w:r w:rsidR="0005016B" w:rsidRPr="003C7BE7">
        <w:rPr>
          <w:rFonts w:ascii="Arial" w:hAnsi="Arial" w:cs="Arial"/>
          <w:b/>
          <w:sz w:val="20"/>
          <w:szCs w:val="20"/>
          <w:lang w:val="pt-BR"/>
        </w:rPr>
        <w:t>)</w:t>
      </w:r>
      <w:r w:rsidR="0005016B" w:rsidRPr="003C7BE7">
        <w:rPr>
          <w:rFonts w:ascii="Arial" w:hAnsi="Arial" w:cs="Arial"/>
          <w:sz w:val="20"/>
          <w:szCs w:val="20"/>
          <w:lang w:val="pt-BR"/>
        </w:rPr>
        <w:t xml:space="preserve"> dos Encargos Moratórios devidos e não pagos até a data do refe</w:t>
      </w:r>
      <w:r w:rsidR="00411D13" w:rsidRPr="003C7BE7">
        <w:rPr>
          <w:rFonts w:ascii="Arial" w:hAnsi="Arial" w:cs="Arial"/>
          <w:sz w:val="20"/>
          <w:szCs w:val="20"/>
          <w:lang w:val="pt-BR"/>
        </w:rPr>
        <w:t>rido resgate, se for o caso</w:t>
      </w:r>
      <w:r w:rsidR="00D475E0" w:rsidRPr="003C7BE7">
        <w:rPr>
          <w:rFonts w:ascii="Arial" w:hAnsi="Arial" w:cs="Arial"/>
          <w:sz w:val="20"/>
          <w:szCs w:val="20"/>
          <w:lang w:val="pt-BR"/>
        </w:rPr>
        <w:t>;</w:t>
      </w:r>
      <w:r w:rsidR="00411D13" w:rsidRPr="003C7BE7">
        <w:rPr>
          <w:rFonts w:ascii="Arial" w:hAnsi="Arial" w:cs="Arial"/>
          <w:sz w:val="20"/>
          <w:szCs w:val="20"/>
          <w:lang w:val="pt-BR"/>
        </w:rPr>
        <w:t xml:space="preserve"> e</w:t>
      </w:r>
      <w:r w:rsidR="0005016B" w:rsidRPr="003C7BE7">
        <w:rPr>
          <w:rFonts w:ascii="Arial" w:hAnsi="Arial" w:cs="Arial"/>
          <w:sz w:val="20"/>
          <w:szCs w:val="20"/>
          <w:lang w:val="pt-BR"/>
        </w:rPr>
        <w:t xml:space="preserve"> </w:t>
      </w:r>
      <w:r w:rsidR="0005016B" w:rsidRPr="003C7BE7">
        <w:rPr>
          <w:rFonts w:ascii="Arial" w:hAnsi="Arial" w:cs="Arial"/>
          <w:b/>
          <w:sz w:val="20"/>
          <w:szCs w:val="20"/>
          <w:lang w:val="pt-BR"/>
        </w:rPr>
        <w:t>(</w:t>
      </w:r>
      <w:proofErr w:type="spellStart"/>
      <w:r w:rsidR="0005016B" w:rsidRPr="003C7BE7">
        <w:rPr>
          <w:rFonts w:ascii="Arial" w:hAnsi="Arial" w:cs="Arial"/>
          <w:b/>
          <w:sz w:val="20"/>
          <w:szCs w:val="20"/>
          <w:lang w:val="pt-BR"/>
        </w:rPr>
        <w:t>iii</w:t>
      </w:r>
      <w:proofErr w:type="spellEnd"/>
      <w:r w:rsidR="0005016B" w:rsidRPr="003C7BE7">
        <w:rPr>
          <w:rFonts w:ascii="Arial" w:hAnsi="Arial" w:cs="Arial"/>
          <w:b/>
          <w:sz w:val="20"/>
          <w:szCs w:val="20"/>
          <w:lang w:val="pt-BR"/>
        </w:rPr>
        <w:t>)</w:t>
      </w:r>
      <w:r w:rsidR="0005016B" w:rsidRPr="003C7BE7">
        <w:rPr>
          <w:rFonts w:ascii="Arial" w:hAnsi="Arial" w:cs="Arial"/>
          <w:sz w:val="20"/>
          <w:szCs w:val="20"/>
          <w:lang w:val="pt-BR"/>
        </w:rPr>
        <w:t xml:space="preserve"> do prêmio,</w:t>
      </w:r>
      <w:r w:rsidR="00282211" w:rsidRPr="003C7BE7">
        <w:rPr>
          <w:rFonts w:ascii="Arial" w:hAnsi="Arial" w:cs="Arial"/>
          <w:sz w:val="20"/>
          <w:szCs w:val="20"/>
          <w:lang w:val="pt-BR"/>
        </w:rPr>
        <w:t xml:space="preserve"> </w:t>
      </w:r>
      <w:r w:rsidR="00282211" w:rsidRPr="003C7BE7">
        <w:rPr>
          <w:rFonts w:ascii="Arial" w:hAnsi="Arial" w:cs="Arial"/>
          <w:i/>
          <w:sz w:val="20"/>
          <w:szCs w:val="20"/>
          <w:lang w:val="pt-BR"/>
        </w:rPr>
        <w:t>flat</w:t>
      </w:r>
      <w:r w:rsidR="00282211" w:rsidRPr="003C7BE7">
        <w:rPr>
          <w:rFonts w:ascii="Arial" w:hAnsi="Arial" w:cs="Arial"/>
          <w:sz w:val="20"/>
          <w:szCs w:val="20"/>
          <w:lang w:val="pt-BR"/>
        </w:rPr>
        <w:t>,</w:t>
      </w:r>
      <w:r w:rsidR="0005016B" w:rsidRPr="003C7BE7">
        <w:rPr>
          <w:rFonts w:ascii="Arial" w:hAnsi="Arial" w:cs="Arial"/>
          <w:sz w:val="20"/>
          <w:szCs w:val="20"/>
          <w:lang w:val="pt-BR"/>
        </w:rPr>
        <w:t xml:space="preserve"> incidente sobre o Valor Nominal Unitário, ou saldo do Valor Nominal Unitário (“</w:t>
      </w:r>
      <w:r w:rsidR="0005016B" w:rsidRPr="003C7BE7">
        <w:rPr>
          <w:rFonts w:ascii="Arial" w:hAnsi="Arial" w:cs="Arial"/>
          <w:b/>
          <w:sz w:val="20"/>
          <w:szCs w:val="20"/>
          <w:lang w:val="pt-BR"/>
        </w:rPr>
        <w:t>Prêmio</w:t>
      </w:r>
      <w:r w:rsidR="00965185" w:rsidRPr="003C7BE7">
        <w:rPr>
          <w:rFonts w:ascii="Arial" w:hAnsi="Arial" w:cs="Arial"/>
          <w:b/>
          <w:sz w:val="20"/>
          <w:szCs w:val="20"/>
          <w:lang w:val="pt-BR"/>
        </w:rPr>
        <w:t xml:space="preserve"> do Resgate Antecipado Facultativo</w:t>
      </w:r>
      <w:r w:rsidR="0005016B" w:rsidRPr="003C7BE7">
        <w:rPr>
          <w:rFonts w:ascii="Arial" w:hAnsi="Arial" w:cs="Arial"/>
          <w:sz w:val="20"/>
          <w:szCs w:val="20"/>
          <w:lang w:val="pt-BR"/>
        </w:rPr>
        <w:t>”), conforme tabela abaixo</w:t>
      </w:r>
      <w:r w:rsidR="00965185" w:rsidRPr="003C7BE7">
        <w:rPr>
          <w:rFonts w:ascii="Arial" w:hAnsi="Arial" w:cs="Arial"/>
          <w:sz w:val="20"/>
          <w:szCs w:val="20"/>
          <w:lang w:val="pt-BR"/>
        </w:rPr>
        <w:t xml:space="preserve"> </w:t>
      </w:r>
      <w:r w:rsidR="0005016B" w:rsidRPr="003C7BE7">
        <w:rPr>
          <w:rFonts w:ascii="Arial" w:hAnsi="Arial" w:cs="Arial"/>
          <w:sz w:val="20"/>
          <w:szCs w:val="20"/>
          <w:lang w:val="pt-BR"/>
        </w:rPr>
        <w:t>(“</w:t>
      </w:r>
      <w:r w:rsidR="0005016B" w:rsidRPr="003C7BE7">
        <w:rPr>
          <w:rFonts w:ascii="Arial" w:hAnsi="Arial" w:cs="Arial"/>
          <w:b/>
          <w:sz w:val="20"/>
          <w:szCs w:val="20"/>
          <w:lang w:val="pt-BR"/>
        </w:rPr>
        <w:t>Valor do Resgate Antecipado Facultativo</w:t>
      </w:r>
      <w:r w:rsidR="0005016B" w:rsidRPr="003C7BE7">
        <w:rPr>
          <w:rFonts w:ascii="Arial" w:hAnsi="Arial" w:cs="Arial"/>
          <w:sz w:val="20"/>
          <w:szCs w:val="20"/>
          <w:lang w:val="pt-BR"/>
        </w:rPr>
        <w:t>”)</w:t>
      </w:r>
      <w:bookmarkEnd w:id="7"/>
      <w:r w:rsidR="00411D13" w:rsidRPr="003C7BE7">
        <w:rPr>
          <w:rFonts w:ascii="Arial" w:hAnsi="Arial" w:cs="Arial"/>
          <w:sz w:val="20"/>
          <w:szCs w:val="20"/>
          <w:lang w:val="pt-BR"/>
        </w:rPr>
        <w:t xml:space="preserve">. </w:t>
      </w:r>
      <w:r w:rsidR="009E0831" w:rsidRPr="003C7BE7">
        <w:rPr>
          <w:rFonts w:ascii="Arial" w:hAnsi="Arial" w:cs="Arial"/>
          <w:sz w:val="20"/>
          <w:szCs w:val="20"/>
          <w:lang w:val="pt-BR"/>
        </w:rPr>
        <w:t xml:space="preserve">Na hipótese de a data de Resgate Antecipado Facultativo coincidir com uma Data de Pagamento do Valor Nominal Unitário, o Prêmio do Resgate Antecipado Facultativo incidirá somente sobre o saldo do Valor Nominal Unitário após o pagamento da parcela de amortização programada na Data de Pagamento. </w:t>
      </w:r>
    </w:p>
    <w:p w14:paraId="55A2DB29" w14:textId="77777777" w:rsidR="00580FA1" w:rsidRPr="003C7BE7" w:rsidRDefault="00580FA1" w:rsidP="00580FA1">
      <w:pPr>
        <w:pStyle w:val="ListParagraph"/>
        <w:autoSpaceDE w:val="0"/>
        <w:autoSpaceDN w:val="0"/>
        <w:adjustRightInd w:val="0"/>
        <w:spacing w:line="276" w:lineRule="auto"/>
        <w:ind w:left="1080" w:right="18"/>
        <w:jc w:val="both"/>
        <w:rPr>
          <w:rFonts w:ascii="Arial" w:hAnsi="Arial" w:cs="Arial"/>
          <w:sz w:val="20"/>
          <w:szCs w:val="20"/>
          <w:lang w:val="pt-BR"/>
        </w:rPr>
      </w:pPr>
    </w:p>
    <w:tbl>
      <w:tblPr>
        <w:tblStyle w:val="TableGrid"/>
        <w:tblW w:w="0" w:type="auto"/>
        <w:tblInd w:w="2122" w:type="dxa"/>
        <w:tblCellMar>
          <w:top w:w="28" w:type="dxa"/>
          <w:left w:w="57" w:type="dxa"/>
          <w:bottom w:w="28" w:type="dxa"/>
          <w:right w:w="57" w:type="dxa"/>
        </w:tblCellMar>
        <w:tblLook w:val="04A0" w:firstRow="1" w:lastRow="0" w:firstColumn="1" w:lastColumn="0" w:noHBand="0" w:noVBand="1"/>
      </w:tblPr>
      <w:tblGrid>
        <w:gridCol w:w="2809"/>
        <w:gridCol w:w="3563"/>
      </w:tblGrid>
      <w:tr w:rsidR="00B323A0" w:rsidRPr="0096157F" w14:paraId="6C84DC42" w14:textId="77777777" w:rsidTr="0009233C">
        <w:tc>
          <w:tcPr>
            <w:tcW w:w="2809" w:type="dxa"/>
            <w:shd w:val="clear" w:color="auto" w:fill="002060"/>
          </w:tcPr>
          <w:p w14:paraId="55594E2A" w14:textId="77777777" w:rsidR="00B323A0" w:rsidRPr="0045539C" w:rsidRDefault="00B323A0" w:rsidP="00ED5C4C">
            <w:pPr>
              <w:pStyle w:val="Level3"/>
              <w:widowControl w:val="0"/>
              <w:numPr>
                <w:ilvl w:val="0"/>
                <w:numId w:val="0"/>
              </w:numPr>
              <w:spacing w:before="140" w:after="0"/>
              <w:jc w:val="center"/>
              <w:outlineLvl w:val="9"/>
              <w:rPr>
                <w:b/>
                <w:color w:val="FFFFFF" w:themeColor="background1"/>
                <w:sz w:val="18"/>
              </w:rPr>
            </w:pPr>
            <w:bookmarkStart w:id="8" w:name="_Hlk96626925"/>
            <w:r w:rsidRPr="0045539C">
              <w:rPr>
                <w:b/>
                <w:color w:val="FFFFFF" w:themeColor="background1"/>
                <w:sz w:val="18"/>
              </w:rPr>
              <w:t>Período</w:t>
            </w:r>
          </w:p>
        </w:tc>
        <w:tc>
          <w:tcPr>
            <w:tcW w:w="3563" w:type="dxa"/>
            <w:shd w:val="clear" w:color="auto" w:fill="002060"/>
          </w:tcPr>
          <w:p w14:paraId="5E187D1E" w14:textId="77777777" w:rsidR="00B323A0" w:rsidRPr="0045539C" w:rsidRDefault="00B323A0" w:rsidP="00ED5C4C">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do Resgate Antecipado Facultativo</w:t>
            </w:r>
          </w:p>
        </w:tc>
      </w:tr>
      <w:tr w:rsidR="00B323A0" w:rsidRPr="0045539C" w14:paraId="466E9412" w14:textId="77777777" w:rsidTr="00B323A0">
        <w:tblPrEx>
          <w:tblCellMar>
            <w:top w:w="0" w:type="dxa"/>
            <w:left w:w="108" w:type="dxa"/>
            <w:bottom w:w="0" w:type="dxa"/>
            <w:right w:w="108" w:type="dxa"/>
          </w:tblCellMar>
        </w:tblPrEx>
        <w:tc>
          <w:tcPr>
            <w:tcW w:w="2809" w:type="dxa"/>
          </w:tcPr>
          <w:p w14:paraId="4002D38D" w14:textId="77777777" w:rsidR="00B323A0" w:rsidRPr="0099078C" w:rsidRDefault="00B323A0" w:rsidP="00ED5C4C">
            <w:pPr>
              <w:pStyle w:val="Level3"/>
              <w:widowControl w:val="0"/>
              <w:numPr>
                <w:ilvl w:val="0"/>
                <w:numId w:val="0"/>
              </w:numPr>
              <w:spacing w:before="140" w:after="0"/>
              <w:jc w:val="center"/>
              <w:outlineLvl w:val="9"/>
            </w:pPr>
            <w:r w:rsidRPr="0099078C">
              <w:t>A partir da Data de Emissão (inclusive) até 18 de setembro de 2022 (</w:t>
            </w:r>
            <w:r>
              <w:t>ex</w:t>
            </w:r>
            <w:r w:rsidRPr="0099078C">
              <w:t>clusive)</w:t>
            </w:r>
          </w:p>
        </w:tc>
        <w:tc>
          <w:tcPr>
            <w:tcW w:w="3563" w:type="dxa"/>
          </w:tcPr>
          <w:p w14:paraId="477AA090" w14:textId="77777777" w:rsidR="00B323A0" w:rsidRPr="0099078C" w:rsidRDefault="00B323A0" w:rsidP="00ED5C4C">
            <w:pPr>
              <w:pStyle w:val="Level3"/>
              <w:widowControl w:val="0"/>
              <w:numPr>
                <w:ilvl w:val="0"/>
                <w:numId w:val="0"/>
              </w:numPr>
              <w:spacing w:before="140" w:after="0"/>
              <w:jc w:val="center"/>
              <w:outlineLvl w:val="9"/>
            </w:pPr>
            <w:r w:rsidRPr="0099078C">
              <w:t>0,85%</w:t>
            </w:r>
          </w:p>
        </w:tc>
      </w:tr>
      <w:tr w:rsidR="00B323A0" w:rsidRPr="0045539C" w14:paraId="18163A62" w14:textId="77777777" w:rsidTr="00B323A0">
        <w:tblPrEx>
          <w:tblCellMar>
            <w:top w:w="0" w:type="dxa"/>
            <w:left w:w="108" w:type="dxa"/>
            <w:bottom w:w="0" w:type="dxa"/>
            <w:right w:w="108" w:type="dxa"/>
          </w:tblCellMar>
        </w:tblPrEx>
        <w:tc>
          <w:tcPr>
            <w:tcW w:w="2809" w:type="dxa"/>
          </w:tcPr>
          <w:p w14:paraId="1B3355A0" w14:textId="7610301A" w:rsidR="00B323A0" w:rsidRPr="0099078C" w:rsidRDefault="00B323A0" w:rsidP="00ED5C4C">
            <w:pPr>
              <w:pStyle w:val="Level3"/>
              <w:widowControl w:val="0"/>
              <w:numPr>
                <w:ilvl w:val="0"/>
                <w:numId w:val="0"/>
              </w:numPr>
              <w:spacing w:before="140" w:after="0"/>
              <w:jc w:val="center"/>
              <w:outlineLvl w:val="9"/>
            </w:pPr>
            <w:r w:rsidRPr="0099078C">
              <w:t>A partir de até 18 de setembro de 2023 (</w:t>
            </w:r>
            <w:r w:rsidR="002C16A4">
              <w:t>inclusive</w:t>
            </w:r>
            <w:r w:rsidRPr="0099078C">
              <w:t>) até 18 de março de 2023 (</w:t>
            </w:r>
            <w:r w:rsidR="002C16A4">
              <w:t>exclusive</w:t>
            </w:r>
            <w:r w:rsidRPr="0099078C">
              <w:t>)</w:t>
            </w:r>
          </w:p>
        </w:tc>
        <w:tc>
          <w:tcPr>
            <w:tcW w:w="3563" w:type="dxa"/>
          </w:tcPr>
          <w:p w14:paraId="1B68A1DC" w14:textId="77777777" w:rsidR="00B323A0" w:rsidRPr="00377CF4" w:rsidRDefault="00B323A0" w:rsidP="00ED5C4C">
            <w:pPr>
              <w:pStyle w:val="Level3"/>
              <w:widowControl w:val="0"/>
              <w:numPr>
                <w:ilvl w:val="0"/>
                <w:numId w:val="0"/>
              </w:numPr>
              <w:spacing w:before="140" w:after="0"/>
              <w:jc w:val="center"/>
              <w:outlineLvl w:val="9"/>
            </w:pPr>
            <w:r w:rsidRPr="00377CF4">
              <w:t>0,80%</w:t>
            </w:r>
          </w:p>
        </w:tc>
      </w:tr>
      <w:tr w:rsidR="00B323A0" w:rsidRPr="0045539C" w14:paraId="49C8E642" w14:textId="77777777" w:rsidTr="00B323A0">
        <w:tblPrEx>
          <w:tblCellMar>
            <w:top w:w="0" w:type="dxa"/>
            <w:left w:w="108" w:type="dxa"/>
            <w:bottom w:w="0" w:type="dxa"/>
            <w:right w:w="108" w:type="dxa"/>
          </w:tblCellMar>
        </w:tblPrEx>
        <w:tc>
          <w:tcPr>
            <w:tcW w:w="2809" w:type="dxa"/>
          </w:tcPr>
          <w:p w14:paraId="27CA83B1" w14:textId="661242B0" w:rsidR="00B323A0" w:rsidRPr="0099078C" w:rsidRDefault="00B323A0" w:rsidP="00ED5C4C">
            <w:pPr>
              <w:pStyle w:val="Level3"/>
              <w:widowControl w:val="0"/>
              <w:numPr>
                <w:ilvl w:val="0"/>
                <w:numId w:val="0"/>
              </w:numPr>
              <w:spacing w:before="140" w:after="0"/>
              <w:jc w:val="center"/>
              <w:outlineLvl w:val="9"/>
            </w:pPr>
            <w:r w:rsidRPr="0099078C">
              <w:t xml:space="preserve">A partir de até 18 de março </w:t>
            </w:r>
            <w:r w:rsidRPr="0099078C">
              <w:lastRenderedPageBreak/>
              <w:t>de 2023 (</w:t>
            </w:r>
            <w:r w:rsidR="002C16A4">
              <w:t>inclusive</w:t>
            </w:r>
            <w:r w:rsidRPr="0099078C">
              <w:t>) até 18 de março de 2024 (</w:t>
            </w:r>
            <w:r>
              <w:t>ex</w:t>
            </w:r>
            <w:r w:rsidRPr="0099078C">
              <w:t>clusive)</w:t>
            </w:r>
          </w:p>
        </w:tc>
        <w:tc>
          <w:tcPr>
            <w:tcW w:w="3563" w:type="dxa"/>
          </w:tcPr>
          <w:p w14:paraId="1F2AD8B9" w14:textId="77777777" w:rsidR="00B323A0" w:rsidRPr="00377CF4" w:rsidRDefault="00B323A0" w:rsidP="00ED5C4C">
            <w:pPr>
              <w:pStyle w:val="Level3"/>
              <w:widowControl w:val="0"/>
              <w:numPr>
                <w:ilvl w:val="0"/>
                <w:numId w:val="0"/>
              </w:numPr>
              <w:spacing w:before="140" w:after="0"/>
              <w:jc w:val="center"/>
              <w:outlineLvl w:val="9"/>
            </w:pPr>
            <w:r w:rsidRPr="00377CF4">
              <w:lastRenderedPageBreak/>
              <w:t>0,75%</w:t>
            </w:r>
          </w:p>
        </w:tc>
      </w:tr>
      <w:tr w:rsidR="00B323A0" w:rsidRPr="0045539C" w14:paraId="2F41FF47" w14:textId="77777777" w:rsidTr="00B323A0">
        <w:tblPrEx>
          <w:tblCellMar>
            <w:top w:w="0" w:type="dxa"/>
            <w:left w:w="108" w:type="dxa"/>
            <w:bottom w:w="0" w:type="dxa"/>
            <w:right w:w="108" w:type="dxa"/>
          </w:tblCellMar>
        </w:tblPrEx>
        <w:tc>
          <w:tcPr>
            <w:tcW w:w="2809" w:type="dxa"/>
          </w:tcPr>
          <w:p w14:paraId="3B363C88" w14:textId="2CBE739D" w:rsidR="00B323A0" w:rsidRPr="0099078C" w:rsidRDefault="00B323A0" w:rsidP="00ED5C4C">
            <w:pPr>
              <w:pStyle w:val="Level3"/>
              <w:widowControl w:val="0"/>
              <w:numPr>
                <w:ilvl w:val="0"/>
                <w:numId w:val="0"/>
              </w:numPr>
              <w:spacing w:before="140" w:after="0"/>
              <w:jc w:val="center"/>
              <w:outlineLvl w:val="9"/>
            </w:pPr>
            <w:r w:rsidRPr="0099078C">
              <w:t>A partir de até 18 de março de 2024 (</w:t>
            </w:r>
            <w:proofErr w:type="spellStart"/>
            <w:r w:rsidR="002C16A4">
              <w:t>incusive</w:t>
            </w:r>
            <w:proofErr w:type="spellEnd"/>
            <w:r w:rsidRPr="0099078C">
              <w:t>) até 18 de março de 2025 (</w:t>
            </w:r>
            <w:r w:rsidR="002C16A4">
              <w:t>exclusive</w:t>
            </w:r>
            <w:r w:rsidRPr="0099078C">
              <w:t>)</w:t>
            </w:r>
          </w:p>
        </w:tc>
        <w:tc>
          <w:tcPr>
            <w:tcW w:w="3563" w:type="dxa"/>
          </w:tcPr>
          <w:p w14:paraId="2ABCFCFB" w14:textId="77777777" w:rsidR="00B323A0" w:rsidRPr="00377CF4" w:rsidRDefault="00B323A0" w:rsidP="00ED5C4C">
            <w:pPr>
              <w:pStyle w:val="Level3"/>
              <w:widowControl w:val="0"/>
              <w:numPr>
                <w:ilvl w:val="0"/>
                <w:numId w:val="0"/>
              </w:numPr>
              <w:spacing w:before="140" w:after="0"/>
              <w:jc w:val="center"/>
              <w:outlineLvl w:val="9"/>
            </w:pPr>
            <w:r w:rsidRPr="00377CF4">
              <w:t>0,65%</w:t>
            </w:r>
          </w:p>
        </w:tc>
      </w:tr>
      <w:tr w:rsidR="00B323A0" w:rsidRPr="0045539C" w14:paraId="75DE5093" w14:textId="77777777" w:rsidTr="00B323A0">
        <w:tblPrEx>
          <w:tblCellMar>
            <w:top w:w="0" w:type="dxa"/>
            <w:left w:w="108" w:type="dxa"/>
            <w:bottom w:w="0" w:type="dxa"/>
            <w:right w:w="108" w:type="dxa"/>
          </w:tblCellMar>
        </w:tblPrEx>
        <w:tc>
          <w:tcPr>
            <w:tcW w:w="2809" w:type="dxa"/>
          </w:tcPr>
          <w:p w14:paraId="11EB1552" w14:textId="21662853" w:rsidR="00B323A0" w:rsidRPr="0099078C" w:rsidRDefault="00B323A0" w:rsidP="00ED5C4C">
            <w:pPr>
              <w:pStyle w:val="Level3"/>
              <w:widowControl w:val="0"/>
              <w:numPr>
                <w:ilvl w:val="0"/>
                <w:numId w:val="0"/>
              </w:numPr>
              <w:spacing w:before="140" w:after="0"/>
              <w:jc w:val="center"/>
              <w:outlineLvl w:val="9"/>
            </w:pPr>
            <w:r w:rsidRPr="0099078C">
              <w:t>A partir de até 18 de março de 2025 (</w:t>
            </w:r>
            <w:r w:rsidR="002C16A4">
              <w:t>inclusive</w:t>
            </w:r>
            <w:r w:rsidRPr="0099078C">
              <w:t>) até a Data de Vencimento (exclusive)</w:t>
            </w:r>
          </w:p>
        </w:tc>
        <w:tc>
          <w:tcPr>
            <w:tcW w:w="3563" w:type="dxa"/>
          </w:tcPr>
          <w:p w14:paraId="029DAC0E" w14:textId="77777777" w:rsidR="00B323A0" w:rsidRPr="0099078C" w:rsidRDefault="00B323A0" w:rsidP="00ED5C4C">
            <w:pPr>
              <w:pStyle w:val="Level3"/>
              <w:widowControl w:val="0"/>
              <w:numPr>
                <w:ilvl w:val="0"/>
                <w:numId w:val="0"/>
              </w:numPr>
              <w:spacing w:before="140" w:after="0"/>
              <w:jc w:val="center"/>
              <w:outlineLvl w:val="9"/>
            </w:pPr>
            <w:r w:rsidRPr="0099078C">
              <w:t>0,50%</w:t>
            </w:r>
          </w:p>
        </w:tc>
      </w:tr>
      <w:bookmarkEnd w:id="8"/>
    </w:tbl>
    <w:p w14:paraId="6562E2AE" w14:textId="77777777" w:rsidR="00D475E0" w:rsidRPr="003C7BE7" w:rsidRDefault="00D475E0" w:rsidP="00AF3C84">
      <w:pPr>
        <w:pStyle w:val="Level4"/>
        <w:widowControl w:val="0"/>
        <w:numPr>
          <w:ilvl w:val="0"/>
          <w:numId w:val="0"/>
        </w:numPr>
        <w:spacing w:before="140" w:after="0"/>
        <w:ind w:left="2880"/>
        <w:rPr>
          <w:szCs w:val="20"/>
        </w:rPr>
      </w:pPr>
    </w:p>
    <w:p w14:paraId="4C556F66" w14:textId="602089A0" w:rsidR="00E659CE" w:rsidRDefault="00977215" w:rsidP="00AF3C84">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Amortização Extraordinária Facultativa</w:t>
      </w:r>
      <w:r w:rsidRPr="003C7BE7">
        <w:rPr>
          <w:rFonts w:ascii="Arial" w:hAnsi="Arial" w:cs="Arial"/>
          <w:sz w:val="20"/>
          <w:szCs w:val="20"/>
          <w:lang w:val="pt-BR"/>
        </w:rPr>
        <w:t>: a</w:t>
      </w:r>
      <w:r w:rsidR="0005016B" w:rsidRPr="003C7BE7">
        <w:rPr>
          <w:rFonts w:ascii="Arial" w:hAnsi="Arial" w:cs="Arial"/>
          <w:sz w:val="20"/>
          <w:szCs w:val="20"/>
          <w:lang w:val="pt-BR"/>
        </w:rPr>
        <w:t xml:space="preserve"> </w:t>
      </w:r>
      <w:r w:rsidR="009E0831" w:rsidRPr="003C7BE7">
        <w:rPr>
          <w:rFonts w:ascii="Arial" w:hAnsi="Arial" w:cs="Arial"/>
          <w:sz w:val="20"/>
          <w:szCs w:val="20"/>
          <w:lang w:val="pt-BR"/>
        </w:rPr>
        <w:t xml:space="preserve">Companhia </w:t>
      </w:r>
      <w:r w:rsidR="0005016B" w:rsidRPr="003C7BE7">
        <w:rPr>
          <w:rFonts w:ascii="Arial" w:hAnsi="Arial" w:cs="Arial"/>
          <w:sz w:val="20"/>
          <w:szCs w:val="20"/>
          <w:lang w:val="pt-BR"/>
        </w:rPr>
        <w:t>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0005016B" w:rsidRPr="003C7BE7">
        <w:rPr>
          <w:rFonts w:ascii="Arial" w:hAnsi="Arial" w:cs="Arial"/>
          <w:b/>
          <w:sz w:val="20"/>
          <w:szCs w:val="20"/>
          <w:lang w:val="pt-BR"/>
        </w:rPr>
        <w:t>Amortização Extraordinária Facultativa</w:t>
      </w:r>
      <w:r w:rsidR="0005016B" w:rsidRPr="003C7BE7">
        <w:rPr>
          <w:rFonts w:ascii="Arial" w:hAnsi="Arial" w:cs="Arial"/>
          <w:sz w:val="20"/>
          <w:szCs w:val="20"/>
          <w:lang w:val="pt-BR"/>
        </w:rPr>
        <w:t xml:space="preserve">”), </w:t>
      </w:r>
      <w:r w:rsidR="0005016B" w:rsidRPr="003C7BE7">
        <w:rPr>
          <w:rFonts w:ascii="Arial" w:hAnsi="Arial" w:cs="Arial"/>
          <w:snapToGrid w:val="0"/>
          <w:sz w:val="20"/>
          <w:szCs w:val="20"/>
          <w:lang w:val="pt-BR"/>
        </w:rPr>
        <w:t xml:space="preserve">de acordo com os termos e condições </w:t>
      </w:r>
      <w:r w:rsidRPr="003C7BE7">
        <w:rPr>
          <w:rFonts w:ascii="Arial" w:hAnsi="Arial" w:cs="Arial"/>
          <w:snapToGrid w:val="0"/>
          <w:sz w:val="20"/>
          <w:szCs w:val="20"/>
          <w:lang w:val="pt-BR"/>
        </w:rPr>
        <w:t xml:space="preserve">a serem </w:t>
      </w:r>
      <w:r w:rsidR="0005016B" w:rsidRPr="003C7BE7">
        <w:rPr>
          <w:rFonts w:ascii="Arial" w:hAnsi="Arial" w:cs="Arial"/>
          <w:snapToGrid w:val="0"/>
          <w:sz w:val="20"/>
          <w:szCs w:val="20"/>
          <w:lang w:val="pt-BR"/>
        </w:rPr>
        <w:t>previstos</w:t>
      </w:r>
      <w:r w:rsidRPr="003C7BE7">
        <w:rPr>
          <w:rFonts w:ascii="Arial" w:hAnsi="Arial" w:cs="Arial"/>
          <w:snapToGrid w:val="0"/>
          <w:sz w:val="20"/>
          <w:szCs w:val="20"/>
          <w:lang w:val="pt-BR"/>
        </w:rPr>
        <w:t xml:space="preserve"> na Escritura de Emissão. </w:t>
      </w:r>
      <w:bookmarkStart w:id="9" w:name="_Ref480796992"/>
      <w:r w:rsidRPr="003C7BE7">
        <w:rPr>
          <w:rFonts w:ascii="Arial" w:hAnsi="Arial" w:cs="Arial"/>
          <w:sz w:val="20"/>
          <w:szCs w:val="20"/>
          <w:lang w:val="pt-BR"/>
        </w:rPr>
        <w:t>A Amortização Extraordinária Facultativa será realizada mediante o pagamento da: (a)</w:t>
      </w:r>
      <w:r w:rsidR="00411D13" w:rsidRPr="003C7BE7">
        <w:rPr>
          <w:rFonts w:ascii="Arial" w:hAnsi="Arial" w:cs="Arial"/>
          <w:sz w:val="20"/>
          <w:szCs w:val="20"/>
          <w:lang w:val="pt-BR"/>
        </w:rPr>
        <w:t> </w:t>
      </w:r>
      <w:r w:rsidRPr="003C7BE7">
        <w:rPr>
          <w:rFonts w:ascii="Arial" w:hAnsi="Arial" w:cs="Arial"/>
          <w:sz w:val="20"/>
          <w:szCs w:val="20"/>
          <w:lang w:val="pt-BR"/>
        </w:rPr>
        <w:t>parcela do Valor Nominal Unitário ou do saldo do Valor Nominal Unitário, conforme o caso, a ser amortizada extraordinariamente, limitada a 98% (noventa e oito inteiros por cento) do saldo do Valor Nominal Unitário; acrescida da (b) </w:t>
      </w:r>
      <w:r w:rsidR="00D475E0" w:rsidRPr="003C7BE7">
        <w:rPr>
          <w:rFonts w:ascii="Arial" w:hAnsi="Arial" w:cs="Arial"/>
          <w:sz w:val="20"/>
          <w:szCs w:val="20"/>
          <w:lang w:val="pt-BR"/>
        </w:rPr>
        <w:t xml:space="preserve">Remuneração, em relação à parcela de Amortização Extraordinária Facultativa, calculada </w:t>
      </w:r>
      <w:r w:rsidR="00D475E0" w:rsidRPr="003C7BE7">
        <w:rPr>
          <w:rFonts w:ascii="Arial" w:hAnsi="Arial" w:cs="Arial"/>
          <w:i/>
          <w:sz w:val="20"/>
          <w:szCs w:val="20"/>
          <w:lang w:val="pt-BR"/>
        </w:rPr>
        <w:t xml:space="preserve">pro rata </w:t>
      </w:r>
      <w:proofErr w:type="spellStart"/>
      <w:r w:rsidR="00D475E0" w:rsidRPr="003C7BE7">
        <w:rPr>
          <w:rFonts w:ascii="Arial" w:hAnsi="Arial" w:cs="Arial"/>
          <w:i/>
          <w:sz w:val="20"/>
          <w:szCs w:val="20"/>
          <w:lang w:val="pt-BR"/>
        </w:rPr>
        <w:t>temporis</w:t>
      </w:r>
      <w:proofErr w:type="spellEnd"/>
      <w:r w:rsidR="00D475E0" w:rsidRPr="003C7BE7">
        <w:rPr>
          <w:rFonts w:ascii="Arial" w:hAnsi="Arial" w:cs="Arial"/>
          <w:sz w:val="20"/>
          <w:szCs w:val="20"/>
          <w:lang w:val="pt-BR"/>
        </w:rPr>
        <w:t xml:space="preserve"> desde a Primeira Data de Integralização ou a Data de Pagamento da Remuneração imediatamente anterior, conforme o caso, até a data da efetiva Amortização Extraordinária Facultativa e acrescido; (c) do prêmio, </w:t>
      </w:r>
      <w:r w:rsidR="00D475E0" w:rsidRPr="003C7BE7">
        <w:rPr>
          <w:rFonts w:ascii="Arial" w:hAnsi="Arial" w:cs="Arial"/>
          <w:i/>
          <w:sz w:val="20"/>
          <w:szCs w:val="20"/>
          <w:lang w:val="pt-BR"/>
        </w:rPr>
        <w:t>flat</w:t>
      </w:r>
      <w:r w:rsidR="00D475E0" w:rsidRPr="003C7BE7">
        <w:rPr>
          <w:rFonts w:ascii="Arial" w:hAnsi="Arial" w:cs="Arial"/>
          <w:sz w:val="20"/>
          <w:szCs w:val="20"/>
          <w:lang w:val="pt-BR"/>
        </w:rPr>
        <w:t>, incidente sobre o Valor Nominal Unitário, ou saldo do Valor Nominal Unitário(“</w:t>
      </w:r>
      <w:r w:rsidR="00D475E0" w:rsidRPr="003C7BE7">
        <w:rPr>
          <w:rFonts w:ascii="Arial" w:hAnsi="Arial" w:cs="Arial"/>
          <w:b/>
          <w:sz w:val="20"/>
          <w:szCs w:val="20"/>
          <w:lang w:val="pt-BR"/>
        </w:rPr>
        <w:t>Prêmio da Amortização Extraordinária Facultativa</w:t>
      </w:r>
      <w:r w:rsidR="00D475E0" w:rsidRPr="003C7BE7">
        <w:rPr>
          <w:rFonts w:ascii="Arial" w:hAnsi="Arial" w:cs="Arial"/>
          <w:sz w:val="20"/>
          <w:szCs w:val="20"/>
          <w:lang w:val="pt-BR"/>
        </w:rPr>
        <w:t xml:space="preserve">”), </w:t>
      </w:r>
      <w:r w:rsidR="009E0831" w:rsidRPr="003C7BE7">
        <w:rPr>
          <w:rFonts w:ascii="Arial" w:hAnsi="Arial" w:cs="Arial"/>
          <w:sz w:val="20"/>
          <w:szCs w:val="20"/>
          <w:lang w:val="pt-BR"/>
        </w:rPr>
        <w:t>calculado conforme tabela</w:t>
      </w:r>
      <w:r w:rsidR="00D475E0" w:rsidRPr="003C7BE7">
        <w:rPr>
          <w:rFonts w:ascii="Arial" w:hAnsi="Arial" w:cs="Arial"/>
          <w:sz w:val="20"/>
          <w:szCs w:val="20"/>
          <w:lang w:val="pt-BR"/>
        </w:rPr>
        <w:t xml:space="preserve"> abaixo</w:t>
      </w:r>
      <w:r w:rsidR="009E0831" w:rsidRPr="003C7BE7">
        <w:rPr>
          <w:rFonts w:ascii="Arial" w:hAnsi="Arial" w:cs="Arial"/>
          <w:sz w:val="20"/>
          <w:szCs w:val="20"/>
          <w:lang w:val="pt-BR"/>
        </w:rPr>
        <w:t xml:space="preserve"> (“</w:t>
      </w:r>
      <w:r w:rsidR="009E0831" w:rsidRPr="003C7BE7">
        <w:rPr>
          <w:rFonts w:ascii="Arial" w:hAnsi="Arial" w:cs="Arial"/>
          <w:b/>
          <w:sz w:val="20"/>
          <w:szCs w:val="20"/>
          <w:lang w:val="pt-BR"/>
        </w:rPr>
        <w:t>Valor da Amortização Extraordinária Facultativa</w:t>
      </w:r>
      <w:r w:rsidR="009E0831" w:rsidRPr="003C7BE7">
        <w:rPr>
          <w:rFonts w:ascii="Arial" w:hAnsi="Arial" w:cs="Arial"/>
          <w:sz w:val="20"/>
          <w:szCs w:val="20"/>
          <w:lang w:val="pt-BR"/>
        </w:rPr>
        <w:t>”). Na hipótese de a data de Amortização Extraordinária Facultativa coincidir com a Data de Pagamento da Amortização Programada, o Prêmio da Amortização Extraordinária Facultativa previsto no item (c)</w:t>
      </w:r>
      <w:r w:rsidR="00D475E0" w:rsidRPr="003C7BE7">
        <w:rPr>
          <w:rFonts w:ascii="Arial" w:hAnsi="Arial" w:cs="Arial"/>
          <w:sz w:val="20"/>
          <w:szCs w:val="20"/>
          <w:lang w:val="pt-BR"/>
        </w:rPr>
        <w:t> </w:t>
      </w:r>
      <w:r w:rsidR="009E0831" w:rsidRPr="003C7BE7">
        <w:rPr>
          <w:rFonts w:ascii="Arial" w:hAnsi="Arial" w:cs="Arial"/>
          <w:sz w:val="20"/>
          <w:szCs w:val="20"/>
          <w:lang w:val="pt-BR"/>
        </w:rPr>
        <w:t xml:space="preserve">acima incidirá somente sobre a valor de amortização pago extraordinariamente na Data de Pagamento. </w:t>
      </w:r>
    </w:p>
    <w:p w14:paraId="5B4C9823" w14:textId="77777777" w:rsidR="008E574F" w:rsidRPr="003C7BE7" w:rsidRDefault="008E574F" w:rsidP="0009233C">
      <w:pPr>
        <w:pStyle w:val="ListParagraph"/>
        <w:autoSpaceDE w:val="0"/>
        <w:autoSpaceDN w:val="0"/>
        <w:adjustRightInd w:val="0"/>
        <w:spacing w:line="276" w:lineRule="auto"/>
        <w:ind w:left="1080" w:right="18"/>
        <w:jc w:val="both"/>
        <w:rPr>
          <w:rFonts w:ascii="Arial" w:hAnsi="Arial" w:cs="Arial"/>
          <w:sz w:val="20"/>
          <w:szCs w:val="20"/>
          <w:lang w:val="pt-BR"/>
        </w:rPr>
      </w:pPr>
    </w:p>
    <w:tbl>
      <w:tblPr>
        <w:tblStyle w:val="TableGrid"/>
        <w:tblW w:w="0" w:type="auto"/>
        <w:tblInd w:w="2122" w:type="dxa"/>
        <w:tblLook w:val="04A0" w:firstRow="1" w:lastRow="0" w:firstColumn="1" w:lastColumn="0" w:noHBand="0" w:noVBand="1"/>
      </w:tblPr>
      <w:tblGrid>
        <w:gridCol w:w="2809"/>
        <w:gridCol w:w="3563"/>
      </w:tblGrid>
      <w:tr w:rsidR="008E574F" w:rsidRPr="0096157F" w14:paraId="3870FAE2" w14:textId="77777777" w:rsidTr="0009233C">
        <w:tc>
          <w:tcPr>
            <w:tcW w:w="2809" w:type="dxa"/>
            <w:shd w:val="clear" w:color="auto" w:fill="002060"/>
          </w:tcPr>
          <w:p w14:paraId="0280B9AD" w14:textId="77777777" w:rsidR="008E574F" w:rsidRPr="0045539C" w:rsidRDefault="008E574F" w:rsidP="00ED5C4C">
            <w:pPr>
              <w:pStyle w:val="Level3"/>
              <w:widowControl w:val="0"/>
              <w:numPr>
                <w:ilvl w:val="0"/>
                <w:numId w:val="0"/>
              </w:numPr>
              <w:spacing w:before="140" w:after="0"/>
              <w:jc w:val="center"/>
              <w:outlineLvl w:val="9"/>
              <w:rPr>
                <w:b/>
                <w:color w:val="FFFFFF" w:themeColor="background1"/>
                <w:sz w:val="18"/>
              </w:rPr>
            </w:pPr>
            <w:bookmarkStart w:id="10" w:name="_Hlk96627004"/>
            <w:r w:rsidRPr="0045539C">
              <w:rPr>
                <w:b/>
                <w:color w:val="FFFFFF" w:themeColor="background1"/>
                <w:sz w:val="18"/>
              </w:rPr>
              <w:t>Período</w:t>
            </w:r>
          </w:p>
        </w:tc>
        <w:tc>
          <w:tcPr>
            <w:tcW w:w="3563" w:type="dxa"/>
            <w:shd w:val="clear" w:color="auto" w:fill="002060"/>
          </w:tcPr>
          <w:p w14:paraId="1F5FC764" w14:textId="77777777" w:rsidR="008E574F" w:rsidRPr="0045539C" w:rsidRDefault="008E574F" w:rsidP="00ED5C4C">
            <w:pPr>
              <w:pStyle w:val="Level3"/>
              <w:widowControl w:val="0"/>
              <w:numPr>
                <w:ilvl w:val="0"/>
                <w:numId w:val="0"/>
              </w:numPr>
              <w:spacing w:before="140" w:after="0"/>
              <w:jc w:val="center"/>
              <w:outlineLvl w:val="9"/>
              <w:rPr>
                <w:b/>
                <w:color w:val="FFFFFF" w:themeColor="background1"/>
                <w:sz w:val="18"/>
              </w:rPr>
            </w:pPr>
            <w:r w:rsidRPr="0045539C">
              <w:rPr>
                <w:b/>
                <w:color w:val="FFFFFF" w:themeColor="background1"/>
                <w:sz w:val="18"/>
              </w:rPr>
              <w:t>Prêmio</w:t>
            </w:r>
            <w:r>
              <w:rPr>
                <w:b/>
                <w:color w:val="FFFFFF" w:themeColor="background1"/>
                <w:sz w:val="18"/>
              </w:rPr>
              <w:t xml:space="preserve"> </w:t>
            </w:r>
            <w:r w:rsidRPr="00AD5F09">
              <w:rPr>
                <w:b/>
                <w:color w:val="FFFFFF" w:themeColor="background1"/>
                <w:sz w:val="18"/>
              </w:rPr>
              <w:t>da Amortização Extraordinária Facultativa</w:t>
            </w:r>
          </w:p>
        </w:tc>
      </w:tr>
      <w:tr w:rsidR="00FB5410" w:rsidRPr="0045539C" w14:paraId="55DA5E42" w14:textId="77777777" w:rsidTr="008E574F">
        <w:tc>
          <w:tcPr>
            <w:tcW w:w="2809" w:type="dxa"/>
          </w:tcPr>
          <w:p w14:paraId="61557961" w14:textId="7ADCF0D1" w:rsidR="00FB5410" w:rsidRPr="0045539C" w:rsidRDefault="00FB5410" w:rsidP="00FB5410">
            <w:pPr>
              <w:pStyle w:val="Level3"/>
              <w:widowControl w:val="0"/>
              <w:numPr>
                <w:ilvl w:val="0"/>
                <w:numId w:val="0"/>
              </w:numPr>
              <w:spacing w:before="140" w:after="0"/>
              <w:jc w:val="center"/>
              <w:outlineLvl w:val="9"/>
            </w:pPr>
            <w:r w:rsidRPr="0099078C">
              <w:t xml:space="preserve">A partir da Data de Emissão </w:t>
            </w:r>
            <w:r w:rsidRPr="0099078C">
              <w:lastRenderedPageBreak/>
              <w:t>(inclusive) até 18 de setembro de 2022 (</w:t>
            </w:r>
            <w:r>
              <w:t>ex</w:t>
            </w:r>
            <w:r w:rsidRPr="0099078C">
              <w:t>clusive)</w:t>
            </w:r>
          </w:p>
        </w:tc>
        <w:tc>
          <w:tcPr>
            <w:tcW w:w="3563" w:type="dxa"/>
          </w:tcPr>
          <w:p w14:paraId="271E70CE" w14:textId="77777777" w:rsidR="00FB5410" w:rsidRPr="0045539C" w:rsidRDefault="00FB5410" w:rsidP="00FB5410">
            <w:pPr>
              <w:pStyle w:val="Level3"/>
              <w:widowControl w:val="0"/>
              <w:numPr>
                <w:ilvl w:val="0"/>
                <w:numId w:val="0"/>
              </w:numPr>
              <w:spacing w:before="140" w:after="0"/>
              <w:jc w:val="center"/>
              <w:outlineLvl w:val="9"/>
            </w:pPr>
            <w:r w:rsidRPr="00886540">
              <w:lastRenderedPageBreak/>
              <w:t>0,85%</w:t>
            </w:r>
          </w:p>
        </w:tc>
      </w:tr>
      <w:tr w:rsidR="00FB5410" w:rsidRPr="0045539C" w14:paraId="3D5FE2CC" w14:textId="77777777" w:rsidTr="008E574F">
        <w:tc>
          <w:tcPr>
            <w:tcW w:w="2809" w:type="dxa"/>
          </w:tcPr>
          <w:p w14:paraId="355EF87F" w14:textId="2FFF1AF5" w:rsidR="00FB5410" w:rsidRDefault="00FB5410" w:rsidP="00FB5410">
            <w:pPr>
              <w:pStyle w:val="Level3"/>
              <w:widowControl w:val="0"/>
              <w:numPr>
                <w:ilvl w:val="0"/>
                <w:numId w:val="0"/>
              </w:numPr>
              <w:spacing w:before="140" w:after="0"/>
              <w:jc w:val="center"/>
              <w:outlineLvl w:val="9"/>
            </w:pPr>
            <w:r w:rsidRPr="0099078C">
              <w:t>A partir de até 18 de setembro de 2023 (</w:t>
            </w:r>
            <w:r>
              <w:t>inclusive</w:t>
            </w:r>
            <w:r w:rsidRPr="0099078C">
              <w:t>) até 18 de março de 2023 (</w:t>
            </w:r>
            <w:r>
              <w:t>exclusive</w:t>
            </w:r>
            <w:r w:rsidRPr="0099078C">
              <w:t>)</w:t>
            </w:r>
          </w:p>
        </w:tc>
        <w:tc>
          <w:tcPr>
            <w:tcW w:w="3563" w:type="dxa"/>
          </w:tcPr>
          <w:p w14:paraId="176FF6E8" w14:textId="77777777" w:rsidR="00FB5410" w:rsidRPr="00BE0B65" w:rsidRDefault="00FB5410" w:rsidP="00FB5410">
            <w:pPr>
              <w:pStyle w:val="Level3"/>
              <w:widowControl w:val="0"/>
              <w:numPr>
                <w:ilvl w:val="0"/>
                <w:numId w:val="0"/>
              </w:numPr>
              <w:spacing w:before="140" w:after="0"/>
              <w:jc w:val="center"/>
              <w:outlineLvl w:val="9"/>
              <w:rPr>
                <w:highlight w:val="yellow"/>
              </w:rPr>
            </w:pPr>
            <w:r w:rsidRPr="00886540">
              <w:t>0,80%</w:t>
            </w:r>
          </w:p>
        </w:tc>
      </w:tr>
      <w:tr w:rsidR="00FB5410" w:rsidRPr="0045539C" w14:paraId="6CD07BAB" w14:textId="77777777" w:rsidTr="008E574F">
        <w:tc>
          <w:tcPr>
            <w:tcW w:w="2809" w:type="dxa"/>
          </w:tcPr>
          <w:p w14:paraId="228C6EA6" w14:textId="42E3ABF4" w:rsidR="00FB5410" w:rsidRDefault="00FB5410" w:rsidP="00FB5410">
            <w:pPr>
              <w:pStyle w:val="Level3"/>
              <w:widowControl w:val="0"/>
              <w:numPr>
                <w:ilvl w:val="0"/>
                <w:numId w:val="0"/>
              </w:numPr>
              <w:spacing w:before="140" w:after="0"/>
              <w:jc w:val="center"/>
              <w:outlineLvl w:val="9"/>
            </w:pPr>
            <w:r w:rsidRPr="0099078C">
              <w:t>A partir de até 18 de março de 2023 (</w:t>
            </w:r>
            <w:r>
              <w:t>inclusive</w:t>
            </w:r>
            <w:r w:rsidRPr="0099078C">
              <w:t>) até 18 de março de 2024 (</w:t>
            </w:r>
            <w:r>
              <w:t>ex</w:t>
            </w:r>
            <w:r w:rsidRPr="0099078C">
              <w:t>clusive)</w:t>
            </w:r>
          </w:p>
        </w:tc>
        <w:tc>
          <w:tcPr>
            <w:tcW w:w="3563" w:type="dxa"/>
          </w:tcPr>
          <w:p w14:paraId="007D952C" w14:textId="77777777" w:rsidR="00FB5410" w:rsidRPr="00BE0B65" w:rsidRDefault="00FB5410" w:rsidP="00FB5410">
            <w:pPr>
              <w:pStyle w:val="Level3"/>
              <w:widowControl w:val="0"/>
              <w:numPr>
                <w:ilvl w:val="0"/>
                <w:numId w:val="0"/>
              </w:numPr>
              <w:spacing w:before="140" w:after="0"/>
              <w:jc w:val="center"/>
              <w:outlineLvl w:val="9"/>
              <w:rPr>
                <w:highlight w:val="yellow"/>
              </w:rPr>
            </w:pPr>
            <w:r w:rsidRPr="00886540">
              <w:t>0,75%</w:t>
            </w:r>
          </w:p>
        </w:tc>
      </w:tr>
      <w:tr w:rsidR="00FB5410" w:rsidRPr="0045539C" w14:paraId="577EAF05" w14:textId="77777777" w:rsidTr="008E574F">
        <w:tc>
          <w:tcPr>
            <w:tcW w:w="2809" w:type="dxa"/>
          </w:tcPr>
          <w:p w14:paraId="1525424A" w14:textId="33487600" w:rsidR="00FB5410" w:rsidRDefault="00FB5410" w:rsidP="00FB5410">
            <w:pPr>
              <w:pStyle w:val="Level3"/>
              <w:widowControl w:val="0"/>
              <w:numPr>
                <w:ilvl w:val="0"/>
                <w:numId w:val="0"/>
              </w:numPr>
              <w:spacing w:before="140" w:after="0"/>
              <w:jc w:val="center"/>
              <w:outlineLvl w:val="9"/>
            </w:pPr>
            <w:r w:rsidRPr="0099078C">
              <w:t>A partir de até 18 de março de 2024 (</w:t>
            </w:r>
            <w:proofErr w:type="spellStart"/>
            <w:r>
              <w:t>incusive</w:t>
            </w:r>
            <w:proofErr w:type="spellEnd"/>
            <w:r w:rsidRPr="0099078C">
              <w:t>) até 18 de março de 2025 (</w:t>
            </w:r>
            <w:r>
              <w:t>exclusive</w:t>
            </w:r>
            <w:r w:rsidRPr="0099078C">
              <w:t>)</w:t>
            </w:r>
          </w:p>
        </w:tc>
        <w:tc>
          <w:tcPr>
            <w:tcW w:w="3563" w:type="dxa"/>
          </w:tcPr>
          <w:p w14:paraId="516CD6F1" w14:textId="77777777" w:rsidR="00FB5410" w:rsidRPr="00BE0B65" w:rsidRDefault="00FB5410" w:rsidP="00FB5410">
            <w:pPr>
              <w:pStyle w:val="Level3"/>
              <w:widowControl w:val="0"/>
              <w:numPr>
                <w:ilvl w:val="0"/>
                <w:numId w:val="0"/>
              </w:numPr>
              <w:spacing w:before="140" w:after="0"/>
              <w:jc w:val="center"/>
              <w:outlineLvl w:val="9"/>
              <w:rPr>
                <w:highlight w:val="yellow"/>
              </w:rPr>
            </w:pPr>
            <w:r w:rsidRPr="00886540">
              <w:t>0,65%</w:t>
            </w:r>
          </w:p>
        </w:tc>
      </w:tr>
      <w:tr w:rsidR="00FB5410" w:rsidRPr="0045539C" w14:paraId="22724552" w14:textId="77777777" w:rsidTr="008E574F">
        <w:tc>
          <w:tcPr>
            <w:tcW w:w="2809" w:type="dxa"/>
          </w:tcPr>
          <w:p w14:paraId="320D39FE" w14:textId="7DE3A6FA" w:rsidR="00FB5410" w:rsidRPr="0045539C" w:rsidRDefault="00FB5410" w:rsidP="00FB5410">
            <w:pPr>
              <w:pStyle w:val="Level3"/>
              <w:widowControl w:val="0"/>
              <w:numPr>
                <w:ilvl w:val="0"/>
                <w:numId w:val="0"/>
              </w:numPr>
              <w:spacing w:before="140" w:after="0"/>
              <w:jc w:val="center"/>
              <w:outlineLvl w:val="9"/>
            </w:pPr>
            <w:r w:rsidRPr="0099078C">
              <w:t>A partir de até 18 de março de 2025 (</w:t>
            </w:r>
            <w:r>
              <w:t>inclusive</w:t>
            </w:r>
            <w:r w:rsidRPr="0099078C">
              <w:t>) até a Data de Vencimento (exclusive)</w:t>
            </w:r>
          </w:p>
        </w:tc>
        <w:tc>
          <w:tcPr>
            <w:tcW w:w="3563" w:type="dxa"/>
          </w:tcPr>
          <w:p w14:paraId="4076A3AF" w14:textId="77777777" w:rsidR="00FB5410" w:rsidRDefault="00FB5410" w:rsidP="00FB5410">
            <w:pPr>
              <w:pStyle w:val="Level3"/>
              <w:widowControl w:val="0"/>
              <w:numPr>
                <w:ilvl w:val="0"/>
                <w:numId w:val="0"/>
              </w:numPr>
              <w:spacing w:before="140" w:after="0"/>
              <w:jc w:val="center"/>
              <w:outlineLvl w:val="9"/>
            </w:pPr>
            <w:r w:rsidRPr="00886540">
              <w:t>0,50%</w:t>
            </w:r>
          </w:p>
        </w:tc>
      </w:tr>
      <w:bookmarkEnd w:id="10"/>
    </w:tbl>
    <w:p w14:paraId="1A5F28E0" w14:textId="77777777" w:rsidR="00E659CE" w:rsidRPr="003C7BE7" w:rsidRDefault="00E659CE" w:rsidP="00AF3C84">
      <w:pPr>
        <w:autoSpaceDE w:val="0"/>
        <w:autoSpaceDN w:val="0"/>
        <w:adjustRightInd w:val="0"/>
        <w:spacing w:line="276" w:lineRule="auto"/>
        <w:ind w:left="360" w:right="18"/>
        <w:jc w:val="both"/>
        <w:rPr>
          <w:rFonts w:ascii="Arial" w:hAnsi="Arial" w:cs="Arial"/>
          <w:sz w:val="20"/>
          <w:szCs w:val="20"/>
          <w:lang w:val="pt-BR"/>
        </w:rPr>
      </w:pPr>
    </w:p>
    <w:p w14:paraId="4FAFEA13" w14:textId="572A6825" w:rsidR="0005016B" w:rsidRPr="008E574F" w:rsidRDefault="00E659CE" w:rsidP="00AF3C84">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 xml:space="preserve">Aquisição </w:t>
      </w:r>
      <w:r w:rsidRPr="008E574F">
        <w:rPr>
          <w:rFonts w:ascii="Arial" w:hAnsi="Arial" w:cs="Arial"/>
          <w:b/>
          <w:sz w:val="20"/>
          <w:szCs w:val="20"/>
          <w:lang w:val="pt-BR"/>
        </w:rPr>
        <w:t xml:space="preserve">Facultativa: </w:t>
      </w:r>
      <w:bookmarkEnd w:id="9"/>
      <w:r w:rsidR="00FB5410">
        <w:rPr>
          <w:rFonts w:ascii="Arial" w:hAnsi="Arial" w:cs="Arial"/>
          <w:sz w:val="20"/>
          <w:szCs w:val="20"/>
          <w:lang w:val="pt-BR"/>
        </w:rPr>
        <w:t>a</w:t>
      </w:r>
      <w:r w:rsidR="008E574F" w:rsidRPr="0009233C">
        <w:rPr>
          <w:rFonts w:ascii="Arial" w:hAnsi="Arial" w:cs="Arial"/>
          <w:sz w:val="20"/>
          <w:szCs w:val="20"/>
          <w:lang w:val="pt-BR"/>
        </w:rPr>
        <w:t xml:space="preserve">s Debêntures poderão, a qualquer momento, a partir da Data de Emissão, ser adquiridas pela </w:t>
      </w:r>
      <w:r w:rsidR="008E574F">
        <w:rPr>
          <w:rFonts w:ascii="Arial" w:hAnsi="Arial" w:cs="Arial"/>
          <w:sz w:val="20"/>
          <w:szCs w:val="20"/>
          <w:lang w:val="pt-BR"/>
        </w:rPr>
        <w:t>Companhia</w:t>
      </w:r>
      <w:r w:rsidR="008E574F" w:rsidRPr="0009233C">
        <w:rPr>
          <w:rFonts w:ascii="Arial" w:hAnsi="Arial" w:cs="Arial"/>
          <w:sz w:val="20"/>
          <w:szCs w:val="20"/>
          <w:lang w:val="pt-BR"/>
        </w:rPr>
        <w:t>, no mercado secundário, condicionado ao aceite do respectivo Debenturista vendedor e observado o disposto no artigo 55, §3°, da Lei das Sociedades por Ações e no artigo 13 da Instrução da CVM nº 620, de 17 de março de 2020, conforme em vigor (“</w:t>
      </w:r>
      <w:r w:rsidR="008E574F" w:rsidRPr="0009233C">
        <w:rPr>
          <w:rFonts w:ascii="Arial" w:hAnsi="Arial" w:cs="Arial"/>
          <w:b/>
          <w:sz w:val="20"/>
          <w:szCs w:val="20"/>
          <w:lang w:val="pt-BR"/>
        </w:rPr>
        <w:t>Instrução CVM 620</w:t>
      </w:r>
      <w:r w:rsidR="008E574F" w:rsidRPr="0009233C">
        <w:rPr>
          <w:rFonts w:ascii="Arial" w:hAnsi="Arial" w:cs="Arial"/>
          <w:sz w:val="20"/>
          <w:szCs w:val="20"/>
          <w:lang w:val="pt-BR"/>
        </w:rPr>
        <w:t xml:space="preserve">”): </w:t>
      </w:r>
      <w:r w:rsidR="008E574F" w:rsidRPr="0009233C">
        <w:rPr>
          <w:rFonts w:ascii="Arial" w:hAnsi="Arial" w:cs="Arial"/>
          <w:b/>
          <w:bCs/>
          <w:sz w:val="20"/>
          <w:szCs w:val="20"/>
          <w:lang w:val="pt-BR"/>
        </w:rPr>
        <w:t>(i)</w:t>
      </w:r>
      <w:r w:rsidR="008E574F" w:rsidRPr="0009233C">
        <w:rPr>
          <w:rFonts w:ascii="Arial" w:hAnsi="Arial" w:cs="Arial"/>
          <w:sz w:val="20"/>
          <w:szCs w:val="20"/>
          <w:lang w:val="pt-BR"/>
        </w:rPr>
        <w:t xml:space="preserve"> por valor igual ou inferior ao Valor Nominal Unitário ou saldo do Valor Nominal Unitário das Debêntures, conforme o caso, devendo o fato constar do relatório da administração e das demonstrações financeiras da </w:t>
      </w:r>
      <w:r w:rsidR="000D4DDF">
        <w:rPr>
          <w:rFonts w:ascii="Arial" w:hAnsi="Arial" w:cs="Arial"/>
          <w:sz w:val="20"/>
          <w:szCs w:val="20"/>
          <w:lang w:val="pt-BR"/>
        </w:rPr>
        <w:t>Companhia</w:t>
      </w:r>
      <w:r w:rsidR="008E574F" w:rsidRPr="0009233C">
        <w:rPr>
          <w:rFonts w:ascii="Arial" w:hAnsi="Arial" w:cs="Arial"/>
          <w:sz w:val="20"/>
          <w:szCs w:val="20"/>
          <w:lang w:val="pt-BR"/>
        </w:rPr>
        <w:t xml:space="preserve">; ou </w:t>
      </w:r>
      <w:r w:rsidR="008E574F" w:rsidRPr="0009233C">
        <w:rPr>
          <w:rFonts w:ascii="Arial" w:hAnsi="Arial" w:cs="Arial"/>
          <w:b/>
          <w:bCs/>
          <w:sz w:val="20"/>
          <w:szCs w:val="20"/>
          <w:lang w:val="pt-BR"/>
        </w:rPr>
        <w:t>(</w:t>
      </w:r>
      <w:proofErr w:type="spellStart"/>
      <w:r w:rsidR="008E574F" w:rsidRPr="0009233C">
        <w:rPr>
          <w:rFonts w:ascii="Arial" w:hAnsi="Arial" w:cs="Arial"/>
          <w:b/>
          <w:bCs/>
          <w:sz w:val="20"/>
          <w:szCs w:val="20"/>
          <w:lang w:val="pt-BR"/>
        </w:rPr>
        <w:t>ii</w:t>
      </w:r>
      <w:proofErr w:type="spellEnd"/>
      <w:r w:rsidR="008E574F" w:rsidRPr="0009233C">
        <w:rPr>
          <w:rFonts w:ascii="Arial" w:hAnsi="Arial" w:cs="Arial"/>
          <w:b/>
          <w:bCs/>
          <w:sz w:val="20"/>
          <w:szCs w:val="20"/>
          <w:lang w:val="pt-BR"/>
        </w:rPr>
        <w:t>)</w:t>
      </w:r>
      <w:r w:rsidR="008E574F" w:rsidRPr="0009233C">
        <w:rPr>
          <w:rFonts w:ascii="Arial" w:hAnsi="Arial" w:cs="Arial"/>
          <w:sz w:val="20"/>
          <w:szCs w:val="20"/>
          <w:lang w:val="pt-BR"/>
        </w:rPr>
        <w:t xml:space="preserve"> por valor superior ao Valor Nominal Unitário ou saldo do Valor Nominal Unitário das Debêntures, conforme o caso, sendo que a </w:t>
      </w:r>
      <w:r w:rsidR="008E574F">
        <w:rPr>
          <w:rFonts w:ascii="Arial" w:hAnsi="Arial" w:cs="Arial"/>
          <w:sz w:val="20"/>
          <w:szCs w:val="20"/>
          <w:lang w:val="pt-BR"/>
        </w:rPr>
        <w:t>Companhia</w:t>
      </w:r>
      <w:r w:rsidR="008E574F" w:rsidRPr="0009233C">
        <w:rPr>
          <w:rFonts w:ascii="Arial" w:hAnsi="Arial" w:cs="Arial"/>
          <w:sz w:val="20"/>
          <w:szCs w:val="20"/>
          <w:lang w:val="pt-BR"/>
        </w:rPr>
        <w:t xml:space="preserve"> deverá, previamente à aquisição, comunicar sua intenção ao Agente Fiduciário e a todos os Debenturistas, nos termos da Cláusula </w:t>
      </w:r>
      <w:r w:rsidR="000D4DDF" w:rsidRPr="0009233C">
        <w:rPr>
          <w:rFonts w:ascii="Arial" w:hAnsi="Arial" w:cs="Arial"/>
          <w:sz w:val="20"/>
          <w:szCs w:val="20"/>
          <w:lang w:val="pt-BR"/>
        </w:rPr>
        <w:t>5.</w:t>
      </w:r>
      <w:r w:rsidR="000D4DDF">
        <w:rPr>
          <w:rFonts w:ascii="Arial" w:hAnsi="Arial" w:cs="Arial"/>
          <w:sz w:val="20"/>
          <w:szCs w:val="20"/>
          <w:lang w:val="pt-BR"/>
        </w:rPr>
        <w:t>27 da Escritura de Emissão</w:t>
      </w:r>
      <w:r w:rsidR="008E574F" w:rsidRPr="0009233C">
        <w:rPr>
          <w:rFonts w:ascii="Arial" w:hAnsi="Arial" w:cs="Arial"/>
          <w:sz w:val="20"/>
          <w:szCs w:val="20"/>
          <w:lang w:val="pt-BR"/>
        </w:rPr>
        <w:t xml:space="preserve">, observado o disposto no artigo 9º e seguintes da Instrução CVM 620. As Debêntures adquiridas pela </w:t>
      </w:r>
      <w:r w:rsidR="008E574F">
        <w:rPr>
          <w:rFonts w:ascii="Arial" w:hAnsi="Arial" w:cs="Arial"/>
          <w:sz w:val="20"/>
          <w:szCs w:val="20"/>
          <w:lang w:val="pt-BR"/>
        </w:rPr>
        <w:t>Companhia</w:t>
      </w:r>
      <w:r w:rsidR="008E574F" w:rsidRPr="0009233C">
        <w:rPr>
          <w:rFonts w:ascii="Arial" w:hAnsi="Arial" w:cs="Arial"/>
          <w:sz w:val="20"/>
          <w:szCs w:val="20"/>
          <w:lang w:val="pt-BR"/>
        </w:rPr>
        <w:t xml:space="preserve"> poderão </w:t>
      </w:r>
      <w:r w:rsidR="008E574F" w:rsidRPr="0009233C">
        <w:rPr>
          <w:rFonts w:ascii="Arial" w:hAnsi="Arial" w:cs="Arial"/>
          <w:b/>
          <w:bCs/>
          <w:sz w:val="20"/>
          <w:szCs w:val="20"/>
          <w:lang w:val="pt-BR"/>
        </w:rPr>
        <w:t>(i)</w:t>
      </w:r>
      <w:r w:rsidR="008E574F" w:rsidRPr="0009233C">
        <w:rPr>
          <w:rFonts w:ascii="Arial" w:hAnsi="Arial" w:cs="Arial"/>
          <w:sz w:val="20"/>
          <w:szCs w:val="20"/>
          <w:lang w:val="pt-BR"/>
        </w:rPr>
        <w:t xml:space="preserve"> ser canceladas, observado o disposto na regulamentação aplicável; </w:t>
      </w:r>
      <w:r w:rsidR="008E574F" w:rsidRPr="0009233C">
        <w:rPr>
          <w:rFonts w:ascii="Arial" w:hAnsi="Arial" w:cs="Arial"/>
          <w:b/>
          <w:bCs/>
          <w:sz w:val="20"/>
          <w:szCs w:val="20"/>
          <w:lang w:val="pt-BR"/>
        </w:rPr>
        <w:t>(</w:t>
      </w:r>
      <w:proofErr w:type="spellStart"/>
      <w:r w:rsidR="008E574F" w:rsidRPr="0009233C">
        <w:rPr>
          <w:rFonts w:ascii="Arial" w:hAnsi="Arial" w:cs="Arial"/>
          <w:b/>
          <w:bCs/>
          <w:sz w:val="20"/>
          <w:szCs w:val="20"/>
          <w:lang w:val="pt-BR"/>
        </w:rPr>
        <w:t>ii</w:t>
      </w:r>
      <w:proofErr w:type="spellEnd"/>
      <w:r w:rsidR="008E574F" w:rsidRPr="0009233C">
        <w:rPr>
          <w:rFonts w:ascii="Arial" w:hAnsi="Arial" w:cs="Arial"/>
          <w:b/>
          <w:bCs/>
          <w:sz w:val="20"/>
          <w:szCs w:val="20"/>
          <w:lang w:val="pt-BR"/>
        </w:rPr>
        <w:t>)</w:t>
      </w:r>
      <w:r w:rsidR="008E574F" w:rsidRPr="0009233C">
        <w:rPr>
          <w:rFonts w:ascii="Arial" w:hAnsi="Arial" w:cs="Arial"/>
          <w:sz w:val="20"/>
          <w:szCs w:val="20"/>
          <w:lang w:val="pt-BR"/>
        </w:rPr>
        <w:t xml:space="preserve"> permanecer em tesouraria; ou </w:t>
      </w:r>
      <w:r w:rsidR="008E574F" w:rsidRPr="0009233C">
        <w:rPr>
          <w:rFonts w:ascii="Arial" w:hAnsi="Arial" w:cs="Arial"/>
          <w:b/>
          <w:bCs/>
          <w:sz w:val="20"/>
          <w:szCs w:val="20"/>
          <w:lang w:val="pt-BR"/>
        </w:rPr>
        <w:t>(</w:t>
      </w:r>
      <w:proofErr w:type="spellStart"/>
      <w:r w:rsidR="008E574F" w:rsidRPr="0009233C">
        <w:rPr>
          <w:rFonts w:ascii="Arial" w:hAnsi="Arial" w:cs="Arial"/>
          <w:b/>
          <w:bCs/>
          <w:sz w:val="20"/>
          <w:szCs w:val="20"/>
          <w:lang w:val="pt-BR"/>
        </w:rPr>
        <w:t>iii</w:t>
      </w:r>
      <w:proofErr w:type="spellEnd"/>
      <w:r w:rsidR="008E574F" w:rsidRPr="0009233C">
        <w:rPr>
          <w:rFonts w:ascii="Arial" w:hAnsi="Arial" w:cs="Arial"/>
          <w:b/>
          <w:bCs/>
          <w:sz w:val="20"/>
          <w:szCs w:val="20"/>
          <w:lang w:val="pt-BR"/>
        </w:rPr>
        <w:t>)</w:t>
      </w:r>
      <w:r w:rsidR="008E574F" w:rsidRPr="0009233C">
        <w:rPr>
          <w:rFonts w:ascii="Arial" w:hAnsi="Arial" w:cs="Arial"/>
          <w:sz w:val="20"/>
          <w:szCs w:val="20"/>
          <w:lang w:val="pt-BR"/>
        </w:rPr>
        <w:t xml:space="preserve"> ser novamente colocadas no mercado. As Debêntures adquiridas pela </w:t>
      </w:r>
      <w:r w:rsidR="008E574F">
        <w:rPr>
          <w:rFonts w:ascii="Arial" w:hAnsi="Arial" w:cs="Arial"/>
          <w:sz w:val="20"/>
          <w:szCs w:val="20"/>
          <w:lang w:val="pt-BR"/>
        </w:rPr>
        <w:t>Companhia</w:t>
      </w:r>
      <w:r w:rsidR="008E574F" w:rsidRPr="0009233C">
        <w:rPr>
          <w:rFonts w:ascii="Arial" w:hAnsi="Arial" w:cs="Arial"/>
          <w:sz w:val="20"/>
          <w:szCs w:val="20"/>
          <w:lang w:val="pt-BR"/>
        </w:rPr>
        <w:t xml:space="preserve"> para permanência em tesouraria nos termos </w:t>
      </w:r>
      <w:r w:rsidR="008E574F" w:rsidRPr="0009233C">
        <w:rPr>
          <w:rFonts w:ascii="Arial" w:hAnsi="Arial" w:cs="Arial"/>
          <w:sz w:val="20"/>
          <w:szCs w:val="20"/>
          <w:lang w:val="pt-BR"/>
        </w:rPr>
        <w:lastRenderedPageBreak/>
        <w:t>desta Cláusula, se e quando recolocadas no mercado, farão jus à mesma Remuneração aplicável às demais Debêntures (“</w:t>
      </w:r>
      <w:r w:rsidR="008E574F" w:rsidRPr="0009233C">
        <w:rPr>
          <w:rFonts w:ascii="Arial" w:hAnsi="Arial" w:cs="Arial"/>
          <w:b/>
          <w:bCs/>
          <w:sz w:val="20"/>
          <w:szCs w:val="20"/>
          <w:lang w:val="pt-BR"/>
        </w:rPr>
        <w:t>Aquisição Facultativa</w:t>
      </w:r>
      <w:r w:rsidR="008E574F" w:rsidRPr="0009233C">
        <w:rPr>
          <w:rFonts w:ascii="Arial" w:hAnsi="Arial" w:cs="Arial"/>
          <w:sz w:val="20"/>
          <w:szCs w:val="20"/>
          <w:lang w:val="pt-BR"/>
        </w:rPr>
        <w:t>”).</w:t>
      </w:r>
    </w:p>
    <w:p w14:paraId="2AB3B1EF" w14:textId="77777777" w:rsidR="00411D13" w:rsidRPr="003C7BE7" w:rsidRDefault="00411D13" w:rsidP="00AF3C84">
      <w:pPr>
        <w:autoSpaceDE w:val="0"/>
        <w:autoSpaceDN w:val="0"/>
        <w:adjustRightInd w:val="0"/>
        <w:spacing w:line="276" w:lineRule="auto"/>
        <w:ind w:right="18"/>
        <w:jc w:val="both"/>
        <w:rPr>
          <w:rFonts w:ascii="Arial" w:hAnsi="Arial" w:cs="Arial"/>
          <w:sz w:val="20"/>
          <w:szCs w:val="20"/>
          <w:lang w:val="pt-BR"/>
        </w:rPr>
      </w:pPr>
    </w:p>
    <w:p w14:paraId="4ABDE382" w14:textId="77777777" w:rsidR="00977215" w:rsidRPr="003C7BE7" w:rsidRDefault="00977215" w:rsidP="00AF3C84">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Oferta de Resgate Antecipado Total</w:t>
      </w:r>
      <w:r w:rsidRPr="003C7BE7">
        <w:rPr>
          <w:rFonts w:ascii="Arial" w:hAnsi="Arial" w:cs="Arial"/>
          <w:sz w:val="20"/>
          <w:szCs w:val="20"/>
          <w:lang w:val="pt-BR"/>
        </w:rPr>
        <w:t xml:space="preserve">: a </w:t>
      </w:r>
      <w:r w:rsidR="00E659CE" w:rsidRPr="003C7BE7">
        <w:rPr>
          <w:rFonts w:ascii="Arial" w:hAnsi="Arial" w:cs="Arial"/>
          <w:sz w:val="20"/>
          <w:szCs w:val="20"/>
          <w:lang w:val="pt-BR"/>
        </w:rPr>
        <w:t xml:space="preserve">Companhia </w:t>
      </w:r>
      <w:r w:rsidRPr="003C7BE7">
        <w:rPr>
          <w:rFonts w:ascii="Arial" w:hAnsi="Arial" w:cs="Arial"/>
          <w:sz w:val="20"/>
          <w:szCs w:val="20"/>
          <w:lang w:val="pt-BR"/>
        </w:rPr>
        <w:t xml:space="preserve">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3C7BE7">
        <w:rPr>
          <w:rFonts w:ascii="Arial" w:hAnsi="Arial" w:cs="Arial"/>
          <w:iCs/>
          <w:sz w:val="20"/>
          <w:szCs w:val="20"/>
          <w:lang w:val="pt-BR"/>
        </w:rPr>
        <w:t xml:space="preserve">os Debenturistas, para aceitar o resgate antecipado das </w:t>
      </w:r>
      <w:r w:rsidRPr="003C7BE7">
        <w:rPr>
          <w:rFonts w:ascii="Arial" w:hAnsi="Arial" w:cs="Arial"/>
          <w:sz w:val="20"/>
          <w:szCs w:val="20"/>
          <w:lang w:val="pt-BR"/>
        </w:rPr>
        <w:t xml:space="preserve">Debêntures de que forem titulares, de acordo com os termos e condições a serem previstos na Escritura de Emissão. O valor a ser pago em relação a cada uma das Debêntures indicadas por seus respectivos titulares em adesão à Oferta de Resgate Antecipado Total será equivalente ao Valor Nominal Unitário ou do saldo do Valor Nominal Unitário, conforme o caso, acrescido da Remuneração, calculada </w:t>
      </w:r>
      <w:r w:rsidRPr="003C7BE7">
        <w:rPr>
          <w:rFonts w:ascii="Arial" w:hAnsi="Arial" w:cs="Arial"/>
          <w:i/>
          <w:sz w:val="20"/>
          <w:szCs w:val="20"/>
          <w:lang w:val="pt-BR"/>
        </w:rPr>
        <w:t xml:space="preserve">pro rata </w:t>
      </w:r>
      <w:proofErr w:type="spellStart"/>
      <w:r w:rsidRPr="003C7BE7">
        <w:rPr>
          <w:rFonts w:ascii="Arial" w:hAnsi="Arial" w:cs="Arial"/>
          <w:i/>
          <w:sz w:val="20"/>
          <w:szCs w:val="20"/>
          <w:lang w:val="pt-BR"/>
        </w:rPr>
        <w:t>temporis</w:t>
      </w:r>
      <w:proofErr w:type="spellEnd"/>
      <w:r w:rsidRPr="003C7BE7">
        <w:rPr>
          <w:rFonts w:ascii="Arial" w:hAnsi="Arial" w:cs="Arial"/>
          <w:sz w:val="20"/>
          <w:szCs w:val="20"/>
          <w:lang w:val="pt-BR"/>
        </w:rPr>
        <w:t xml:space="preserve"> desde a Primeira Data de Integralização ou a data de pagamento de Remuneração imediatamente anterior, conforme o caso, até a data do efetivo pagamento, e de prêmio de resgate antecipado, caso exista </w:t>
      </w:r>
      <w:r w:rsidRPr="003C7BE7">
        <w:rPr>
          <w:rFonts w:ascii="Arial" w:hAnsi="Arial" w:cs="Arial"/>
          <w:iCs/>
          <w:sz w:val="20"/>
          <w:szCs w:val="20"/>
          <w:lang w:val="pt-BR"/>
        </w:rPr>
        <w:t>(“</w:t>
      </w:r>
      <w:r w:rsidRPr="003C7BE7">
        <w:rPr>
          <w:rFonts w:ascii="Arial" w:hAnsi="Arial" w:cs="Arial"/>
          <w:b/>
          <w:iCs/>
          <w:sz w:val="20"/>
          <w:szCs w:val="20"/>
          <w:lang w:val="pt-BR"/>
        </w:rPr>
        <w:t>Oferta de Resgate Antecipado Total</w:t>
      </w:r>
      <w:r w:rsidRPr="003C7BE7">
        <w:rPr>
          <w:rFonts w:ascii="Arial" w:hAnsi="Arial" w:cs="Arial"/>
          <w:iCs/>
          <w:sz w:val="20"/>
          <w:szCs w:val="20"/>
          <w:lang w:val="pt-BR"/>
        </w:rPr>
        <w:t>”).</w:t>
      </w:r>
    </w:p>
    <w:p w14:paraId="71CDC937" w14:textId="77777777" w:rsidR="00977215" w:rsidRPr="003C7BE7" w:rsidRDefault="00977215" w:rsidP="00DC676E">
      <w:pPr>
        <w:pStyle w:val="ListParagraph"/>
        <w:rPr>
          <w:rFonts w:ascii="Arial" w:hAnsi="Arial" w:cs="Arial"/>
          <w:b/>
          <w:sz w:val="20"/>
          <w:szCs w:val="20"/>
          <w:lang w:val="pt-BR"/>
        </w:rPr>
      </w:pPr>
    </w:p>
    <w:p w14:paraId="7EAD3EC2" w14:textId="7D30A1A0" w:rsidR="002A26BB" w:rsidRPr="003C7BE7" w:rsidRDefault="00C360B8" w:rsidP="00AF3C84">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Vencimento Antecipado</w:t>
      </w:r>
      <w:r w:rsidR="002D2013" w:rsidRPr="003C7BE7">
        <w:rPr>
          <w:rFonts w:ascii="Arial" w:hAnsi="Arial" w:cs="Arial"/>
          <w:sz w:val="20"/>
          <w:szCs w:val="20"/>
          <w:lang w:val="pt-BR"/>
        </w:rPr>
        <w:t xml:space="preserve">: as Debêntures estarão sujeitas às hipóteses de vencimento antecipado, conforme definidas na Escritura de Emissão; </w:t>
      </w:r>
    </w:p>
    <w:p w14:paraId="574D9B60" w14:textId="77777777" w:rsidR="002A26BB" w:rsidRPr="003C7BE7" w:rsidRDefault="002A26BB" w:rsidP="009E360F">
      <w:pPr>
        <w:pStyle w:val="ListParagraph"/>
        <w:spacing w:line="276" w:lineRule="auto"/>
        <w:rPr>
          <w:rFonts w:ascii="Arial" w:hAnsi="Arial" w:cs="Arial"/>
          <w:b/>
          <w:sz w:val="20"/>
          <w:szCs w:val="20"/>
          <w:lang w:val="pt-BR"/>
        </w:rPr>
      </w:pPr>
    </w:p>
    <w:p w14:paraId="574E984D" w14:textId="0D13C3E1" w:rsidR="002A26BB" w:rsidRPr="003C7BE7" w:rsidRDefault="00132468" w:rsidP="00AF3C84">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Destinação dos Recursos</w:t>
      </w:r>
      <w:r w:rsidR="002D2013" w:rsidRPr="003C7BE7">
        <w:rPr>
          <w:rFonts w:ascii="Arial" w:hAnsi="Arial" w:cs="Arial"/>
          <w:sz w:val="20"/>
          <w:szCs w:val="20"/>
          <w:lang w:val="pt-BR"/>
        </w:rPr>
        <w:t>:</w:t>
      </w:r>
      <w:r w:rsidR="002D2013" w:rsidRPr="003C7BE7">
        <w:rPr>
          <w:rFonts w:ascii="Arial" w:hAnsi="Arial" w:cs="Arial"/>
          <w:b/>
          <w:sz w:val="20"/>
          <w:szCs w:val="20"/>
          <w:lang w:val="pt-BR"/>
        </w:rPr>
        <w:t xml:space="preserve"> </w:t>
      </w:r>
      <w:r w:rsidR="00FD7C36" w:rsidRPr="003C7BE7">
        <w:rPr>
          <w:rFonts w:ascii="Arial" w:hAnsi="Arial" w:cs="Arial"/>
          <w:sz w:val="20"/>
          <w:szCs w:val="20"/>
          <w:lang w:val="pt-BR"/>
        </w:rPr>
        <w:t xml:space="preserve">os </w:t>
      </w:r>
      <w:r w:rsidR="00237E54" w:rsidRPr="00237E54">
        <w:rPr>
          <w:rFonts w:ascii="Arial" w:hAnsi="Arial" w:cs="Arial"/>
          <w:sz w:val="20"/>
          <w:szCs w:val="20"/>
          <w:lang w:val="pt-BR"/>
        </w:rPr>
        <w:t xml:space="preserve">recursos líquidos obtidos pela </w:t>
      </w:r>
      <w:r w:rsidR="00237E54">
        <w:rPr>
          <w:rFonts w:ascii="Arial" w:hAnsi="Arial" w:cs="Arial"/>
          <w:sz w:val="20"/>
          <w:szCs w:val="20"/>
          <w:lang w:val="pt-BR"/>
        </w:rPr>
        <w:t>Companhia</w:t>
      </w:r>
      <w:r w:rsidR="00237E54" w:rsidRPr="00237E54">
        <w:rPr>
          <w:rFonts w:ascii="Arial" w:hAnsi="Arial" w:cs="Arial"/>
          <w:sz w:val="20"/>
          <w:szCs w:val="20"/>
          <w:lang w:val="pt-BR"/>
        </w:rPr>
        <w:t xml:space="preserve"> com a Emissão serão utilizados para liquidação da dívida da </w:t>
      </w:r>
      <w:r w:rsidR="00237E54">
        <w:rPr>
          <w:rFonts w:ascii="Arial" w:hAnsi="Arial" w:cs="Arial"/>
          <w:sz w:val="20"/>
          <w:szCs w:val="20"/>
          <w:lang w:val="pt-BR"/>
        </w:rPr>
        <w:t>Companhia</w:t>
      </w:r>
      <w:r w:rsidR="00237E54" w:rsidRPr="00237E54">
        <w:rPr>
          <w:rFonts w:ascii="Arial" w:hAnsi="Arial" w:cs="Arial"/>
          <w:sz w:val="20"/>
          <w:szCs w:val="20"/>
          <w:lang w:val="pt-BR"/>
        </w:rPr>
        <w:t xml:space="preserve"> junto ao Itaú Unibanco S.A., de AGE nº 1214196 e CPGI nº 26384770, com vencimento em 01 de abril de 2022, e o saldo remanescente para o reforço de caixa da </w:t>
      </w:r>
      <w:r w:rsidR="00FB5410">
        <w:rPr>
          <w:rFonts w:ascii="Arial" w:hAnsi="Arial" w:cs="Arial"/>
          <w:sz w:val="20"/>
          <w:szCs w:val="20"/>
          <w:lang w:val="pt-BR"/>
        </w:rPr>
        <w:t>Companhia</w:t>
      </w:r>
      <w:r w:rsidR="00237E54" w:rsidRPr="00237E54">
        <w:rPr>
          <w:rFonts w:ascii="Arial" w:hAnsi="Arial" w:cs="Arial"/>
          <w:sz w:val="20"/>
          <w:szCs w:val="20"/>
          <w:lang w:val="pt-BR"/>
        </w:rPr>
        <w:t xml:space="preserve"> e </w:t>
      </w:r>
      <w:proofErr w:type="spellStart"/>
      <w:r w:rsidR="00237E54" w:rsidRPr="00237E54">
        <w:rPr>
          <w:rFonts w:ascii="Arial" w:hAnsi="Arial" w:cs="Arial"/>
          <w:sz w:val="20"/>
          <w:szCs w:val="20"/>
          <w:lang w:val="pt-BR"/>
        </w:rPr>
        <w:t>Capex</w:t>
      </w:r>
      <w:proofErr w:type="spellEnd"/>
      <w:r w:rsidR="00E32991" w:rsidRPr="003C7BE7">
        <w:rPr>
          <w:rFonts w:ascii="Arial" w:hAnsi="Arial" w:cs="Arial"/>
          <w:sz w:val="20"/>
          <w:szCs w:val="20"/>
          <w:lang w:val="pt-BR"/>
        </w:rPr>
        <w:t>;</w:t>
      </w:r>
      <w:r w:rsidR="002D2013" w:rsidRPr="003C7BE7">
        <w:rPr>
          <w:rFonts w:ascii="Arial" w:hAnsi="Arial" w:cs="Arial"/>
          <w:sz w:val="20"/>
          <w:szCs w:val="20"/>
          <w:lang w:val="pt-BR"/>
        </w:rPr>
        <w:t xml:space="preserve"> </w:t>
      </w:r>
    </w:p>
    <w:p w14:paraId="7D35A76C" w14:textId="77777777" w:rsidR="002A26BB" w:rsidRPr="003C7BE7" w:rsidRDefault="002A26BB" w:rsidP="009E360F">
      <w:pPr>
        <w:pStyle w:val="ListParagraph"/>
        <w:spacing w:line="276" w:lineRule="auto"/>
        <w:rPr>
          <w:rFonts w:ascii="Arial" w:hAnsi="Arial" w:cs="Arial"/>
          <w:b/>
          <w:bCs/>
          <w:sz w:val="20"/>
          <w:szCs w:val="20"/>
          <w:lang w:val="pt-BR"/>
        </w:rPr>
      </w:pPr>
    </w:p>
    <w:p w14:paraId="0E64D831" w14:textId="2C341D54" w:rsidR="002A26BB" w:rsidRPr="003C7BE7" w:rsidRDefault="00193CD9" w:rsidP="00AF3C84">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bCs/>
          <w:sz w:val="20"/>
          <w:szCs w:val="20"/>
          <w:lang w:val="pt-BR"/>
        </w:rPr>
        <w:t xml:space="preserve">Procedimento </w:t>
      </w:r>
      <w:r w:rsidR="002D2013" w:rsidRPr="003C7BE7">
        <w:rPr>
          <w:rFonts w:ascii="Arial" w:hAnsi="Arial" w:cs="Arial"/>
          <w:b/>
          <w:bCs/>
          <w:sz w:val="20"/>
          <w:szCs w:val="20"/>
          <w:lang w:val="pt-BR"/>
        </w:rPr>
        <w:t xml:space="preserve">e </w:t>
      </w:r>
      <w:r w:rsidRPr="003C7BE7">
        <w:rPr>
          <w:rFonts w:ascii="Arial" w:hAnsi="Arial" w:cs="Arial"/>
          <w:b/>
          <w:bCs/>
          <w:sz w:val="20"/>
          <w:szCs w:val="20"/>
          <w:lang w:val="pt-BR"/>
        </w:rPr>
        <w:t xml:space="preserve">Regime </w:t>
      </w:r>
      <w:r w:rsidR="002D2013" w:rsidRPr="003C7BE7">
        <w:rPr>
          <w:rFonts w:ascii="Arial" w:hAnsi="Arial" w:cs="Arial"/>
          <w:b/>
          <w:bCs/>
          <w:sz w:val="20"/>
          <w:szCs w:val="20"/>
          <w:lang w:val="pt-BR"/>
        </w:rPr>
        <w:t xml:space="preserve">de </w:t>
      </w:r>
      <w:r w:rsidRPr="003C7BE7">
        <w:rPr>
          <w:rFonts w:ascii="Arial" w:hAnsi="Arial" w:cs="Arial"/>
          <w:b/>
          <w:bCs/>
          <w:sz w:val="20"/>
          <w:szCs w:val="20"/>
          <w:lang w:val="pt-BR"/>
        </w:rPr>
        <w:t>Distribuição</w:t>
      </w:r>
      <w:r w:rsidR="002D2013" w:rsidRPr="003C7BE7">
        <w:rPr>
          <w:rFonts w:ascii="Arial" w:hAnsi="Arial" w:cs="Arial"/>
          <w:bCs/>
          <w:sz w:val="20"/>
          <w:szCs w:val="20"/>
          <w:lang w:val="pt-BR"/>
        </w:rPr>
        <w:t>:</w:t>
      </w:r>
      <w:r w:rsidR="002D2013" w:rsidRPr="003C7BE7">
        <w:rPr>
          <w:rFonts w:ascii="Arial" w:hAnsi="Arial" w:cs="Arial"/>
          <w:sz w:val="20"/>
          <w:szCs w:val="20"/>
          <w:lang w:val="pt-BR"/>
        </w:rPr>
        <w:t xml:space="preserve"> a distribuição será pública com esforços restritos</w:t>
      </w:r>
      <w:r w:rsidR="002D2013" w:rsidRPr="003C7BE7">
        <w:rPr>
          <w:rFonts w:ascii="Arial" w:hAnsi="Arial" w:cs="Arial"/>
          <w:noProof/>
          <w:sz w:val="20"/>
          <w:szCs w:val="20"/>
          <w:lang w:val="pt-BR"/>
        </w:rPr>
        <w:t xml:space="preserve">, nos termos da </w:t>
      </w:r>
      <w:r w:rsidR="002D2013" w:rsidRPr="003C7BE7">
        <w:rPr>
          <w:rFonts w:ascii="Arial" w:hAnsi="Arial" w:cs="Arial"/>
          <w:sz w:val="20"/>
          <w:szCs w:val="20"/>
          <w:lang w:val="pt-BR"/>
        </w:rPr>
        <w:t xml:space="preserve">Instrução CVM </w:t>
      </w:r>
      <w:r w:rsidR="00666476" w:rsidRPr="003C7BE7">
        <w:rPr>
          <w:rFonts w:ascii="Arial" w:hAnsi="Arial" w:cs="Arial"/>
          <w:sz w:val="20"/>
          <w:szCs w:val="20"/>
          <w:lang w:val="pt-BR"/>
        </w:rPr>
        <w:t xml:space="preserve">nº </w:t>
      </w:r>
      <w:r w:rsidR="002D2013" w:rsidRPr="003C7BE7">
        <w:rPr>
          <w:rFonts w:ascii="Arial" w:hAnsi="Arial" w:cs="Arial"/>
          <w:sz w:val="20"/>
          <w:szCs w:val="20"/>
          <w:lang w:val="pt-BR"/>
        </w:rPr>
        <w:t>476</w:t>
      </w:r>
      <w:r w:rsidR="002D2013" w:rsidRPr="003C7BE7">
        <w:rPr>
          <w:rFonts w:ascii="Arial" w:hAnsi="Arial" w:cs="Arial"/>
          <w:noProof/>
          <w:sz w:val="20"/>
          <w:szCs w:val="20"/>
          <w:lang w:val="pt-BR"/>
        </w:rPr>
        <w:t xml:space="preserve">, sob regime de garantia firme de </w:t>
      </w:r>
      <w:r w:rsidR="00B25A02" w:rsidRPr="003C7BE7">
        <w:rPr>
          <w:rFonts w:ascii="Arial" w:hAnsi="Arial" w:cs="Arial"/>
          <w:noProof/>
          <w:sz w:val="20"/>
          <w:szCs w:val="20"/>
          <w:lang w:val="pt-BR"/>
        </w:rPr>
        <w:t xml:space="preserve">colocação </w:t>
      </w:r>
      <w:r w:rsidR="000C6AA8" w:rsidRPr="003C7BE7">
        <w:rPr>
          <w:rFonts w:ascii="Arial" w:hAnsi="Arial" w:cs="Arial"/>
          <w:noProof/>
          <w:sz w:val="20"/>
          <w:szCs w:val="20"/>
          <w:lang w:val="pt-BR"/>
        </w:rPr>
        <w:t>no montante do Valor Total da Emissão</w:t>
      </w:r>
      <w:r w:rsidR="002D2013" w:rsidRPr="003C7BE7">
        <w:rPr>
          <w:rFonts w:ascii="Arial" w:hAnsi="Arial" w:cs="Arial"/>
          <w:noProof/>
          <w:sz w:val="20"/>
          <w:szCs w:val="20"/>
          <w:lang w:val="pt-BR"/>
        </w:rPr>
        <w:t xml:space="preserve">, </w:t>
      </w:r>
      <w:r w:rsidR="00B25A02" w:rsidRPr="003C7BE7">
        <w:rPr>
          <w:rFonts w:ascii="Arial" w:hAnsi="Arial" w:cs="Arial"/>
          <w:noProof/>
          <w:sz w:val="20"/>
          <w:szCs w:val="20"/>
          <w:lang w:val="pt-BR"/>
        </w:rPr>
        <w:t>com</w:t>
      </w:r>
      <w:r w:rsidR="000C6AA8" w:rsidRPr="003C7BE7">
        <w:rPr>
          <w:rFonts w:ascii="Arial" w:hAnsi="Arial" w:cs="Arial"/>
          <w:noProof/>
          <w:sz w:val="20"/>
          <w:szCs w:val="20"/>
          <w:lang w:val="pt-BR"/>
        </w:rPr>
        <w:t xml:space="preserve"> a intermediação de instituição financeira autorizada a operar no sistema de distribuição de valores mobiliários (“</w:t>
      </w:r>
      <w:r w:rsidR="000C6AA8" w:rsidRPr="003C7BE7">
        <w:rPr>
          <w:rFonts w:ascii="Arial" w:hAnsi="Arial" w:cs="Arial"/>
          <w:b/>
          <w:noProof/>
          <w:sz w:val="20"/>
          <w:szCs w:val="20"/>
          <w:lang w:val="pt-BR"/>
        </w:rPr>
        <w:t>Coordenador Líder</w:t>
      </w:r>
      <w:r w:rsidR="000C6AA8" w:rsidRPr="003C7BE7">
        <w:rPr>
          <w:rFonts w:ascii="Arial" w:hAnsi="Arial" w:cs="Arial"/>
          <w:noProof/>
          <w:sz w:val="20"/>
          <w:szCs w:val="20"/>
          <w:lang w:val="pt-BR"/>
        </w:rPr>
        <w:t>”)</w:t>
      </w:r>
      <w:r w:rsidR="00B25A02" w:rsidRPr="003C7BE7">
        <w:rPr>
          <w:rFonts w:ascii="Arial" w:hAnsi="Arial" w:cs="Arial"/>
          <w:noProof/>
          <w:sz w:val="20"/>
          <w:szCs w:val="20"/>
          <w:lang w:val="pt-BR"/>
        </w:rPr>
        <w:t>,</w:t>
      </w:r>
      <w:r w:rsidR="002D2013" w:rsidRPr="003C7BE7">
        <w:rPr>
          <w:rFonts w:ascii="Arial" w:hAnsi="Arial" w:cs="Arial"/>
          <w:noProof/>
          <w:sz w:val="20"/>
          <w:szCs w:val="20"/>
          <w:lang w:val="pt-BR"/>
        </w:rPr>
        <w:t xml:space="preserve"> nos </w:t>
      </w:r>
      <w:r w:rsidR="002D2013" w:rsidRPr="008E574F">
        <w:rPr>
          <w:rFonts w:ascii="Arial" w:hAnsi="Arial" w:cs="Arial"/>
          <w:noProof/>
          <w:sz w:val="20"/>
          <w:szCs w:val="20"/>
          <w:lang w:val="pt-BR"/>
        </w:rPr>
        <w:t xml:space="preserve">termos do </w:t>
      </w:r>
      <w:r w:rsidR="008E574F" w:rsidRPr="0009233C">
        <w:rPr>
          <w:rFonts w:ascii="Arial" w:hAnsi="Arial" w:cs="Arial"/>
          <w:sz w:val="20"/>
          <w:szCs w:val="20"/>
          <w:lang w:val="pt-BR"/>
        </w:rPr>
        <w:t>“</w:t>
      </w:r>
      <w:r w:rsidR="008E574F" w:rsidRPr="0009233C">
        <w:rPr>
          <w:rFonts w:ascii="Arial" w:hAnsi="Arial" w:cs="Arial"/>
          <w:i/>
          <w:sz w:val="20"/>
          <w:szCs w:val="20"/>
          <w:lang w:val="pt-BR"/>
        </w:rPr>
        <w:t xml:space="preserve">Contrato de Coordenação, Colocação e Distribuição Pública, com Esforços Restritos, sob o Regime de Garantia Firme de Colocação, de Debêntures Simples, Não Conversíveis em Ações, </w:t>
      </w:r>
      <w:r w:rsidR="008E574F" w:rsidRPr="0009233C">
        <w:rPr>
          <w:rFonts w:ascii="Arial" w:hAnsi="Arial" w:cs="Arial"/>
          <w:i/>
          <w:w w:val="0"/>
          <w:sz w:val="20"/>
          <w:szCs w:val="20"/>
          <w:lang w:val="pt-BR"/>
        </w:rPr>
        <w:t xml:space="preserve">da </w:t>
      </w:r>
      <w:r w:rsidR="008E574F" w:rsidRPr="0009233C">
        <w:rPr>
          <w:rFonts w:ascii="Arial" w:hAnsi="Arial" w:cs="Arial"/>
          <w:i/>
          <w:sz w:val="20"/>
          <w:szCs w:val="20"/>
          <w:lang w:val="pt-BR"/>
        </w:rPr>
        <w:t>Espécie Quirografária, com Garantia Adicional Fidejussória, a ser Convolada em Espécie com Garantia Real, com Garantia Adicional Fidejussória</w:t>
      </w:r>
      <w:r w:rsidR="008E574F" w:rsidRPr="0009233C">
        <w:rPr>
          <w:rFonts w:ascii="Arial" w:hAnsi="Arial" w:cs="Arial"/>
          <w:i/>
          <w:w w:val="0"/>
          <w:sz w:val="20"/>
          <w:szCs w:val="20"/>
          <w:lang w:val="pt-BR"/>
        </w:rPr>
        <w:t xml:space="preserve">, em Série Única, </w:t>
      </w:r>
      <w:r w:rsidR="008E574F" w:rsidRPr="0009233C">
        <w:rPr>
          <w:rFonts w:ascii="Arial" w:hAnsi="Arial" w:cs="Arial"/>
          <w:bCs/>
          <w:i/>
          <w:iCs/>
          <w:w w:val="0"/>
          <w:sz w:val="20"/>
          <w:szCs w:val="20"/>
          <w:lang w:val="pt-BR"/>
        </w:rPr>
        <w:t xml:space="preserve">Para Distribuição Pública, Com Esforços Restritos de Distribuição, </w:t>
      </w:r>
      <w:r w:rsidR="008E574F" w:rsidRPr="0009233C">
        <w:rPr>
          <w:rFonts w:ascii="Arial" w:hAnsi="Arial" w:cs="Arial"/>
          <w:i/>
          <w:w w:val="0"/>
          <w:sz w:val="20"/>
          <w:szCs w:val="20"/>
          <w:lang w:val="pt-BR"/>
        </w:rPr>
        <w:t xml:space="preserve">da 3ª (Terceira) Emissão do </w:t>
      </w:r>
      <w:proofErr w:type="spellStart"/>
      <w:r w:rsidR="008E574F" w:rsidRPr="0009233C">
        <w:rPr>
          <w:rFonts w:ascii="Arial" w:hAnsi="Arial" w:cs="Arial"/>
          <w:bCs/>
          <w:i/>
          <w:iCs/>
          <w:w w:val="0"/>
          <w:sz w:val="20"/>
          <w:szCs w:val="20"/>
          <w:lang w:val="pt-BR"/>
        </w:rPr>
        <w:t>Atakarejo</w:t>
      </w:r>
      <w:proofErr w:type="spellEnd"/>
      <w:r w:rsidR="008E574F" w:rsidRPr="0009233C">
        <w:rPr>
          <w:rFonts w:ascii="Arial" w:hAnsi="Arial" w:cs="Arial"/>
          <w:bCs/>
          <w:i/>
          <w:iCs/>
          <w:w w:val="0"/>
          <w:sz w:val="20"/>
          <w:szCs w:val="20"/>
          <w:lang w:val="pt-BR"/>
        </w:rPr>
        <w:t xml:space="preserve"> Distribuidor de Alimentos e Bebidas</w:t>
      </w:r>
      <w:r w:rsidR="008E574F" w:rsidRPr="0009233C">
        <w:rPr>
          <w:rFonts w:ascii="Arial" w:hAnsi="Arial" w:cs="Arial"/>
          <w:i/>
          <w:w w:val="0"/>
          <w:sz w:val="20"/>
          <w:szCs w:val="20"/>
          <w:lang w:val="pt-BR"/>
        </w:rPr>
        <w:t xml:space="preserve"> S.A.</w:t>
      </w:r>
      <w:r w:rsidR="008E574F" w:rsidRPr="0009233C">
        <w:rPr>
          <w:rFonts w:ascii="Arial" w:hAnsi="Arial" w:cs="Arial"/>
          <w:sz w:val="20"/>
          <w:szCs w:val="20"/>
          <w:lang w:val="pt-BR"/>
        </w:rPr>
        <w:t>”</w:t>
      </w:r>
      <w:r w:rsidR="008E574F" w:rsidRPr="003C7BE7" w:rsidDel="008E574F">
        <w:rPr>
          <w:rFonts w:ascii="Arial" w:hAnsi="Arial" w:cs="Arial"/>
          <w:noProof/>
          <w:sz w:val="20"/>
          <w:szCs w:val="20"/>
          <w:lang w:val="pt-BR"/>
        </w:rPr>
        <w:t xml:space="preserve"> </w:t>
      </w:r>
      <w:r w:rsidR="002D2013" w:rsidRPr="003C7BE7">
        <w:rPr>
          <w:rFonts w:ascii="Arial" w:hAnsi="Arial" w:cs="Arial"/>
          <w:noProof/>
          <w:sz w:val="20"/>
          <w:szCs w:val="20"/>
          <w:lang w:val="pt-BR"/>
        </w:rPr>
        <w:t xml:space="preserve">, a ser celebrado entre a Companhia e o </w:t>
      </w:r>
      <w:r w:rsidR="00DD52F7" w:rsidRPr="003C7BE7">
        <w:rPr>
          <w:rFonts w:ascii="Arial" w:hAnsi="Arial" w:cs="Arial"/>
          <w:noProof/>
          <w:sz w:val="20"/>
          <w:szCs w:val="20"/>
          <w:lang w:val="pt-BR"/>
        </w:rPr>
        <w:t>Coordenador Líder</w:t>
      </w:r>
      <w:r w:rsidR="00F57050" w:rsidRPr="003C7BE7">
        <w:rPr>
          <w:rFonts w:ascii="Arial" w:hAnsi="Arial" w:cs="Arial"/>
          <w:noProof/>
          <w:sz w:val="20"/>
          <w:szCs w:val="20"/>
          <w:lang w:val="pt-BR"/>
        </w:rPr>
        <w:t xml:space="preserve"> (“</w:t>
      </w:r>
      <w:r w:rsidR="00F57050" w:rsidRPr="003C7BE7">
        <w:rPr>
          <w:rFonts w:ascii="Arial" w:hAnsi="Arial" w:cs="Arial"/>
          <w:b/>
          <w:noProof/>
          <w:sz w:val="20"/>
          <w:szCs w:val="20"/>
          <w:lang w:val="pt-BR"/>
        </w:rPr>
        <w:t>Contrato de Distribuição</w:t>
      </w:r>
      <w:r w:rsidR="00F57050" w:rsidRPr="003C7BE7">
        <w:rPr>
          <w:rFonts w:ascii="Arial" w:hAnsi="Arial" w:cs="Arial"/>
          <w:noProof/>
          <w:sz w:val="20"/>
          <w:szCs w:val="20"/>
          <w:lang w:val="pt-BR"/>
        </w:rPr>
        <w:t>”)</w:t>
      </w:r>
      <w:r w:rsidR="00977215" w:rsidRPr="003C7BE7">
        <w:rPr>
          <w:rFonts w:ascii="Arial" w:hAnsi="Arial" w:cs="Arial"/>
          <w:noProof/>
          <w:sz w:val="20"/>
          <w:szCs w:val="20"/>
          <w:lang w:val="pt-BR"/>
        </w:rPr>
        <w:t>;</w:t>
      </w:r>
      <w:r w:rsidR="002D2013" w:rsidRPr="003C7BE7">
        <w:rPr>
          <w:rFonts w:ascii="Arial" w:hAnsi="Arial" w:cs="Arial"/>
          <w:noProof/>
          <w:sz w:val="20"/>
          <w:szCs w:val="20"/>
          <w:lang w:val="pt-BR"/>
        </w:rPr>
        <w:t xml:space="preserve"> </w:t>
      </w:r>
    </w:p>
    <w:p w14:paraId="4DC69050" w14:textId="77777777" w:rsidR="002A26BB" w:rsidRPr="003C7BE7" w:rsidRDefault="002A26BB" w:rsidP="009E360F">
      <w:pPr>
        <w:pStyle w:val="ListParagraph"/>
        <w:spacing w:line="276" w:lineRule="auto"/>
        <w:rPr>
          <w:rFonts w:ascii="Arial" w:hAnsi="Arial" w:cs="Arial"/>
          <w:b/>
          <w:bCs/>
          <w:sz w:val="20"/>
          <w:szCs w:val="20"/>
          <w:lang w:val="pt-BR"/>
        </w:rPr>
      </w:pPr>
    </w:p>
    <w:p w14:paraId="559B35F6" w14:textId="77777777" w:rsidR="002A26BB" w:rsidRPr="004829CC" w:rsidRDefault="00193CD9" w:rsidP="00AF3C84">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4829CC">
        <w:rPr>
          <w:rFonts w:ascii="Arial" w:hAnsi="Arial" w:cs="Arial"/>
          <w:b/>
          <w:noProof/>
          <w:sz w:val="20"/>
          <w:szCs w:val="20"/>
          <w:lang w:val="pt-BR"/>
        </w:rPr>
        <w:t>Distribuição</w:t>
      </w:r>
      <w:r w:rsidRPr="004829CC">
        <w:rPr>
          <w:rFonts w:ascii="Arial" w:hAnsi="Arial" w:cs="Arial"/>
          <w:b/>
          <w:bCs/>
          <w:sz w:val="20"/>
          <w:szCs w:val="20"/>
          <w:lang w:val="pt-BR"/>
        </w:rPr>
        <w:t xml:space="preserve"> Parcial</w:t>
      </w:r>
      <w:r w:rsidR="002D2013" w:rsidRPr="004829CC">
        <w:rPr>
          <w:rFonts w:ascii="Arial" w:hAnsi="Arial" w:cs="Arial"/>
          <w:b/>
          <w:bCs/>
          <w:sz w:val="20"/>
          <w:szCs w:val="20"/>
          <w:lang w:val="pt-BR"/>
        </w:rPr>
        <w:t>:</w:t>
      </w:r>
      <w:r w:rsidR="002D2013" w:rsidRPr="004829CC">
        <w:rPr>
          <w:rFonts w:ascii="Arial" w:hAnsi="Arial" w:cs="Arial"/>
          <w:sz w:val="20"/>
          <w:szCs w:val="20"/>
          <w:lang w:val="pt-BR"/>
        </w:rPr>
        <w:t xml:space="preserve"> </w:t>
      </w:r>
      <w:r w:rsidR="002D2013" w:rsidRPr="004829CC">
        <w:rPr>
          <w:rFonts w:ascii="Arial" w:hAnsi="Arial" w:cs="Arial"/>
          <w:noProof/>
          <w:sz w:val="20"/>
          <w:szCs w:val="20"/>
          <w:lang w:val="pt-BR"/>
        </w:rPr>
        <w:t xml:space="preserve">não haverá a distribuição parcial de Debêntures; </w:t>
      </w:r>
    </w:p>
    <w:p w14:paraId="3E720399" w14:textId="77777777" w:rsidR="006C0E98" w:rsidRPr="004829CC" w:rsidRDefault="006C0E98" w:rsidP="004829CC">
      <w:pPr>
        <w:pStyle w:val="ListParagraph"/>
        <w:rPr>
          <w:rFonts w:ascii="Arial" w:hAnsi="Arial" w:cs="Arial"/>
          <w:sz w:val="20"/>
          <w:szCs w:val="20"/>
          <w:lang w:val="pt-BR"/>
        </w:rPr>
      </w:pPr>
    </w:p>
    <w:p w14:paraId="3700C745" w14:textId="77777777" w:rsidR="006C0E98" w:rsidRDefault="006C0E98" w:rsidP="004829CC">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4829CC">
        <w:rPr>
          <w:rFonts w:ascii="Arial" w:hAnsi="Arial" w:cs="Arial"/>
          <w:b/>
          <w:sz w:val="20"/>
          <w:szCs w:val="20"/>
          <w:lang w:val="pt-BR"/>
        </w:rPr>
        <w:t>Encargos Moratórios</w:t>
      </w:r>
      <w:r w:rsidRPr="004829CC">
        <w:rPr>
          <w:rFonts w:ascii="Arial" w:hAnsi="Arial" w:cs="Arial"/>
          <w:sz w:val="20"/>
          <w:szCs w:val="20"/>
          <w:lang w:val="pt-BR"/>
        </w:rPr>
        <w:t xml:space="preserve">: </w:t>
      </w:r>
      <w:r w:rsidRPr="004829CC">
        <w:rPr>
          <w:rFonts w:ascii="Arial" w:hAnsi="Arial" w:cs="Arial"/>
          <w:bCs/>
          <w:sz w:val="20"/>
          <w:szCs w:val="20"/>
          <w:lang w:val="pt-BR"/>
        </w:rPr>
        <w:t>em caso de impontualidade no pagamento de qualquer quantia devida sob as Debêntures</w:t>
      </w:r>
      <w:r w:rsidRPr="004829CC">
        <w:rPr>
          <w:rFonts w:ascii="Arial" w:hAnsi="Arial" w:cs="Arial"/>
          <w:sz w:val="20"/>
          <w:szCs w:val="20"/>
          <w:lang w:val="pt-BR"/>
        </w:rPr>
        <w:t xml:space="preserve">, nos termos da Escritura de Emissão, além da Remuneração, os débitos em atraso, ficarão sujeitos: </w:t>
      </w:r>
      <w:r w:rsidRPr="004829CC">
        <w:rPr>
          <w:rFonts w:ascii="Arial" w:hAnsi="Arial" w:cs="Arial"/>
          <w:b/>
          <w:sz w:val="20"/>
          <w:szCs w:val="20"/>
          <w:lang w:val="pt-BR"/>
        </w:rPr>
        <w:t>(i)</w:t>
      </w:r>
      <w:r w:rsidRPr="004829CC">
        <w:rPr>
          <w:rFonts w:ascii="Arial" w:hAnsi="Arial" w:cs="Arial"/>
          <w:sz w:val="20"/>
          <w:szCs w:val="20"/>
          <w:lang w:val="pt-BR"/>
        </w:rPr>
        <w:t xml:space="preserve"> à multa moratória convencional, irredutível e de natureza não compensatória de 2% (dois por cento) sobre o valor devido e não pago até a data do efetivo pagamento; e </w:t>
      </w:r>
      <w:r w:rsidRPr="004829CC">
        <w:rPr>
          <w:rFonts w:ascii="Arial" w:hAnsi="Arial" w:cs="Arial"/>
          <w:b/>
          <w:sz w:val="20"/>
          <w:szCs w:val="20"/>
          <w:lang w:val="pt-BR"/>
        </w:rPr>
        <w:t>(</w:t>
      </w:r>
      <w:proofErr w:type="spellStart"/>
      <w:r w:rsidRPr="004829CC">
        <w:rPr>
          <w:rFonts w:ascii="Arial" w:hAnsi="Arial" w:cs="Arial"/>
          <w:b/>
          <w:sz w:val="20"/>
          <w:szCs w:val="20"/>
          <w:lang w:val="pt-BR"/>
        </w:rPr>
        <w:t>ii</w:t>
      </w:r>
      <w:proofErr w:type="spellEnd"/>
      <w:r w:rsidRPr="004829CC">
        <w:rPr>
          <w:rFonts w:ascii="Arial" w:hAnsi="Arial" w:cs="Arial"/>
          <w:b/>
          <w:sz w:val="20"/>
          <w:szCs w:val="20"/>
          <w:lang w:val="pt-BR"/>
        </w:rPr>
        <w:t>)</w:t>
      </w:r>
      <w:r w:rsidRPr="004829CC">
        <w:rPr>
          <w:rFonts w:ascii="Arial" w:hAnsi="Arial" w:cs="Arial"/>
          <w:sz w:val="20"/>
          <w:szCs w:val="20"/>
          <w:lang w:val="pt-BR"/>
        </w:rPr>
        <w:t xml:space="preserve"> aos juros de mora não compensatórios, à taxa de 1% (um por cento) ao mês, calculados </w:t>
      </w:r>
      <w:r w:rsidRPr="004829CC">
        <w:rPr>
          <w:rFonts w:ascii="Arial" w:hAnsi="Arial" w:cs="Arial"/>
          <w:i/>
          <w:sz w:val="20"/>
          <w:szCs w:val="20"/>
          <w:lang w:val="pt-BR"/>
        </w:rPr>
        <w:t xml:space="preserve">pro rata </w:t>
      </w:r>
      <w:proofErr w:type="spellStart"/>
      <w:r w:rsidRPr="004829CC">
        <w:rPr>
          <w:rFonts w:ascii="Arial" w:hAnsi="Arial" w:cs="Arial"/>
          <w:i/>
          <w:sz w:val="20"/>
          <w:szCs w:val="20"/>
          <w:lang w:val="pt-BR"/>
        </w:rPr>
        <w:t>temporis</w:t>
      </w:r>
      <w:proofErr w:type="spellEnd"/>
      <w:r w:rsidRPr="004829CC">
        <w:rPr>
          <w:rFonts w:ascii="Arial" w:hAnsi="Arial" w:cs="Arial"/>
          <w:sz w:val="20"/>
          <w:szCs w:val="20"/>
          <w:lang w:val="pt-BR"/>
        </w:rPr>
        <w:t>, desde a data do inadimplemento até a data do efetivo pagamento, sobre o montante devido e não pago, independentemente de aviso, notificação ou interpelação judicial ou extrajudicial (“</w:t>
      </w:r>
      <w:r w:rsidRPr="004829CC">
        <w:rPr>
          <w:rFonts w:ascii="Arial" w:hAnsi="Arial" w:cs="Arial"/>
          <w:b/>
          <w:sz w:val="20"/>
          <w:szCs w:val="20"/>
          <w:lang w:val="pt-BR"/>
        </w:rPr>
        <w:t>Encargos Moratórios</w:t>
      </w:r>
      <w:r w:rsidRPr="004829CC">
        <w:rPr>
          <w:rFonts w:ascii="Arial" w:hAnsi="Arial" w:cs="Arial"/>
          <w:sz w:val="20"/>
          <w:szCs w:val="20"/>
          <w:lang w:val="pt-BR"/>
        </w:rPr>
        <w:t xml:space="preserve">”); </w:t>
      </w:r>
    </w:p>
    <w:p w14:paraId="33E96EDE" w14:textId="77777777" w:rsidR="004829CC" w:rsidRPr="004829CC" w:rsidRDefault="004829CC">
      <w:pPr>
        <w:pStyle w:val="ListParagraph"/>
        <w:autoSpaceDE w:val="0"/>
        <w:autoSpaceDN w:val="0"/>
        <w:adjustRightInd w:val="0"/>
        <w:spacing w:line="276" w:lineRule="auto"/>
        <w:ind w:left="1080" w:right="18"/>
        <w:jc w:val="both"/>
        <w:rPr>
          <w:rFonts w:ascii="Arial" w:hAnsi="Arial" w:cs="Arial"/>
          <w:sz w:val="20"/>
          <w:szCs w:val="20"/>
          <w:lang w:val="pt-BR"/>
        </w:rPr>
      </w:pPr>
    </w:p>
    <w:p w14:paraId="1D4F1B75" w14:textId="61C0578E" w:rsidR="00E815CA" w:rsidRPr="003C7BE7" w:rsidRDefault="00E815CA" w:rsidP="00AF3C84">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Garantia Fidejussória</w:t>
      </w:r>
      <w:r w:rsidR="002D2013" w:rsidRPr="003C7BE7">
        <w:rPr>
          <w:rFonts w:ascii="Arial" w:hAnsi="Arial" w:cs="Arial"/>
          <w:sz w:val="20"/>
          <w:szCs w:val="20"/>
          <w:lang w:val="pt-BR"/>
        </w:rPr>
        <w:t xml:space="preserve">: </w:t>
      </w:r>
      <w:r w:rsidR="00E659CE" w:rsidRPr="003C7BE7">
        <w:rPr>
          <w:rFonts w:ascii="Arial" w:eastAsia="Arial Unicode MS" w:hAnsi="Arial" w:cs="Arial"/>
          <w:w w:val="0"/>
          <w:sz w:val="20"/>
          <w:szCs w:val="20"/>
          <w:lang w:val="pt-BR"/>
        </w:rPr>
        <w:t>em garantia do fiel, pontual e integral pagamento de todas</w:t>
      </w:r>
      <w:r w:rsidR="00265E66" w:rsidRPr="003C7BE7">
        <w:rPr>
          <w:rFonts w:ascii="Arial" w:eastAsia="Arial Unicode MS" w:hAnsi="Arial" w:cs="Arial"/>
          <w:w w:val="0"/>
          <w:sz w:val="20"/>
          <w:szCs w:val="20"/>
          <w:lang w:val="pt-BR"/>
        </w:rPr>
        <w:t>:</w:t>
      </w:r>
      <w:r w:rsidR="00E659CE" w:rsidRPr="003C7BE7">
        <w:rPr>
          <w:rFonts w:ascii="Arial" w:eastAsia="Arial Unicode MS" w:hAnsi="Arial" w:cs="Arial"/>
          <w:w w:val="0"/>
          <w:sz w:val="20"/>
          <w:szCs w:val="20"/>
          <w:lang w:val="pt-BR"/>
        </w:rPr>
        <w:t xml:space="preserve"> (i) as obrigações relativas ao fiel, pontual e integral pagamento, pela Companhia, do Valor Nominal Unitário das Debêntures, da Remuneração, dos eventuais valores de Resgate Antecipado Facultativo, Amortização Extraordinária Facultativa e Oferta de Resgate Antecipado Total, incluindo os respectivos prêmios, se houver, dos Encargos Moratórios e dos demais encargos, relativos às Debêntures e às Garantias, se e quando devidos, seja na data de pagamento ou em decorrência de resgate antecipado das Debêntures, ou de vencimento antecipado das obrigações decorrentes das Debêntures, conforme previsto na Escritura de Emissão</w:t>
      </w:r>
      <w:r w:rsidR="00265E66" w:rsidRPr="003C7BE7">
        <w:rPr>
          <w:rFonts w:ascii="Arial" w:eastAsia="Arial Unicode MS" w:hAnsi="Arial" w:cs="Arial"/>
          <w:w w:val="0"/>
          <w:sz w:val="20"/>
          <w:szCs w:val="20"/>
          <w:lang w:val="pt-BR"/>
        </w:rPr>
        <w:t xml:space="preserve"> e no Contrato de </w:t>
      </w:r>
      <w:r w:rsidR="004234F8">
        <w:rPr>
          <w:rFonts w:ascii="Arial" w:eastAsia="Arial Unicode MS" w:hAnsi="Arial" w:cs="Arial"/>
          <w:w w:val="0"/>
          <w:sz w:val="20"/>
          <w:szCs w:val="20"/>
          <w:lang w:val="pt-BR"/>
        </w:rPr>
        <w:t>Alienação Fiduciária</w:t>
      </w:r>
      <w:r w:rsidR="00FB5410">
        <w:rPr>
          <w:rFonts w:ascii="Arial" w:eastAsia="Arial Unicode MS" w:hAnsi="Arial" w:cs="Arial"/>
          <w:w w:val="0"/>
          <w:sz w:val="20"/>
          <w:szCs w:val="20"/>
          <w:lang w:val="pt-BR"/>
        </w:rPr>
        <w:t xml:space="preserve"> de Imóvel</w:t>
      </w:r>
      <w:r w:rsidR="00E659CE" w:rsidRPr="003C7BE7">
        <w:rPr>
          <w:rFonts w:ascii="Arial" w:eastAsia="Arial Unicode MS" w:hAnsi="Arial" w:cs="Arial"/>
          <w:w w:val="0"/>
          <w:sz w:val="20"/>
          <w:szCs w:val="20"/>
          <w:lang w:val="pt-BR"/>
        </w:rPr>
        <w:t>; (</w:t>
      </w:r>
      <w:proofErr w:type="spellStart"/>
      <w:r w:rsidR="00E659CE" w:rsidRPr="003C7BE7">
        <w:rPr>
          <w:rFonts w:ascii="Arial" w:eastAsia="Arial Unicode MS" w:hAnsi="Arial" w:cs="Arial"/>
          <w:w w:val="0"/>
          <w:sz w:val="20"/>
          <w:szCs w:val="20"/>
          <w:lang w:val="pt-BR"/>
        </w:rPr>
        <w:t>ii</w:t>
      </w:r>
      <w:proofErr w:type="spellEnd"/>
      <w:r w:rsidR="00E659CE" w:rsidRPr="003C7BE7">
        <w:rPr>
          <w:rFonts w:ascii="Arial" w:eastAsia="Arial Unicode MS" w:hAnsi="Arial" w:cs="Arial"/>
          <w:w w:val="0"/>
          <w:sz w:val="20"/>
          <w:szCs w:val="20"/>
          <w:lang w:val="pt-BR"/>
        </w:rPr>
        <w:t xml:space="preserve">) as obrigações relativas a quaisquer outras obrigações pecuniárias assumidas pela Companhia e pelos Fiadores, nos termos da Escritura de Emissão e do Contrato de </w:t>
      </w:r>
      <w:r w:rsidR="004234F8">
        <w:rPr>
          <w:rFonts w:ascii="Arial" w:eastAsia="Arial Unicode MS" w:hAnsi="Arial" w:cs="Arial"/>
          <w:w w:val="0"/>
          <w:sz w:val="20"/>
          <w:szCs w:val="20"/>
          <w:lang w:val="pt-BR"/>
        </w:rPr>
        <w:t>Alienação Fiduciária</w:t>
      </w:r>
      <w:r w:rsidR="00FB5410">
        <w:rPr>
          <w:rFonts w:ascii="Arial" w:eastAsia="Arial Unicode MS" w:hAnsi="Arial" w:cs="Arial"/>
          <w:w w:val="0"/>
          <w:sz w:val="20"/>
          <w:szCs w:val="20"/>
          <w:lang w:val="pt-BR"/>
        </w:rPr>
        <w:t xml:space="preserve"> de Imóvel</w:t>
      </w:r>
      <w:r w:rsidR="00E659CE" w:rsidRPr="003C7BE7">
        <w:rPr>
          <w:rFonts w:ascii="Arial" w:eastAsia="Arial Unicode MS" w:hAnsi="Arial" w:cs="Arial"/>
          <w:w w:val="0"/>
          <w:sz w:val="20"/>
          <w:szCs w:val="20"/>
          <w:lang w:val="pt-BR"/>
        </w:rPr>
        <w:t xml:space="preserve">, incluindo obrigações de pagar honorários, despesas, custos, encargos, tributos, reembolsos ou indenizações, bem como as obrigações relativas ao banco liquidante da Oferta, ao banco </w:t>
      </w:r>
      <w:proofErr w:type="spellStart"/>
      <w:r w:rsidR="00E659CE" w:rsidRPr="003C7BE7">
        <w:rPr>
          <w:rFonts w:ascii="Arial" w:eastAsia="Arial Unicode MS" w:hAnsi="Arial" w:cs="Arial"/>
          <w:w w:val="0"/>
          <w:sz w:val="20"/>
          <w:szCs w:val="20"/>
          <w:lang w:val="pt-BR"/>
        </w:rPr>
        <w:t>escriturador</w:t>
      </w:r>
      <w:proofErr w:type="spellEnd"/>
      <w:r w:rsidR="00E659CE" w:rsidRPr="003C7BE7">
        <w:rPr>
          <w:rFonts w:ascii="Arial" w:eastAsia="Arial Unicode MS" w:hAnsi="Arial" w:cs="Arial"/>
          <w:w w:val="0"/>
          <w:sz w:val="20"/>
          <w:szCs w:val="20"/>
          <w:lang w:val="pt-BR"/>
        </w:rPr>
        <w:t xml:space="preserve">, à B3, ao </w:t>
      </w:r>
      <w:r w:rsidR="0085138C" w:rsidRPr="003C7BE7">
        <w:rPr>
          <w:rFonts w:ascii="Arial" w:eastAsia="Arial Unicode MS" w:hAnsi="Arial" w:cs="Arial"/>
          <w:w w:val="0"/>
          <w:sz w:val="20"/>
          <w:szCs w:val="20"/>
          <w:lang w:val="pt-BR"/>
        </w:rPr>
        <w:t>Agente Fiduciário</w:t>
      </w:r>
      <w:r w:rsidR="00E659CE" w:rsidRPr="003C7BE7">
        <w:rPr>
          <w:rFonts w:ascii="Arial" w:eastAsia="Arial Unicode MS" w:hAnsi="Arial" w:cs="Arial"/>
          <w:w w:val="0"/>
          <w:sz w:val="20"/>
          <w:szCs w:val="20"/>
          <w:lang w:val="pt-BR"/>
        </w:rPr>
        <w:t xml:space="preserve"> e demais prestadores de serviço envolvidos na Emissão e nas Garantias; e (</w:t>
      </w:r>
      <w:proofErr w:type="spellStart"/>
      <w:r w:rsidR="00E659CE" w:rsidRPr="003C7BE7">
        <w:rPr>
          <w:rFonts w:ascii="Arial" w:eastAsia="Arial Unicode MS" w:hAnsi="Arial" w:cs="Arial"/>
          <w:w w:val="0"/>
          <w:sz w:val="20"/>
          <w:szCs w:val="20"/>
          <w:lang w:val="pt-BR"/>
        </w:rPr>
        <w:t>iii</w:t>
      </w:r>
      <w:proofErr w:type="spellEnd"/>
      <w:r w:rsidR="00E659CE" w:rsidRPr="003C7BE7">
        <w:rPr>
          <w:rFonts w:ascii="Arial" w:eastAsia="Arial Unicode MS" w:hAnsi="Arial" w:cs="Arial"/>
          <w:w w:val="0"/>
          <w:sz w:val="20"/>
          <w:szCs w:val="20"/>
          <w:lang w:val="pt-BR"/>
        </w:rPr>
        <w:t xml:space="preserve">) as obrigações de ressarcimento de toda e qualquer importância que o </w:t>
      </w:r>
      <w:r w:rsidR="0085138C" w:rsidRPr="003C7BE7">
        <w:rPr>
          <w:rFonts w:ascii="Arial" w:eastAsia="Arial Unicode MS" w:hAnsi="Arial" w:cs="Arial"/>
          <w:w w:val="0"/>
          <w:sz w:val="20"/>
          <w:szCs w:val="20"/>
          <w:lang w:val="pt-BR"/>
        </w:rPr>
        <w:t>Agente Fiduciário</w:t>
      </w:r>
      <w:r w:rsidR="00E659CE" w:rsidRPr="003C7BE7">
        <w:rPr>
          <w:rFonts w:ascii="Arial" w:eastAsia="Arial Unicode MS" w:hAnsi="Arial" w:cs="Arial"/>
          <w:w w:val="0"/>
          <w:sz w:val="20"/>
          <w:szCs w:val="20"/>
          <w:lang w:val="pt-BR"/>
        </w:rPr>
        <w:t xml:space="preserve">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respectivos contratos, conforme aplicável (“</w:t>
      </w:r>
      <w:r w:rsidR="00E659CE" w:rsidRPr="003C7BE7">
        <w:rPr>
          <w:rFonts w:ascii="Arial" w:eastAsia="Arial Unicode MS" w:hAnsi="Arial" w:cs="Arial"/>
          <w:b/>
          <w:w w:val="0"/>
          <w:sz w:val="20"/>
          <w:szCs w:val="20"/>
          <w:lang w:val="pt-BR"/>
        </w:rPr>
        <w:t>Obrigações Garantidas</w:t>
      </w:r>
      <w:r w:rsidR="00E659CE" w:rsidRPr="003C7BE7">
        <w:rPr>
          <w:rFonts w:ascii="Arial" w:eastAsia="Arial Unicode MS" w:hAnsi="Arial" w:cs="Arial"/>
          <w:w w:val="0"/>
          <w:sz w:val="20"/>
          <w:szCs w:val="20"/>
          <w:lang w:val="pt-BR"/>
        </w:rPr>
        <w:t>”)</w:t>
      </w:r>
      <w:r w:rsidR="00E659CE" w:rsidRPr="003C7BE7">
        <w:rPr>
          <w:rFonts w:ascii="Arial" w:hAnsi="Arial" w:cs="Arial"/>
          <w:sz w:val="20"/>
          <w:szCs w:val="20"/>
          <w:lang w:val="pt-BR"/>
        </w:rPr>
        <w:t xml:space="preserve"> </w:t>
      </w:r>
      <w:r w:rsidR="00E659CE" w:rsidRPr="003C7BE7">
        <w:rPr>
          <w:rFonts w:ascii="Arial" w:eastAsia="Arial Unicode MS" w:hAnsi="Arial" w:cs="Arial"/>
          <w:w w:val="0"/>
          <w:sz w:val="20"/>
          <w:szCs w:val="20"/>
          <w:lang w:val="pt-BR"/>
        </w:rPr>
        <w:t xml:space="preserve">os Fiadores prestarão fiança, em favor dos Debenturistas, representados pelo </w:t>
      </w:r>
      <w:r w:rsidR="0085138C" w:rsidRPr="003C7BE7">
        <w:rPr>
          <w:rFonts w:ascii="Arial" w:eastAsia="Arial Unicode MS" w:hAnsi="Arial" w:cs="Arial"/>
          <w:w w:val="0"/>
          <w:sz w:val="20"/>
          <w:szCs w:val="20"/>
          <w:lang w:val="pt-BR"/>
        </w:rPr>
        <w:t>Agente Fiduciário</w:t>
      </w:r>
      <w:r w:rsidR="00E659CE" w:rsidRPr="003C7BE7">
        <w:rPr>
          <w:rFonts w:ascii="Arial" w:eastAsia="Arial Unicode MS" w:hAnsi="Arial" w:cs="Arial"/>
          <w:w w:val="0"/>
          <w:sz w:val="20"/>
          <w:szCs w:val="20"/>
          <w:lang w:val="pt-BR"/>
        </w:rPr>
        <w:t xml:space="preserve"> (“</w:t>
      </w:r>
      <w:r w:rsidR="00E659CE" w:rsidRPr="003C7BE7">
        <w:rPr>
          <w:rFonts w:ascii="Arial" w:eastAsia="Arial Unicode MS" w:hAnsi="Arial" w:cs="Arial"/>
          <w:b/>
          <w:w w:val="0"/>
          <w:sz w:val="20"/>
          <w:szCs w:val="20"/>
          <w:lang w:val="pt-BR"/>
        </w:rPr>
        <w:t>Fiança</w:t>
      </w:r>
      <w:r w:rsidR="00E659CE" w:rsidRPr="003C7BE7">
        <w:rPr>
          <w:rFonts w:ascii="Arial" w:eastAsia="Arial Unicode MS" w:hAnsi="Arial" w:cs="Arial"/>
          <w:w w:val="0"/>
          <w:sz w:val="20"/>
          <w:szCs w:val="20"/>
          <w:lang w:val="pt-BR"/>
        </w:rPr>
        <w:t>” e, quando em conjunto com a Garantia Rea</w:t>
      </w:r>
      <w:r w:rsidR="008E574F">
        <w:rPr>
          <w:rFonts w:ascii="Arial" w:eastAsia="Arial Unicode MS" w:hAnsi="Arial" w:cs="Arial"/>
          <w:w w:val="0"/>
          <w:sz w:val="20"/>
          <w:szCs w:val="20"/>
          <w:lang w:val="pt-BR"/>
        </w:rPr>
        <w:t>l</w:t>
      </w:r>
      <w:r w:rsidR="00E659CE" w:rsidRPr="003C7BE7">
        <w:rPr>
          <w:rFonts w:ascii="Arial" w:eastAsia="Arial Unicode MS" w:hAnsi="Arial" w:cs="Arial"/>
          <w:w w:val="0"/>
          <w:sz w:val="20"/>
          <w:szCs w:val="20"/>
          <w:lang w:val="pt-BR"/>
        </w:rPr>
        <w:t>, denominadas simplesmente de “</w:t>
      </w:r>
      <w:r w:rsidR="00E659CE" w:rsidRPr="003C7BE7">
        <w:rPr>
          <w:rFonts w:ascii="Arial" w:eastAsia="Arial Unicode MS" w:hAnsi="Arial" w:cs="Arial"/>
          <w:b/>
          <w:w w:val="0"/>
          <w:sz w:val="20"/>
          <w:szCs w:val="20"/>
          <w:lang w:val="pt-BR"/>
        </w:rPr>
        <w:t>Garantias</w:t>
      </w:r>
      <w:r w:rsidR="00E659CE" w:rsidRPr="003C7BE7">
        <w:rPr>
          <w:rFonts w:ascii="Arial" w:eastAsia="Arial Unicode MS" w:hAnsi="Arial" w:cs="Arial"/>
          <w:w w:val="0"/>
          <w:sz w:val="20"/>
          <w:szCs w:val="20"/>
          <w:lang w:val="pt-BR"/>
        </w:rPr>
        <w:t>”)</w:t>
      </w:r>
      <w:r w:rsidR="00102045" w:rsidRPr="003C7BE7">
        <w:rPr>
          <w:rFonts w:ascii="Arial" w:eastAsia="Arial Unicode MS" w:hAnsi="Arial" w:cs="Arial"/>
          <w:w w:val="0"/>
          <w:sz w:val="20"/>
          <w:szCs w:val="20"/>
          <w:lang w:val="pt-BR"/>
        </w:rPr>
        <w:t>;</w:t>
      </w:r>
    </w:p>
    <w:p w14:paraId="7EDD250D" w14:textId="77777777" w:rsidR="00E815CA" w:rsidRPr="003C7BE7" w:rsidRDefault="00E815CA" w:rsidP="00E815CA">
      <w:pPr>
        <w:pStyle w:val="ListParagraph"/>
        <w:rPr>
          <w:rFonts w:ascii="Arial" w:hAnsi="Arial" w:cs="Arial"/>
          <w:sz w:val="20"/>
          <w:szCs w:val="20"/>
          <w:lang w:val="pt-BR"/>
        </w:rPr>
      </w:pPr>
    </w:p>
    <w:p w14:paraId="4DB650CE" w14:textId="1ABC5E5B" w:rsidR="00E659CE" w:rsidRPr="0009233C" w:rsidRDefault="00E815CA" w:rsidP="0009233C">
      <w:pPr>
        <w:pStyle w:val="ListParagraph"/>
        <w:numPr>
          <w:ilvl w:val="0"/>
          <w:numId w:val="1"/>
        </w:numPr>
        <w:autoSpaceDE w:val="0"/>
        <w:autoSpaceDN w:val="0"/>
        <w:adjustRightInd w:val="0"/>
        <w:spacing w:line="276" w:lineRule="auto"/>
        <w:ind w:right="18"/>
        <w:jc w:val="both"/>
        <w:rPr>
          <w:rFonts w:ascii="Arial" w:hAnsi="Arial" w:cs="Arial"/>
          <w:bCs/>
          <w:sz w:val="20"/>
          <w:szCs w:val="20"/>
          <w:lang w:val="pt-BR"/>
        </w:rPr>
      </w:pPr>
      <w:r w:rsidRPr="008E574F">
        <w:rPr>
          <w:rFonts w:ascii="Arial" w:hAnsi="Arial" w:cs="Arial"/>
          <w:b/>
          <w:sz w:val="20"/>
          <w:szCs w:val="20"/>
          <w:lang w:val="pt-BR"/>
        </w:rPr>
        <w:lastRenderedPageBreak/>
        <w:t>Garantia Rea</w:t>
      </w:r>
      <w:r w:rsidR="008E574F" w:rsidRPr="008E574F">
        <w:rPr>
          <w:rFonts w:ascii="Arial" w:hAnsi="Arial" w:cs="Arial"/>
          <w:b/>
          <w:sz w:val="20"/>
          <w:szCs w:val="20"/>
          <w:lang w:val="pt-BR"/>
        </w:rPr>
        <w:t>l</w:t>
      </w:r>
      <w:r w:rsidR="00E659CE" w:rsidRPr="0009233C">
        <w:rPr>
          <w:rFonts w:ascii="Arial" w:hAnsi="Arial" w:cs="Arial"/>
          <w:bCs/>
          <w:sz w:val="20"/>
          <w:szCs w:val="20"/>
          <w:lang w:val="pt-BR"/>
        </w:rPr>
        <w:t>: em garantia do fiel, pontual e integral cumprimento de todas as Obrigações Garantidas, as Debêntures contarão com</w:t>
      </w:r>
      <w:r w:rsidR="008E574F" w:rsidRPr="0009233C">
        <w:rPr>
          <w:rFonts w:ascii="Arial" w:hAnsi="Arial" w:cs="Arial"/>
          <w:bCs/>
          <w:sz w:val="20"/>
          <w:szCs w:val="20"/>
          <w:lang w:val="pt-BR"/>
        </w:rPr>
        <w:t xml:space="preserve"> </w:t>
      </w:r>
      <w:r w:rsidR="00E659CE" w:rsidRPr="0009233C">
        <w:rPr>
          <w:rFonts w:ascii="Arial" w:hAnsi="Arial" w:cs="Arial"/>
          <w:bCs/>
          <w:sz w:val="20"/>
          <w:szCs w:val="20"/>
          <w:lang w:val="pt-BR"/>
        </w:rPr>
        <w:t xml:space="preserve">alienação fiduciária, em caráter irrevogável e irretratável, pela </w:t>
      </w:r>
      <w:r w:rsidR="008E574F" w:rsidRPr="0009233C">
        <w:rPr>
          <w:rFonts w:ascii="Arial" w:hAnsi="Arial" w:cs="Arial"/>
          <w:bCs/>
          <w:sz w:val="20"/>
          <w:szCs w:val="20"/>
          <w:lang w:val="pt-BR"/>
        </w:rPr>
        <w:t>VG Empreendimentos</w:t>
      </w:r>
      <w:r w:rsidR="00E659CE" w:rsidRPr="0009233C">
        <w:rPr>
          <w:rFonts w:ascii="Arial" w:hAnsi="Arial" w:cs="Arial"/>
          <w:bCs/>
          <w:sz w:val="20"/>
          <w:szCs w:val="20"/>
          <w:lang w:val="pt-BR"/>
        </w:rPr>
        <w:t xml:space="preserve">, em favor dos Debenturistas, representados pelo </w:t>
      </w:r>
      <w:r w:rsidR="0085138C" w:rsidRPr="0009233C">
        <w:rPr>
          <w:rFonts w:ascii="Arial" w:hAnsi="Arial" w:cs="Arial"/>
          <w:bCs/>
          <w:sz w:val="20"/>
          <w:szCs w:val="20"/>
          <w:lang w:val="pt-BR"/>
        </w:rPr>
        <w:t>Agente Fiduciário</w:t>
      </w:r>
      <w:r w:rsidR="00E659CE" w:rsidRPr="0009233C">
        <w:rPr>
          <w:rFonts w:ascii="Arial" w:hAnsi="Arial" w:cs="Arial"/>
          <w:bCs/>
          <w:sz w:val="20"/>
          <w:szCs w:val="20"/>
          <w:lang w:val="pt-BR"/>
        </w:rPr>
        <w:t xml:space="preserve">, de determinado </w:t>
      </w:r>
      <w:r w:rsidR="008E574F" w:rsidRPr="0009233C">
        <w:rPr>
          <w:rFonts w:ascii="Arial" w:hAnsi="Arial" w:cs="Arial"/>
          <w:bCs/>
          <w:sz w:val="20"/>
          <w:szCs w:val="20"/>
          <w:lang w:val="pt-BR"/>
        </w:rPr>
        <w:t>imóvel de sua propriedade, compreendido pelo imóvel da matrícula de nº 119.844 do 3º Ofício de Registro de Imóveis de Salvador/BA (“</w:t>
      </w:r>
      <w:r w:rsidR="008E574F" w:rsidRPr="0009233C">
        <w:rPr>
          <w:rFonts w:ascii="Arial" w:hAnsi="Arial" w:cs="Arial"/>
          <w:b/>
          <w:sz w:val="20"/>
          <w:szCs w:val="20"/>
          <w:lang w:val="pt-BR"/>
        </w:rPr>
        <w:t>Imóvel</w:t>
      </w:r>
      <w:r w:rsidR="008E574F" w:rsidRPr="0009233C">
        <w:rPr>
          <w:rFonts w:ascii="Arial" w:hAnsi="Arial" w:cs="Arial"/>
          <w:bCs/>
          <w:sz w:val="20"/>
          <w:szCs w:val="20"/>
          <w:lang w:val="pt-BR"/>
        </w:rPr>
        <w:t>”), conforme os termos e condições previstos no “</w:t>
      </w:r>
      <w:r w:rsidR="008E574F" w:rsidRPr="0009233C">
        <w:rPr>
          <w:rFonts w:ascii="Arial" w:hAnsi="Arial" w:cs="Arial"/>
          <w:bCs/>
          <w:i/>
          <w:iCs/>
          <w:sz w:val="20"/>
          <w:szCs w:val="20"/>
          <w:lang w:val="pt-BR"/>
        </w:rPr>
        <w:t>Instrumento Particular de Constituição de Alienação Fiduciária de Bem Imóvel em Garantia e Outras Avenças</w:t>
      </w:r>
      <w:r w:rsidR="008E574F" w:rsidRPr="0009233C">
        <w:rPr>
          <w:rFonts w:ascii="Arial" w:hAnsi="Arial" w:cs="Arial"/>
          <w:bCs/>
          <w:sz w:val="20"/>
          <w:szCs w:val="20"/>
          <w:lang w:val="pt-BR"/>
        </w:rPr>
        <w:t>”, a ser celebrado entre a VG Empreendimentos e o Agente Fiduciário, na qualidade de representante dos Debenturistas (“</w:t>
      </w:r>
      <w:r w:rsidR="008E574F" w:rsidRPr="0009233C">
        <w:rPr>
          <w:rFonts w:ascii="Arial" w:hAnsi="Arial" w:cs="Arial"/>
          <w:b/>
          <w:sz w:val="20"/>
          <w:szCs w:val="20"/>
          <w:lang w:val="pt-BR"/>
        </w:rPr>
        <w:t>Alienação Fiduciária de Imóvel</w:t>
      </w:r>
      <w:r w:rsidR="008E574F" w:rsidRPr="0009233C">
        <w:rPr>
          <w:rFonts w:ascii="Arial" w:hAnsi="Arial" w:cs="Arial"/>
          <w:bCs/>
          <w:sz w:val="20"/>
          <w:szCs w:val="20"/>
          <w:lang w:val="pt-BR"/>
        </w:rPr>
        <w:t>”</w:t>
      </w:r>
      <w:r w:rsidR="00E109C0">
        <w:rPr>
          <w:rFonts w:ascii="Arial" w:hAnsi="Arial" w:cs="Arial"/>
          <w:bCs/>
          <w:sz w:val="20"/>
          <w:szCs w:val="20"/>
          <w:lang w:val="pt-BR"/>
        </w:rPr>
        <w:t xml:space="preserve"> ou “</w:t>
      </w:r>
      <w:r w:rsidR="00E109C0">
        <w:rPr>
          <w:rFonts w:ascii="Arial" w:hAnsi="Arial" w:cs="Arial"/>
          <w:b/>
          <w:sz w:val="20"/>
          <w:szCs w:val="20"/>
          <w:lang w:val="pt-BR"/>
        </w:rPr>
        <w:t>Garantia Real</w:t>
      </w:r>
      <w:r w:rsidR="00E109C0">
        <w:rPr>
          <w:rFonts w:ascii="Arial" w:hAnsi="Arial" w:cs="Arial"/>
          <w:bCs/>
          <w:sz w:val="20"/>
          <w:szCs w:val="20"/>
          <w:lang w:val="pt-BR"/>
        </w:rPr>
        <w:t>”</w:t>
      </w:r>
      <w:r w:rsidR="008E574F" w:rsidRPr="0009233C">
        <w:rPr>
          <w:rFonts w:ascii="Arial" w:hAnsi="Arial" w:cs="Arial"/>
          <w:bCs/>
          <w:sz w:val="20"/>
          <w:szCs w:val="20"/>
          <w:lang w:val="pt-BR"/>
        </w:rPr>
        <w:t xml:space="preserve"> e “</w:t>
      </w:r>
      <w:r w:rsidR="008E574F" w:rsidRPr="0009233C">
        <w:rPr>
          <w:rFonts w:ascii="Arial" w:hAnsi="Arial" w:cs="Arial"/>
          <w:b/>
          <w:sz w:val="20"/>
          <w:szCs w:val="20"/>
          <w:lang w:val="pt-BR"/>
        </w:rPr>
        <w:t>Contrato de Alienação Fiduciária de Imóvel</w:t>
      </w:r>
      <w:r w:rsidR="008E574F" w:rsidRPr="0009233C">
        <w:rPr>
          <w:rFonts w:ascii="Arial" w:hAnsi="Arial" w:cs="Arial"/>
          <w:bCs/>
          <w:sz w:val="20"/>
          <w:szCs w:val="20"/>
          <w:lang w:val="pt-BR"/>
        </w:rPr>
        <w:t>”</w:t>
      </w:r>
      <w:r w:rsidR="00E109C0">
        <w:rPr>
          <w:rFonts w:ascii="Arial" w:hAnsi="Arial" w:cs="Arial"/>
          <w:bCs/>
          <w:sz w:val="20"/>
          <w:szCs w:val="20"/>
          <w:lang w:val="pt-BR"/>
        </w:rPr>
        <w:t>,</w:t>
      </w:r>
      <w:r w:rsidR="008E574F" w:rsidRPr="0009233C">
        <w:rPr>
          <w:rFonts w:ascii="Arial" w:hAnsi="Arial" w:cs="Arial"/>
          <w:bCs/>
          <w:sz w:val="20"/>
          <w:szCs w:val="20"/>
          <w:lang w:val="pt-BR"/>
        </w:rPr>
        <w:t xml:space="preserve"> respectivamente). Os demais termos e condições da Alienação Fiduciária de Imóvel seguem descritos no Contrato de Alienação Fiduciária de Imóvel</w:t>
      </w:r>
      <w:r w:rsidR="00E659CE" w:rsidRPr="0009233C">
        <w:rPr>
          <w:rFonts w:ascii="Arial" w:hAnsi="Arial" w:cs="Arial"/>
          <w:bCs/>
          <w:sz w:val="20"/>
          <w:szCs w:val="20"/>
          <w:lang w:val="pt-BR"/>
        </w:rPr>
        <w:t xml:space="preserve">; </w:t>
      </w:r>
    </w:p>
    <w:p w14:paraId="3E32EF3F" w14:textId="77777777" w:rsidR="00E32991" w:rsidRPr="0009233C" w:rsidRDefault="00E32991" w:rsidP="0009233C">
      <w:pPr>
        <w:pStyle w:val="ListParagraph"/>
        <w:autoSpaceDE w:val="0"/>
        <w:autoSpaceDN w:val="0"/>
        <w:adjustRightInd w:val="0"/>
        <w:spacing w:line="276" w:lineRule="auto"/>
        <w:ind w:left="1080" w:right="18"/>
        <w:jc w:val="both"/>
        <w:rPr>
          <w:rFonts w:ascii="Arial" w:hAnsi="Arial" w:cs="Arial"/>
          <w:b/>
          <w:sz w:val="20"/>
          <w:szCs w:val="20"/>
          <w:lang w:val="pt-BR"/>
        </w:rPr>
      </w:pPr>
      <w:bookmarkStart w:id="11" w:name="_Ref522091093"/>
    </w:p>
    <w:p w14:paraId="4311200C" w14:textId="77777777" w:rsidR="00E32991" w:rsidRPr="003C7BE7" w:rsidRDefault="00E32991" w:rsidP="00AF3C84">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Dias Úteis</w:t>
      </w:r>
      <w:r w:rsidRPr="003C7BE7">
        <w:rPr>
          <w:rFonts w:ascii="Arial" w:hAnsi="Arial" w:cs="Arial"/>
          <w:sz w:val="20"/>
          <w:szCs w:val="20"/>
          <w:lang w:val="pt-BR"/>
        </w:rPr>
        <w:t>: exceto quando previsto expressamente de modo diverso na Escritura de Emissão, entende-se por “</w:t>
      </w:r>
      <w:r w:rsidRPr="003C7BE7">
        <w:rPr>
          <w:rFonts w:ascii="Arial" w:hAnsi="Arial" w:cs="Arial"/>
          <w:b/>
          <w:sz w:val="20"/>
          <w:szCs w:val="20"/>
          <w:lang w:val="pt-BR"/>
        </w:rPr>
        <w:t>Dia(s) Útil(eis)</w:t>
      </w:r>
      <w:r w:rsidRPr="003C7BE7">
        <w:rPr>
          <w:rFonts w:ascii="Arial" w:hAnsi="Arial" w:cs="Arial"/>
          <w:sz w:val="20"/>
          <w:szCs w:val="20"/>
          <w:lang w:val="pt-BR"/>
        </w:rPr>
        <w:t>”: com relação a qualquer obrigação pecuniária realizada por meio da B3, qualquer dia que não seja sábado, domingo ou feriado declarado nacional</w:t>
      </w:r>
      <w:r w:rsidR="004829CC">
        <w:rPr>
          <w:rFonts w:ascii="Arial" w:hAnsi="Arial" w:cs="Arial"/>
          <w:sz w:val="20"/>
          <w:szCs w:val="20"/>
          <w:lang w:val="pt-BR"/>
        </w:rPr>
        <w:t>.</w:t>
      </w:r>
      <w:r w:rsidRPr="003C7BE7">
        <w:rPr>
          <w:rFonts w:ascii="Arial" w:hAnsi="Arial" w:cs="Arial"/>
          <w:sz w:val="20"/>
          <w:szCs w:val="20"/>
          <w:lang w:val="pt-BR"/>
        </w:rPr>
        <w:t xml:space="preserve"> Quando a indicação de prazo contado por dia na Escritura não vier acompanhada da indicação de “Dia Útil”, entende-se que o prazo é contado em dias corridos;</w:t>
      </w:r>
    </w:p>
    <w:bookmarkEnd w:id="11"/>
    <w:p w14:paraId="0307563D" w14:textId="77777777" w:rsidR="002A26BB" w:rsidRPr="003C7BE7" w:rsidRDefault="002A26BB" w:rsidP="00DC676E">
      <w:pPr>
        <w:pStyle w:val="ListParagraph"/>
        <w:autoSpaceDE w:val="0"/>
        <w:autoSpaceDN w:val="0"/>
        <w:adjustRightInd w:val="0"/>
        <w:spacing w:line="276" w:lineRule="auto"/>
        <w:ind w:left="1080" w:right="18"/>
        <w:jc w:val="both"/>
        <w:rPr>
          <w:rFonts w:ascii="Arial" w:hAnsi="Arial" w:cs="Arial"/>
          <w:sz w:val="20"/>
          <w:szCs w:val="20"/>
          <w:lang w:val="pt-BR"/>
        </w:rPr>
      </w:pPr>
    </w:p>
    <w:p w14:paraId="4B840886" w14:textId="77777777" w:rsidR="002A26BB" w:rsidRPr="003C7BE7" w:rsidRDefault="009E360F" w:rsidP="00AF3C84">
      <w:pPr>
        <w:pStyle w:val="ListParagraph"/>
        <w:numPr>
          <w:ilvl w:val="0"/>
          <w:numId w:val="1"/>
        </w:numPr>
        <w:autoSpaceDE w:val="0"/>
        <w:autoSpaceDN w:val="0"/>
        <w:adjustRightInd w:val="0"/>
        <w:spacing w:line="276" w:lineRule="auto"/>
        <w:ind w:right="18"/>
        <w:jc w:val="both"/>
        <w:rPr>
          <w:rFonts w:ascii="Arial" w:hAnsi="Arial" w:cs="Arial"/>
          <w:sz w:val="20"/>
          <w:szCs w:val="20"/>
          <w:lang w:val="pt-BR"/>
        </w:rPr>
      </w:pPr>
      <w:r w:rsidRPr="003C7BE7">
        <w:rPr>
          <w:rFonts w:ascii="Arial" w:hAnsi="Arial" w:cs="Arial"/>
          <w:b/>
          <w:sz w:val="20"/>
          <w:szCs w:val="20"/>
          <w:lang w:val="pt-BR"/>
        </w:rPr>
        <w:t xml:space="preserve">Local </w:t>
      </w:r>
      <w:r w:rsidR="002D2013" w:rsidRPr="003C7BE7">
        <w:rPr>
          <w:rFonts w:ascii="Arial" w:hAnsi="Arial" w:cs="Arial"/>
          <w:b/>
          <w:sz w:val="20"/>
          <w:szCs w:val="20"/>
          <w:lang w:val="pt-BR"/>
        </w:rPr>
        <w:t>de pagamento</w:t>
      </w:r>
      <w:r w:rsidR="002D2013" w:rsidRPr="003C7BE7">
        <w:rPr>
          <w:rFonts w:ascii="Arial" w:hAnsi="Arial" w:cs="Arial"/>
          <w:sz w:val="20"/>
          <w:szCs w:val="20"/>
          <w:lang w:val="pt-BR"/>
        </w:rPr>
        <w:t xml:space="preserve">: </w:t>
      </w:r>
      <w:r w:rsidR="00977215" w:rsidRPr="003C7BE7">
        <w:rPr>
          <w:rFonts w:ascii="Arial" w:hAnsi="Arial" w:cs="Arial"/>
          <w:sz w:val="20"/>
          <w:szCs w:val="20"/>
          <w:lang w:val="pt-BR"/>
        </w:rPr>
        <w:t xml:space="preserve">os pagamentos referentes às Debêntures e a quaisquer outros valores eventualmente devidos pela </w:t>
      </w:r>
      <w:r w:rsidR="00E659CE" w:rsidRPr="003C7BE7">
        <w:rPr>
          <w:rFonts w:ascii="Arial" w:hAnsi="Arial" w:cs="Arial"/>
          <w:sz w:val="20"/>
          <w:szCs w:val="20"/>
          <w:lang w:val="pt-BR"/>
        </w:rPr>
        <w:t xml:space="preserve">Companhia </w:t>
      </w:r>
      <w:r w:rsidR="00977215" w:rsidRPr="003C7BE7">
        <w:rPr>
          <w:rFonts w:ascii="Arial" w:hAnsi="Arial" w:cs="Arial"/>
          <w:sz w:val="20"/>
          <w:szCs w:val="20"/>
          <w:lang w:val="pt-BR"/>
        </w:rPr>
        <w:t xml:space="preserve">e/ou pelos Fiadores, nos termos da Escritura de Emissão, serão realizados: </w:t>
      </w:r>
      <w:r w:rsidR="00977215" w:rsidRPr="003C7BE7">
        <w:rPr>
          <w:rFonts w:ascii="Arial" w:hAnsi="Arial" w:cs="Arial"/>
          <w:b/>
          <w:sz w:val="20"/>
          <w:szCs w:val="20"/>
          <w:lang w:val="pt-BR"/>
        </w:rPr>
        <w:t>(i)</w:t>
      </w:r>
      <w:r w:rsidR="00977215" w:rsidRPr="003C7BE7">
        <w:rPr>
          <w:rFonts w:ascii="Arial" w:hAnsi="Arial" w:cs="Arial"/>
          <w:sz w:val="20"/>
          <w:szCs w:val="20"/>
          <w:lang w:val="pt-BR"/>
        </w:rPr>
        <w:t xml:space="preserve"> pela </w:t>
      </w:r>
      <w:r w:rsidR="00E659CE" w:rsidRPr="003C7BE7">
        <w:rPr>
          <w:rFonts w:ascii="Arial" w:hAnsi="Arial" w:cs="Arial"/>
          <w:sz w:val="20"/>
          <w:szCs w:val="20"/>
          <w:lang w:val="pt-BR"/>
        </w:rPr>
        <w:t>Companhia</w:t>
      </w:r>
      <w:r w:rsidR="00977215" w:rsidRPr="003C7BE7">
        <w:rPr>
          <w:rFonts w:ascii="Arial" w:hAnsi="Arial" w:cs="Arial"/>
          <w:sz w:val="20"/>
          <w:szCs w:val="20"/>
          <w:lang w:val="pt-BR"/>
        </w:rPr>
        <w:t>, no que se refere a pagamentos referentes ao Valor Nominal Unitário, à Remuneração, aos eventuais valores de Resgate Antecipado Facultativo, Amortização Extraordinária Facultativa e Oferta de Resgate Antecipado Total, incluindo os respectivos prêmios, se houver, aos Encargos Moratórios, se houver, e com relação às Debêntures que estejam custodiadas eletronicamente na B3, por meio da B3;</w:t>
      </w:r>
      <w:r w:rsidR="00977215" w:rsidRPr="003C7BE7" w:rsidDel="006C3B50">
        <w:rPr>
          <w:rFonts w:ascii="Arial" w:hAnsi="Arial" w:cs="Arial"/>
          <w:sz w:val="20"/>
          <w:szCs w:val="20"/>
          <w:lang w:val="pt-BR"/>
        </w:rPr>
        <w:t xml:space="preserve"> </w:t>
      </w:r>
      <w:r w:rsidR="00977215" w:rsidRPr="003C7BE7">
        <w:rPr>
          <w:rFonts w:ascii="Arial" w:hAnsi="Arial" w:cs="Arial"/>
          <w:b/>
          <w:sz w:val="20"/>
          <w:szCs w:val="20"/>
          <w:lang w:val="pt-BR"/>
        </w:rPr>
        <w:t>(</w:t>
      </w:r>
      <w:proofErr w:type="spellStart"/>
      <w:r w:rsidR="00977215" w:rsidRPr="003C7BE7">
        <w:rPr>
          <w:rFonts w:ascii="Arial" w:hAnsi="Arial" w:cs="Arial"/>
          <w:b/>
          <w:sz w:val="20"/>
          <w:szCs w:val="20"/>
          <w:lang w:val="pt-BR"/>
        </w:rPr>
        <w:t>ii</w:t>
      </w:r>
      <w:proofErr w:type="spellEnd"/>
      <w:r w:rsidR="00977215" w:rsidRPr="003C7BE7">
        <w:rPr>
          <w:rFonts w:ascii="Arial" w:hAnsi="Arial" w:cs="Arial"/>
          <w:b/>
          <w:sz w:val="20"/>
          <w:szCs w:val="20"/>
          <w:lang w:val="pt-BR"/>
        </w:rPr>
        <w:t>)</w:t>
      </w:r>
      <w:r w:rsidR="00977215" w:rsidRPr="003C7BE7">
        <w:rPr>
          <w:rFonts w:ascii="Arial" w:hAnsi="Arial" w:cs="Arial"/>
          <w:sz w:val="20"/>
          <w:szCs w:val="20"/>
          <w:lang w:val="pt-BR"/>
        </w:rPr>
        <w:t xml:space="preserve"> pela </w:t>
      </w:r>
      <w:r w:rsidR="00E659CE" w:rsidRPr="003C7BE7">
        <w:rPr>
          <w:rFonts w:ascii="Arial" w:hAnsi="Arial" w:cs="Arial"/>
          <w:sz w:val="20"/>
          <w:szCs w:val="20"/>
          <w:lang w:val="pt-BR"/>
        </w:rPr>
        <w:t>Companhia</w:t>
      </w:r>
      <w:r w:rsidR="00977215" w:rsidRPr="003C7BE7">
        <w:rPr>
          <w:rFonts w:ascii="Arial" w:hAnsi="Arial" w:cs="Arial"/>
          <w:sz w:val="20"/>
          <w:szCs w:val="20"/>
          <w:lang w:val="pt-BR"/>
        </w:rPr>
        <w:t xml:space="preserve">, nos demais casos, por meio do </w:t>
      </w:r>
      <w:proofErr w:type="spellStart"/>
      <w:r w:rsidR="00977215" w:rsidRPr="003C7BE7">
        <w:rPr>
          <w:rFonts w:ascii="Arial" w:hAnsi="Arial" w:cs="Arial"/>
          <w:sz w:val="20"/>
          <w:szCs w:val="20"/>
          <w:lang w:val="pt-BR"/>
        </w:rPr>
        <w:t>Escriturador</w:t>
      </w:r>
      <w:proofErr w:type="spellEnd"/>
      <w:r w:rsidR="00977215" w:rsidRPr="003C7BE7">
        <w:rPr>
          <w:rFonts w:ascii="Arial" w:hAnsi="Arial" w:cs="Arial"/>
          <w:sz w:val="20"/>
          <w:szCs w:val="20"/>
          <w:lang w:val="pt-BR"/>
        </w:rPr>
        <w:t xml:space="preserve"> ou na sede da </w:t>
      </w:r>
      <w:r w:rsidR="00E659CE" w:rsidRPr="003C7BE7">
        <w:rPr>
          <w:rFonts w:ascii="Arial" w:hAnsi="Arial" w:cs="Arial"/>
          <w:sz w:val="20"/>
          <w:szCs w:val="20"/>
          <w:lang w:val="pt-BR"/>
        </w:rPr>
        <w:t>Companhia</w:t>
      </w:r>
      <w:r w:rsidR="00977215" w:rsidRPr="003C7BE7">
        <w:rPr>
          <w:rFonts w:ascii="Arial" w:hAnsi="Arial" w:cs="Arial"/>
          <w:sz w:val="20"/>
          <w:szCs w:val="20"/>
          <w:lang w:val="pt-BR"/>
        </w:rPr>
        <w:t xml:space="preserve">, conforme o caso; ou </w:t>
      </w:r>
      <w:r w:rsidR="00977215" w:rsidRPr="003C7BE7">
        <w:rPr>
          <w:rFonts w:ascii="Arial" w:hAnsi="Arial" w:cs="Arial"/>
          <w:b/>
          <w:sz w:val="20"/>
          <w:szCs w:val="20"/>
          <w:lang w:val="pt-BR"/>
        </w:rPr>
        <w:t>(</w:t>
      </w:r>
      <w:proofErr w:type="spellStart"/>
      <w:r w:rsidR="00977215" w:rsidRPr="003C7BE7">
        <w:rPr>
          <w:rFonts w:ascii="Arial" w:hAnsi="Arial" w:cs="Arial"/>
          <w:b/>
          <w:sz w:val="20"/>
          <w:szCs w:val="20"/>
          <w:lang w:val="pt-BR"/>
        </w:rPr>
        <w:t>iii</w:t>
      </w:r>
      <w:proofErr w:type="spellEnd"/>
      <w:r w:rsidR="00977215" w:rsidRPr="003C7BE7">
        <w:rPr>
          <w:rFonts w:ascii="Arial" w:hAnsi="Arial" w:cs="Arial"/>
          <w:b/>
          <w:sz w:val="20"/>
          <w:szCs w:val="20"/>
          <w:lang w:val="pt-BR"/>
        </w:rPr>
        <w:t>)</w:t>
      </w:r>
      <w:r w:rsidR="00977215" w:rsidRPr="003C7BE7">
        <w:rPr>
          <w:rFonts w:ascii="Arial" w:hAnsi="Arial" w:cs="Arial"/>
          <w:sz w:val="20"/>
          <w:szCs w:val="20"/>
          <w:lang w:val="pt-BR"/>
        </w:rPr>
        <w:t xml:space="preserve"> pelos Fiadores, em qualquer caso no que se refere à Fiança, nos termos da Escritura de Emissão, por meio do </w:t>
      </w:r>
      <w:proofErr w:type="spellStart"/>
      <w:r w:rsidR="00977215" w:rsidRPr="003C7BE7">
        <w:rPr>
          <w:rFonts w:ascii="Arial" w:hAnsi="Arial" w:cs="Arial"/>
          <w:sz w:val="20"/>
          <w:szCs w:val="20"/>
          <w:lang w:val="pt-BR"/>
        </w:rPr>
        <w:t>Escriturador</w:t>
      </w:r>
      <w:proofErr w:type="spellEnd"/>
      <w:r w:rsidR="00977215" w:rsidRPr="003C7BE7">
        <w:rPr>
          <w:rFonts w:ascii="Arial" w:hAnsi="Arial" w:cs="Arial"/>
          <w:sz w:val="20"/>
          <w:szCs w:val="20"/>
          <w:lang w:val="pt-BR"/>
        </w:rPr>
        <w:t xml:space="preserve"> ou na sede/domicílio dos Fiadores, conforme o caso</w:t>
      </w:r>
      <w:r w:rsidR="00CC759B" w:rsidRPr="003C7BE7">
        <w:rPr>
          <w:rFonts w:ascii="Arial" w:hAnsi="Arial" w:cs="Arial"/>
          <w:sz w:val="20"/>
          <w:szCs w:val="20"/>
          <w:lang w:val="pt-BR"/>
        </w:rPr>
        <w:t xml:space="preserve">. </w:t>
      </w:r>
    </w:p>
    <w:p w14:paraId="2347D686" w14:textId="77777777" w:rsidR="002A26BB" w:rsidRPr="003C7BE7" w:rsidRDefault="002A26BB" w:rsidP="009E360F">
      <w:pPr>
        <w:pStyle w:val="ListParagraph"/>
        <w:spacing w:line="276" w:lineRule="auto"/>
        <w:rPr>
          <w:rFonts w:ascii="Arial" w:hAnsi="Arial" w:cs="Arial"/>
          <w:b/>
          <w:sz w:val="20"/>
          <w:szCs w:val="20"/>
          <w:lang w:val="pt-BR"/>
        </w:rPr>
      </w:pPr>
    </w:p>
    <w:p w14:paraId="703C50A1" w14:textId="0B02B529" w:rsidR="00E659CE" w:rsidRPr="003C7BE7" w:rsidRDefault="00E109C0" w:rsidP="00E659CE">
      <w:pPr>
        <w:autoSpaceDE w:val="0"/>
        <w:autoSpaceDN w:val="0"/>
        <w:adjustRightInd w:val="0"/>
        <w:spacing w:line="276" w:lineRule="auto"/>
        <w:ind w:right="17"/>
        <w:jc w:val="both"/>
        <w:rPr>
          <w:rFonts w:ascii="Arial" w:hAnsi="Arial" w:cs="Arial"/>
          <w:sz w:val="20"/>
          <w:szCs w:val="20"/>
          <w:lang w:val="pt-BR"/>
        </w:rPr>
      </w:pPr>
      <w:r>
        <w:rPr>
          <w:rFonts w:ascii="Arial" w:hAnsi="Arial" w:cs="Arial"/>
          <w:b/>
          <w:sz w:val="20"/>
          <w:szCs w:val="20"/>
          <w:lang w:val="pt-BR"/>
        </w:rPr>
        <w:t>2</w:t>
      </w:r>
      <w:r w:rsidR="00B13A5F" w:rsidRPr="003C7BE7">
        <w:rPr>
          <w:rFonts w:ascii="Arial" w:hAnsi="Arial" w:cs="Arial"/>
          <w:b/>
          <w:sz w:val="20"/>
          <w:szCs w:val="20"/>
          <w:lang w:val="pt-BR"/>
        </w:rPr>
        <w:t xml:space="preserve">. </w:t>
      </w:r>
      <w:r w:rsidR="002D2013" w:rsidRPr="003C7BE7">
        <w:rPr>
          <w:rFonts w:ascii="Arial" w:hAnsi="Arial" w:cs="Arial"/>
          <w:sz w:val="20"/>
          <w:szCs w:val="20"/>
          <w:lang w:val="pt-BR"/>
        </w:rPr>
        <w:t xml:space="preserve">Autorizar, desde já, a Diretoria da Companhia a: </w:t>
      </w:r>
      <w:r w:rsidR="00275660" w:rsidRPr="003C7BE7">
        <w:rPr>
          <w:rFonts w:ascii="Arial" w:hAnsi="Arial" w:cs="Arial"/>
          <w:b/>
          <w:sz w:val="20"/>
          <w:szCs w:val="20"/>
          <w:lang w:val="pt-BR"/>
        </w:rPr>
        <w:t>(i)</w:t>
      </w:r>
      <w:r w:rsidR="00275660" w:rsidRPr="003C7BE7">
        <w:rPr>
          <w:rFonts w:ascii="Arial" w:hAnsi="Arial" w:cs="Arial"/>
          <w:sz w:val="20"/>
          <w:szCs w:val="20"/>
          <w:lang w:val="pt-BR"/>
        </w:rPr>
        <w:t xml:space="preserve"> contratar os prestadores de serviços para a Emissão, tais como o banco mandatário,</w:t>
      </w:r>
      <w:r w:rsidR="007734F8" w:rsidRPr="003C7BE7">
        <w:rPr>
          <w:rFonts w:ascii="Arial" w:hAnsi="Arial" w:cs="Arial"/>
          <w:sz w:val="20"/>
          <w:szCs w:val="20"/>
          <w:lang w:val="pt-BR"/>
        </w:rPr>
        <w:t xml:space="preserve"> </w:t>
      </w:r>
      <w:r w:rsidR="0085138C" w:rsidRPr="003C7BE7">
        <w:rPr>
          <w:rFonts w:ascii="Arial" w:hAnsi="Arial" w:cs="Arial"/>
          <w:sz w:val="20"/>
          <w:szCs w:val="20"/>
          <w:lang w:val="pt-BR"/>
        </w:rPr>
        <w:t>Agente Fiduciário</w:t>
      </w:r>
      <w:r w:rsidR="00275660" w:rsidRPr="003C7BE7">
        <w:rPr>
          <w:rFonts w:ascii="Arial" w:hAnsi="Arial" w:cs="Arial"/>
          <w:sz w:val="20"/>
          <w:szCs w:val="20"/>
          <w:lang w:val="pt-BR"/>
        </w:rPr>
        <w:t xml:space="preserve"> e assessores legais, entre outros; </w:t>
      </w:r>
      <w:r w:rsidR="00275660" w:rsidRPr="003C7BE7">
        <w:rPr>
          <w:rFonts w:ascii="Arial" w:hAnsi="Arial" w:cs="Arial"/>
          <w:b/>
          <w:sz w:val="20"/>
          <w:szCs w:val="20"/>
          <w:lang w:val="pt-BR"/>
        </w:rPr>
        <w:t>(</w:t>
      </w:r>
      <w:proofErr w:type="spellStart"/>
      <w:r w:rsidR="00275660" w:rsidRPr="003C7BE7">
        <w:rPr>
          <w:rFonts w:ascii="Arial" w:hAnsi="Arial" w:cs="Arial"/>
          <w:b/>
          <w:sz w:val="20"/>
          <w:szCs w:val="20"/>
          <w:lang w:val="pt-BR"/>
        </w:rPr>
        <w:t>ii</w:t>
      </w:r>
      <w:proofErr w:type="spellEnd"/>
      <w:r w:rsidR="00275660" w:rsidRPr="003C7BE7">
        <w:rPr>
          <w:rFonts w:ascii="Arial" w:hAnsi="Arial" w:cs="Arial"/>
          <w:b/>
          <w:sz w:val="20"/>
          <w:szCs w:val="20"/>
          <w:lang w:val="pt-BR"/>
        </w:rPr>
        <w:t>)</w:t>
      </w:r>
      <w:r w:rsidR="00275660" w:rsidRPr="003C7BE7">
        <w:rPr>
          <w:rFonts w:ascii="Arial" w:hAnsi="Arial" w:cs="Arial"/>
          <w:sz w:val="20"/>
          <w:szCs w:val="20"/>
          <w:lang w:val="pt-BR"/>
        </w:rPr>
        <w:t xml:space="preserve"> negociar e definir todos os termos e condições específicos da Emissão que não foram objeto de aprovação desta assembleia, em especial as cláusulas e condições de vencimento antecipado</w:t>
      </w:r>
      <w:r w:rsidR="005A270D" w:rsidRPr="003C7BE7">
        <w:rPr>
          <w:rFonts w:ascii="Arial" w:hAnsi="Arial" w:cs="Arial"/>
          <w:sz w:val="20"/>
          <w:szCs w:val="20"/>
          <w:lang w:val="pt-BR"/>
        </w:rPr>
        <w:t xml:space="preserve">, e os termos e condições </w:t>
      </w:r>
      <w:r w:rsidR="00341985" w:rsidRPr="003C7BE7">
        <w:rPr>
          <w:rFonts w:ascii="Arial" w:hAnsi="Arial" w:cs="Arial"/>
          <w:sz w:val="20"/>
          <w:szCs w:val="20"/>
          <w:lang w:val="pt-BR"/>
        </w:rPr>
        <w:t xml:space="preserve">do </w:t>
      </w:r>
      <w:r w:rsidR="004234F8">
        <w:rPr>
          <w:rFonts w:ascii="Arial" w:hAnsi="Arial" w:cs="Arial"/>
          <w:sz w:val="20"/>
          <w:szCs w:val="20"/>
          <w:lang w:val="pt-BR"/>
        </w:rPr>
        <w:t>Contrato de Alienação Fiduciária de Imóvel</w:t>
      </w:r>
      <w:r w:rsidR="00275660" w:rsidRPr="003C7BE7">
        <w:rPr>
          <w:rFonts w:ascii="Arial" w:hAnsi="Arial" w:cs="Arial"/>
          <w:sz w:val="20"/>
          <w:szCs w:val="20"/>
          <w:lang w:val="pt-BR"/>
        </w:rPr>
        <w:t xml:space="preserve">; e </w:t>
      </w:r>
      <w:r w:rsidR="00275660" w:rsidRPr="003C7BE7">
        <w:rPr>
          <w:rFonts w:ascii="Arial" w:hAnsi="Arial" w:cs="Arial"/>
          <w:b/>
          <w:sz w:val="20"/>
          <w:szCs w:val="20"/>
          <w:lang w:val="pt-BR"/>
        </w:rPr>
        <w:t>(</w:t>
      </w:r>
      <w:proofErr w:type="spellStart"/>
      <w:r w:rsidR="00275660" w:rsidRPr="003C7BE7">
        <w:rPr>
          <w:rFonts w:ascii="Arial" w:hAnsi="Arial" w:cs="Arial"/>
          <w:b/>
          <w:sz w:val="20"/>
          <w:szCs w:val="20"/>
          <w:lang w:val="pt-BR"/>
        </w:rPr>
        <w:t>iii</w:t>
      </w:r>
      <w:proofErr w:type="spellEnd"/>
      <w:r w:rsidR="00275660" w:rsidRPr="003C7BE7">
        <w:rPr>
          <w:rFonts w:ascii="Arial" w:hAnsi="Arial" w:cs="Arial"/>
          <w:b/>
          <w:sz w:val="20"/>
          <w:szCs w:val="20"/>
          <w:lang w:val="pt-BR"/>
        </w:rPr>
        <w:t>)</w:t>
      </w:r>
      <w:r w:rsidR="00275660" w:rsidRPr="003C7BE7">
        <w:rPr>
          <w:rFonts w:ascii="Arial" w:hAnsi="Arial" w:cs="Arial"/>
          <w:sz w:val="20"/>
          <w:szCs w:val="20"/>
          <w:lang w:val="pt-BR"/>
        </w:rPr>
        <w:t xml:space="preserve"> </w:t>
      </w:r>
      <w:r w:rsidR="00341985" w:rsidRPr="003C7BE7">
        <w:rPr>
          <w:rFonts w:ascii="Arial" w:hAnsi="Arial" w:cs="Arial"/>
          <w:sz w:val="20"/>
          <w:szCs w:val="20"/>
          <w:lang w:val="pt-BR"/>
        </w:rPr>
        <w:t xml:space="preserve">praticar todos e </w:t>
      </w:r>
      <w:r w:rsidR="00341985" w:rsidRPr="003C7BE7">
        <w:rPr>
          <w:rFonts w:ascii="Arial" w:hAnsi="Arial" w:cs="Arial"/>
          <w:sz w:val="20"/>
          <w:szCs w:val="20"/>
          <w:lang w:val="pt-BR"/>
        </w:rPr>
        <w:lastRenderedPageBreak/>
        <w:t>quaisquer atos necessários à formalização, efetivação e administração das deliberações desta Assembleia para a emissão das Debêntures e implementação e operacionalização das Garantias, bem como a assinatura de todos e quaisquer instrumentos relacionados à Emissão</w:t>
      </w:r>
      <w:r w:rsidR="00275660" w:rsidRPr="003C7BE7">
        <w:rPr>
          <w:rFonts w:ascii="Arial" w:hAnsi="Arial" w:cs="Arial"/>
          <w:sz w:val="20"/>
          <w:szCs w:val="20"/>
          <w:lang w:val="pt-BR"/>
        </w:rPr>
        <w:t>, incluindo, mas não se limitando a Escritura de Emissão, o Contrato de Distribuição e o</w:t>
      </w:r>
      <w:r w:rsidR="00F57050" w:rsidRPr="003C7BE7">
        <w:rPr>
          <w:rFonts w:ascii="Arial" w:hAnsi="Arial" w:cs="Arial"/>
          <w:sz w:val="20"/>
          <w:szCs w:val="20"/>
          <w:lang w:val="pt-BR"/>
        </w:rPr>
        <w:t>s</w:t>
      </w:r>
      <w:r w:rsidR="00275660" w:rsidRPr="003C7BE7">
        <w:rPr>
          <w:rFonts w:ascii="Arial" w:hAnsi="Arial" w:cs="Arial"/>
          <w:sz w:val="20"/>
          <w:szCs w:val="20"/>
          <w:lang w:val="pt-BR"/>
        </w:rPr>
        <w:t xml:space="preserve"> </w:t>
      </w:r>
      <w:r w:rsidR="00F57050" w:rsidRPr="003C7BE7">
        <w:rPr>
          <w:rFonts w:ascii="Arial" w:hAnsi="Arial" w:cs="Arial"/>
          <w:sz w:val="20"/>
          <w:szCs w:val="20"/>
          <w:lang w:val="pt-BR"/>
        </w:rPr>
        <w:t>contratos necessários para formalização das Garantias</w:t>
      </w:r>
      <w:r w:rsidR="00275660" w:rsidRPr="003C7BE7">
        <w:rPr>
          <w:rFonts w:ascii="Arial" w:hAnsi="Arial" w:cs="Arial"/>
          <w:sz w:val="20"/>
          <w:szCs w:val="20"/>
          <w:lang w:val="pt-BR"/>
        </w:rPr>
        <w:t xml:space="preserve">, e praticar todos os atos necessários à efetivação da Emissão e da Oferta. </w:t>
      </w:r>
    </w:p>
    <w:p w14:paraId="54EE2287" w14:textId="77777777" w:rsidR="00E659CE" w:rsidRPr="003C7BE7" w:rsidRDefault="00E659CE">
      <w:pPr>
        <w:autoSpaceDE w:val="0"/>
        <w:autoSpaceDN w:val="0"/>
        <w:adjustRightInd w:val="0"/>
        <w:spacing w:line="276" w:lineRule="auto"/>
        <w:ind w:right="17"/>
        <w:jc w:val="both"/>
        <w:rPr>
          <w:rFonts w:ascii="Arial" w:hAnsi="Arial" w:cs="Arial"/>
          <w:sz w:val="20"/>
          <w:szCs w:val="20"/>
          <w:lang w:val="pt-BR"/>
        </w:rPr>
      </w:pPr>
    </w:p>
    <w:p w14:paraId="4EAF8091" w14:textId="01EC8A3D" w:rsidR="00341985" w:rsidRPr="003C7BE7" w:rsidRDefault="00E109C0">
      <w:pPr>
        <w:autoSpaceDE w:val="0"/>
        <w:autoSpaceDN w:val="0"/>
        <w:adjustRightInd w:val="0"/>
        <w:spacing w:line="276" w:lineRule="auto"/>
        <w:ind w:right="17"/>
        <w:jc w:val="both"/>
        <w:rPr>
          <w:rFonts w:ascii="Arial" w:hAnsi="Arial" w:cs="Arial"/>
          <w:sz w:val="20"/>
          <w:szCs w:val="20"/>
          <w:lang w:val="pt-BR"/>
        </w:rPr>
      </w:pPr>
      <w:r>
        <w:rPr>
          <w:rFonts w:ascii="Arial" w:hAnsi="Arial" w:cs="Arial"/>
          <w:b/>
          <w:sz w:val="20"/>
          <w:szCs w:val="20"/>
          <w:lang w:val="pt-BR"/>
        </w:rPr>
        <w:t>3</w:t>
      </w:r>
      <w:r w:rsidR="00E659CE" w:rsidRPr="003C7BE7">
        <w:rPr>
          <w:rFonts w:ascii="Arial" w:hAnsi="Arial" w:cs="Arial"/>
          <w:b/>
          <w:sz w:val="20"/>
          <w:szCs w:val="20"/>
          <w:lang w:val="pt-BR"/>
        </w:rPr>
        <w:t xml:space="preserve">. </w:t>
      </w:r>
      <w:r w:rsidR="00275660" w:rsidRPr="003C7BE7">
        <w:rPr>
          <w:rFonts w:ascii="Arial" w:hAnsi="Arial" w:cs="Arial"/>
          <w:sz w:val="20"/>
          <w:szCs w:val="20"/>
          <w:lang w:val="pt-BR"/>
        </w:rPr>
        <w:t>Ratificam-se todos os atos relativos à Oferta que tenham sido praticados anteriormente pela Diretoria da Companhia</w:t>
      </w:r>
      <w:r w:rsidR="002D2013" w:rsidRPr="003C7BE7">
        <w:rPr>
          <w:rFonts w:ascii="Arial" w:hAnsi="Arial" w:cs="Arial"/>
          <w:sz w:val="20"/>
          <w:szCs w:val="20"/>
          <w:lang w:val="pt-BR"/>
        </w:rPr>
        <w:t>.</w:t>
      </w:r>
      <w:r w:rsidR="00341985" w:rsidRPr="003C7BE7">
        <w:rPr>
          <w:rFonts w:ascii="Arial" w:hAnsi="Arial" w:cs="Arial"/>
          <w:sz w:val="20"/>
          <w:szCs w:val="20"/>
          <w:lang w:val="pt-BR"/>
        </w:rPr>
        <w:t xml:space="preserve"> </w:t>
      </w:r>
    </w:p>
    <w:p w14:paraId="3DE40741" w14:textId="77777777" w:rsidR="00341985" w:rsidRPr="003C7BE7" w:rsidRDefault="00341985" w:rsidP="009E360F">
      <w:pPr>
        <w:pStyle w:val="BodyText"/>
        <w:spacing w:line="276" w:lineRule="auto"/>
        <w:jc w:val="both"/>
        <w:rPr>
          <w:rFonts w:ascii="Arial" w:hAnsi="Arial" w:cs="Arial"/>
          <w:sz w:val="20"/>
          <w:szCs w:val="20"/>
        </w:rPr>
      </w:pPr>
    </w:p>
    <w:p w14:paraId="6FF71483" w14:textId="6A7FFD4E" w:rsidR="002D2013" w:rsidRPr="003C7BE7" w:rsidRDefault="002D2013" w:rsidP="00C619BC">
      <w:pPr>
        <w:keepNext/>
        <w:widowControl w:val="0"/>
        <w:spacing w:line="276" w:lineRule="auto"/>
        <w:jc w:val="both"/>
        <w:rPr>
          <w:rFonts w:ascii="Arial" w:hAnsi="Arial" w:cs="Arial"/>
          <w:snapToGrid w:val="0"/>
          <w:sz w:val="20"/>
          <w:szCs w:val="20"/>
          <w:lang w:val="pt-BR"/>
        </w:rPr>
      </w:pPr>
      <w:r w:rsidRPr="003C7BE7">
        <w:rPr>
          <w:rFonts w:ascii="Arial" w:hAnsi="Arial" w:cs="Arial"/>
          <w:b/>
          <w:snapToGrid w:val="0"/>
          <w:sz w:val="20"/>
          <w:szCs w:val="20"/>
          <w:lang w:val="pt-BR"/>
        </w:rPr>
        <w:t>ENCERRAMENTO:</w:t>
      </w:r>
      <w:r w:rsidRPr="003C7BE7">
        <w:rPr>
          <w:rFonts w:ascii="Arial" w:hAnsi="Arial" w:cs="Arial"/>
          <w:snapToGrid w:val="0"/>
          <w:sz w:val="20"/>
          <w:szCs w:val="20"/>
          <w:lang w:val="pt-BR"/>
        </w:rPr>
        <w:t xml:space="preserve"> Nada mais havendo a tratar, o Sr. Presidente deu por encerrados os trabalhos, suspendendo a sessão para que se lavrasse a presente ata, que, depois de lida e aprovada, foi assinada por todos os presentes. </w:t>
      </w:r>
      <w:r w:rsidRPr="003C7BE7">
        <w:rPr>
          <w:rFonts w:ascii="Arial" w:hAnsi="Arial" w:cs="Arial"/>
          <w:sz w:val="20"/>
          <w:szCs w:val="20"/>
          <w:lang w:val="pt-BR"/>
        </w:rPr>
        <w:t>Presidente:</w:t>
      </w:r>
      <w:r w:rsidR="00CC759B" w:rsidRPr="003C7BE7">
        <w:rPr>
          <w:rFonts w:ascii="Arial" w:hAnsi="Arial" w:cs="Arial"/>
          <w:sz w:val="20"/>
          <w:szCs w:val="20"/>
          <w:lang w:val="pt-BR"/>
        </w:rPr>
        <w:t xml:space="preserve"> Sr.</w:t>
      </w:r>
      <w:r w:rsidRPr="003C7BE7">
        <w:rPr>
          <w:rFonts w:ascii="Arial" w:hAnsi="Arial" w:cs="Arial"/>
          <w:sz w:val="20"/>
          <w:szCs w:val="20"/>
          <w:lang w:val="pt-BR"/>
        </w:rPr>
        <w:t xml:space="preserve"> </w:t>
      </w:r>
      <w:r w:rsidR="003379BD" w:rsidRPr="003379BD">
        <w:rPr>
          <w:rFonts w:ascii="Arial" w:hAnsi="Arial" w:cs="Arial"/>
          <w:sz w:val="20"/>
          <w:szCs w:val="20"/>
          <w:lang w:val="pt-BR"/>
        </w:rPr>
        <w:t>Gabriel Nascimento da Costa</w:t>
      </w:r>
      <w:r w:rsidR="00936E2F" w:rsidRPr="003C7BE7">
        <w:rPr>
          <w:rFonts w:ascii="Arial" w:hAnsi="Arial" w:cs="Arial"/>
          <w:sz w:val="20"/>
          <w:szCs w:val="20"/>
          <w:lang w:val="pt-BR"/>
        </w:rPr>
        <w:t xml:space="preserve">; </w:t>
      </w:r>
      <w:r w:rsidRPr="003C7BE7">
        <w:rPr>
          <w:rFonts w:ascii="Arial" w:hAnsi="Arial" w:cs="Arial"/>
          <w:sz w:val="20"/>
          <w:szCs w:val="20"/>
          <w:lang w:val="pt-BR"/>
        </w:rPr>
        <w:t xml:space="preserve">e </w:t>
      </w:r>
      <w:r w:rsidR="00936E2F" w:rsidRPr="003C7BE7">
        <w:rPr>
          <w:rFonts w:ascii="Arial" w:hAnsi="Arial" w:cs="Arial"/>
          <w:sz w:val="20"/>
          <w:szCs w:val="20"/>
          <w:lang w:val="pt-BR"/>
        </w:rPr>
        <w:t>Secretário</w:t>
      </w:r>
      <w:r w:rsidRPr="003C7BE7">
        <w:rPr>
          <w:rFonts w:ascii="Arial" w:hAnsi="Arial" w:cs="Arial"/>
          <w:sz w:val="20"/>
          <w:szCs w:val="20"/>
          <w:lang w:val="pt-BR"/>
        </w:rPr>
        <w:t>:</w:t>
      </w:r>
      <w:r w:rsidR="00CC759B" w:rsidRPr="003C7BE7">
        <w:rPr>
          <w:rFonts w:ascii="Arial" w:hAnsi="Arial" w:cs="Arial"/>
          <w:sz w:val="20"/>
          <w:szCs w:val="20"/>
          <w:lang w:val="pt-BR"/>
        </w:rPr>
        <w:t xml:space="preserve"> Sr.</w:t>
      </w:r>
      <w:r w:rsidRPr="003C7BE7">
        <w:rPr>
          <w:rFonts w:ascii="Arial" w:hAnsi="Arial" w:cs="Arial"/>
          <w:sz w:val="20"/>
          <w:szCs w:val="20"/>
          <w:lang w:val="pt-BR"/>
        </w:rPr>
        <w:t xml:space="preserve"> </w:t>
      </w:r>
      <w:r w:rsidR="001B3E4E" w:rsidRPr="00ED5C4C">
        <w:rPr>
          <w:rFonts w:ascii="Arial" w:hAnsi="Arial" w:cs="Arial"/>
          <w:sz w:val="20"/>
          <w:szCs w:val="20"/>
          <w:highlight w:val="yellow"/>
          <w:lang w:val="pt-BR"/>
        </w:rPr>
        <w:t>[</w:t>
      </w:r>
      <w:r w:rsidR="001B3E4E" w:rsidRPr="00ED5C4C">
        <w:rPr>
          <w:rFonts w:ascii="Arial" w:hAnsi="Arial" w:cs="Arial"/>
          <w:sz w:val="20"/>
          <w:szCs w:val="20"/>
          <w:highlight w:val="yellow"/>
          <w:lang w:val="pt-BR"/>
        </w:rPr>
        <w:sym w:font="Symbol" w:char="F0B7"/>
      </w:r>
      <w:r w:rsidR="001B3E4E" w:rsidRPr="00ED5C4C">
        <w:rPr>
          <w:rFonts w:ascii="Arial" w:hAnsi="Arial" w:cs="Arial"/>
          <w:sz w:val="20"/>
          <w:szCs w:val="20"/>
          <w:highlight w:val="yellow"/>
          <w:lang w:val="pt-BR"/>
        </w:rPr>
        <w:t>]</w:t>
      </w:r>
      <w:r w:rsidR="00936E2F" w:rsidRPr="003C7BE7">
        <w:rPr>
          <w:rFonts w:ascii="Arial" w:hAnsi="Arial" w:cs="Arial"/>
          <w:sz w:val="20"/>
          <w:szCs w:val="20"/>
          <w:lang w:val="pt-BR"/>
        </w:rPr>
        <w:t xml:space="preserve">. </w:t>
      </w:r>
      <w:r w:rsidRPr="003C7BE7">
        <w:rPr>
          <w:rFonts w:ascii="Arial" w:hAnsi="Arial" w:cs="Arial"/>
          <w:snapToGrid w:val="0"/>
          <w:sz w:val="20"/>
          <w:szCs w:val="20"/>
          <w:lang w:val="pt-BR"/>
        </w:rPr>
        <w:t xml:space="preserve">Acionistas Presentes: </w:t>
      </w:r>
      <w:r w:rsidR="00147554" w:rsidRPr="003C7BE7">
        <w:rPr>
          <w:rFonts w:ascii="Arial" w:hAnsi="Arial" w:cs="Arial"/>
          <w:snapToGrid w:val="0"/>
          <w:sz w:val="20"/>
          <w:szCs w:val="20"/>
          <w:lang w:val="pt-BR"/>
        </w:rPr>
        <w:t xml:space="preserve">Sr. </w:t>
      </w:r>
      <w:r w:rsidR="001856A5" w:rsidRPr="003C7BE7">
        <w:rPr>
          <w:rFonts w:ascii="Arial" w:hAnsi="Arial" w:cs="Arial"/>
          <w:sz w:val="20"/>
          <w:szCs w:val="20"/>
          <w:lang w:val="pt-BR"/>
        </w:rPr>
        <w:t>Teobaldo Luis da Costa</w:t>
      </w:r>
      <w:r w:rsidR="00CC759B" w:rsidRPr="003C7BE7">
        <w:rPr>
          <w:rFonts w:ascii="Arial" w:hAnsi="Arial" w:cs="Arial"/>
          <w:sz w:val="20"/>
          <w:szCs w:val="20"/>
          <w:lang w:val="pt-BR"/>
        </w:rPr>
        <w:t xml:space="preserve"> e </w:t>
      </w:r>
      <w:r w:rsidR="001856A5" w:rsidRPr="003C7BE7">
        <w:rPr>
          <w:rFonts w:ascii="Arial" w:hAnsi="Arial" w:cs="Arial"/>
          <w:sz w:val="20"/>
          <w:szCs w:val="20"/>
          <w:lang w:val="pt-BR"/>
        </w:rPr>
        <w:t>Gabriel Nascimento da Costa</w:t>
      </w:r>
      <w:r w:rsidR="00147554" w:rsidRPr="003C7BE7">
        <w:rPr>
          <w:rFonts w:ascii="Arial" w:hAnsi="Arial" w:cs="Arial"/>
          <w:snapToGrid w:val="0"/>
          <w:sz w:val="20"/>
          <w:szCs w:val="20"/>
          <w:lang w:val="pt-BR"/>
        </w:rPr>
        <w:t>.</w:t>
      </w:r>
      <w:r w:rsidR="00147554" w:rsidRPr="003C7BE7">
        <w:rPr>
          <w:rFonts w:ascii="Arial" w:eastAsia="Arial Unicode MS" w:hAnsi="Arial" w:cs="Arial"/>
          <w:snapToGrid w:val="0"/>
          <w:sz w:val="20"/>
          <w:szCs w:val="20"/>
          <w:lang w:val="pt-BR"/>
        </w:rPr>
        <w:t xml:space="preserve"> </w:t>
      </w:r>
    </w:p>
    <w:p w14:paraId="74DAE5DD" w14:textId="77777777" w:rsidR="002D2013" w:rsidRPr="003C7BE7" w:rsidRDefault="002D2013" w:rsidP="00C619BC">
      <w:pPr>
        <w:keepNext/>
        <w:spacing w:line="276" w:lineRule="auto"/>
        <w:jc w:val="both"/>
        <w:rPr>
          <w:rFonts w:ascii="Arial" w:hAnsi="Arial" w:cs="Arial"/>
          <w:snapToGrid w:val="0"/>
          <w:sz w:val="20"/>
          <w:szCs w:val="20"/>
          <w:lang w:val="pt-BR"/>
        </w:rPr>
      </w:pPr>
    </w:p>
    <w:p w14:paraId="0CB14E4B" w14:textId="77777777" w:rsidR="002D2013" w:rsidRPr="003C7BE7" w:rsidRDefault="002D2013" w:rsidP="00C619BC">
      <w:pPr>
        <w:keepNext/>
        <w:widowControl w:val="0"/>
        <w:spacing w:line="276" w:lineRule="auto"/>
        <w:jc w:val="center"/>
        <w:rPr>
          <w:rFonts w:ascii="Arial" w:hAnsi="Arial" w:cs="Arial"/>
          <w:b/>
          <w:snapToGrid w:val="0"/>
          <w:sz w:val="20"/>
          <w:szCs w:val="20"/>
          <w:lang w:val="pt-BR"/>
        </w:rPr>
      </w:pPr>
      <w:r w:rsidRPr="003C7BE7">
        <w:rPr>
          <w:rFonts w:ascii="Arial" w:hAnsi="Arial" w:cs="Arial"/>
          <w:b/>
          <w:snapToGrid w:val="0"/>
          <w:sz w:val="20"/>
          <w:szCs w:val="20"/>
          <w:lang w:val="pt-BR"/>
        </w:rPr>
        <w:t>A presente ata é cópia fiel da original lavrada no livro próprio.</w:t>
      </w:r>
    </w:p>
    <w:p w14:paraId="0915423B" w14:textId="77777777" w:rsidR="002D2013" w:rsidRPr="003C7BE7" w:rsidRDefault="002D2013" w:rsidP="00C619BC">
      <w:pPr>
        <w:keepNext/>
        <w:widowControl w:val="0"/>
        <w:spacing w:line="276" w:lineRule="auto"/>
        <w:jc w:val="center"/>
        <w:rPr>
          <w:rFonts w:ascii="Arial" w:hAnsi="Arial" w:cs="Arial"/>
          <w:snapToGrid w:val="0"/>
          <w:sz w:val="20"/>
          <w:szCs w:val="20"/>
          <w:lang w:val="pt-BR"/>
        </w:rPr>
      </w:pPr>
    </w:p>
    <w:p w14:paraId="0F9A80A4" w14:textId="1FE1B42E" w:rsidR="002D2013" w:rsidRPr="003C7BE7" w:rsidRDefault="00E32991" w:rsidP="00C619BC">
      <w:pPr>
        <w:keepNext/>
        <w:widowControl w:val="0"/>
        <w:spacing w:line="276" w:lineRule="auto"/>
        <w:jc w:val="center"/>
        <w:rPr>
          <w:rFonts w:ascii="Arial" w:hAnsi="Arial" w:cs="Arial"/>
          <w:snapToGrid w:val="0"/>
          <w:sz w:val="20"/>
          <w:szCs w:val="20"/>
          <w:lang w:val="pt-BR"/>
        </w:rPr>
      </w:pPr>
      <w:r w:rsidRPr="003C7BE7">
        <w:rPr>
          <w:rFonts w:ascii="Arial" w:hAnsi="Arial" w:cs="Arial"/>
          <w:sz w:val="20"/>
          <w:szCs w:val="20"/>
          <w:lang w:val="pt-BR"/>
        </w:rPr>
        <w:t>Salvador</w:t>
      </w:r>
      <w:r w:rsidR="002D2013" w:rsidRPr="003C7BE7">
        <w:rPr>
          <w:rFonts w:ascii="Arial" w:hAnsi="Arial" w:cs="Arial"/>
          <w:snapToGrid w:val="0"/>
          <w:sz w:val="20"/>
          <w:szCs w:val="20"/>
          <w:lang w:val="pt-BR"/>
        </w:rPr>
        <w:t xml:space="preserve">, </w:t>
      </w:r>
      <w:r w:rsidR="00BC1CA9" w:rsidRPr="0009233C">
        <w:rPr>
          <w:rFonts w:ascii="Arial" w:hAnsi="Arial" w:cs="Arial"/>
          <w:sz w:val="20"/>
          <w:szCs w:val="20"/>
          <w:highlight w:val="yellow"/>
          <w:lang w:val="pt-BR"/>
        </w:rPr>
        <w:t>[</w:t>
      </w:r>
      <w:r w:rsidR="00E109C0">
        <w:rPr>
          <w:rFonts w:ascii="Arial" w:hAnsi="Arial" w:cs="Arial"/>
          <w:sz w:val="20"/>
          <w:szCs w:val="20"/>
          <w:highlight w:val="yellow"/>
          <w:lang w:val="pt-BR"/>
        </w:rPr>
        <w:t>3</w:t>
      </w:r>
      <w:r w:rsidR="00BC1CA9" w:rsidRPr="0009233C">
        <w:rPr>
          <w:rFonts w:ascii="Arial" w:hAnsi="Arial" w:cs="Arial"/>
          <w:sz w:val="20"/>
          <w:szCs w:val="20"/>
          <w:highlight w:val="yellow"/>
          <w:lang w:val="pt-BR"/>
        </w:rPr>
        <w:t>]</w:t>
      </w:r>
      <w:r w:rsidR="00BC1CA9">
        <w:rPr>
          <w:rFonts w:ascii="Arial" w:hAnsi="Arial" w:cs="Arial"/>
          <w:sz w:val="20"/>
          <w:szCs w:val="20"/>
          <w:lang w:val="pt-BR"/>
        </w:rPr>
        <w:t xml:space="preserve"> </w:t>
      </w:r>
      <w:r w:rsidR="00BA43D5">
        <w:rPr>
          <w:rFonts w:ascii="Arial" w:hAnsi="Arial" w:cs="Arial"/>
          <w:sz w:val="20"/>
          <w:szCs w:val="20"/>
          <w:lang w:val="pt-BR"/>
        </w:rPr>
        <w:t>de março</w:t>
      </w:r>
      <w:r w:rsidR="00535584">
        <w:rPr>
          <w:rFonts w:ascii="Arial" w:hAnsi="Arial" w:cs="Arial"/>
          <w:sz w:val="20"/>
          <w:szCs w:val="20"/>
          <w:lang w:val="pt-BR"/>
        </w:rPr>
        <w:t xml:space="preserve"> </w:t>
      </w:r>
      <w:r w:rsidR="00666476" w:rsidRPr="003C7BE7">
        <w:rPr>
          <w:rFonts w:ascii="Arial" w:hAnsi="Arial" w:cs="Arial"/>
          <w:snapToGrid w:val="0"/>
          <w:sz w:val="20"/>
          <w:szCs w:val="20"/>
          <w:lang w:val="pt-BR"/>
        </w:rPr>
        <w:t xml:space="preserve">de </w:t>
      </w:r>
      <w:r w:rsidR="00BC1CA9" w:rsidRPr="003C7BE7">
        <w:rPr>
          <w:rFonts w:ascii="Arial" w:hAnsi="Arial" w:cs="Arial"/>
          <w:snapToGrid w:val="0"/>
          <w:sz w:val="20"/>
          <w:szCs w:val="20"/>
          <w:lang w:val="pt-BR"/>
        </w:rPr>
        <w:t>20</w:t>
      </w:r>
      <w:r w:rsidR="00BC1CA9">
        <w:rPr>
          <w:rFonts w:ascii="Arial" w:hAnsi="Arial" w:cs="Arial"/>
          <w:snapToGrid w:val="0"/>
          <w:sz w:val="20"/>
          <w:szCs w:val="20"/>
          <w:lang w:val="pt-BR"/>
        </w:rPr>
        <w:t>22</w:t>
      </w:r>
      <w:r w:rsidR="002D2013" w:rsidRPr="003C7BE7">
        <w:rPr>
          <w:rFonts w:ascii="Arial" w:hAnsi="Arial" w:cs="Arial"/>
          <w:snapToGrid w:val="0"/>
          <w:sz w:val="20"/>
          <w:szCs w:val="20"/>
          <w:lang w:val="pt-BR"/>
        </w:rPr>
        <w:t>.</w:t>
      </w:r>
    </w:p>
    <w:p w14:paraId="3545D7B0" w14:textId="77777777" w:rsidR="002D2013" w:rsidRPr="003C7BE7" w:rsidRDefault="002D2013" w:rsidP="00C619BC">
      <w:pPr>
        <w:keepNext/>
        <w:widowControl w:val="0"/>
        <w:spacing w:line="276" w:lineRule="auto"/>
        <w:jc w:val="center"/>
        <w:rPr>
          <w:rFonts w:ascii="Arial" w:hAnsi="Arial" w:cs="Arial"/>
          <w:snapToGrid w:val="0"/>
          <w:sz w:val="20"/>
          <w:szCs w:val="2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42"/>
        <w:gridCol w:w="4284"/>
        <w:gridCol w:w="76"/>
      </w:tblGrid>
      <w:tr w:rsidR="000A1736" w:rsidRPr="00C32E6F" w14:paraId="5FA65AC5" w14:textId="77777777" w:rsidTr="008F315B">
        <w:tc>
          <w:tcPr>
            <w:tcW w:w="4503" w:type="dxa"/>
            <w:gridSpan w:val="2"/>
          </w:tcPr>
          <w:p w14:paraId="5370590C" w14:textId="77777777" w:rsidR="000A1736" w:rsidRPr="003C7BE7" w:rsidRDefault="000A1736" w:rsidP="00C619BC">
            <w:pPr>
              <w:pStyle w:val="BodyText"/>
              <w:keepNext/>
              <w:spacing w:line="276" w:lineRule="auto"/>
              <w:rPr>
                <w:rFonts w:ascii="Arial" w:hAnsi="Arial" w:cs="Arial"/>
                <w:b w:val="0"/>
                <w:sz w:val="20"/>
                <w:szCs w:val="20"/>
              </w:rPr>
            </w:pPr>
            <w:r w:rsidRPr="003C7BE7">
              <w:rPr>
                <w:rFonts w:ascii="Arial" w:hAnsi="Arial" w:cs="Arial"/>
                <w:b w:val="0"/>
                <w:sz w:val="20"/>
                <w:szCs w:val="20"/>
              </w:rPr>
              <w:t>________________________________</w:t>
            </w:r>
          </w:p>
          <w:p w14:paraId="16FD13BA" w14:textId="77777777" w:rsidR="003379BD" w:rsidRDefault="003379BD" w:rsidP="00C619BC">
            <w:pPr>
              <w:pStyle w:val="BodyText"/>
              <w:keepNext/>
              <w:spacing w:line="276" w:lineRule="auto"/>
              <w:rPr>
                <w:rFonts w:ascii="Arial" w:hAnsi="Arial" w:cs="Arial"/>
                <w:b w:val="0"/>
                <w:sz w:val="20"/>
                <w:szCs w:val="20"/>
              </w:rPr>
            </w:pPr>
            <w:r>
              <w:rPr>
                <w:rFonts w:ascii="Tahoma" w:hAnsi="Tahoma" w:cs="Tahoma"/>
                <w:sz w:val="20"/>
                <w:szCs w:val="20"/>
              </w:rPr>
              <w:t>Gabriel Nascimento da Costa</w:t>
            </w:r>
            <w:r w:rsidRPr="003C7BE7">
              <w:rPr>
                <w:rFonts w:ascii="Arial" w:hAnsi="Arial" w:cs="Arial"/>
                <w:b w:val="0"/>
                <w:sz w:val="20"/>
                <w:szCs w:val="20"/>
              </w:rPr>
              <w:t xml:space="preserve"> </w:t>
            </w:r>
          </w:p>
          <w:p w14:paraId="18150099" w14:textId="01578E5C" w:rsidR="000A1736" w:rsidRPr="003C7BE7" w:rsidRDefault="000A1736" w:rsidP="00C619BC">
            <w:pPr>
              <w:pStyle w:val="BodyText"/>
              <w:keepNext/>
              <w:spacing w:line="276" w:lineRule="auto"/>
              <w:rPr>
                <w:rFonts w:ascii="Arial" w:hAnsi="Arial" w:cs="Arial"/>
                <w:b w:val="0"/>
                <w:sz w:val="20"/>
                <w:szCs w:val="20"/>
              </w:rPr>
            </w:pPr>
            <w:r w:rsidRPr="003C7BE7">
              <w:rPr>
                <w:rFonts w:ascii="Arial" w:hAnsi="Arial" w:cs="Arial"/>
                <w:b w:val="0"/>
                <w:sz w:val="20"/>
                <w:szCs w:val="20"/>
              </w:rPr>
              <w:t>Presidente da Mesa</w:t>
            </w:r>
          </w:p>
          <w:p w14:paraId="78C49BE2" w14:textId="77777777" w:rsidR="000A1736" w:rsidRPr="003C7BE7" w:rsidRDefault="000A1736" w:rsidP="00C619BC">
            <w:pPr>
              <w:keepNext/>
              <w:widowControl w:val="0"/>
              <w:spacing w:line="276" w:lineRule="auto"/>
              <w:jc w:val="center"/>
              <w:rPr>
                <w:rFonts w:ascii="Arial" w:hAnsi="Arial" w:cs="Arial"/>
                <w:snapToGrid w:val="0"/>
                <w:sz w:val="20"/>
                <w:szCs w:val="20"/>
                <w:lang w:val="pt-BR"/>
              </w:rPr>
            </w:pPr>
          </w:p>
        </w:tc>
        <w:tc>
          <w:tcPr>
            <w:tcW w:w="4360" w:type="dxa"/>
            <w:gridSpan w:val="2"/>
          </w:tcPr>
          <w:p w14:paraId="299D370C" w14:textId="77777777" w:rsidR="000A1736" w:rsidRPr="003C7BE7" w:rsidRDefault="000A1736" w:rsidP="00C619BC">
            <w:pPr>
              <w:pStyle w:val="BodyText"/>
              <w:keepNext/>
              <w:spacing w:line="276" w:lineRule="auto"/>
              <w:rPr>
                <w:rFonts w:ascii="Arial" w:hAnsi="Arial" w:cs="Arial"/>
                <w:b w:val="0"/>
                <w:sz w:val="20"/>
                <w:szCs w:val="20"/>
              </w:rPr>
            </w:pPr>
            <w:r w:rsidRPr="003C7BE7">
              <w:rPr>
                <w:rFonts w:ascii="Arial" w:hAnsi="Arial" w:cs="Arial"/>
                <w:b w:val="0"/>
                <w:sz w:val="20"/>
                <w:szCs w:val="20"/>
              </w:rPr>
              <w:t>_______________________________</w:t>
            </w:r>
          </w:p>
          <w:p w14:paraId="0E1CC9C3" w14:textId="30CA07A7" w:rsidR="003379BD" w:rsidRPr="0009233C" w:rsidRDefault="00BC1CA9" w:rsidP="00C619BC">
            <w:pPr>
              <w:pStyle w:val="BodyText"/>
              <w:keepNext/>
              <w:spacing w:line="276" w:lineRule="auto"/>
              <w:rPr>
                <w:rFonts w:ascii="Arial" w:hAnsi="Arial" w:cs="Arial"/>
                <w:sz w:val="20"/>
                <w:szCs w:val="20"/>
                <w:highlight w:val="yellow"/>
              </w:rPr>
            </w:pPr>
            <w:r w:rsidRPr="0009233C">
              <w:rPr>
                <w:rFonts w:ascii="Arial" w:hAnsi="Arial" w:cs="Arial"/>
                <w:sz w:val="20"/>
                <w:szCs w:val="20"/>
                <w:highlight w:val="yellow"/>
              </w:rPr>
              <w:t>[</w:t>
            </w:r>
            <w:r w:rsidRPr="0009233C">
              <w:rPr>
                <w:rFonts w:ascii="Arial" w:hAnsi="Arial" w:cs="Arial"/>
                <w:sz w:val="20"/>
                <w:szCs w:val="20"/>
                <w:highlight w:val="yellow"/>
              </w:rPr>
              <w:sym w:font="Symbol" w:char="F0B7"/>
            </w:r>
            <w:r w:rsidRPr="0009233C">
              <w:rPr>
                <w:rFonts w:ascii="Arial" w:hAnsi="Arial" w:cs="Arial"/>
                <w:sz w:val="20"/>
                <w:szCs w:val="20"/>
                <w:highlight w:val="yellow"/>
              </w:rPr>
              <w:t>]</w:t>
            </w:r>
          </w:p>
          <w:p w14:paraId="0F558A46" w14:textId="05EA71CF" w:rsidR="000A1736" w:rsidRPr="003C7BE7" w:rsidRDefault="000A1736" w:rsidP="00C619BC">
            <w:pPr>
              <w:pStyle w:val="BodyText"/>
              <w:keepNext/>
              <w:spacing w:line="276" w:lineRule="auto"/>
              <w:rPr>
                <w:rFonts w:ascii="Arial" w:hAnsi="Arial" w:cs="Arial"/>
                <w:snapToGrid w:val="0"/>
                <w:sz w:val="20"/>
                <w:szCs w:val="20"/>
              </w:rPr>
            </w:pPr>
            <w:r w:rsidRPr="003C7BE7">
              <w:rPr>
                <w:rFonts w:ascii="Arial" w:hAnsi="Arial" w:cs="Arial"/>
                <w:b w:val="0"/>
                <w:sz w:val="20"/>
                <w:szCs w:val="20"/>
              </w:rPr>
              <w:t>Secretário da Mesa</w:t>
            </w:r>
          </w:p>
        </w:tc>
      </w:tr>
      <w:tr w:rsidR="000A1736" w:rsidRPr="00C32E6F" w14:paraId="6B71ABD9" w14:textId="77777777" w:rsidTr="008F315B">
        <w:trPr>
          <w:gridAfter w:val="1"/>
          <w:wAfter w:w="76" w:type="dxa"/>
        </w:trPr>
        <w:tc>
          <w:tcPr>
            <w:tcW w:w="4361" w:type="dxa"/>
          </w:tcPr>
          <w:p w14:paraId="0BF53261" w14:textId="77777777" w:rsidR="000A1736" w:rsidRPr="003C7BE7" w:rsidRDefault="000A1736" w:rsidP="00C619BC">
            <w:pPr>
              <w:pStyle w:val="BodyText"/>
              <w:keepNext/>
              <w:spacing w:line="276" w:lineRule="auto"/>
              <w:jc w:val="left"/>
              <w:rPr>
                <w:rFonts w:ascii="Arial" w:hAnsi="Arial" w:cs="Arial"/>
                <w:b w:val="0"/>
                <w:sz w:val="20"/>
                <w:szCs w:val="20"/>
              </w:rPr>
            </w:pPr>
          </w:p>
          <w:p w14:paraId="589A5B8C" w14:textId="77777777" w:rsidR="000A1736" w:rsidRPr="003C7BE7" w:rsidRDefault="000A1736" w:rsidP="00C619BC">
            <w:pPr>
              <w:pStyle w:val="BodyText"/>
              <w:keepNext/>
              <w:spacing w:line="276" w:lineRule="auto"/>
              <w:jc w:val="left"/>
              <w:rPr>
                <w:rFonts w:ascii="Arial" w:hAnsi="Arial" w:cs="Arial"/>
                <w:b w:val="0"/>
                <w:sz w:val="20"/>
                <w:szCs w:val="20"/>
              </w:rPr>
            </w:pPr>
          </w:p>
        </w:tc>
        <w:tc>
          <w:tcPr>
            <w:tcW w:w="4426" w:type="dxa"/>
            <w:gridSpan w:val="2"/>
          </w:tcPr>
          <w:p w14:paraId="34B6FF6C" w14:textId="77777777" w:rsidR="000A1736" w:rsidRPr="003C7BE7" w:rsidRDefault="000A1736" w:rsidP="00C619BC">
            <w:pPr>
              <w:keepNext/>
              <w:spacing w:line="276" w:lineRule="auto"/>
              <w:ind w:left="180"/>
              <w:jc w:val="center"/>
              <w:rPr>
                <w:rFonts w:ascii="Arial" w:hAnsi="Arial" w:cs="Arial"/>
                <w:sz w:val="20"/>
                <w:szCs w:val="20"/>
                <w:lang w:val="pt-BR"/>
              </w:rPr>
            </w:pPr>
          </w:p>
        </w:tc>
      </w:tr>
    </w:tbl>
    <w:p w14:paraId="02DA86F7" w14:textId="77777777" w:rsidR="006C72C0" w:rsidRPr="00AF3C84" w:rsidRDefault="006C72C0" w:rsidP="00C619BC">
      <w:pPr>
        <w:keepNext/>
        <w:spacing w:line="276" w:lineRule="auto"/>
        <w:rPr>
          <w:rFonts w:ascii="Tahoma" w:hAnsi="Tahoma" w:cs="Tahoma"/>
          <w:snapToGrid w:val="0"/>
          <w:sz w:val="20"/>
          <w:szCs w:val="20"/>
          <w:lang w:val="pt-BR"/>
        </w:rPr>
      </w:pPr>
    </w:p>
    <w:sectPr w:rsidR="006C72C0" w:rsidRPr="00AF3C84" w:rsidSect="002C16A4">
      <w:headerReference w:type="default" r:id="rId8"/>
      <w:footerReference w:type="default" r:id="rId9"/>
      <w:pgSz w:w="12240" w:h="15840"/>
      <w:pgMar w:top="4672" w:right="1892"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026B" w14:textId="77777777" w:rsidR="0004364C" w:rsidRDefault="0004364C">
      <w:r>
        <w:separator/>
      </w:r>
    </w:p>
  </w:endnote>
  <w:endnote w:type="continuationSeparator" w:id="0">
    <w:p w14:paraId="362E932A" w14:textId="77777777" w:rsidR="0004364C" w:rsidRDefault="0004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F84F" w14:textId="438047D5" w:rsidR="00DB2328" w:rsidRDefault="00423F8E" w:rsidP="001856A5">
    <w:pPr>
      <w:pStyle w:val="Footer"/>
      <w:rPr>
        <w:rFonts w:ascii="Arial" w:hAnsi="Arial" w:cs="Arial"/>
        <w:color w:val="FFFFFF" w:themeColor="background1"/>
        <w:sz w:val="10"/>
        <w:lang w:val="pt-BR"/>
      </w:rPr>
    </w:pPr>
    <w:r>
      <w:rPr>
        <w:rFonts w:ascii="Arial" w:hAnsi="Arial" w:cs="Arial"/>
        <w:color w:val="FFFFFF" w:themeColor="background1"/>
        <w:sz w:val="10"/>
        <w:lang w:val="pt-BR"/>
      </w:rPr>
      <w:fldChar w:fldCharType="begin"/>
    </w:r>
    <w:r>
      <w:rPr>
        <w:rFonts w:ascii="Arial" w:hAnsi="Arial" w:cs="Arial"/>
        <w:color w:val="FFFFFF" w:themeColor="background1"/>
        <w:sz w:val="10"/>
        <w:lang w:val="pt-BR"/>
      </w:rPr>
      <w:instrText xml:space="preserve"> DOCPROPERTY "iManageFooter"  \* MERGEFORMAT </w:instrText>
    </w:r>
    <w:r>
      <w:rPr>
        <w:rFonts w:ascii="Arial" w:hAnsi="Arial" w:cs="Arial"/>
        <w:color w:val="FFFFFF" w:themeColor="background1"/>
        <w:sz w:val="10"/>
        <w:lang w:val="pt-BR"/>
      </w:rPr>
      <w:fldChar w:fldCharType="separate"/>
    </w:r>
  </w:p>
  <w:p w14:paraId="696E9405" w14:textId="161035AF" w:rsidR="00423F8E" w:rsidRPr="004519E6" w:rsidRDefault="00DB2328" w:rsidP="004519E6">
    <w:pPr>
      <w:pStyle w:val="Footer"/>
      <w:rPr>
        <w:rFonts w:ascii="Arial" w:hAnsi="Arial" w:cs="Arial"/>
        <w:color w:val="FFFFFF" w:themeColor="background1"/>
        <w:sz w:val="10"/>
        <w:lang w:val="pt-BR"/>
      </w:rPr>
    </w:pPr>
    <w:r>
      <w:rPr>
        <w:rFonts w:ascii="Arial" w:hAnsi="Arial" w:cs="Arial"/>
        <w:color w:val="FFFFFF" w:themeColor="background1"/>
        <w:sz w:val="10"/>
        <w:lang w:val="pt-BR"/>
      </w:rPr>
      <w:t xml:space="preserve">DOCS - 4298296v2 </w:t>
    </w:r>
    <w:r w:rsidR="00423F8E">
      <w:rPr>
        <w:rFonts w:ascii="Arial" w:hAnsi="Arial" w:cs="Arial"/>
        <w:color w:val="FFFFFF" w:themeColor="background1"/>
        <w:sz w:val="10"/>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C0AE" w14:textId="77777777" w:rsidR="0004364C" w:rsidRDefault="0004364C">
      <w:r>
        <w:separator/>
      </w:r>
    </w:p>
  </w:footnote>
  <w:footnote w:type="continuationSeparator" w:id="0">
    <w:p w14:paraId="1C4B1EF3" w14:textId="77777777" w:rsidR="0004364C" w:rsidRDefault="00043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31D4" w14:textId="77777777" w:rsidR="00423F8E" w:rsidRDefault="00423F8E" w:rsidP="008F315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F70"/>
    <w:multiLevelType w:val="multilevel"/>
    <w:tmpl w:val="B9428BB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CB4C7C"/>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B46095"/>
    <w:multiLevelType w:val="hybridMultilevel"/>
    <w:tmpl w:val="4172FFDA"/>
    <w:lvl w:ilvl="0" w:tplc="4356A9D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C514BA"/>
    <w:multiLevelType w:val="hybridMultilevel"/>
    <w:tmpl w:val="4172FFDA"/>
    <w:lvl w:ilvl="0" w:tplc="4356A9D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13"/>
    <w:rsid w:val="000002B1"/>
    <w:rsid w:val="0000346B"/>
    <w:rsid w:val="000178B4"/>
    <w:rsid w:val="000274C6"/>
    <w:rsid w:val="0004364C"/>
    <w:rsid w:val="0005016B"/>
    <w:rsid w:val="00054DAF"/>
    <w:rsid w:val="000600B9"/>
    <w:rsid w:val="000643FB"/>
    <w:rsid w:val="0007031C"/>
    <w:rsid w:val="000710AE"/>
    <w:rsid w:val="00073BEC"/>
    <w:rsid w:val="00077293"/>
    <w:rsid w:val="0009233C"/>
    <w:rsid w:val="000A1736"/>
    <w:rsid w:val="000A21AE"/>
    <w:rsid w:val="000C6AA8"/>
    <w:rsid w:val="000D4DDF"/>
    <w:rsid w:val="000E0E1B"/>
    <w:rsid w:val="000F28FA"/>
    <w:rsid w:val="000F4ACB"/>
    <w:rsid w:val="00102045"/>
    <w:rsid w:val="00110C36"/>
    <w:rsid w:val="00132468"/>
    <w:rsid w:val="00133E4B"/>
    <w:rsid w:val="00146EA8"/>
    <w:rsid w:val="00147554"/>
    <w:rsid w:val="00174306"/>
    <w:rsid w:val="001856A5"/>
    <w:rsid w:val="00193CD9"/>
    <w:rsid w:val="001A45F3"/>
    <w:rsid w:val="001B0D45"/>
    <w:rsid w:val="001B3E4E"/>
    <w:rsid w:val="001C29DA"/>
    <w:rsid w:val="001D4EDF"/>
    <w:rsid w:val="001D5998"/>
    <w:rsid w:val="001F2CD8"/>
    <w:rsid w:val="00200D06"/>
    <w:rsid w:val="002050C0"/>
    <w:rsid w:val="00206DA5"/>
    <w:rsid w:val="002252AF"/>
    <w:rsid w:val="002277C8"/>
    <w:rsid w:val="00227BA4"/>
    <w:rsid w:val="00233FA2"/>
    <w:rsid w:val="00237E54"/>
    <w:rsid w:val="00255686"/>
    <w:rsid w:val="00265E66"/>
    <w:rsid w:val="00275660"/>
    <w:rsid w:val="00276670"/>
    <w:rsid w:val="00282211"/>
    <w:rsid w:val="0028226E"/>
    <w:rsid w:val="00282F54"/>
    <w:rsid w:val="002A1727"/>
    <w:rsid w:val="002A26BB"/>
    <w:rsid w:val="002C16A4"/>
    <w:rsid w:val="002D2013"/>
    <w:rsid w:val="002E7393"/>
    <w:rsid w:val="002F2A53"/>
    <w:rsid w:val="002F7021"/>
    <w:rsid w:val="00304545"/>
    <w:rsid w:val="00304DC5"/>
    <w:rsid w:val="00305110"/>
    <w:rsid w:val="003067EB"/>
    <w:rsid w:val="003379BD"/>
    <w:rsid w:val="00341985"/>
    <w:rsid w:val="00351CE3"/>
    <w:rsid w:val="00353A38"/>
    <w:rsid w:val="0036204B"/>
    <w:rsid w:val="003645C6"/>
    <w:rsid w:val="00375E14"/>
    <w:rsid w:val="003848DA"/>
    <w:rsid w:val="00395D66"/>
    <w:rsid w:val="003B3FC3"/>
    <w:rsid w:val="003C7BE7"/>
    <w:rsid w:val="003D170A"/>
    <w:rsid w:val="00406FD3"/>
    <w:rsid w:val="00411D13"/>
    <w:rsid w:val="00412ABD"/>
    <w:rsid w:val="004234F8"/>
    <w:rsid w:val="00423F8E"/>
    <w:rsid w:val="00442C26"/>
    <w:rsid w:val="004519E6"/>
    <w:rsid w:val="004829CC"/>
    <w:rsid w:val="004948CD"/>
    <w:rsid w:val="004C5456"/>
    <w:rsid w:val="004D0D7A"/>
    <w:rsid w:val="004D4198"/>
    <w:rsid w:val="00512A6D"/>
    <w:rsid w:val="00533168"/>
    <w:rsid w:val="00535584"/>
    <w:rsid w:val="00570519"/>
    <w:rsid w:val="00580FA1"/>
    <w:rsid w:val="005A270D"/>
    <w:rsid w:val="005C116D"/>
    <w:rsid w:val="005E3EBA"/>
    <w:rsid w:val="005F7E81"/>
    <w:rsid w:val="00602E68"/>
    <w:rsid w:val="0061110E"/>
    <w:rsid w:val="00617144"/>
    <w:rsid w:val="00617F57"/>
    <w:rsid w:val="00646AF5"/>
    <w:rsid w:val="00666476"/>
    <w:rsid w:val="00684C8F"/>
    <w:rsid w:val="0069135C"/>
    <w:rsid w:val="00695E81"/>
    <w:rsid w:val="006C0E98"/>
    <w:rsid w:val="006C1785"/>
    <w:rsid w:val="006C1C1B"/>
    <w:rsid w:val="006C3DEA"/>
    <w:rsid w:val="006C72C0"/>
    <w:rsid w:val="006E0E9A"/>
    <w:rsid w:val="007259F9"/>
    <w:rsid w:val="00733767"/>
    <w:rsid w:val="00741EC3"/>
    <w:rsid w:val="007464F1"/>
    <w:rsid w:val="0075136D"/>
    <w:rsid w:val="00766EBE"/>
    <w:rsid w:val="00770992"/>
    <w:rsid w:val="007734F8"/>
    <w:rsid w:val="00794455"/>
    <w:rsid w:val="007A73A2"/>
    <w:rsid w:val="007B69F0"/>
    <w:rsid w:val="007D1597"/>
    <w:rsid w:val="007F3475"/>
    <w:rsid w:val="007F6433"/>
    <w:rsid w:val="008014FE"/>
    <w:rsid w:val="0081387B"/>
    <w:rsid w:val="008138AC"/>
    <w:rsid w:val="0084017B"/>
    <w:rsid w:val="0085138C"/>
    <w:rsid w:val="0085590D"/>
    <w:rsid w:val="008A0333"/>
    <w:rsid w:val="008B17B3"/>
    <w:rsid w:val="008C170A"/>
    <w:rsid w:val="008D29DA"/>
    <w:rsid w:val="008E574F"/>
    <w:rsid w:val="008E7BB1"/>
    <w:rsid w:val="008F315B"/>
    <w:rsid w:val="00936E2F"/>
    <w:rsid w:val="009407E9"/>
    <w:rsid w:val="0094106B"/>
    <w:rsid w:val="00941E0B"/>
    <w:rsid w:val="00942B83"/>
    <w:rsid w:val="0095179F"/>
    <w:rsid w:val="009522A8"/>
    <w:rsid w:val="0096157F"/>
    <w:rsid w:val="00965185"/>
    <w:rsid w:val="00973DE3"/>
    <w:rsid w:val="00977215"/>
    <w:rsid w:val="00977EE4"/>
    <w:rsid w:val="00986837"/>
    <w:rsid w:val="00993ADA"/>
    <w:rsid w:val="009951E5"/>
    <w:rsid w:val="009E0831"/>
    <w:rsid w:val="009E360F"/>
    <w:rsid w:val="009E54BA"/>
    <w:rsid w:val="009E5E78"/>
    <w:rsid w:val="009E634B"/>
    <w:rsid w:val="00A06302"/>
    <w:rsid w:val="00A362B3"/>
    <w:rsid w:val="00A40C3B"/>
    <w:rsid w:val="00A45CDF"/>
    <w:rsid w:val="00A4690D"/>
    <w:rsid w:val="00A53612"/>
    <w:rsid w:val="00A61561"/>
    <w:rsid w:val="00A85BA9"/>
    <w:rsid w:val="00AA10CD"/>
    <w:rsid w:val="00AA2CA5"/>
    <w:rsid w:val="00AA4EA9"/>
    <w:rsid w:val="00AB2BF0"/>
    <w:rsid w:val="00AD7EC4"/>
    <w:rsid w:val="00AE353F"/>
    <w:rsid w:val="00AF3C84"/>
    <w:rsid w:val="00B12357"/>
    <w:rsid w:val="00B13A5F"/>
    <w:rsid w:val="00B20A92"/>
    <w:rsid w:val="00B25A02"/>
    <w:rsid w:val="00B27B6B"/>
    <w:rsid w:val="00B31772"/>
    <w:rsid w:val="00B323A0"/>
    <w:rsid w:val="00B4174E"/>
    <w:rsid w:val="00B43F7B"/>
    <w:rsid w:val="00B552A4"/>
    <w:rsid w:val="00B55336"/>
    <w:rsid w:val="00B757FC"/>
    <w:rsid w:val="00B9092B"/>
    <w:rsid w:val="00B93DA7"/>
    <w:rsid w:val="00B96167"/>
    <w:rsid w:val="00BA18EA"/>
    <w:rsid w:val="00BA43D5"/>
    <w:rsid w:val="00BC1CA9"/>
    <w:rsid w:val="00BC557A"/>
    <w:rsid w:val="00BE15A5"/>
    <w:rsid w:val="00BF5563"/>
    <w:rsid w:val="00C0377B"/>
    <w:rsid w:val="00C32E6F"/>
    <w:rsid w:val="00C360B8"/>
    <w:rsid w:val="00C4502C"/>
    <w:rsid w:val="00C52090"/>
    <w:rsid w:val="00C619BC"/>
    <w:rsid w:val="00CB004C"/>
    <w:rsid w:val="00CB23D6"/>
    <w:rsid w:val="00CB39DE"/>
    <w:rsid w:val="00CC3664"/>
    <w:rsid w:val="00CC759B"/>
    <w:rsid w:val="00CD71AA"/>
    <w:rsid w:val="00D0093D"/>
    <w:rsid w:val="00D158C6"/>
    <w:rsid w:val="00D475E0"/>
    <w:rsid w:val="00D60B27"/>
    <w:rsid w:val="00D96975"/>
    <w:rsid w:val="00DA1E70"/>
    <w:rsid w:val="00DB2328"/>
    <w:rsid w:val="00DC14A8"/>
    <w:rsid w:val="00DC676E"/>
    <w:rsid w:val="00DD1B4C"/>
    <w:rsid w:val="00DD1CF1"/>
    <w:rsid w:val="00DD52F7"/>
    <w:rsid w:val="00DD53F3"/>
    <w:rsid w:val="00DF13F8"/>
    <w:rsid w:val="00E109C0"/>
    <w:rsid w:val="00E32991"/>
    <w:rsid w:val="00E428C2"/>
    <w:rsid w:val="00E659CE"/>
    <w:rsid w:val="00E755BF"/>
    <w:rsid w:val="00E80E7D"/>
    <w:rsid w:val="00E815CA"/>
    <w:rsid w:val="00E864E6"/>
    <w:rsid w:val="00E869BB"/>
    <w:rsid w:val="00E920AA"/>
    <w:rsid w:val="00EA0099"/>
    <w:rsid w:val="00EA597F"/>
    <w:rsid w:val="00EA6D30"/>
    <w:rsid w:val="00EB6890"/>
    <w:rsid w:val="00EC4F34"/>
    <w:rsid w:val="00ED0C94"/>
    <w:rsid w:val="00ED6A8D"/>
    <w:rsid w:val="00EE0EDF"/>
    <w:rsid w:val="00EE6EF7"/>
    <w:rsid w:val="00EF2EFC"/>
    <w:rsid w:val="00F36335"/>
    <w:rsid w:val="00F3789C"/>
    <w:rsid w:val="00F460F5"/>
    <w:rsid w:val="00F57050"/>
    <w:rsid w:val="00F81247"/>
    <w:rsid w:val="00F925B3"/>
    <w:rsid w:val="00FB5410"/>
    <w:rsid w:val="00FD5365"/>
    <w:rsid w:val="00FD7C36"/>
    <w:rsid w:val="00FE7C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A2AAF"/>
  <w15:docId w15:val="{2B0E48B6-A8FE-45EB-A333-391E02BF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13"/>
    <w:pPr>
      <w:spacing w:after="0" w:line="240" w:lineRule="auto"/>
    </w:pPr>
    <w:rPr>
      <w:rFonts w:ascii="Times New Roman" w:eastAsia="Times New Roman" w:hAnsi="Times New Roman" w:cs="Times New Roman"/>
      <w:sz w:val="24"/>
      <w:szCs w:val="24"/>
      <w:lang w:val="en-US" w:eastAsia="pt-BR"/>
    </w:rPr>
  </w:style>
  <w:style w:type="paragraph" w:styleId="Heading1">
    <w:name w:val="heading 1"/>
    <w:basedOn w:val="Normal"/>
    <w:next w:val="Normal"/>
    <w:link w:val="Heading1Char"/>
    <w:uiPriority w:val="99"/>
    <w:qFormat/>
    <w:rsid w:val="002D2013"/>
    <w:pPr>
      <w:keepNext/>
      <w:spacing w:before="240" w:after="60"/>
      <w:outlineLvl w:val="0"/>
    </w:pPr>
    <w:rPr>
      <w:rFonts w:ascii="Arial" w:eastAsia="Calibri" w:hAnsi="Arial"/>
      <w:b/>
      <w:bCs/>
      <w:kern w:val="32"/>
      <w:sz w:val="32"/>
      <w:szCs w:val="3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2013"/>
    <w:rPr>
      <w:rFonts w:ascii="Arial" w:eastAsia="Calibri" w:hAnsi="Arial" w:cs="Times New Roman"/>
      <w:b/>
      <w:bCs/>
      <w:kern w:val="32"/>
      <w:sz w:val="32"/>
      <w:szCs w:val="32"/>
      <w:lang w:eastAsia="pt-BR"/>
    </w:rPr>
  </w:style>
  <w:style w:type="paragraph" w:styleId="BodyText">
    <w:name w:val="Body Text"/>
    <w:basedOn w:val="Normal"/>
    <w:link w:val="BodyTextChar"/>
    <w:uiPriority w:val="99"/>
    <w:rsid w:val="002D2013"/>
    <w:pPr>
      <w:jc w:val="center"/>
    </w:pPr>
    <w:rPr>
      <w:b/>
      <w:bCs/>
      <w:lang w:val="pt-BR"/>
    </w:rPr>
  </w:style>
  <w:style w:type="character" w:customStyle="1" w:styleId="BodyTextChar">
    <w:name w:val="Body Text Char"/>
    <w:basedOn w:val="DefaultParagraphFont"/>
    <w:link w:val="BodyText"/>
    <w:uiPriority w:val="99"/>
    <w:rsid w:val="002D2013"/>
    <w:rPr>
      <w:rFonts w:ascii="Times New Roman" w:eastAsia="Times New Roman" w:hAnsi="Times New Roman" w:cs="Times New Roman"/>
      <w:b/>
      <w:bCs/>
      <w:sz w:val="24"/>
      <w:szCs w:val="24"/>
      <w:lang w:eastAsia="pt-BR"/>
    </w:rPr>
  </w:style>
  <w:style w:type="paragraph" w:styleId="Header">
    <w:name w:val="header"/>
    <w:basedOn w:val="Normal"/>
    <w:link w:val="HeaderChar"/>
    <w:uiPriority w:val="99"/>
    <w:rsid w:val="002D2013"/>
    <w:pPr>
      <w:tabs>
        <w:tab w:val="center" w:pos="4419"/>
        <w:tab w:val="right" w:pos="8838"/>
      </w:tabs>
    </w:pPr>
  </w:style>
  <w:style w:type="character" w:customStyle="1" w:styleId="HeaderChar">
    <w:name w:val="Header Char"/>
    <w:basedOn w:val="DefaultParagraphFont"/>
    <w:link w:val="Header"/>
    <w:uiPriority w:val="99"/>
    <w:rsid w:val="002D2013"/>
    <w:rPr>
      <w:rFonts w:ascii="Times New Roman" w:eastAsia="Times New Roman" w:hAnsi="Times New Roman" w:cs="Times New Roman"/>
      <w:sz w:val="24"/>
      <w:szCs w:val="24"/>
      <w:lang w:val="en-US" w:eastAsia="pt-BR"/>
    </w:rPr>
  </w:style>
  <w:style w:type="paragraph" w:styleId="Footer">
    <w:name w:val="footer"/>
    <w:basedOn w:val="Normal"/>
    <w:link w:val="FooterChar"/>
    <w:uiPriority w:val="99"/>
    <w:rsid w:val="002D2013"/>
    <w:pPr>
      <w:tabs>
        <w:tab w:val="center" w:pos="4419"/>
        <w:tab w:val="right" w:pos="8838"/>
      </w:tabs>
    </w:pPr>
  </w:style>
  <w:style w:type="character" w:customStyle="1" w:styleId="FooterChar">
    <w:name w:val="Footer Char"/>
    <w:basedOn w:val="DefaultParagraphFont"/>
    <w:link w:val="Footer"/>
    <w:uiPriority w:val="99"/>
    <w:rsid w:val="002D2013"/>
    <w:rPr>
      <w:rFonts w:ascii="Times New Roman" w:eastAsia="Times New Roman" w:hAnsi="Times New Roman" w:cs="Times New Roman"/>
      <w:sz w:val="24"/>
      <w:szCs w:val="24"/>
      <w:lang w:val="en-US" w:eastAsia="pt-BR"/>
    </w:rPr>
  </w:style>
  <w:style w:type="paragraph" w:styleId="ListParagraph">
    <w:name w:val="List Paragraph"/>
    <w:basedOn w:val="Normal"/>
    <w:uiPriority w:val="99"/>
    <w:qFormat/>
    <w:rsid w:val="002D2013"/>
    <w:pPr>
      <w:ind w:left="708"/>
    </w:pPr>
  </w:style>
  <w:style w:type="paragraph" w:styleId="BalloonText">
    <w:name w:val="Balloon Text"/>
    <w:basedOn w:val="Normal"/>
    <w:link w:val="BalloonTextChar"/>
    <w:uiPriority w:val="99"/>
    <w:semiHidden/>
    <w:unhideWhenUsed/>
    <w:rsid w:val="00F81247"/>
    <w:rPr>
      <w:rFonts w:ascii="Tahoma" w:hAnsi="Tahoma" w:cs="Tahoma"/>
      <w:sz w:val="16"/>
      <w:szCs w:val="16"/>
    </w:rPr>
  </w:style>
  <w:style w:type="character" w:customStyle="1" w:styleId="BalloonTextChar">
    <w:name w:val="Balloon Text Char"/>
    <w:basedOn w:val="DefaultParagraphFont"/>
    <w:link w:val="BalloonText"/>
    <w:uiPriority w:val="99"/>
    <w:semiHidden/>
    <w:rsid w:val="00F81247"/>
    <w:rPr>
      <w:rFonts w:ascii="Tahoma" w:eastAsia="Times New Roman" w:hAnsi="Tahoma" w:cs="Tahoma"/>
      <w:sz w:val="16"/>
      <w:szCs w:val="16"/>
      <w:lang w:val="en-US" w:eastAsia="pt-BR"/>
    </w:rPr>
  </w:style>
  <w:style w:type="table" w:styleId="TableGrid">
    <w:name w:val="Table Grid"/>
    <w:basedOn w:val="TableNormal"/>
    <w:uiPriority w:val="39"/>
    <w:rsid w:val="000A17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C360B8"/>
    <w:rPr>
      <w:color w:val="0000FF"/>
      <w:spacing w:val="0"/>
      <w:u w:val="single"/>
    </w:rPr>
  </w:style>
  <w:style w:type="paragraph" w:customStyle="1" w:styleId="Body">
    <w:name w:val="Body"/>
    <w:basedOn w:val="Normal"/>
    <w:rsid w:val="00A53612"/>
    <w:pPr>
      <w:spacing w:after="140" w:line="290" w:lineRule="auto"/>
      <w:jc w:val="both"/>
    </w:pPr>
    <w:rPr>
      <w:rFonts w:ascii="Tahoma" w:hAnsi="Tahoma"/>
      <w:kern w:val="20"/>
      <w:sz w:val="20"/>
      <w:lang w:val="pt-BR" w:eastAsia="en-US"/>
    </w:rPr>
  </w:style>
  <w:style w:type="paragraph" w:customStyle="1" w:styleId="Default">
    <w:name w:val="Default"/>
    <w:rsid w:val="006C1785"/>
    <w:pPr>
      <w:autoSpaceDE w:val="0"/>
      <w:autoSpaceDN w:val="0"/>
      <w:adjustRightInd w:val="0"/>
      <w:spacing w:after="0" w:line="240" w:lineRule="auto"/>
    </w:pPr>
    <w:rPr>
      <w:rFonts w:ascii="Arial" w:eastAsia="MS Mincho" w:hAnsi="Arial" w:cs="Arial"/>
      <w:color w:val="000000"/>
      <w:sz w:val="24"/>
      <w:szCs w:val="24"/>
      <w:lang w:eastAsia="pt-BR"/>
    </w:rPr>
  </w:style>
  <w:style w:type="table" w:customStyle="1" w:styleId="TableGrid2">
    <w:name w:val="Table Grid2"/>
    <w:basedOn w:val="TableNormal"/>
    <w:next w:val="TableGrid"/>
    <w:uiPriority w:val="59"/>
    <w:rsid w:val="006C1785"/>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qFormat/>
    <w:rsid w:val="006C1785"/>
    <w:pPr>
      <w:keepNext/>
      <w:keepLines/>
      <w:numPr>
        <w:numId w:val="2"/>
      </w:numPr>
      <w:spacing w:before="280" w:after="140" w:line="290" w:lineRule="auto"/>
      <w:jc w:val="both"/>
      <w:outlineLvl w:val="0"/>
    </w:pPr>
    <w:rPr>
      <w:rFonts w:ascii="Arial" w:eastAsia="MS Mincho" w:hAnsi="Arial" w:cs="Arial"/>
      <w:b/>
      <w:color w:val="000000"/>
      <w:sz w:val="22"/>
      <w:szCs w:val="22"/>
      <w:lang w:val="pt-BR"/>
    </w:rPr>
  </w:style>
  <w:style w:type="paragraph" w:customStyle="1" w:styleId="Level2">
    <w:name w:val="Level 2"/>
    <w:basedOn w:val="Normal"/>
    <w:qFormat/>
    <w:rsid w:val="006C1785"/>
    <w:pPr>
      <w:numPr>
        <w:ilvl w:val="1"/>
        <w:numId w:val="2"/>
      </w:numPr>
      <w:spacing w:after="140" w:line="290" w:lineRule="auto"/>
      <w:jc w:val="both"/>
      <w:outlineLvl w:val="1"/>
    </w:pPr>
    <w:rPr>
      <w:rFonts w:ascii="Arial" w:eastAsia="MS Mincho" w:hAnsi="Arial"/>
      <w:sz w:val="20"/>
      <w:lang w:val="pt-BR"/>
    </w:rPr>
  </w:style>
  <w:style w:type="paragraph" w:customStyle="1" w:styleId="Level3">
    <w:name w:val="Level 3"/>
    <w:basedOn w:val="Normal"/>
    <w:link w:val="Level3Char"/>
    <w:qFormat/>
    <w:rsid w:val="006C1785"/>
    <w:pPr>
      <w:numPr>
        <w:ilvl w:val="2"/>
        <w:numId w:val="2"/>
      </w:numPr>
      <w:spacing w:after="140" w:line="290" w:lineRule="auto"/>
      <w:jc w:val="both"/>
      <w:outlineLvl w:val="2"/>
    </w:pPr>
    <w:rPr>
      <w:rFonts w:ascii="Arial" w:eastAsia="MS Mincho" w:hAnsi="Arial" w:cs="Arial"/>
      <w:sz w:val="20"/>
      <w:lang w:val="pt-BR"/>
    </w:rPr>
  </w:style>
  <w:style w:type="paragraph" w:customStyle="1" w:styleId="Level4">
    <w:name w:val="Level 4"/>
    <w:basedOn w:val="Normal"/>
    <w:qFormat/>
    <w:rsid w:val="006C1785"/>
    <w:pPr>
      <w:numPr>
        <w:ilvl w:val="3"/>
        <w:numId w:val="2"/>
      </w:numPr>
      <w:spacing w:after="140" w:line="290" w:lineRule="auto"/>
      <w:jc w:val="both"/>
      <w:outlineLvl w:val="3"/>
    </w:pPr>
    <w:rPr>
      <w:rFonts w:ascii="Arial" w:eastAsia="MS Mincho" w:hAnsi="Arial" w:cs="Arial"/>
      <w:sz w:val="20"/>
      <w:lang w:val="pt-BR"/>
    </w:rPr>
  </w:style>
  <w:style w:type="paragraph" w:customStyle="1" w:styleId="Level5">
    <w:name w:val="Level 5"/>
    <w:basedOn w:val="Normal"/>
    <w:qFormat/>
    <w:rsid w:val="006C1785"/>
    <w:pPr>
      <w:numPr>
        <w:ilvl w:val="4"/>
        <w:numId w:val="2"/>
      </w:numPr>
      <w:spacing w:after="140" w:line="290" w:lineRule="auto"/>
      <w:jc w:val="both"/>
    </w:pPr>
    <w:rPr>
      <w:rFonts w:ascii="Arial" w:eastAsia="MS Mincho" w:hAnsi="Arial" w:cs="Arial"/>
      <w:sz w:val="20"/>
      <w:lang w:val="pt-BR"/>
    </w:rPr>
  </w:style>
  <w:style w:type="paragraph" w:customStyle="1" w:styleId="Level6">
    <w:name w:val="Level 6"/>
    <w:basedOn w:val="Normal"/>
    <w:rsid w:val="006C1785"/>
    <w:pPr>
      <w:numPr>
        <w:ilvl w:val="5"/>
        <w:numId w:val="2"/>
      </w:numPr>
      <w:spacing w:after="140" w:line="290" w:lineRule="auto"/>
      <w:jc w:val="both"/>
    </w:pPr>
    <w:rPr>
      <w:rFonts w:ascii="Arial" w:eastAsia="MS Mincho" w:hAnsi="Arial" w:cs="Arial"/>
      <w:sz w:val="20"/>
      <w:lang w:val="pt-BR"/>
    </w:rPr>
  </w:style>
  <w:style w:type="character" w:customStyle="1" w:styleId="Level3Char">
    <w:name w:val="Level 3 Char"/>
    <w:link w:val="Level3"/>
    <w:locked/>
    <w:rsid w:val="006C1785"/>
    <w:rPr>
      <w:rFonts w:ascii="Arial" w:eastAsia="MS Mincho" w:hAnsi="Arial" w:cs="Arial"/>
      <w:sz w:val="20"/>
      <w:szCs w:val="24"/>
      <w:lang w:eastAsia="pt-BR"/>
    </w:rPr>
  </w:style>
  <w:style w:type="paragraph" w:styleId="FootnoteText">
    <w:name w:val="footnote text"/>
    <w:basedOn w:val="Normal"/>
    <w:link w:val="FootnoteTextChar"/>
    <w:uiPriority w:val="99"/>
    <w:rsid w:val="0005016B"/>
    <w:rPr>
      <w:rFonts w:eastAsia="MS Mincho"/>
      <w:sz w:val="20"/>
      <w:szCs w:val="20"/>
      <w:lang w:val="pt-BR"/>
    </w:rPr>
  </w:style>
  <w:style w:type="character" w:customStyle="1" w:styleId="FootnoteTextChar">
    <w:name w:val="Footnote Text Char"/>
    <w:basedOn w:val="DefaultParagraphFont"/>
    <w:link w:val="FootnoteText"/>
    <w:uiPriority w:val="99"/>
    <w:rsid w:val="0005016B"/>
    <w:rPr>
      <w:rFonts w:ascii="Times New Roman" w:eastAsia="MS Mincho" w:hAnsi="Times New Roman" w:cs="Times New Roman"/>
      <w:sz w:val="20"/>
      <w:szCs w:val="20"/>
      <w:lang w:eastAsia="pt-BR"/>
    </w:rPr>
  </w:style>
  <w:style w:type="paragraph" w:styleId="Revision">
    <w:name w:val="Revision"/>
    <w:hidden/>
    <w:uiPriority w:val="99"/>
    <w:semiHidden/>
    <w:rsid w:val="00C32E6F"/>
    <w:pPr>
      <w:spacing w:after="0" w:line="240" w:lineRule="auto"/>
    </w:pPr>
    <w:rPr>
      <w:rFonts w:ascii="Times New Roman" w:eastAsia="Times New Roman"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665709">
      <w:bodyDiv w:val="1"/>
      <w:marLeft w:val="0"/>
      <w:marRight w:val="0"/>
      <w:marTop w:val="0"/>
      <w:marBottom w:val="0"/>
      <w:divBdr>
        <w:top w:val="none" w:sz="0" w:space="0" w:color="auto"/>
        <w:left w:val="none" w:sz="0" w:space="0" w:color="auto"/>
        <w:bottom w:val="none" w:sz="0" w:space="0" w:color="auto"/>
        <w:right w:val="none" w:sz="0" w:space="0" w:color="auto"/>
      </w:divBdr>
    </w:div>
    <w:div w:id="18835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0536-992E-4C47-8736-C1F10F0F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4012</Words>
  <Characters>21668</Characters>
  <Application>Microsoft Office Word</Application>
  <DocSecurity>0</DocSecurity>
  <Lines>180</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LWB</dc:creator>
  <cp:lastModifiedBy>Vitoria Masson</cp:lastModifiedBy>
  <cp:revision>2</cp:revision>
  <dcterms:created xsi:type="dcterms:W3CDTF">2022-02-25T20:24:00Z</dcterms:created>
  <dcterms:modified xsi:type="dcterms:W3CDTF">2022-02-25T20:24:00Z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yDAAz8SZXgZatRod24WD6ZQuh8O94DV1sCr59nohlOJwoadhrHzUTC83OnEnnNjPtcxVpT7L0OIi5mte
tuWp/bAK85JI6r93rfbTRQYyzZRTuNJGpsbL02/Z7QAjrYMGdxJ2Dxjdz66OdNcSO2gLDdw2Hb0Q
bey7sT7nmjol/Omv7vjjNVxSS+Yj5yTIwP7QnUlWeb8jbFsUXe6a+npXWvmF6oCxIx7H0sCZlBX3
yXylbA8=</vt:lpwstr>
  </property>
  <property fmtid="{D5CDD505-2E9C-101B-9397-08002B2CF9AE}" pid="3" name="RESPONSE_SENDER_NAME">
    <vt:lpwstr>sAAAUYtyAkeNWR5MYhNFO9uGrSj9nyIO1+mkWtD8v5pv1Tw=</vt:lpwstr>
  </property>
  <property fmtid="{D5CDD505-2E9C-101B-9397-08002B2CF9AE}" pid="4" name="EMAIL_OWNER_ADDRESS">
    <vt:lpwstr>ABAAgoCixPcRe8nT5XU4WFpCqolEmTLzbNgbBK75tSqpDbqtc9fpZk5z61Dkztg5aI6u</vt:lpwstr>
  </property>
  <property fmtid="{D5CDD505-2E9C-101B-9397-08002B2CF9AE}" pid="5" name="iManageFooter">
    <vt:lpwstr>_x000d_DOCS - 4298296v2 </vt:lpwstr>
  </property>
  <property fmtid="{D5CDD505-2E9C-101B-9397-08002B2CF9AE}" pid="6" name="MSIP_Label_7bc6e253-7033-4299-b83e-6575a0ec40c3_Enabled">
    <vt:lpwstr>True</vt:lpwstr>
  </property>
  <property fmtid="{D5CDD505-2E9C-101B-9397-08002B2CF9AE}" pid="7" name="MSIP_Label_7bc6e253-7033-4299-b83e-6575a0ec40c3_SiteId">
    <vt:lpwstr>591669a0-183f-49a5-98f4-9aa0d0b63d81</vt:lpwstr>
  </property>
  <property fmtid="{D5CDD505-2E9C-101B-9397-08002B2CF9AE}" pid="8" name="MSIP_Label_7bc6e253-7033-4299-b83e-6575a0ec40c3_Owner">
    <vt:lpwstr>Fernanda.Yasui@itaubba.com</vt:lpwstr>
  </property>
  <property fmtid="{D5CDD505-2E9C-101B-9397-08002B2CF9AE}" pid="9" name="MSIP_Label_7bc6e253-7033-4299-b83e-6575a0ec40c3_SetDate">
    <vt:lpwstr>2021-02-25T03:59:01.8102701Z</vt:lpwstr>
  </property>
  <property fmtid="{D5CDD505-2E9C-101B-9397-08002B2CF9AE}" pid="10" name="MSIP_Label_7bc6e253-7033-4299-b83e-6575a0ec40c3_Name">
    <vt:lpwstr>Corporativo</vt:lpwstr>
  </property>
  <property fmtid="{D5CDD505-2E9C-101B-9397-08002B2CF9AE}" pid="11" name="MSIP_Label_7bc6e253-7033-4299-b83e-6575a0ec40c3_Application">
    <vt:lpwstr>Microsoft Azure Information Protection</vt:lpwstr>
  </property>
  <property fmtid="{D5CDD505-2E9C-101B-9397-08002B2CF9AE}" pid="12" name="MSIP_Label_7bc6e253-7033-4299-b83e-6575a0ec40c3_ActionId">
    <vt:lpwstr>df496517-9d7b-421d-9cac-739f610cedce</vt:lpwstr>
  </property>
  <property fmtid="{D5CDD505-2E9C-101B-9397-08002B2CF9AE}" pid="13" name="MSIP_Label_7bc6e253-7033-4299-b83e-6575a0ec40c3_Extended_MSFT_Method">
    <vt:lpwstr>Automatic</vt:lpwstr>
  </property>
  <property fmtid="{D5CDD505-2E9C-101B-9397-08002B2CF9AE}" pid="14" name="MSIP_Label_4fc996bf-6aee-415c-aa4c-e35ad0009c67_Enabled">
    <vt:lpwstr>True</vt:lpwstr>
  </property>
  <property fmtid="{D5CDD505-2E9C-101B-9397-08002B2CF9AE}" pid="15" name="MSIP_Label_4fc996bf-6aee-415c-aa4c-e35ad0009c67_SiteId">
    <vt:lpwstr>591669a0-183f-49a5-98f4-9aa0d0b63d81</vt:lpwstr>
  </property>
  <property fmtid="{D5CDD505-2E9C-101B-9397-08002B2CF9AE}" pid="16" name="MSIP_Label_4fc996bf-6aee-415c-aa4c-e35ad0009c67_Owner">
    <vt:lpwstr>Fernanda.Yasui@itaubba.com</vt:lpwstr>
  </property>
  <property fmtid="{D5CDD505-2E9C-101B-9397-08002B2CF9AE}" pid="17" name="MSIP_Label_4fc996bf-6aee-415c-aa4c-e35ad0009c67_SetDate">
    <vt:lpwstr>2021-02-25T03:59:01.8102701Z</vt:lpwstr>
  </property>
  <property fmtid="{D5CDD505-2E9C-101B-9397-08002B2CF9AE}" pid="18" name="MSIP_Label_4fc996bf-6aee-415c-aa4c-e35ad0009c67_Name">
    <vt:lpwstr>Compartilhamento Interno</vt:lpwstr>
  </property>
  <property fmtid="{D5CDD505-2E9C-101B-9397-08002B2CF9AE}" pid="19" name="MSIP_Label_4fc996bf-6aee-415c-aa4c-e35ad0009c67_Application">
    <vt:lpwstr>Microsoft Azure Information Protection</vt:lpwstr>
  </property>
  <property fmtid="{D5CDD505-2E9C-101B-9397-08002B2CF9AE}" pid="20" name="MSIP_Label_4fc996bf-6aee-415c-aa4c-e35ad0009c67_ActionId">
    <vt:lpwstr>df496517-9d7b-421d-9cac-739f610cedce</vt:lpwstr>
  </property>
  <property fmtid="{D5CDD505-2E9C-101B-9397-08002B2CF9AE}" pid="21" name="MSIP_Label_4fc996bf-6aee-415c-aa4c-e35ad0009c67_Parent">
    <vt:lpwstr>7bc6e253-7033-4299-b83e-6575a0ec40c3</vt:lpwstr>
  </property>
  <property fmtid="{D5CDD505-2E9C-101B-9397-08002B2CF9AE}" pid="22" name="MSIP_Label_4fc996bf-6aee-415c-aa4c-e35ad0009c67_Extended_MSFT_Method">
    <vt:lpwstr>Automatic</vt:lpwstr>
  </property>
  <property fmtid="{D5CDD505-2E9C-101B-9397-08002B2CF9AE}" pid="23" name="Sensitivity">
    <vt:lpwstr>Corporativo Compartilhamento Interno</vt:lpwstr>
  </property>
  <property fmtid="{D5CDD505-2E9C-101B-9397-08002B2CF9AE}" pid="24" name="iManageCod">
    <vt:lpwstr>Lefosse - 3056676v1</vt:lpwstr>
  </property>
</Properties>
</file>