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BC" w:rsidRPr="00E36C37" w:rsidRDefault="007823A2" w:rsidP="005C3FBC">
      <w:pPr>
        <w:spacing w:after="240" w:line="320" w:lineRule="exact"/>
        <w:jc w:val="center"/>
        <w:rPr>
          <w:rFonts w:ascii="Tahoma" w:hAnsi="Tahoma" w:cs="Tahoma"/>
          <w:b/>
        </w:rPr>
      </w:pPr>
      <w:r>
        <w:rPr>
          <w:rFonts w:ascii="Tahoma" w:hAnsi="Tahoma" w:cs="Tahoma"/>
          <w:b/>
        </w:rPr>
        <w:t>2º</w:t>
      </w:r>
      <w:r w:rsidR="005C3FBC" w:rsidRPr="005C3FBC">
        <w:rPr>
          <w:rFonts w:ascii="Tahoma" w:hAnsi="Tahoma" w:cs="Tahoma"/>
          <w:b/>
        </w:rPr>
        <w:t xml:space="preserve"> ADITAMENTO</w:t>
      </w:r>
      <w:r w:rsidR="005C3FBC" w:rsidRPr="00E36C37">
        <w:rPr>
          <w:rFonts w:ascii="Tahoma" w:hAnsi="Tahoma" w:cs="Tahoma"/>
          <w:b/>
        </w:rPr>
        <w:t xml:space="preserve"> AO CONTRATO DE ALIENAÇÃO FIDUCIÁRIA DE AÇÕES E OUTRAS AVENÇAS</w:t>
      </w:r>
    </w:p>
    <w:p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E36C37">
        <w:rPr>
          <w:rFonts w:ascii="Tahoma" w:hAnsi="Tahoma" w:cs="Tahoma"/>
          <w:u w:val="single"/>
        </w:rPr>
        <w:t>CNPJ</w:t>
      </w:r>
      <w:r w:rsidRPr="00E36C37">
        <w:rPr>
          <w:rFonts w:ascii="Tahoma" w:hAnsi="Tahoma" w:cs="Tahoma"/>
        </w:rPr>
        <w:t>”) sob o nº 04.031.960/0001-70, neste ato representada nos termos de seu estatuto social (“</w:t>
      </w:r>
      <w:r w:rsidRPr="00E36C37">
        <w:rPr>
          <w:rFonts w:ascii="Tahoma" w:hAnsi="Tahoma" w:cs="Tahoma"/>
          <w:u w:val="single"/>
        </w:rPr>
        <w:t>AGPAR</w:t>
      </w:r>
      <w:r w:rsidRPr="00E36C37">
        <w:rPr>
          <w:rFonts w:ascii="Tahoma" w:hAnsi="Tahoma" w:cs="Tahoma"/>
        </w:rPr>
        <w:t>” ou “</w:t>
      </w:r>
      <w:r w:rsidRPr="00E36C37">
        <w:rPr>
          <w:rFonts w:ascii="Tahoma" w:hAnsi="Tahoma" w:cs="Tahoma"/>
          <w:u w:val="single"/>
        </w:rPr>
        <w:t>Acionista</w:t>
      </w:r>
      <w:r w:rsidRPr="00E36C37">
        <w:rPr>
          <w:rFonts w:ascii="Tahoma" w:hAnsi="Tahoma" w:cs="Tahoma"/>
        </w:rPr>
        <w:t>”);</w:t>
      </w:r>
    </w:p>
    <w:p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Pr="00E36C37">
        <w:rPr>
          <w:rFonts w:ascii="Tahoma" w:hAnsi="Tahoma" w:cs="Tahoma"/>
          <w:u w:val="single"/>
        </w:rPr>
        <w:t>Agente Fiduciário</w:t>
      </w:r>
      <w:r w:rsidRPr="00E36C37">
        <w:rPr>
          <w:rFonts w:ascii="Tahoma" w:hAnsi="Tahoma" w:cs="Tahoma"/>
        </w:rPr>
        <w:t xml:space="preserve">”); </w:t>
      </w:r>
    </w:p>
    <w:p w:rsidR="00F71DD7" w:rsidRPr="00E36C37" w:rsidRDefault="00F71DD7" w:rsidP="00F71DD7">
      <w:pPr>
        <w:pStyle w:val="Corpodetexto"/>
        <w:spacing w:after="240" w:line="320" w:lineRule="exact"/>
        <w:jc w:val="both"/>
        <w:rPr>
          <w:rFonts w:ascii="Tahoma" w:hAnsi="Tahoma" w:cs="Tahoma"/>
          <w:sz w:val="22"/>
          <w:szCs w:val="22"/>
          <w:lang w:val="pt-BR"/>
        </w:rPr>
      </w:pPr>
      <w:r w:rsidRPr="00E36C37">
        <w:rPr>
          <w:rFonts w:ascii="Tahoma" w:hAnsi="Tahoma" w:cs="Tahoma"/>
          <w:sz w:val="22"/>
          <w:szCs w:val="22"/>
          <w:lang w:val="pt-BR"/>
        </w:rPr>
        <w:t>(sendo a Acionista e o Agente Fiduciário doravante denominados, em conjunto, como “</w:t>
      </w:r>
      <w:r w:rsidRPr="00E36C37">
        <w:rPr>
          <w:rFonts w:ascii="Tahoma" w:hAnsi="Tahoma" w:cs="Tahoma"/>
          <w:sz w:val="22"/>
          <w:szCs w:val="22"/>
          <w:u w:val="single"/>
          <w:lang w:val="pt-BR"/>
        </w:rPr>
        <w:t>Partes</w:t>
      </w:r>
      <w:r w:rsidRPr="00E36C37">
        <w:rPr>
          <w:rFonts w:ascii="Tahoma" w:hAnsi="Tahoma" w:cs="Tahoma"/>
          <w:sz w:val="22"/>
          <w:szCs w:val="22"/>
          <w:lang w:val="pt-BR"/>
        </w:rPr>
        <w:t>” e, individual e indistintamente, como “</w:t>
      </w:r>
      <w:r w:rsidRPr="00E36C37">
        <w:rPr>
          <w:rFonts w:ascii="Tahoma" w:hAnsi="Tahoma" w:cs="Tahoma"/>
          <w:sz w:val="22"/>
          <w:szCs w:val="22"/>
          <w:u w:val="single"/>
          <w:lang w:val="pt-BR"/>
        </w:rPr>
        <w:t>Parte</w:t>
      </w:r>
      <w:r w:rsidRPr="00E36C37">
        <w:rPr>
          <w:rFonts w:ascii="Tahoma" w:hAnsi="Tahoma" w:cs="Tahoma"/>
          <w:sz w:val="22"/>
          <w:szCs w:val="22"/>
          <w:lang w:val="pt-BR"/>
        </w:rPr>
        <w:t>”)</w:t>
      </w:r>
    </w:p>
    <w:p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Pr="00E36C37">
        <w:rPr>
          <w:rFonts w:ascii="Tahoma" w:hAnsi="Tahoma" w:cs="Tahoma"/>
          <w:u w:val="single"/>
        </w:rPr>
        <w:t>Debêntures 5ª Emissão AGPAR</w:t>
      </w:r>
      <w:r w:rsidRPr="00E36C37">
        <w:rPr>
          <w:rFonts w:ascii="Tahoma" w:hAnsi="Tahoma" w:cs="Tahoma"/>
        </w:rPr>
        <w:t>” e “</w:t>
      </w:r>
      <w:r w:rsidRPr="00E36C37">
        <w:rPr>
          <w:rFonts w:ascii="Tahoma" w:hAnsi="Tahoma" w:cs="Tahoma"/>
          <w:u w:val="single"/>
        </w:rPr>
        <w:t>5ª Emissão AGPAR</w:t>
      </w:r>
      <w:r w:rsidRPr="00E36C37">
        <w:rPr>
          <w:rFonts w:ascii="Tahoma" w:hAnsi="Tahoma" w:cs="Tahoma"/>
        </w:rPr>
        <w:t>”, respectivamente), conforme disposto no artigo 59 da Lei nº 6.404 de 15 de dezembro de 1976, conforme alterada (“</w:t>
      </w:r>
      <w:r w:rsidRPr="00E36C37">
        <w:rPr>
          <w:rFonts w:ascii="Tahoma" w:hAnsi="Tahoma" w:cs="Tahoma"/>
          <w:u w:val="single"/>
        </w:rPr>
        <w:t>Lei das Sociedades por Ações</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Pr="00E36C37">
        <w:rPr>
          <w:rFonts w:ascii="Tahoma" w:hAnsi="Tahoma" w:cs="Tahoma"/>
          <w:u w:val="single"/>
        </w:rPr>
        <w:t>Debêntures 6ª Emissão AGPAR</w:t>
      </w:r>
      <w:r w:rsidRPr="00E36C37">
        <w:rPr>
          <w:rFonts w:ascii="Tahoma" w:hAnsi="Tahoma" w:cs="Tahoma"/>
        </w:rPr>
        <w:t>” e, em conjunto com as Debêntures 5ª Emissão AGPAR, “</w:t>
      </w:r>
      <w:r w:rsidRPr="00E36C37">
        <w:rPr>
          <w:rFonts w:ascii="Tahoma" w:hAnsi="Tahoma" w:cs="Tahoma"/>
          <w:u w:val="single"/>
        </w:rPr>
        <w:t>Debêntures</w:t>
      </w:r>
      <w:r w:rsidRPr="00E36C37">
        <w:rPr>
          <w:rFonts w:ascii="Tahoma" w:hAnsi="Tahoma" w:cs="Tahoma"/>
        </w:rPr>
        <w:t>” e “</w:t>
      </w:r>
      <w:r w:rsidRPr="00E36C37">
        <w:rPr>
          <w:rFonts w:ascii="Tahoma" w:hAnsi="Tahoma" w:cs="Tahoma"/>
          <w:u w:val="single"/>
        </w:rPr>
        <w:t>6ª Emissão AGPAR</w:t>
      </w:r>
      <w:r w:rsidRPr="00E36C37">
        <w:rPr>
          <w:rFonts w:ascii="Tahoma" w:hAnsi="Tahoma" w:cs="Tahoma"/>
        </w:rPr>
        <w:t>” e, em conjunto com a 5ª Emissão AGPAR, “</w:t>
      </w:r>
      <w:r w:rsidRPr="00E36C37">
        <w:rPr>
          <w:rFonts w:ascii="Tahoma" w:hAnsi="Tahoma" w:cs="Tahoma"/>
          <w:u w:val="single"/>
        </w:rPr>
        <w:t>Emissões AGPAR</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rsidR="00F71DD7" w:rsidRPr="00326999"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foi celebrado o “Instrumento Particular de Escritura da 5ª (Quinta) Emissão Privada de Debêntures Simples, Não Conversíveis em Ações, da Espécie com </w:t>
      </w:r>
      <w:r w:rsidRPr="00E36C37">
        <w:rPr>
          <w:rFonts w:ascii="Tahoma" w:hAnsi="Tahoma" w:cs="Tahoma"/>
        </w:rPr>
        <w:lastRenderedPageBreak/>
        <w:t>Garantia Real, em Série Única, Para Distribuição Pública, com Esforços Restritos de Distribuição, da Andrade Gutierrez Participações S.A.” entre a AGPAR e o Agente Fiduciário, na qualidade de representante da comunhão de titulares das Debêntures 5ª Emissão AGPAR</w:t>
      </w:r>
      <w:r w:rsidR="007823A2" w:rsidRPr="00326999">
        <w:rPr>
          <w:rFonts w:ascii="Tahoma" w:hAnsi="Tahoma" w:cs="Tahoma"/>
        </w:rPr>
        <w:t>, conforme aditado em</w:t>
      </w:r>
      <w:r w:rsidR="00326999" w:rsidRPr="00326999">
        <w:rPr>
          <w:rFonts w:ascii="Tahoma" w:hAnsi="Tahoma" w:cs="Tahoma"/>
        </w:rPr>
        <w:t xml:space="preserve"> 18 de dezembro de 2019</w:t>
      </w:r>
      <w:r w:rsidR="007823A2" w:rsidRPr="00326999">
        <w:rPr>
          <w:rFonts w:ascii="Tahoma" w:hAnsi="Tahoma" w:cs="Tahoma"/>
        </w:rPr>
        <w:t xml:space="preserve"> e 18 de novembro de 2020</w:t>
      </w:r>
      <w:r w:rsidRPr="00326999">
        <w:rPr>
          <w:rFonts w:ascii="Tahoma" w:hAnsi="Tahoma" w:cs="Tahoma"/>
        </w:rPr>
        <w:t xml:space="preserve"> (“</w:t>
      </w:r>
      <w:r w:rsidRPr="00326999">
        <w:rPr>
          <w:rFonts w:ascii="Tahoma" w:hAnsi="Tahoma" w:cs="Tahoma"/>
          <w:u w:val="single"/>
        </w:rPr>
        <w:t>Debenturistas 5ª Emissão AGPAR</w:t>
      </w:r>
      <w:r w:rsidRPr="00326999">
        <w:rPr>
          <w:rFonts w:ascii="Tahoma" w:hAnsi="Tahoma" w:cs="Tahoma"/>
        </w:rPr>
        <w:t>“ e “</w:t>
      </w:r>
      <w:r w:rsidRPr="00326999">
        <w:rPr>
          <w:rFonts w:ascii="Tahoma" w:hAnsi="Tahoma" w:cs="Tahoma"/>
          <w:u w:val="single"/>
        </w:rPr>
        <w:t>Escritura de Emissão 5ª Emissão AGPAR</w:t>
      </w:r>
      <w:r w:rsidRPr="00326999">
        <w:rPr>
          <w:rFonts w:ascii="Tahoma" w:hAnsi="Tahoma" w:cs="Tahoma"/>
        </w:rPr>
        <w:t>”, respectivamente);</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326999">
        <w:rPr>
          <w:rFonts w:ascii="Tahoma" w:hAnsi="Tahoma" w:cs="Tahoma"/>
        </w:rPr>
        <w:t>foi celebrado o “Instrumento Particular de Escritura da 6ª (Sexta) Emissão Privada de Debêntures Simples, Não Conversíveis em Ações, da Espécie com Garantia Real, em Série Única, para Colocação Privada, da Andrade Gutierrez Participações S.A.” entre a AGPAR e o Agente Fiduciário, na qualidade de representante da comunhão de titulares das Debêntures AGPAR 6ª Emissão</w:t>
      </w:r>
      <w:r w:rsidR="007823A2" w:rsidRPr="00326999">
        <w:rPr>
          <w:rFonts w:ascii="Tahoma" w:hAnsi="Tahoma" w:cs="Tahoma"/>
        </w:rPr>
        <w:t xml:space="preserve">, conforme aditado em </w:t>
      </w:r>
      <w:r w:rsidR="00326999" w:rsidRPr="00326999">
        <w:rPr>
          <w:rFonts w:ascii="Tahoma" w:hAnsi="Tahoma" w:cs="Tahoma"/>
        </w:rPr>
        <w:t>18 de dezembro de 2019</w:t>
      </w:r>
      <w:r w:rsidR="007823A2">
        <w:rPr>
          <w:rFonts w:ascii="Tahoma" w:hAnsi="Tahoma" w:cs="Tahoma"/>
        </w:rPr>
        <w:t xml:space="preserve"> e 18 de novembro de 2020</w:t>
      </w:r>
      <w:r w:rsidRPr="00E36C37">
        <w:rPr>
          <w:rFonts w:ascii="Tahoma" w:hAnsi="Tahoma" w:cs="Tahoma"/>
        </w:rPr>
        <w:t xml:space="preserve"> (“</w:t>
      </w:r>
      <w:r w:rsidRPr="00E36C37">
        <w:rPr>
          <w:rFonts w:ascii="Tahoma" w:hAnsi="Tahoma" w:cs="Tahoma"/>
          <w:u w:val="single"/>
        </w:rPr>
        <w:t>Debenturistas 6ª Emissão AGPAR</w:t>
      </w:r>
      <w:r w:rsidRPr="00E36C37">
        <w:rPr>
          <w:rFonts w:ascii="Tahoma" w:hAnsi="Tahoma" w:cs="Tahoma"/>
        </w:rPr>
        <w:t>“ e, em conjunto com os Debenturistas 5ª Emissão AGPAR, “</w:t>
      </w:r>
      <w:r w:rsidRPr="00E36C37">
        <w:rPr>
          <w:rFonts w:ascii="Tahoma" w:hAnsi="Tahoma" w:cs="Tahoma"/>
          <w:u w:val="single"/>
        </w:rPr>
        <w:t>Debenturistas</w:t>
      </w:r>
      <w:r w:rsidRPr="00E36C37">
        <w:rPr>
          <w:rFonts w:ascii="Tahoma" w:hAnsi="Tahoma" w:cs="Tahoma"/>
        </w:rPr>
        <w:t>” e “</w:t>
      </w:r>
      <w:r w:rsidRPr="00E36C37">
        <w:rPr>
          <w:rFonts w:ascii="Tahoma" w:hAnsi="Tahoma" w:cs="Tahoma"/>
          <w:u w:val="single"/>
        </w:rPr>
        <w:t>Escritura de Emissão 6ª Emissão AGPAR</w:t>
      </w:r>
      <w:r w:rsidRPr="00E36C37">
        <w:rPr>
          <w:rFonts w:ascii="Tahoma" w:hAnsi="Tahoma" w:cs="Tahoma"/>
        </w:rPr>
        <w:t>” e, em conjunto com Escritura de Emissão 5ª Emissão AGPAR, “</w:t>
      </w:r>
      <w:r w:rsidRPr="00E36C37">
        <w:rPr>
          <w:rFonts w:ascii="Tahoma" w:hAnsi="Tahoma" w:cs="Tahoma"/>
          <w:u w:val="single"/>
        </w:rPr>
        <w:t>Escrituras de Emissão</w:t>
      </w:r>
      <w:r w:rsidRPr="00E36C37">
        <w:rPr>
          <w:rFonts w:ascii="Tahoma" w:hAnsi="Tahoma" w:cs="Tahoma"/>
        </w:rPr>
        <w:t>”, respectivamente);</w:t>
      </w:r>
    </w:p>
    <w:p w:rsidR="005C3FBC" w:rsidRDefault="005C3FBC"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as </w:t>
      </w:r>
      <w:r w:rsidRPr="005C3FBC">
        <w:rPr>
          <w:rFonts w:ascii="Tahoma" w:hAnsi="Tahoma" w:cs="Tahoma"/>
        </w:rPr>
        <w:t xml:space="preserve">Debêntures </w:t>
      </w:r>
      <w:r w:rsidR="00906BCA">
        <w:rPr>
          <w:rFonts w:ascii="Tahoma" w:hAnsi="Tahoma" w:cs="Tahoma"/>
        </w:rPr>
        <w:t>5</w:t>
      </w:r>
      <w:r w:rsidRPr="005C3FBC">
        <w:rPr>
          <w:rFonts w:ascii="Tahoma" w:hAnsi="Tahoma" w:cs="Tahoma"/>
        </w:rPr>
        <w:t xml:space="preserve">ª Emissão AGPAR </w:t>
      </w:r>
      <w:r>
        <w:rPr>
          <w:rFonts w:ascii="Tahoma" w:hAnsi="Tahoma" w:cs="Tahoma"/>
        </w:rPr>
        <w:t xml:space="preserve">e a </w:t>
      </w:r>
      <w:r w:rsidRPr="005C3FBC">
        <w:rPr>
          <w:rFonts w:ascii="Tahoma" w:hAnsi="Tahoma" w:cs="Tahoma"/>
        </w:rPr>
        <w:t>Debêntures 6ª Emissão AGPAR</w:t>
      </w:r>
      <w:r>
        <w:rPr>
          <w:rFonts w:ascii="Tahoma" w:hAnsi="Tahoma" w:cs="Tahoma"/>
        </w:rPr>
        <w:t xml:space="preserve"> foram liquidadas em 18 de dezembro de 2019</w:t>
      </w:r>
      <w:r w:rsidR="000370DF">
        <w:rPr>
          <w:rFonts w:ascii="Tahoma" w:hAnsi="Tahoma" w:cs="Tahoma"/>
        </w:rPr>
        <w:t>;</w:t>
      </w:r>
    </w:p>
    <w:p w:rsidR="007823A2"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“Contrato de Alienação Fiduciária de Ações e Outras Avenças”, entre as Partes, conforme aditado </w:t>
      </w:r>
      <w:r w:rsidR="007823A2">
        <w:rPr>
          <w:rFonts w:ascii="Tahoma" w:hAnsi="Tahoma" w:cs="Tahoma"/>
        </w:rPr>
        <w:t xml:space="preserve">em 18 de dezembro de 2019 </w:t>
      </w:r>
      <w:r w:rsidRPr="00E36C37">
        <w:rPr>
          <w:rFonts w:ascii="Tahoma" w:hAnsi="Tahoma" w:cs="Tahoma"/>
        </w:rPr>
        <w:t>(''</w:t>
      </w:r>
      <w:r w:rsidRPr="00E36C37">
        <w:rPr>
          <w:rFonts w:ascii="Tahoma" w:hAnsi="Tahoma" w:cs="Tahoma"/>
          <w:u w:val="single"/>
        </w:rPr>
        <w:t>Contrato de Alienação Fiduciária de Ações</w:t>
      </w:r>
      <w:r w:rsidRPr="00E36C37">
        <w:rPr>
          <w:rFonts w:ascii="Tahoma" w:hAnsi="Tahoma" w:cs="Tahoma"/>
        </w:rPr>
        <w:t>” ou “</w:t>
      </w:r>
      <w:r w:rsidRPr="00E36C37">
        <w:rPr>
          <w:rFonts w:ascii="Tahoma" w:hAnsi="Tahoma" w:cs="Tahoma"/>
          <w:u w:val="single"/>
        </w:rPr>
        <w:t>Garantia</w:t>
      </w:r>
      <w:r w:rsidRPr="00E36C37">
        <w:rPr>
          <w:rFonts w:ascii="Tahoma" w:hAnsi="Tahoma" w:cs="Tahoma"/>
        </w:rPr>
        <w:t>”), por meio do qual foi formalizada a Garantia em benefício dos Debenturistas, representados pelo Agente Fiduciário;</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atualizar (a)</w:t>
      </w:r>
      <w:r w:rsidR="00906BCA">
        <w:rPr>
          <w:rFonts w:ascii="Tahoma" w:hAnsi="Tahoma" w:cs="Tahoma"/>
        </w:rPr>
        <w:t xml:space="preserve"> o "</w:t>
      </w:r>
      <w:r w:rsidR="00906BCA" w:rsidRPr="000370DF">
        <w:rPr>
          <w:rFonts w:ascii="Tahoma" w:hAnsi="Tahoma" w:cs="Tahoma"/>
        </w:rPr>
        <w:t>Anexo II - Termos e Condições das Obrigações Garantidas</w:t>
      </w:r>
      <w:r w:rsidR="00906BCA">
        <w:rPr>
          <w:rFonts w:ascii="Tahoma" w:hAnsi="Tahoma" w:cs="Tahoma"/>
        </w:rPr>
        <w:t>"</w:t>
      </w:r>
      <w:r w:rsidR="000370DF">
        <w:rPr>
          <w:rFonts w:ascii="Tahoma" w:hAnsi="Tahoma" w:cs="Tahoma"/>
        </w:rPr>
        <w:t>,</w:t>
      </w:r>
      <w:r w:rsidR="007823A2">
        <w:rPr>
          <w:rFonts w:ascii="Tahoma" w:hAnsi="Tahoma" w:cs="Tahoma"/>
        </w:rPr>
        <w:t xml:space="preserve"> conforme alterados pelo 2º Aditamento ao </w:t>
      </w:r>
      <w:r w:rsidR="007823A2" w:rsidRPr="00E36C37">
        <w:rPr>
          <w:rFonts w:ascii="Tahoma" w:hAnsi="Tahoma" w:cs="Tahoma"/>
        </w:rPr>
        <w:t>Instrumento Particular de Escritura da 5ª (Quinta) Emissão Privada de Debêntures Simples, Não Conversíveis em Ações, da Espécie com Garantia Real, em Série Única, Para Distribuição Pública, com Esforços Restritos de Distribuição, da Andrade Gutierrez Participações S.A.</w:t>
      </w:r>
      <w:r w:rsidR="007823A2">
        <w:rPr>
          <w:rFonts w:ascii="Tahoma" w:hAnsi="Tahoma" w:cs="Tahoma"/>
        </w:rPr>
        <w:t xml:space="preserve"> e pelo 2º Aditamento ao </w:t>
      </w:r>
      <w:r w:rsidR="007823A2" w:rsidRPr="00E36C37">
        <w:rPr>
          <w:rFonts w:ascii="Tahoma" w:hAnsi="Tahoma" w:cs="Tahoma"/>
        </w:rPr>
        <w:t>Instrumento Particular de Escritura da 6ª (Sexta) Emissão Privada de Debêntures Simples, Não Conversíveis em Ações, da Espécie com Garantia Real, em Série Única, para Colocação Privada, da Andrade Gutierrez Participações S.A.</w:t>
      </w:r>
      <w:r w:rsidR="007823A2">
        <w:rPr>
          <w:rFonts w:ascii="Tahoma" w:hAnsi="Tahoma" w:cs="Tahoma"/>
        </w:rPr>
        <w:t>, ambos celebrados em 18 de novembro de 2020.</w:t>
      </w:r>
      <w:bookmarkStart w:id="0" w:name="_GoBack"/>
      <w:bookmarkEnd w:id="0"/>
    </w:p>
    <w:p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823A2">
        <w:rPr>
          <w:rFonts w:ascii="Tahoma" w:hAnsi="Tahoma" w:cs="Tahoma"/>
        </w:rPr>
        <w:t>2º</w:t>
      </w:r>
      <w:r w:rsidRPr="00E36C37">
        <w:rPr>
          <w:rFonts w:ascii="Tahoma" w:hAnsi="Tahoma" w:cs="Tahoma"/>
        </w:rPr>
        <w:t xml:space="preserve"> Aditamento ao Contrato de Alienação Fiduciária de Ações e Outras Avenças (“</w:t>
      </w:r>
      <w:r w:rsidRPr="00E36C37">
        <w:rPr>
          <w:rFonts w:ascii="Tahoma" w:hAnsi="Tahoma" w:cs="Tahoma"/>
          <w:u w:val="single"/>
        </w:rPr>
        <w:t>Aditamento</w:t>
      </w:r>
      <w:r w:rsidRPr="00E36C37">
        <w:rPr>
          <w:rFonts w:ascii="Tahoma" w:hAnsi="Tahoma" w:cs="Tahoma"/>
        </w:rPr>
        <w:t>”), que se regra pelas seguintes cláusulas e condições:</w:t>
      </w:r>
    </w:p>
    <w:p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PRIMEIRA – DEFINIÇÕES</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Exceto se de outra forma aqui disposto, os termos aqui utilizados com inicial em maiúsculo e não definidos de outra forma (incluindo, sem limitação, o Preâmbulo) terão o significado a eles atribuído no Contrato de Alienação Fiduciária de Ações, na Escritura de Emissão 5ª Emissão AGPAR ou na Escritura de Emissão 6ª Emissão AGPAR. Em caso de conflito entre as definições contidas no Contrato de Alienação Fiduciária de Ações, na Escritura de Emissão 5ª Emissão AGPAR ou na Escritura de Emissão 6ª Emissão AGPAR e as definições contidas neste Aditamento, prevalecerão, para fins exclusivos deste Aditamento, as definições aqui estabelecidas.</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SEGUNDA – DAS ALTERAÇÕES</w:t>
      </w:r>
    </w:p>
    <w:p w:rsidR="00F71DD7" w:rsidRDefault="00906BCA"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00F71DD7" w:rsidRPr="00E36C37">
        <w:rPr>
          <w:rFonts w:ascii="Tahoma" w:hAnsi="Tahoma" w:cs="Tahoma"/>
        </w:rPr>
        <w:t xml:space="preserve">s Partes desejam aditar o Anexo I </w:t>
      </w:r>
      <w:r w:rsidR="00820633">
        <w:rPr>
          <w:rFonts w:ascii="Tahoma" w:hAnsi="Tahoma" w:cs="Tahoma"/>
        </w:rPr>
        <w:t>“</w:t>
      </w:r>
      <w:r w:rsidR="00820633" w:rsidRPr="000370DF">
        <w:rPr>
          <w:rFonts w:ascii="Tahoma" w:hAnsi="Tahoma" w:cs="Tahoma"/>
        </w:rPr>
        <w:t>Termos e Condições das Obrigações Garantidas</w:t>
      </w:r>
      <w:r w:rsidR="00820633">
        <w:rPr>
          <w:rFonts w:ascii="Tahoma" w:hAnsi="Tahoma" w:cs="Tahoma"/>
        </w:rPr>
        <w:t>”</w:t>
      </w:r>
      <w:r w:rsidR="00820633" w:rsidRPr="00E36C37">
        <w:rPr>
          <w:rFonts w:ascii="Tahoma" w:hAnsi="Tahoma" w:cs="Tahoma"/>
        </w:rPr>
        <w:t xml:space="preserve"> </w:t>
      </w:r>
      <w:r w:rsidR="00F71DD7" w:rsidRPr="00E36C37">
        <w:rPr>
          <w:rFonts w:ascii="Tahoma" w:hAnsi="Tahoma" w:cs="Tahoma"/>
        </w:rPr>
        <w:t>do Contrato de Alienação Fiduciária de Ações</w:t>
      </w:r>
      <w:r w:rsidR="00820633">
        <w:rPr>
          <w:rFonts w:ascii="Tahoma" w:hAnsi="Tahoma" w:cs="Tahoma"/>
        </w:rPr>
        <w:t xml:space="preserve">, </w:t>
      </w:r>
      <w:r w:rsidR="00F71DD7" w:rsidRPr="00E36C37">
        <w:rPr>
          <w:rFonts w:ascii="Tahoma" w:hAnsi="Tahoma" w:cs="Tahoma"/>
        </w:rPr>
        <w:t xml:space="preserve">na forma do Anexo </w:t>
      </w:r>
      <w:r w:rsidR="005A58AE">
        <w:rPr>
          <w:rFonts w:ascii="Tahoma" w:hAnsi="Tahoma" w:cs="Tahoma"/>
        </w:rPr>
        <w:t>1</w:t>
      </w:r>
      <w:r w:rsidR="00F71DD7" w:rsidRPr="00E36C37">
        <w:rPr>
          <w:rFonts w:ascii="Tahoma" w:hAnsi="Tahoma" w:cs="Tahoma"/>
        </w:rPr>
        <w:t xml:space="preserve"> ao presente Aditamento.</w:t>
      </w:r>
    </w:p>
    <w:p w:rsidR="000D471B" w:rsidRDefault="00906BCA" w:rsidP="00906BCA">
      <w:pPr>
        <w:pStyle w:val="PargrafodaLista"/>
        <w:numPr>
          <w:ilvl w:val="2"/>
          <w:numId w:val="34"/>
        </w:numPr>
        <w:spacing w:after="240" w:line="320" w:lineRule="exact"/>
        <w:ind w:left="0" w:firstLine="0"/>
        <w:contextualSpacing w:val="0"/>
        <w:jc w:val="both"/>
        <w:rPr>
          <w:rFonts w:ascii="Tahoma" w:hAnsi="Tahoma" w:cs="Tahoma"/>
        </w:rPr>
      </w:pPr>
      <w:r w:rsidRPr="00906BCA">
        <w:rPr>
          <w:rFonts w:ascii="Tahoma" w:hAnsi="Tahoma" w:cs="Tahoma"/>
        </w:rPr>
        <w:t xml:space="preserve">A eficácia da </w:t>
      </w:r>
      <w:r>
        <w:rPr>
          <w:rFonts w:ascii="Tahoma" w:hAnsi="Tahoma" w:cs="Tahoma"/>
        </w:rPr>
        <w:t xml:space="preserve">Garantia </w:t>
      </w:r>
      <w:r w:rsidRPr="00906BCA">
        <w:rPr>
          <w:rFonts w:ascii="Tahoma" w:hAnsi="Tahoma" w:cs="Tahoma"/>
        </w:rPr>
        <w:t xml:space="preserve">objeto deste Aditamento em relação a </w:t>
      </w:r>
      <w:r w:rsidRPr="00E36C37">
        <w:rPr>
          <w:rFonts w:ascii="Tahoma" w:hAnsi="Tahoma" w:cs="Tahoma"/>
        </w:rPr>
        <w:t>Ações Alienadas Fiduciariamente</w:t>
      </w:r>
      <w:r w:rsidRPr="00906BCA">
        <w:rPr>
          <w:rFonts w:ascii="Tahoma" w:hAnsi="Tahoma" w:cs="Tahoma"/>
        </w:rPr>
        <w:t xml:space="preserve"> subordinar-se-á a</w:t>
      </w:r>
      <w:r w:rsidR="00BC19D6">
        <w:rPr>
          <w:rFonts w:ascii="Tahoma" w:hAnsi="Tahoma" w:cs="Tahoma"/>
        </w:rPr>
        <w:t>s</w:t>
      </w:r>
      <w:r w:rsidRPr="00906BCA">
        <w:rPr>
          <w:rFonts w:ascii="Tahoma" w:hAnsi="Tahoma" w:cs="Tahoma"/>
        </w:rPr>
        <w:t xml:space="preserve"> </w:t>
      </w:r>
      <w:r w:rsidR="00BC19D6">
        <w:rPr>
          <w:rFonts w:ascii="Tahoma" w:hAnsi="Tahoma" w:cs="Tahoma"/>
        </w:rPr>
        <w:t xml:space="preserve">Condições </w:t>
      </w:r>
      <w:r w:rsidRPr="00906BCA">
        <w:rPr>
          <w:rFonts w:ascii="Tahoma" w:hAnsi="Tahoma" w:cs="Tahoma"/>
        </w:rPr>
        <w:t>Suspensiva</w:t>
      </w:r>
      <w:r w:rsidR="00BC19D6">
        <w:rPr>
          <w:rFonts w:ascii="Tahoma" w:hAnsi="Tahoma" w:cs="Tahoma"/>
        </w:rPr>
        <w:t>s</w:t>
      </w:r>
      <w:r w:rsidR="000D471B">
        <w:rPr>
          <w:rFonts w:ascii="Tahoma" w:hAnsi="Tahoma" w:cs="Tahoma"/>
        </w:rPr>
        <w:t>.</w:t>
      </w:r>
    </w:p>
    <w:p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E36C37">
        <w:rPr>
          <w:rFonts w:ascii="Tahoma" w:hAnsi="Tahoma" w:cs="Tahoma"/>
        </w:rPr>
        <w:t>Pelo presente, a Acionista declara que está adimplente com todas as suas obrigações assumidas na Escritura de Emissão 5ª Emissão AGPAR, na Escritura de Emissão 6ª Emissão AGPAR e no Contrato de Alienação Fiduciária de Ações, bem como ratificam, expressa e integralmente, todas as declarações, garantias, procurações e avenças, respectivamente prestadas, outorgadas e contratadas no Contrato de Alienação Fiduciária de Ações, aplicáveis ao presente Aditamento, como se tais declarações, garantias, procurações e avenças estivessem aqui integralmente transcritas.</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rsidR="00F71DD7" w:rsidRPr="00E36C37" w:rsidRDefault="00F71DD7" w:rsidP="00F71DD7">
      <w:pPr>
        <w:spacing w:after="240" w:line="320" w:lineRule="exact"/>
        <w:jc w:val="center"/>
        <w:rPr>
          <w:rFonts w:ascii="Tahoma" w:hAnsi="Tahoma" w:cs="Tahoma"/>
        </w:rPr>
      </w:pPr>
      <w:r w:rsidRPr="00E36C37">
        <w:rPr>
          <w:rFonts w:ascii="Tahoma" w:hAnsi="Tahoma" w:cs="Tahoma"/>
        </w:rPr>
        <w:lastRenderedPageBreak/>
        <w:t xml:space="preserve">Belo Horizonte, </w:t>
      </w:r>
      <w:r w:rsidR="005A58AE">
        <w:rPr>
          <w:rFonts w:ascii="Tahoma" w:hAnsi="Tahoma" w:cs="Tahoma"/>
        </w:rPr>
        <w:t>18</w:t>
      </w:r>
      <w:r w:rsidRPr="00E36C37">
        <w:rPr>
          <w:rFonts w:ascii="Tahoma" w:hAnsi="Tahoma" w:cs="Tahoma"/>
        </w:rPr>
        <w:t xml:space="preserve"> de </w:t>
      </w:r>
      <w:r w:rsidR="00820633">
        <w:rPr>
          <w:rFonts w:ascii="Tahoma" w:hAnsi="Tahoma" w:cs="Tahoma"/>
        </w:rPr>
        <w:t>novembro</w:t>
      </w:r>
      <w:r w:rsidR="005A58AE">
        <w:rPr>
          <w:rFonts w:ascii="Tahoma" w:hAnsi="Tahoma" w:cs="Tahoma"/>
        </w:rPr>
        <w:t xml:space="preserve"> </w:t>
      </w:r>
      <w:r w:rsidRPr="00E36C37">
        <w:rPr>
          <w:rFonts w:ascii="Tahoma" w:hAnsi="Tahoma" w:cs="Tahoma"/>
        </w:rPr>
        <w:t>de 20</w:t>
      </w:r>
      <w:r w:rsidR="00820633">
        <w:rPr>
          <w:rFonts w:ascii="Tahoma" w:hAnsi="Tahoma" w:cs="Tahoma"/>
        </w:rPr>
        <w:t>20</w:t>
      </w:r>
      <w:r w:rsidRPr="00E36C37">
        <w:rPr>
          <w:rFonts w:ascii="Tahoma" w:hAnsi="Tahoma" w:cs="Tahoma"/>
        </w:rPr>
        <w:t>.</w:t>
      </w:r>
    </w:p>
    <w:p w:rsidR="00F71DD7" w:rsidRDefault="00F71DD7" w:rsidP="00F71DD7">
      <w:pPr>
        <w:spacing w:after="240" w:line="320" w:lineRule="exact"/>
        <w:jc w:val="center"/>
        <w:rPr>
          <w:rFonts w:ascii="Tahoma" w:hAnsi="Tahoma" w:cs="Tahoma"/>
        </w:rPr>
      </w:pPr>
      <w:r w:rsidRPr="00E36C37">
        <w:rPr>
          <w:rFonts w:ascii="Tahoma" w:hAnsi="Tahoma" w:cs="Tahoma"/>
        </w:rPr>
        <w:t>(restante da página foi deixado intencionalmente em branco. As assinaturas seguem nas próximas páginas)</w:t>
      </w:r>
    </w:p>
    <w:p w:rsidR="005A58AE" w:rsidRDefault="005A58AE">
      <w:pPr>
        <w:spacing w:after="120" w:line="240" w:lineRule="auto"/>
        <w:jc w:val="both"/>
        <w:rPr>
          <w:rFonts w:ascii="Tahoma" w:hAnsi="Tahoma" w:cs="Tahoma"/>
        </w:rPr>
      </w:pPr>
      <w:r>
        <w:rPr>
          <w:rFonts w:ascii="Tahoma" w:hAnsi="Tahoma" w:cs="Tahoma"/>
        </w:rPr>
        <w:br w:type="page"/>
      </w:r>
    </w:p>
    <w:p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7823A2">
        <w:rPr>
          <w:rFonts w:ascii="Tahoma" w:hAnsi="Tahoma" w:cs="Tahoma"/>
          <w:i/>
        </w:rPr>
        <w:t>2º</w:t>
      </w:r>
      <w:r w:rsidR="005A58AE">
        <w:rPr>
          <w:rFonts w:ascii="Tahoma" w:hAnsi="Tahoma" w:cs="Tahoma"/>
          <w:i/>
        </w:rPr>
        <w:t xml:space="preserve">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celebrado 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rsidR="00AF481D" w:rsidRPr="009B2964" w:rsidRDefault="00AF481D" w:rsidP="00AF481D">
      <w:pPr>
        <w:spacing w:after="240" w:line="320" w:lineRule="exact"/>
        <w:rPr>
          <w:rFonts w:ascii="Tahoma" w:hAnsi="Tahoma" w:cs="Tahoma"/>
          <w:smallCaps/>
        </w:rPr>
      </w:pPr>
    </w:p>
    <w:p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rsidTr="00B4010B">
        <w:trPr>
          <w:cantSplit/>
        </w:trPr>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7823A2">
        <w:rPr>
          <w:rFonts w:ascii="Tahoma" w:hAnsi="Tahoma" w:cs="Tahoma"/>
          <w:i/>
        </w:rPr>
        <w:t>2º</w:t>
      </w:r>
      <w:r w:rsidR="005A58AE">
        <w:rPr>
          <w:rFonts w:ascii="Tahoma" w:hAnsi="Tahoma" w:cs="Tahoma"/>
          <w:i/>
        </w:rPr>
        <w:t xml:space="preserve">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celebrado 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rsidR="00AF481D" w:rsidRDefault="00AF481D" w:rsidP="00AF481D">
      <w:pPr>
        <w:spacing w:after="240" w:line="320" w:lineRule="exact"/>
        <w:rPr>
          <w:rFonts w:ascii="Tahoma" w:hAnsi="Tahoma" w:cs="Tahoma"/>
          <w:smallCaps/>
        </w:rPr>
      </w:pPr>
    </w:p>
    <w:p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rsidTr="00B4010B">
        <w:trPr>
          <w:cantSplit/>
        </w:trPr>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rsidR="00AF481D" w:rsidRPr="009B2964" w:rsidRDefault="00AF481D" w:rsidP="00AF481D">
      <w:pPr>
        <w:spacing w:after="240" w:line="320" w:lineRule="exact"/>
        <w:rPr>
          <w:rFonts w:ascii="Tahoma" w:hAnsi="Tahoma" w:cs="Tahoma"/>
        </w:rPr>
      </w:pPr>
    </w:p>
    <w:p w:rsidR="00AF481D" w:rsidRPr="009B2964" w:rsidRDefault="00AF481D" w:rsidP="00AF481D">
      <w:pPr>
        <w:spacing w:after="240" w:line="320" w:lineRule="exact"/>
        <w:rPr>
          <w:rFonts w:ascii="Tahoma" w:hAnsi="Tahoma" w:cs="Tahoma"/>
        </w:rPr>
      </w:pPr>
      <w:r w:rsidRPr="009B2964">
        <w:rPr>
          <w:rFonts w:ascii="Tahoma" w:hAnsi="Tahoma" w:cs="Tahoma"/>
        </w:rPr>
        <w:t>Testemunhas:</w:t>
      </w:r>
    </w:p>
    <w:p w:rsidR="00AF481D" w:rsidRPr="009B2964" w:rsidRDefault="00AF481D" w:rsidP="00AF481D">
      <w:pPr>
        <w:spacing w:after="240" w:line="320" w:lineRule="exact"/>
        <w:rPr>
          <w:rFonts w:ascii="Tahoma" w:hAnsi="Tahoma" w:cs="Tahoma"/>
        </w:rPr>
      </w:pPr>
    </w:p>
    <w:p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rsidTr="00B4010B">
        <w:trPr>
          <w:cantSplit/>
        </w:trPr>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rsidR="00AF481D" w:rsidRPr="009B2964" w:rsidRDefault="00AF481D" w:rsidP="00AF481D">
      <w:pPr>
        <w:spacing w:after="240" w:line="320" w:lineRule="exact"/>
        <w:rPr>
          <w:rFonts w:ascii="Tahoma" w:hAnsi="Tahoma" w:cs="Tahoma"/>
        </w:rPr>
      </w:pPr>
    </w:p>
    <w:p w:rsidR="00AF481D" w:rsidRPr="009B2964" w:rsidRDefault="00AF481D" w:rsidP="00AF481D">
      <w:pPr>
        <w:spacing w:after="0"/>
        <w:rPr>
          <w:rFonts w:ascii="Tahoma" w:hAnsi="Tahoma" w:cs="Tahoma"/>
        </w:rPr>
      </w:pPr>
      <w:r w:rsidRPr="009B2964">
        <w:rPr>
          <w:rFonts w:ascii="Tahoma" w:hAnsi="Tahoma" w:cs="Tahoma"/>
        </w:rPr>
        <w:br w:type="page"/>
      </w:r>
    </w:p>
    <w:p w:rsidR="005A58AE" w:rsidRDefault="005A58AE">
      <w:pPr>
        <w:spacing w:after="240" w:line="320" w:lineRule="exact"/>
        <w:jc w:val="center"/>
        <w:rPr>
          <w:rFonts w:ascii="Tahoma" w:hAnsi="Tahoma" w:cs="Tahoma"/>
          <w:b/>
        </w:rPr>
      </w:pPr>
      <w:r w:rsidRPr="00906FF4">
        <w:rPr>
          <w:rFonts w:ascii="Tahoma" w:hAnsi="Tahoma" w:cs="Tahoma"/>
          <w:b/>
        </w:rPr>
        <w:lastRenderedPageBreak/>
        <w:t>ANEXO 1</w:t>
      </w:r>
      <w:r w:rsidR="00906FF4" w:rsidRPr="00906FF4">
        <w:rPr>
          <w:rFonts w:ascii="Tahoma" w:hAnsi="Tahoma" w:cs="Tahoma"/>
          <w:b/>
        </w:rPr>
        <w:br/>
      </w:r>
      <w:r w:rsidR="007823A2">
        <w:rPr>
          <w:rFonts w:ascii="Tahoma" w:hAnsi="Tahoma" w:cs="Tahoma"/>
          <w:b/>
        </w:rPr>
        <w:t>2º</w:t>
      </w:r>
      <w:r w:rsidR="00906FF4" w:rsidRPr="00906FF4">
        <w:rPr>
          <w:rFonts w:ascii="Tahoma" w:hAnsi="Tahoma" w:cs="Tahoma"/>
          <w:b/>
        </w:rPr>
        <w:t xml:space="preserve"> Aditamento ao Contrato de Alienação Fiduciária de Ações e Outras Avenças</w:t>
      </w:r>
      <w:r w:rsidR="00906FF4">
        <w:rPr>
          <w:rFonts w:ascii="Tahoma" w:hAnsi="Tahoma" w:cs="Tahoma"/>
          <w:b/>
        </w:rPr>
        <w:t>.</w:t>
      </w:r>
    </w:p>
    <w:p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rsidR="003427F0" w:rsidRPr="00E36C37" w:rsidRDefault="00665B93" w:rsidP="006472C6">
      <w:pPr>
        <w:spacing w:after="240" w:line="320" w:lineRule="exact"/>
        <w:jc w:val="center"/>
        <w:rPr>
          <w:rFonts w:ascii="Tahoma" w:hAnsi="Tahoma" w:cs="Tahoma"/>
          <w:u w:val="single"/>
        </w:rPr>
      </w:pPr>
      <w:bookmarkStart w:id="1" w:name="_DV_M274"/>
      <w:bookmarkStart w:id="2" w:name="_DV_M275"/>
      <w:bookmarkEnd w:id="1"/>
      <w:bookmarkEnd w:id="2"/>
      <w:r w:rsidRPr="00E36C37">
        <w:rPr>
          <w:rFonts w:ascii="Tahoma" w:hAnsi="Tahoma" w:cs="Tahoma"/>
          <w:u w:val="single"/>
        </w:rPr>
        <w:t>Termos e Condições das Obrigações Garantidas</w:t>
      </w:r>
      <w:bookmarkStart w:id="3" w:name="_DV_M276"/>
      <w:bookmarkEnd w:id="3"/>
    </w:p>
    <w:p w:rsidR="00A33B9E" w:rsidRPr="00E36C37" w:rsidRDefault="00F32B76" w:rsidP="00A33B9E">
      <w:pPr>
        <w:tabs>
          <w:tab w:val="left" w:pos="1134"/>
        </w:tabs>
        <w:spacing w:after="240" w:line="320" w:lineRule="exact"/>
        <w:jc w:val="both"/>
        <w:rPr>
          <w:rFonts w:ascii="Tahoma" w:hAnsi="Tahoma" w:cs="Tahoma"/>
          <w:b/>
          <w:u w:val="single"/>
        </w:rPr>
      </w:pPr>
      <w:r w:rsidRPr="00E36C37" w:rsidDel="00F32B76">
        <w:rPr>
          <w:rFonts w:ascii="Tahoma" w:hAnsi="Tahoma" w:cs="Tahoma"/>
        </w:rPr>
        <w:t xml:space="preserve"> </w:t>
      </w:r>
      <w:r w:rsidR="00A33B9E" w:rsidRPr="00E36C37">
        <w:rPr>
          <w:rFonts w:ascii="Tahoma" w:hAnsi="Tahoma" w:cs="Tahoma"/>
          <w:b/>
        </w:rPr>
        <w:t>I.</w:t>
      </w:r>
      <w:r w:rsidR="00A33B9E" w:rsidRPr="00E36C37">
        <w:rPr>
          <w:rFonts w:ascii="Tahoma" w:hAnsi="Tahoma" w:cs="Tahoma"/>
          <w:b/>
        </w:rPr>
        <w:tab/>
      </w:r>
      <w:r w:rsidR="00A33B9E" w:rsidRPr="00E36C37">
        <w:rPr>
          <w:rFonts w:ascii="Tahoma" w:hAnsi="Tahoma" w:cs="Tahoma"/>
          <w:b/>
          <w:u w:val="single"/>
        </w:rPr>
        <w:t>Obrigações Garantidas 5ª Emissão AGPAR</w:t>
      </w:r>
    </w:p>
    <w:p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Pr="00E36C37">
        <w:rPr>
          <w:rFonts w:ascii="Tahoma" w:hAnsi="Tahoma" w:cs="Tahoma"/>
          <w:u w:val="single"/>
        </w:rPr>
        <w:t>Valor Total da Emissão</w:t>
      </w:r>
      <w:r w:rsidRPr="00E36C37">
        <w:rPr>
          <w:rFonts w:ascii="Tahoma" w:hAnsi="Tahoma" w:cs="Tahoma"/>
        </w:rPr>
        <w:t>”).</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Pr="00E36C37">
        <w:rPr>
          <w:rFonts w:ascii="Tahoma" w:hAnsi="Tahoma" w:cs="Tahoma"/>
          <w:bCs/>
          <w:u w:val="single"/>
        </w:rPr>
        <w:t>Data de Emissão</w:t>
      </w:r>
      <w:r w:rsidRPr="00E36C37">
        <w:rPr>
          <w:rFonts w:ascii="Tahoma" w:hAnsi="Tahoma" w:cs="Tahoma"/>
          <w:bCs/>
        </w:rPr>
        <w:t>”)</w:t>
      </w:r>
      <w:r w:rsidRPr="00E36C37">
        <w:rPr>
          <w:rFonts w:ascii="Tahoma" w:hAnsi="Tahoma" w:cs="Tahoma"/>
        </w:rPr>
        <w:t>.</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B410A5">
        <w:rPr>
          <w:rFonts w:ascii="Tahoma" w:hAnsi="Tahoma" w:cs="Tahoma"/>
        </w:rPr>
        <w:t xml:space="preserve">é </w:t>
      </w:r>
      <w:r w:rsidRPr="00E36C37">
        <w:rPr>
          <w:rFonts w:ascii="Tahoma" w:hAnsi="Tahoma" w:cs="Tahoma"/>
        </w:rPr>
        <w:t>de R$1.000,00 (um mil reais), na Data de Emissão.</w:t>
      </w:r>
    </w:p>
    <w:p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por cento)</w:t>
      </w:r>
      <w:r w:rsidRPr="00E36C37" w:rsidDel="00A7137F">
        <w:rPr>
          <w:rFonts w:ascii="Tahoma" w:hAnsi="Tahoma" w:cs="Tahoma"/>
        </w:rPr>
        <w:t xml:space="preserve"> </w:t>
      </w:r>
      <w:r w:rsidRPr="00E36C37">
        <w:rPr>
          <w:rFonts w:ascii="Tahoma" w:hAnsi="Tahoma" w:cs="Tahoma"/>
        </w:rPr>
        <w:t>da variação acumulada das taxas médias diárias dos DI “</w:t>
      </w:r>
      <w:r w:rsidRPr="00E36C37">
        <w:rPr>
          <w:rFonts w:ascii="Tahoma" w:hAnsi="Tahoma" w:cs="Tahoma"/>
          <w:i/>
        </w:rPr>
        <w:t>over extra grupo”</w:t>
      </w:r>
      <w:r w:rsidRPr="00E36C37">
        <w:rPr>
          <w:rFonts w:ascii="Tahoma" w:hAnsi="Tahoma" w:cs="Tahoma"/>
        </w:rPr>
        <w:t xml:space="preserve"> - Depósitos Interfinanceiros de um dia, 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Pr="00E36C37">
        <w:rPr>
          <w:rFonts w:ascii="Tahoma" w:hAnsi="Tahoma" w:cs="Tahoma"/>
          <w:u w:val="single"/>
        </w:rPr>
        <w:t>Taxa DI</w:t>
      </w:r>
      <w:r w:rsidRPr="00E36C37">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EB5EF7" w:rsidRPr="00E36C37">
        <w:rPr>
          <w:rFonts w:ascii="Tahoma" w:hAnsi="Tahoma" w:cs="Tahoma"/>
          <w:bCs/>
          <w:u w:val="single"/>
        </w:rPr>
        <w:t>Spread</w:t>
      </w:r>
      <w:r w:rsidR="00EB5EF7" w:rsidRPr="00E36C37">
        <w:rPr>
          <w:rFonts w:ascii="Tahoma" w:hAnsi="Tahoma" w:cs="Tahoma"/>
          <w:bCs/>
        </w:rPr>
        <w:t>” e, em conjunto com a Taxa DI, “</w:t>
      </w:r>
      <w:r w:rsidR="00EB5EF7" w:rsidRPr="00E36C37">
        <w:rPr>
          <w:rFonts w:ascii="Tahoma" w:hAnsi="Tahoma" w:cs="Tahoma"/>
          <w:bCs/>
          <w:u w:val="single"/>
        </w:rPr>
        <w:t>Remuneração</w:t>
      </w:r>
      <w:r w:rsidR="00EB5EF7" w:rsidRPr="00E36C37">
        <w:rPr>
          <w:rFonts w:ascii="Tahoma" w:hAnsi="Tahoma" w:cs="Tahoma"/>
          <w:bCs/>
        </w:rPr>
        <w:t>”)</w:t>
      </w:r>
      <w:r w:rsidR="00EB5EF7" w:rsidRPr="00E36C37">
        <w:rPr>
          <w:rFonts w:ascii="Tahoma" w:hAnsi="Tahoma" w:cs="Tahoma"/>
        </w:rPr>
        <w:t xml:space="preserve"> </w:t>
      </w:r>
      <w:r w:rsidR="00EB5EF7" w:rsidRPr="00E36C37">
        <w:rPr>
          <w:rFonts w:ascii="Tahoma" w:hAnsi="Tahoma" w:cs="Tahoma"/>
          <w:b/>
        </w:rPr>
        <w:t>(i)</w:t>
      </w:r>
      <w:r w:rsidR="00EB5EF7" w:rsidRPr="00E36C37">
        <w:rPr>
          <w:rFonts w:ascii="Tahoma" w:hAnsi="Tahoma" w:cs="Tahoma"/>
        </w:rPr>
        <w:t xml:space="preserve"> 3,40% (três inteiros e quarenta centésimos por cento) ao ano</w:t>
      </w:r>
      <w:r w:rsidR="00EB5EF7" w:rsidRPr="00E36C37">
        <w:rPr>
          <w:rFonts w:ascii="Tahoma" w:hAnsi="Tahoma" w:cs="Tahoma"/>
          <w:bCs/>
        </w:rPr>
        <w:t xml:space="preserve">, base 252 (duzentos e cinquenta e </w:t>
      </w:r>
      <w:r w:rsidR="00EB5EF7" w:rsidRPr="00E36C37">
        <w:rPr>
          <w:rFonts w:ascii="Tahoma" w:hAnsi="Tahoma" w:cs="Tahoma"/>
          <w:bCs/>
        </w:rPr>
        <w:lastRenderedPageBreak/>
        <w:t xml:space="preserve">dois) Dias Úteis, ou </w:t>
      </w:r>
      <w:r w:rsidR="00EB5EF7" w:rsidRPr="00E36C37">
        <w:rPr>
          <w:rFonts w:ascii="Tahoma" w:hAnsi="Tahoma" w:cs="Tahoma"/>
          <w:b/>
          <w:bCs/>
        </w:rPr>
        <w:t>(</w:t>
      </w:r>
      <w:proofErr w:type="spellStart"/>
      <w:r w:rsidR="00EB5EF7" w:rsidRPr="00E36C37">
        <w:rPr>
          <w:rFonts w:ascii="Tahoma" w:hAnsi="Tahoma" w:cs="Tahoma"/>
          <w:b/>
          <w:bCs/>
        </w:rPr>
        <w:t>ii</w:t>
      </w:r>
      <w:proofErr w:type="spellEnd"/>
      <w:r w:rsidR="00EB5EF7" w:rsidRPr="00E36C37">
        <w:rPr>
          <w:rFonts w:ascii="Tahoma" w:hAnsi="Tahoma" w:cs="Tahoma"/>
          <w:b/>
          <w:bCs/>
        </w:rPr>
        <w:t>)</w:t>
      </w:r>
      <w:r w:rsidR="00EB5EF7" w:rsidRPr="00E36C37">
        <w:rPr>
          <w:rFonts w:ascii="Tahoma" w:hAnsi="Tahoma" w:cs="Tahoma"/>
          <w:bCs/>
        </w:rPr>
        <w:t xml:space="preserve"> ao valor calculado conforme previsto no item (</w:t>
      </w:r>
      <w:proofErr w:type="spellStart"/>
      <w:r w:rsidR="00EB5EF7" w:rsidRPr="00E36C37">
        <w:rPr>
          <w:rFonts w:ascii="Tahoma" w:hAnsi="Tahoma" w:cs="Tahoma"/>
          <w:bCs/>
        </w:rPr>
        <w:t>vii</w:t>
      </w:r>
      <w:proofErr w:type="spellEnd"/>
      <w:r w:rsidR="00EB5EF7" w:rsidRPr="00E36C37">
        <w:rPr>
          <w:rFonts w:ascii="Tahoma" w:hAnsi="Tahoma" w:cs="Tahoma"/>
          <w:bCs/>
        </w:rPr>
        <w:t>)</w:t>
      </w:r>
      <w:r w:rsidR="00A03DBE" w:rsidRPr="00E36C37">
        <w:rPr>
          <w:rFonts w:ascii="Tahoma" w:hAnsi="Tahoma" w:cs="Tahoma"/>
          <w:bCs/>
        </w:rPr>
        <w:t xml:space="preserve"> abaixo</w:t>
      </w:r>
      <w:r w:rsidR="00EB5EF7" w:rsidRPr="00E36C37">
        <w:rPr>
          <w:rFonts w:ascii="Tahoma" w:hAnsi="Tahoma" w:cs="Tahoma"/>
          <w:bCs/>
        </w:rPr>
        <w:t xml:space="preserve">, em ambos os casos, calculados de forma exponencial e cumulativa, </w:t>
      </w:r>
      <w:r w:rsidR="00EB5EF7" w:rsidRPr="00E36C37">
        <w:rPr>
          <w:rFonts w:ascii="Tahoma" w:hAnsi="Tahoma" w:cs="Tahoma"/>
          <w:i/>
        </w:rPr>
        <w:t xml:space="preserve">pro rata </w:t>
      </w:r>
      <w:proofErr w:type="spellStart"/>
      <w:r w:rsidR="00EB5EF7" w:rsidRPr="00E36C37">
        <w:rPr>
          <w:rFonts w:ascii="Tahoma" w:hAnsi="Tahoma" w:cs="Tahoma"/>
          <w:i/>
        </w:rPr>
        <w:t>temporis</w:t>
      </w:r>
      <w:proofErr w:type="spellEnd"/>
      <w:r w:rsidR="00EB5EF7" w:rsidRPr="00E36C37">
        <w:rPr>
          <w:rFonts w:ascii="Tahoma" w:hAnsi="Tahoma" w:cs="Tahoma"/>
          <w:bCs/>
        </w:rPr>
        <w:t>, por Dias Úteis decorridos, desde a primeira Data de Integralização ou a data de pagamento da Remuneração imediatamente anterior, o que ocorrer por último, até a data do efetivo pagamento</w:t>
      </w:r>
      <w:r w:rsidRPr="00E36C37">
        <w:rPr>
          <w:rFonts w:ascii="Tahoma" w:hAnsi="Tahoma" w:cs="Tahoma"/>
        </w:rPr>
        <w:t>, de acordo com a fórmula prevista na Escritura de Emissão.</w:t>
      </w:r>
    </w:p>
    <w:p w:rsidR="00A03DBE" w:rsidRPr="00E36C37"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Caso, até 31 de dezembro de 2020 (“</w:t>
      </w:r>
      <w:r w:rsidRPr="00E36C37">
        <w:rPr>
          <w:rFonts w:ascii="Tahoma" w:hAnsi="Tahoma" w:cs="Tahoma"/>
          <w:u w:val="single"/>
        </w:rPr>
        <w:t>Data Limite</w:t>
      </w:r>
      <w:r w:rsidRPr="00E36C37">
        <w:rPr>
          <w:rFonts w:ascii="Tahoma" w:hAnsi="Tahoma" w:cs="Tahoma"/>
        </w:rPr>
        <w:t>”), inclusive, a Emissora não tenha comprovado, ao Agente Fiduciário que as Ações Alienadas Fiduciariamente foram desvinculadas do “Acordo de Acionistas da CCR S.A.”, celebrado em 18 de outubro de 2001, conforme aditado (até o momento ou futuramente) (“</w:t>
      </w:r>
      <w:r w:rsidRPr="00E36C37">
        <w:rPr>
          <w:rFonts w:ascii="Tahoma" w:hAnsi="Tahoma" w:cs="Tahoma"/>
          <w:u w:val="single"/>
        </w:rPr>
        <w:t>Acordo de Acionistas</w:t>
      </w:r>
      <w:r w:rsidRPr="00E36C37">
        <w:rPr>
          <w:rFonts w:ascii="Tahoma" w:hAnsi="Tahoma" w:cs="Tahoma"/>
        </w:rPr>
        <w:t>”), o Spread será acrescido de linearmente e, cumulativamente, (i) 0,25% (vinte e cinco centésimos por cento) ao ano em 1° de janeiro de 2021 (inclusive), passando a ser de 3,65% (três inteiros e sessenta e cinco centésimos por cento) ao ano; (</w:t>
      </w:r>
      <w:proofErr w:type="spellStart"/>
      <w:r w:rsidRPr="00E36C37">
        <w:rPr>
          <w:rFonts w:ascii="Tahoma" w:hAnsi="Tahoma" w:cs="Tahoma"/>
        </w:rPr>
        <w:t>ii</w:t>
      </w:r>
      <w:proofErr w:type="spellEnd"/>
      <w:r w:rsidRPr="00E36C37">
        <w:rPr>
          <w:rFonts w:ascii="Tahoma" w:hAnsi="Tahoma" w:cs="Tahoma"/>
        </w:rPr>
        <w:t>) 0,25% (vinte e cinco centésimos por cento) ao ano em 1º de julho de 2021 (inclusive) , passando a ser de 3,90% (três inteiros e noventa centésimos por cento) ao ano; (</w:t>
      </w:r>
      <w:proofErr w:type="spellStart"/>
      <w:r w:rsidRPr="00E36C37">
        <w:rPr>
          <w:rFonts w:ascii="Tahoma" w:hAnsi="Tahoma" w:cs="Tahoma"/>
        </w:rPr>
        <w:t>iii</w:t>
      </w:r>
      <w:proofErr w:type="spellEnd"/>
      <w:r w:rsidRPr="00E36C37">
        <w:rPr>
          <w:rFonts w:ascii="Tahoma" w:hAnsi="Tahoma" w:cs="Tahoma"/>
        </w:rPr>
        <w:t>) 0,50% (cinquenta centésimos por cento) ao ano em 1° de janeiro de 2022 (inclusive), passando a ser de 4,40% (quatro inteiros e quarenta centésimos por cento) ao ano; e (</w:t>
      </w:r>
      <w:proofErr w:type="spellStart"/>
      <w:r w:rsidRPr="00E36C37">
        <w:rPr>
          <w:rFonts w:ascii="Tahoma" w:hAnsi="Tahoma" w:cs="Tahoma"/>
        </w:rPr>
        <w:t>iv</w:t>
      </w:r>
      <w:proofErr w:type="spellEnd"/>
      <w:r w:rsidRPr="00E36C37">
        <w:rPr>
          <w:rFonts w:ascii="Tahoma" w:hAnsi="Tahoma" w:cs="Tahoma"/>
        </w:rPr>
        <w:t>) 0,50% (cinquenta centésimos por cento) ao ano a cada 180 (cento e oitenta) dias a contar de 1º de julho de 2022 (inclusive).</w:t>
      </w:r>
    </w:p>
    <w:p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Pr="00E36C37">
        <w:rPr>
          <w:rFonts w:ascii="Tahoma" w:hAnsi="Tahoma" w:cs="Tahoma"/>
          <w:u w:val="single"/>
        </w:rPr>
        <w:t>Data de Vencimento</w:t>
      </w:r>
      <w:r w:rsidRPr="00E36C37">
        <w:rPr>
          <w:rFonts w:ascii="Tahoma" w:hAnsi="Tahoma" w:cs="Tahoma"/>
        </w:rPr>
        <w:t>”), ressalvadas as hipóteses de vencimento antecipado e de resgate antecipado previstas na Escritura de Emissão.</w:t>
      </w:r>
    </w:p>
    <w:p w:rsidR="00A33B9E" w:rsidRPr="00820633"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820633">
        <w:rPr>
          <w:rFonts w:ascii="Tahoma" w:hAnsi="Tahoma" w:cs="Tahoma"/>
        </w:rPr>
        <w:t>nas seguintes datas</w:t>
      </w:r>
      <w:r w:rsidRPr="00E36C37">
        <w:rPr>
          <w:rFonts w:ascii="Tahoma" w:hAnsi="Tahoma" w:cs="Tahoma"/>
          <w:bCs/>
        </w:rPr>
        <w:t xml:space="preserve"> (cada uma, uma “</w:t>
      </w:r>
      <w:r w:rsidRPr="00E36C37">
        <w:rPr>
          <w:rFonts w:ascii="Tahoma" w:hAnsi="Tahoma" w:cs="Tahoma"/>
          <w:bCs/>
          <w:u w:val="single"/>
        </w:rPr>
        <w:t>Data de Pagamento da Remuneração</w:t>
      </w:r>
      <w:r w:rsidRPr="00E36C37">
        <w:rPr>
          <w:rFonts w:ascii="Tahoma" w:hAnsi="Tahoma" w:cs="Tahoma"/>
          <w:bCs/>
        </w:rPr>
        <w:t>”)</w:t>
      </w:r>
      <w:r w:rsidR="00820633">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20633" w:rsidRPr="00820633" w:rsidRDefault="00820633" w:rsidP="00E8518C">
            <w:pPr>
              <w:autoSpaceDE w:val="0"/>
              <w:autoSpaceDN w:val="0"/>
              <w:adjustRightInd w:val="0"/>
              <w:spacing w:line="240" w:lineRule="exact"/>
              <w:jc w:val="center"/>
              <w:rPr>
                <w:rFonts w:ascii="Tahoma" w:hAnsi="Tahoma" w:cs="Tahoma"/>
                <w:b/>
                <w:color w:val="000000"/>
              </w:rPr>
            </w:pPr>
            <w:r w:rsidRPr="00820633">
              <w:rPr>
                <w:rFonts w:ascii="Tahoma" w:hAnsi="Tahoma" w:cs="Tahoma"/>
                <w:b/>
                <w:color w:val="000000"/>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20633" w:rsidRPr="00820633" w:rsidRDefault="00820633" w:rsidP="00E8518C">
            <w:pPr>
              <w:autoSpaceDE w:val="0"/>
              <w:autoSpaceDN w:val="0"/>
              <w:adjustRightInd w:val="0"/>
              <w:spacing w:line="240" w:lineRule="exact"/>
              <w:jc w:val="center"/>
              <w:rPr>
                <w:rFonts w:ascii="Tahoma" w:hAnsi="Tahoma" w:cs="Tahoma"/>
                <w:b/>
                <w:color w:val="000000"/>
              </w:rPr>
            </w:pPr>
            <w:r w:rsidRPr="00820633">
              <w:rPr>
                <w:rFonts w:ascii="Tahoma" w:hAnsi="Tahoma" w:cs="Tahoma"/>
                <w:b/>
                <w:color w:val="000000"/>
              </w:rPr>
              <w:t>Data de Pagamento da Remuneração</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até 06 de novembro de 2020</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2</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2020</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3</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2021</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4</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2021</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2022</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6</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2022</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7</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2023</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8</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2023</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9</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2024</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lastRenderedPageBreak/>
              <w:t>10</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2024</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11</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2025</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Data de Vencimento das Debêntures</w:t>
            </w:r>
          </w:p>
        </w:tc>
      </w:tr>
    </w:tbl>
    <w:p w:rsidR="00820633" w:rsidRPr="00E36C37" w:rsidRDefault="00820633" w:rsidP="00820633">
      <w:pPr>
        <w:pStyle w:val="PargrafodaLista"/>
        <w:tabs>
          <w:tab w:val="left" w:pos="1134"/>
        </w:tabs>
        <w:spacing w:after="240" w:line="320" w:lineRule="exact"/>
        <w:ind w:left="0"/>
        <w:contextualSpacing w:val="0"/>
        <w:jc w:val="both"/>
        <w:rPr>
          <w:rFonts w:ascii="Tahoma" w:hAnsi="Tahoma" w:cs="Tahoma"/>
        </w:rPr>
      </w:pP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rsidTr="00693E7A">
        <w:tc>
          <w:tcPr>
            <w:tcW w:w="4225" w:type="dxa"/>
            <w:vAlign w:val="center"/>
          </w:tcPr>
          <w:p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rsidTr="00693E7A">
        <w:tc>
          <w:tcPr>
            <w:tcW w:w="4225" w:type="dxa"/>
            <w:vAlign w:val="center"/>
          </w:tcPr>
          <w:p w:rsidR="00A33B9E" w:rsidRPr="00E36C37" w:rsidRDefault="00A03DBE" w:rsidP="00B410A5">
            <w:pPr>
              <w:spacing w:after="0" w:line="240" w:lineRule="auto"/>
              <w:jc w:val="center"/>
              <w:rPr>
                <w:rFonts w:ascii="Tahoma" w:hAnsi="Tahoma" w:cs="Tahoma"/>
              </w:rPr>
            </w:pPr>
            <w:r w:rsidRPr="00E36C37">
              <w:rPr>
                <w:rFonts w:ascii="Tahoma" w:hAnsi="Tahoma" w:cs="Tahoma"/>
              </w:rPr>
              <w:t>09 de dezembro</w:t>
            </w:r>
            <w:r w:rsidR="00A33B9E" w:rsidRPr="00E36C37">
              <w:rPr>
                <w:rFonts w:ascii="Tahoma" w:hAnsi="Tahoma" w:cs="Tahoma"/>
              </w:rPr>
              <w:t xml:space="preserve"> de 2021</w:t>
            </w:r>
          </w:p>
        </w:tc>
        <w:tc>
          <w:tcPr>
            <w:tcW w:w="4083" w:type="dxa"/>
            <w:vAlign w:val="center"/>
          </w:tcPr>
          <w:p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 (</w:t>
            </w:r>
            <w:r w:rsidRPr="00E36C37">
              <w:rPr>
                <w:rFonts w:ascii="Tahoma" w:hAnsi="Tahoma" w:cs="Tahoma"/>
              </w:rPr>
              <w:t>vinte</w:t>
            </w:r>
            <w:r w:rsidR="00A33B9E" w:rsidRPr="00E36C37">
              <w:rPr>
                <w:rFonts w:ascii="Tahoma" w:hAnsi="Tahoma" w:cs="Tahoma"/>
              </w:rPr>
              <w:t xml:space="preserve"> por cento)</w:t>
            </w:r>
          </w:p>
        </w:tc>
      </w:tr>
      <w:tr w:rsidR="00A10BF8" w:rsidRPr="00E36C37" w:rsidTr="00D82392">
        <w:tc>
          <w:tcPr>
            <w:tcW w:w="4225" w:type="dxa"/>
            <w:vAlign w:val="center"/>
          </w:tcPr>
          <w:p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rsidTr="00D82392">
        <w:tc>
          <w:tcPr>
            <w:tcW w:w="4225" w:type="dxa"/>
            <w:vAlign w:val="center"/>
          </w:tcPr>
          <w:p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rsidTr="00D82392">
        <w:tc>
          <w:tcPr>
            <w:tcW w:w="4225" w:type="dxa"/>
            <w:vAlign w:val="center"/>
          </w:tcPr>
          <w:p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rsidTr="00D82392">
        <w:tc>
          <w:tcPr>
            <w:tcW w:w="4225" w:type="dxa"/>
            <w:vAlign w:val="center"/>
          </w:tcPr>
          <w:p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rsidR="00A33B9E" w:rsidRPr="00E36C37" w:rsidRDefault="00A33B9E" w:rsidP="00A33B9E">
      <w:pPr>
        <w:spacing w:after="240" w:line="320" w:lineRule="exact"/>
        <w:jc w:val="both"/>
        <w:rPr>
          <w:rFonts w:ascii="Tahoma" w:hAnsi="Tahoma" w:cs="Tahoma"/>
        </w:rPr>
      </w:pP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 na Escritura de Emissão 6ª Emissão AGPAR (conforme definido no Contrato), conforme aplicável, e todas as referências a quaisquer contratos ou documentos significam uma referência a tais instrumentos tais como aditados, modificados e que estejam em vigor.</w:t>
      </w:r>
    </w:p>
    <w:p w:rsidR="0090340D" w:rsidRPr="00E36C37" w:rsidRDefault="0090340D" w:rsidP="0090340D">
      <w:pPr>
        <w:spacing w:after="240" w:line="320" w:lineRule="exact"/>
        <w:jc w:val="both"/>
        <w:rPr>
          <w:rFonts w:ascii="Tahoma" w:hAnsi="Tahoma" w:cs="Tahoma"/>
        </w:rPr>
      </w:pPr>
      <w:r w:rsidRPr="00E36C37">
        <w:rPr>
          <w:rFonts w:ascii="Tahoma" w:hAnsi="Tahoma" w:cs="Tahoma"/>
        </w:rPr>
        <w:t xml:space="preserve">As demais características das Obrigações Garantidas indicadas neste item I estão descritas na Escritura de Emissão 6ª Emissão AGPAR. A descrição ora oferecida visa </w:t>
      </w:r>
      <w:r w:rsidRPr="00E36C37">
        <w:rPr>
          <w:rFonts w:ascii="Tahoma" w:hAnsi="Tahoma" w:cs="Tahoma"/>
        </w:rPr>
        <w:lastRenderedPageBreak/>
        <w:t>meramente a atender critérios legais e não restringe de qualquer forma os direitos dos Debenturistas 6ª Emissão AGPAR, representados pelo Agente Fiduciário.</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Pr="00E36C37">
        <w:rPr>
          <w:rFonts w:ascii="Tahoma" w:hAnsi="Tahoma" w:cs="Tahoma"/>
          <w:u w:val="single"/>
        </w:rPr>
        <w:t>Valor Total da Emissão</w:t>
      </w:r>
      <w:r w:rsidRPr="00E36C37">
        <w:rPr>
          <w:rFonts w:ascii="Tahoma" w:hAnsi="Tahoma" w:cs="Tahoma"/>
        </w:rPr>
        <w:t>”).</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Pr="00E36C37">
        <w:rPr>
          <w:rFonts w:ascii="Tahoma" w:hAnsi="Tahoma" w:cs="Tahoma"/>
          <w:bCs/>
          <w:u w:val="single"/>
        </w:rPr>
        <w:t>Data de Emissão</w:t>
      </w:r>
      <w:r w:rsidRPr="00E36C37">
        <w:rPr>
          <w:rFonts w:ascii="Tahoma" w:hAnsi="Tahoma" w:cs="Tahoma"/>
          <w:bCs/>
        </w:rPr>
        <w:t>”)</w:t>
      </w:r>
      <w:r w:rsidRPr="00E36C37">
        <w:rPr>
          <w:rFonts w:ascii="Tahoma" w:hAnsi="Tahoma" w:cs="Tahoma"/>
        </w:rPr>
        <w:t>.</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será de R$1.000,00 (um mil reais), na Data de Emissão.</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4"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incidirão juros remuneratórios correspondentes a 100% (cento por cento) da variação acumulada das taxas médias diárias dos DI – Depósitos Interfinanceiros de um dia, "</w:t>
      </w:r>
      <w:r w:rsidR="00A03DBE" w:rsidRPr="00E36C37">
        <w:rPr>
          <w:rFonts w:ascii="Tahoma" w:hAnsi="Tahoma" w:cs="Tahoma"/>
          <w:i/>
        </w:rPr>
        <w:t xml:space="preserve">over </w:t>
      </w:r>
      <w:proofErr w:type="spellStart"/>
      <w:r w:rsidR="00A03DBE" w:rsidRPr="00E36C37">
        <w:rPr>
          <w:rFonts w:ascii="Tahoma" w:hAnsi="Tahoma" w:cs="Tahoma"/>
          <w:i/>
        </w:rPr>
        <w:t>extra-grupo</w:t>
      </w:r>
      <w:proofErr w:type="spellEnd"/>
      <w:r w:rsidR="00A03DBE" w:rsidRPr="00E36C37">
        <w:rPr>
          <w:rFonts w:ascii="Tahoma" w:hAnsi="Tahoma" w:cs="Tahoma"/>
        </w:rPr>
        <w:t>", expressas na forma percentual ao ano, base 252 (duzentos e cinquenta e dois) Dias Úteis, calculadas e divulgadas diariamente pela B3 S.A. – Brasil, Bolsa, Balcão (“</w:t>
      </w:r>
      <w:r w:rsidR="00A03DBE" w:rsidRPr="00E36C37">
        <w:rPr>
          <w:rFonts w:ascii="Tahoma" w:hAnsi="Tahoma" w:cs="Tahoma"/>
          <w:u w:val="single"/>
        </w:rPr>
        <w:t>B3</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A03DBE" w:rsidRPr="00E36C37">
        <w:rPr>
          <w:rFonts w:ascii="Tahoma" w:hAnsi="Tahoma" w:cs="Tahoma"/>
          <w:u w:val="single"/>
        </w:rPr>
        <w:t>Taxa DI</w:t>
      </w:r>
      <w:r w:rsidR="00A03DBE" w:rsidRPr="00E36C37">
        <w:rPr>
          <w:rFonts w:ascii="Tahoma" w:hAnsi="Tahoma" w:cs="Tahoma"/>
        </w:rPr>
        <w:t xml:space="preserve">”), acrescida exponencialmente de sobretaxa </w:t>
      </w:r>
      <w:bookmarkEnd w:id="4"/>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A03DBE" w:rsidRPr="00E36C37">
        <w:rPr>
          <w:rFonts w:ascii="Tahoma" w:hAnsi="Tahoma" w:cs="Tahoma"/>
          <w:bCs/>
          <w:u w:val="single"/>
        </w:rPr>
        <w:t>Spread</w:t>
      </w:r>
      <w:r w:rsidR="00A03DBE" w:rsidRPr="00E36C37">
        <w:rPr>
          <w:rFonts w:ascii="Tahoma" w:hAnsi="Tahoma" w:cs="Tahoma"/>
          <w:bCs/>
        </w:rPr>
        <w:t>” e, em conjunto com a Taxa DI, “</w:t>
      </w:r>
      <w:r w:rsidR="00A03DBE" w:rsidRPr="00E36C37">
        <w:rPr>
          <w:rFonts w:ascii="Tahoma" w:hAnsi="Tahoma" w:cs="Tahoma"/>
          <w:bCs/>
          <w:u w:val="single"/>
        </w:rPr>
        <w:t>Remuneração DI</w:t>
      </w:r>
      <w:r w:rsidR="00A03DBE" w:rsidRPr="00E36C37">
        <w:rPr>
          <w:rFonts w:ascii="Tahoma" w:hAnsi="Tahoma" w:cs="Tahoma"/>
          <w:bCs/>
        </w:rPr>
        <w:t xml:space="preserve">”), calculados de forma exponencial e cumulativa, </w:t>
      </w:r>
      <w:r w:rsidR="00A03DBE" w:rsidRPr="00E36C37">
        <w:rPr>
          <w:rFonts w:ascii="Tahoma" w:hAnsi="Tahoma" w:cs="Tahoma"/>
          <w:i/>
        </w:rPr>
        <w:t xml:space="preserve">pro rata </w:t>
      </w:r>
      <w:proofErr w:type="spellStart"/>
      <w:r w:rsidR="00A03DBE" w:rsidRPr="00E36C37">
        <w:rPr>
          <w:rFonts w:ascii="Tahoma" w:hAnsi="Tahoma" w:cs="Tahoma"/>
          <w:i/>
        </w:rPr>
        <w:t>temporis</w:t>
      </w:r>
      <w:proofErr w:type="spellEnd"/>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rsidR="00A03DBE" w:rsidRPr="00E36C37"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xml:space="preserve"> o Valor de Referência das Ações (“</w:t>
      </w:r>
      <w:r w:rsidRPr="00E36C37">
        <w:rPr>
          <w:rFonts w:ascii="Tahoma" w:hAnsi="Tahoma" w:cs="Tahoma"/>
          <w:u w:val="single"/>
        </w:rPr>
        <w:t>Remuneração Variável</w:t>
      </w:r>
      <w:r w:rsidRPr="00E36C37">
        <w:rPr>
          <w:rFonts w:ascii="Tahoma" w:hAnsi="Tahoma" w:cs="Tahoma"/>
        </w:rPr>
        <w:t>” e, em conjunto com a Remuneração DI, “</w:t>
      </w:r>
      <w:r w:rsidRPr="00E36C37">
        <w:rPr>
          <w:rFonts w:ascii="Tahoma" w:hAnsi="Tahoma" w:cs="Tahoma"/>
          <w:u w:val="single"/>
        </w:rPr>
        <w:t>Remuneração</w:t>
      </w:r>
      <w:r w:rsidRPr="00E36C37">
        <w:rPr>
          <w:rFonts w:ascii="Tahoma" w:hAnsi="Tahoma" w:cs="Tahoma"/>
        </w:rPr>
        <w:t>”), conforme apurada em cada uma das Datas de Verificação</w:t>
      </w:r>
      <w:r w:rsidR="00333FBC" w:rsidRPr="00E36C37">
        <w:rPr>
          <w:rFonts w:ascii="Tahoma" w:hAnsi="Tahoma" w:cs="Tahoma"/>
        </w:rPr>
        <w:t>, nos termos e definições previstas nas Cláusulas 5.20.2 a 5.20.9 da Escritura de Emissão 6ª Emissão AGPAR.</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Pr="00E36C37">
        <w:rPr>
          <w:rFonts w:ascii="Tahoma" w:hAnsi="Tahoma" w:cs="Tahoma"/>
          <w:u w:val="single"/>
        </w:rPr>
        <w:t>Data de Vencimento</w:t>
      </w:r>
      <w:r w:rsidRPr="00E36C37">
        <w:rPr>
          <w:rFonts w:ascii="Tahoma" w:hAnsi="Tahoma" w:cs="Tahoma"/>
        </w:rPr>
        <w:t>”), ressalvadas as hipóteses de vencimento antecipado e de resgate antecipado previstas na Escritura de Emissão.</w:t>
      </w:r>
    </w:p>
    <w:p w:rsidR="00820633" w:rsidRPr="00820633" w:rsidRDefault="00A33B9E" w:rsidP="00820633">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820633">
        <w:rPr>
          <w:rFonts w:ascii="Tahoma" w:hAnsi="Tahoma" w:cs="Tahoma"/>
          <w:b/>
        </w:rPr>
        <w:t>Pagamento da Remuneração:</w:t>
      </w:r>
      <w:r w:rsidRPr="00820633">
        <w:rPr>
          <w:rFonts w:ascii="Tahoma" w:hAnsi="Tahoma" w:cs="Tahoma"/>
        </w:rPr>
        <w:t xml:space="preserve"> </w:t>
      </w:r>
      <w:r w:rsidR="00820633" w:rsidRPr="00E36C37">
        <w:rPr>
          <w:rFonts w:ascii="Tahoma" w:hAnsi="Tahoma" w:cs="Tahoma"/>
        </w:rPr>
        <w:t xml:space="preserve">Ressalvadas as hipóteses de vencimento antecipado e/ou resgate antecipado das obrigações decorrentes das Debêntures, conforme os termos previstos na Escritura de Emissão, os valores relativos à Remuneração deverão ser pagos </w:t>
      </w:r>
      <w:r w:rsidR="00820633">
        <w:rPr>
          <w:rFonts w:ascii="Tahoma" w:hAnsi="Tahoma" w:cs="Tahoma"/>
        </w:rPr>
        <w:t>nas seguintes datas</w:t>
      </w:r>
      <w:r w:rsidR="00820633" w:rsidRPr="00E36C37">
        <w:rPr>
          <w:rFonts w:ascii="Tahoma" w:hAnsi="Tahoma" w:cs="Tahoma"/>
          <w:bCs/>
        </w:rPr>
        <w:t xml:space="preserve"> (cada uma, uma “</w:t>
      </w:r>
      <w:r w:rsidR="00820633" w:rsidRPr="00E36C37">
        <w:rPr>
          <w:rFonts w:ascii="Tahoma" w:hAnsi="Tahoma" w:cs="Tahoma"/>
          <w:bCs/>
          <w:u w:val="single"/>
        </w:rPr>
        <w:t>Data de Pagamento da Remuneração</w:t>
      </w:r>
      <w:r w:rsidR="00820633" w:rsidRPr="00E36C37">
        <w:rPr>
          <w:rFonts w:ascii="Tahoma" w:hAnsi="Tahoma" w:cs="Tahoma"/>
          <w:bCs/>
        </w:rPr>
        <w:t>”)</w:t>
      </w:r>
      <w:r w:rsidR="00820633">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20633" w:rsidRPr="00820633" w:rsidRDefault="00820633" w:rsidP="00E8518C">
            <w:pPr>
              <w:autoSpaceDE w:val="0"/>
              <w:autoSpaceDN w:val="0"/>
              <w:adjustRightInd w:val="0"/>
              <w:spacing w:line="240" w:lineRule="exact"/>
              <w:jc w:val="center"/>
              <w:rPr>
                <w:rFonts w:ascii="Tahoma" w:hAnsi="Tahoma" w:cs="Tahoma"/>
                <w:b/>
                <w:color w:val="000000"/>
              </w:rPr>
            </w:pPr>
            <w:r w:rsidRPr="00820633">
              <w:rPr>
                <w:rFonts w:ascii="Tahoma" w:hAnsi="Tahoma" w:cs="Tahoma"/>
                <w:b/>
                <w:color w:val="000000"/>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820633" w:rsidRPr="00820633" w:rsidRDefault="00820633" w:rsidP="00E8518C">
            <w:pPr>
              <w:autoSpaceDE w:val="0"/>
              <w:autoSpaceDN w:val="0"/>
              <w:adjustRightInd w:val="0"/>
              <w:spacing w:line="240" w:lineRule="exact"/>
              <w:jc w:val="center"/>
              <w:rPr>
                <w:rFonts w:ascii="Tahoma" w:hAnsi="Tahoma" w:cs="Tahoma"/>
                <w:b/>
                <w:color w:val="000000"/>
              </w:rPr>
            </w:pPr>
            <w:r w:rsidRPr="00820633">
              <w:rPr>
                <w:rFonts w:ascii="Tahoma" w:hAnsi="Tahoma" w:cs="Tahoma"/>
                <w:b/>
                <w:color w:val="000000"/>
              </w:rPr>
              <w:t>Data de Pagamento da Remuneração</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até 06 de novembro de 2020</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2</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2020</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3</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2021</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4</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2021</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2022</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6</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2022</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7</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2023</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8</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2023</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9</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2024</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10</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dezembro de 2024</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11</w:t>
            </w:r>
          </w:p>
        </w:tc>
        <w:tc>
          <w:tcPr>
            <w:tcW w:w="4590"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09 de junho de 2025</w:t>
            </w:r>
          </w:p>
        </w:tc>
      </w:tr>
      <w:tr w:rsidR="00820633" w:rsidRPr="009A7EE8" w:rsidTr="00E8518C">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rsidR="00820633" w:rsidRPr="00820633" w:rsidRDefault="00820633" w:rsidP="00E8518C">
            <w:pPr>
              <w:autoSpaceDE w:val="0"/>
              <w:autoSpaceDN w:val="0"/>
              <w:adjustRightInd w:val="0"/>
              <w:spacing w:line="240" w:lineRule="exact"/>
              <w:jc w:val="center"/>
              <w:rPr>
                <w:rFonts w:ascii="Tahoma" w:hAnsi="Tahoma" w:cs="Tahoma"/>
                <w:color w:val="000000"/>
              </w:rPr>
            </w:pPr>
            <w:r w:rsidRPr="00820633">
              <w:rPr>
                <w:rFonts w:ascii="Tahoma" w:hAnsi="Tahoma" w:cs="Tahoma"/>
                <w:color w:val="000000"/>
              </w:rPr>
              <w:t>Data de Vencimento das Debêntures</w:t>
            </w:r>
          </w:p>
        </w:tc>
      </w:tr>
    </w:tbl>
    <w:p w:rsidR="00820633" w:rsidRPr="00820633" w:rsidRDefault="00820633" w:rsidP="00820633">
      <w:pPr>
        <w:pStyle w:val="PargrafodaLista"/>
        <w:tabs>
          <w:tab w:val="left" w:pos="1134"/>
        </w:tabs>
        <w:spacing w:after="240" w:line="320" w:lineRule="exact"/>
        <w:ind w:left="0"/>
        <w:contextualSpacing w:val="0"/>
        <w:jc w:val="both"/>
        <w:rPr>
          <w:rFonts w:ascii="Tahoma" w:hAnsi="Tahoma" w:cs="Tahoma"/>
        </w:rPr>
      </w:pPr>
    </w:p>
    <w:p w:rsidR="00A33B9E" w:rsidRPr="00820633" w:rsidRDefault="00A33B9E" w:rsidP="00AE4A7F">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820633">
        <w:rPr>
          <w:rFonts w:ascii="Tahoma" w:hAnsi="Tahoma" w:cs="Tahoma"/>
          <w:b/>
        </w:rPr>
        <w:t>Pagamento do Principal:</w:t>
      </w:r>
      <w:r w:rsidRPr="00820633">
        <w:rPr>
          <w:rFonts w:ascii="Tahoma" w:hAnsi="Tahoma" w:cs="Tahoma"/>
        </w:rPr>
        <w:t xml:space="preserve"> o Valor Nominal Unitário ou o Valor Nominal Unitário Atualizado das Debêntures será pago em 5 (cinco) parcelas anuais, nas datas e percentuais indicad</w:t>
      </w:r>
      <w:r w:rsidR="00E55D52">
        <w:rPr>
          <w:rFonts w:ascii="Tahoma" w:hAnsi="Tahoma" w:cs="Tahoma"/>
        </w:rPr>
        <w:t>o</w:t>
      </w:r>
      <w:r w:rsidRPr="00820633">
        <w:rPr>
          <w:rFonts w:ascii="Tahoma" w:hAnsi="Tahoma" w:cs="Tahoma"/>
        </w:rPr>
        <w:t xml:space="preserve">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rsidTr="00A7673D">
        <w:tc>
          <w:tcPr>
            <w:tcW w:w="3020" w:type="dxa"/>
          </w:tcPr>
          <w:p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rsidTr="00693E7A">
        <w:tc>
          <w:tcPr>
            <w:tcW w:w="3020" w:type="dxa"/>
          </w:tcPr>
          <w:p w:rsidR="0048377E" w:rsidRPr="00E36C37" w:rsidRDefault="00333FBC" w:rsidP="00F824D7">
            <w:pPr>
              <w:spacing w:after="0" w:line="240" w:lineRule="auto"/>
              <w:jc w:val="center"/>
              <w:rPr>
                <w:rFonts w:ascii="Tahoma" w:hAnsi="Tahoma" w:cs="Tahoma"/>
              </w:rPr>
            </w:pPr>
            <w:r w:rsidRPr="00E36C37">
              <w:rPr>
                <w:rFonts w:ascii="Tahoma" w:hAnsi="Tahoma" w:cs="Tahoma"/>
              </w:rPr>
              <w:t>09</w:t>
            </w:r>
            <w:r w:rsidR="0048377E" w:rsidRPr="00E36C37">
              <w:rPr>
                <w:rFonts w:ascii="Tahoma" w:hAnsi="Tahoma" w:cs="Tahoma"/>
              </w:rPr>
              <w:t xml:space="preserve"> de </w:t>
            </w:r>
            <w:r w:rsidRPr="00E36C37">
              <w:rPr>
                <w:rFonts w:ascii="Tahoma" w:hAnsi="Tahoma" w:cs="Tahoma"/>
              </w:rPr>
              <w:t>dezembro</w:t>
            </w:r>
            <w:r w:rsidR="0048377E" w:rsidRPr="00E36C37">
              <w:rPr>
                <w:rFonts w:ascii="Tahoma" w:hAnsi="Tahoma" w:cs="Tahoma"/>
              </w:rPr>
              <w:t xml:space="preserve"> de 2021</w:t>
            </w:r>
          </w:p>
        </w:tc>
        <w:tc>
          <w:tcPr>
            <w:tcW w:w="5288" w:type="dxa"/>
            <w:vAlign w:val="center"/>
          </w:tcPr>
          <w:p w:rsidR="0048377E" w:rsidRPr="00E36C37" w:rsidRDefault="0048377E" w:rsidP="00F824D7">
            <w:pPr>
              <w:spacing w:after="0" w:line="240" w:lineRule="auto"/>
              <w:jc w:val="center"/>
              <w:rPr>
                <w:rFonts w:ascii="Tahoma" w:hAnsi="Tahoma" w:cs="Tahoma"/>
              </w:rPr>
            </w:pPr>
            <w:r w:rsidRPr="00E36C37">
              <w:rPr>
                <w:rFonts w:ascii="Tahoma" w:hAnsi="Tahoma" w:cs="Tahoma"/>
              </w:rPr>
              <w:t>20,0000% (vinte por cento)</w:t>
            </w:r>
          </w:p>
        </w:tc>
      </w:tr>
      <w:tr w:rsidR="00A10BF8" w:rsidRPr="00E36C37" w:rsidTr="00D82392">
        <w:tc>
          <w:tcPr>
            <w:tcW w:w="3020" w:type="dxa"/>
          </w:tcPr>
          <w:p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rsidTr="00D82392">
        <w:tc>
          <w:tcPr>
            <w:tcW w:w="3020" w:type="dxa"/>
          </w:tcPr>
          <w:p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rsidTr="00D82392">
        <w:tc>
          <w:tcPr>
            <w:tcW w:w="3020" w:type="dxa"/>
          </w:tcPr>
          <w:p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rsidTr="00D82392">
        <w:tc>
          <w:tcPr>
            <w:tcW w:w="3020"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rsidR="00A33B9E" w:rsidRPr="00E36C37" w:rsidRDefault="00A33B9E" w:rsidP="00A33B9E">
      <w:pPr>
        <w:spacing w:after="240" w:line="320" w:lineRule="exact"/>
        <w:jc w:val="both"/>
        <w:rPr>
          <w:rFonts w:ascii="Tahoma" w:hAnsi="Tahoma" w:cs="Tahoma"/>
        </w:rPr>
      </w:pP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w:t>
      </w:r>
      <w:r w:rsidRPr="00E36C37">
        <w:rPr>
          <w:rFonts w:ascii="Tahoma" w:hAnsi="Tahoma" w:cs="Tahoma"/>
        </w:rPr>
        <w:lastRenderedPageBreak/>
        <w:t xml:space="preserve">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sectPr w:rsidR="00A33B9E"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9D4" w:rsidRDefault="008979D4" w:rsidP="00147A02">
      <w:pPr>
        <w:spacing w:after="0" w:line="240" w:lineRule="auto"/>
      </w:pPr>
      <w:r>
        <w:separator/>
      </w:r>
    </w:p>
  </w:endnote>
  <w:endnote w:type="continuationSeparator" w:id="0">
    <w:p w:rsidR="008979D4" w:rsidRDefault="008979D4" w:rsidP="00147A02">
      <w:pPr>
        <w:spacing w:after="0" w:line="240" w:lineRule="auto"/>
      </w:pPr>
      <w:r>
        <w:continuationSeparator/>
      </w:r>
    </w:p>
  </w:endnote>
  <w:endnote w:type="continuationNotice" w:id="1">
    <w:p w:rsidR="008979D4" w:rsidRDefault="00897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panose1 w:val="020B0603020202030204"/>
    <w:charset w:val="00"/>
    <w:family w:val="swiss"/>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6A" w:rsidRDefault="008735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6A" w:rsidRDefault="008735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6A" w:rsidRDefault="00873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9D4" w:rsidRDefault="008979D4" w:rsidP="00147A02">
      <w:pPr>
        <w:spacing w:after="0" w:line="240" w:lineRule="auto"/>
      </w:pPr>
      <w:r>
        <w:separator/>
      </w:r>
    </w:p>
  </w:footnote>
  <w:footnote w:type="continuationSeparator" w:id="0">
    <w:p w:rsidR="008979D4" w:rsidRDefault="008979D4" w:rsidP="00147A02">
      <w:pPr>
        <w:spacing w:after="0" w:line="240" w:lineRule="auto"/>
      </w:pPr>
      <w:r>
        <w:continuationSeparator/>
      </w:r>
    </w:p>
  </w:footnote>
  <w:footnote w:type="continuationNotice" w:id="1">
    <w:p w:rsidR="008979D4" w:rsidRDefault="00897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6A" w:rsidRDefault="008735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6A" w:rsidRDefault="008735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6A" w:rsidRDefault="008735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7"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9"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3"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2"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8"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7"/>
  </w:num>
  <w:num w:numId="2">
    <w:abstractNumId w:val="33"/>
  </w:num>
  <w:num w:numId="3">
    <w:abstractNumId w:val="40"/>
  </w:num>
  <w:num w:numId="4">
    <w:abstractNumId w:val="46"/>
  </w:num>
  <w:num w:numId="5">
    <w:abstractNumId w:val="43"/>
  </w:num>
  <w:num w:numId="6">
    <w:abstractNumId w:val="9"/>
  </w:num>
  <w:num w:numId="7">
    <w:abstractNumId w:val="8"/>
  </w:num>
  <w:num w:numId="8">
    <w:abstractNumId w:val="18"/>
  </w:num>
  <w:num w:numId="9">
    <w:abstractNumId w:val="55"/>
  </w:num>
  <w:num w:numId="10">
    <w:abstractNumId w:val="16"/>
  </w:num>
  <w:num w:numId="11">
    <w:abstractNumId w:val="21"/>
  </w:num>
  <w:num w:numId="12">
    <w:abstractNumId w:val="10"/>
  </w:num>
  <w:num w:numId="13">
    <w:abstractNumId w:val="30"/>
  </w:num>
  <w:num w:numId="14">
    <w:abstractNumId w:val="0"/>
  </w:num>
  <w:num w:numId="15">
    <w:abstractNumId w:val="3"/>
  </w:num>
  <w:num w:numId="16">
    <w:abstractNumId w:val="2"/>
  </w:num>
  <w:num w:numId="17">
    <w:abstractNumId w:val="4"/>
  </w:num>
  <w:num w:numId="18">
    <w:abstractNumId w:val="49"/>
  </w:num>
  <w:num w:numId="19">
    <w:abstractNumId w:val="53"/>
  </w:num>
  <w:num w:numId="20">
    <w:abstractNumId w:val="28"/>
  </w:num>
  <w:num w:numId="21">
    <w:abstractNumId w:val="23"/>
  </w:num>
  <w:num w:numId="22">
    <w:abstractNumId w:val="13"/>
  </w:num>
  <w:num w:numId="23">
    <w:abstractNumId w:val="44"/>
  </w:num>
  <w:num w:numId="24">
    <w:abstractNumId w:val="22"/>
  </w:num>
  <w:num w:numId="25">
    <w:abstractNumId w:val="34"/>
  </w:num>
  <w:num w:numId="26">
    <w:abstractNumId w:val="29"/>
  </w:num>
  <w:num w:numId="27">
    <w:abstractNumId w:val="15"/>
  </w:num>
  <w:num w:numId="28">
    <w:abstractNumId w:val="7"/>
  </w:num>
  <w:num w:numId="29">
    <w:abstractNumId w:val="57"/>
  </w:num>
  <w:num w:numId="30">
    <w:abstractNumId w:val="17"/>
  </w:num>
  <w:num w:numId="31">
    <w:abstractNumId w:val="54"/>
  </w:num>
  <w:num w:numId="32">
    <w:abstractNumId w:val="24"/>
  </w:num>
  <w:num w:numId="33">
    <w:abstractNumId w:val="41"/>
  </w:num>
  <w:num w:numId="34">
    <w:abstractNumId w:val="45"/>
  </w:num>
  <w:num w:numId="35">
    <w:abstractNumId w:val="48"/>
  </w:num>
  <w:num w:numId="36">
    <w:abstractNumId w:val="19"/>
  </w:num>
  <w:num w:numId="37">
    <w:abstractNumId w:val="12"/>
  </w:num>
  <w:num w:numId="38">
    <w:abstractNumId w:val="5"/>
  </w:num>
  <w:num w:numId="39">
    <w:abstractNumId w:val="20"/>
  </w:num>
  <w:num w:numId="40">
    <w:abstractNumId w:val="11"/>
  </w:num>
  <w:num w:numId="41">
    <w:abstractNumId w:val="25"/>
  </w:num>
  <w:num w:numId="42">
    <w:abstractNumId w:val="26"/>
  </w:num>
  <w:num w:numId="43">
    <w:abstractNumId w:val="51"/>
  </w:num>
  <w:num w:numId="44">
    <w:abstractNumId w:val="38"/>
  </w:num>
  <w:num w:numId="45">
    <w:abstractNumId w:val="36"/>
  </w:num>
  <w:num w:numId="46">
    <w:abstractNumId w:val="39"/>
  </w:num>
  <w:num w:numId="47">
    <w:abstractNumId w:val="27"/>
  </w:num>
  <w:num w:numId="48">
    <w:abstractNumId w:val="31"/>
  </w:num>
  <w:num w:numId="49">
    <w:abstractNumId w:val="52"/>
  </w:num>
  <w:num w:numId="50">
    <w:abstractNumId w:val="14"/>
  </w:num>
  <w:num w:numId="51">
    <w:abstractNumId w:val="5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7"/>
  </w:num>
  <w:num w:numId="55">
    <w:abstractNumId w:val="32"/>
  </w:num>
  <w:num w:numId="56">
    <w:abstractNumId w:val="50"/>
  </w:num>
  <w:num w:numId="57">
    <w:abstractNumId w:val="1"/>
  </w:num>
  <w:num w:numId="58">
    <w:abstractNumId w:val="6"/>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370DF"/>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349C"/>
    <w:rsid w:val="000D021B"/>
    <w:rsid w:val="000D374D"/>
    <w:rsid w:val="000D3DBB"/>
    <w:rsid w:val="000D471B"/>
    <w:rsid w:val="000D5CE5"/>
    <w:rsid w:val="000D7924"/>
    <w:rsid w:val="000E6A2B"/>
    <w:rsid w:val="000E6B20"/>
    <w:rsid w:val="000F1673"/>
    <w:rsid w:val="00106C42"/>
    <w:rsid w:val="00107E5D"/>
    <w:rsid w:val="001152AC"/>
    <w:rsid w:val="00116D55"/>
    <w:rsid w:val="001178C2"/>
    <w:rsid w:val="00120A15"/>
    <w:rsid w:val="001339BB"/>
    <w:rsid w:val="001365E4"/>
    <w:rsid w:val="00146B2A"/>
    <w:rsid w:val="001471F7"/>
    <w:rsid w:val="00147A02"/>
    <w:rsid w:val="00154AEA"/>
    <w:rsid w:val="00162F00"/>
    <w:rsid w:val="001758A8"/>
    <w:rsid w:val="001950E9"/>
    <w:rsid w:val="00195333"/>
    <w:rsid w:val="001A3C05"/>
    <w:rsid w:val="001C4C3C"/>
    <w:rsid w:val="001C4C5D"/>
    <w:rsid w:val="001C76B6"/>
    <w:rsid w:val="001D58D7"/>
    <w:rsid w:val="001D798B"/>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B5230"/>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6999"/>
    <w:rsid w:val="00327598"/>
    <w:rsid w:val="00330F44"/>
    <w:rsid w:val="00333FBC"/>
    <w:rsid w:val="00334445"/>
    <w:rsid w:val="003353E3"/>
    <w:rsid w:val="00340B01"/>
    <w:rsid w:val="003427F0"/>
    <w:rsid w:val="0034458B"/>
    <w:rsid w:val="00346184"/>
    <w:rsid w:val="00351DAC"/>
    <w:rsid w:val="003623B5"/>
    <w:rsid w:val="003633F1"/>
    <w:rsid w:val="003764F8"/>
    <w:rsid w:val="0038255D"/>
    <w:rsid w:val="0038734A"/>
    <w:rsid w:val="00391333"/>
    <w:rsid w:val="00391B67"/>
    <w:rsid w:val="003943C1"/>
    <w:rsid w:val="003958EF"/>
    <w:rsid w:val="003970F2"/>
    <w:rsid w:val="003B5292"/>
    <w:rsid w:val="003B52E9"/>
    <w:rsid w:val="003B5383"/>
    <w:rsid w:val="003C1BA3"/>
    <w:rsid w:val="003D2CFD"/>
    <w:rsid w:val="003E0E29"/>
    <w:rsid w:val="003E4F3D"/>
    <w:rsid w:val="003E7761"/>
    <w:rsid w:val="003F3FF0"/>
    <w:rsid w:val="003F699A"/>
    <w:rsid w:val="00403451"/>
    <w:rsid w:val="00407647"/>
    <w:rsid w:val="004136F3"/>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5D79"/>
    <w:rsid w:val="004C6F8E"/>
    <w:rsid w:val="004D2E37"/>
    <w:rsid w:val="004D320A"/>
    <w:rsid w:val="004D6F58"/>
    <w:rsid w:val="004E4E22"/>
    <w:rsid w:val="004E66E1"/>
    <w:rsid w:val="004E7F05"/>
    <w:rsid w:val="004F055B"/>
    <w:rsid w:val="004F1DBA"/>
    <w:rsid w:val="004F698F"/>
    <w:rsid w:val="00506D0C"/>
    <w:rsid w:val="005078BF"/>
    <w:rsid w:val="005120D5"/>
    <w:rsid w:val="00543598"/>
    <w:rsid w:val="00566CE0"/>
    <w:rsid w:val="00574D0C"/>
    <w:rsid w:val="00587246"/>
    <w:rsid w:val="0059518C"/>
    <w:rsid w:val="005A52FF"/>
    <w:rsid w:val="005A58AE"/>
    <w:rsid w:val="005A6ED5"/>
    <w:rsid w:val="005B2AE5"/>
    <w:rsid w:val="005B5556"/>
    <w:rsid w:val="005B6CFE"/>
    <w:rsid w:val="005C033E"/>
    <w:rsid w:val="005C3FBC"/>
    <w:rsid w:val="005D0E8D"/>
    <w:rsid w:val="005D3DFF"/>
    <w:rsid w:val="005D62A5"/>
    <w:rsid w:val="005D79A5"/>
    <w:rsid w:val="005E313B"/>
    <w:rsid w:val="005E5D64"/>
    <w:rsid w:val="005E7ED4"/>
    <w:rsid w:val="005F20E6"/>
    <w:rsid w:val="006059ED"/>
    <w:rsid w:val="00610518"/>
    <w:rsid w:val="00616E87"/>
    <w:rsid w:val="006210B2"/>
    <w:rsid w:val="006260F8"/>
    <w:rsid w:val="006316D0"/>
    <w:rsid w:val="00635D91"/>
    <w:rsid w:val="006472C6"/>
    <w:rsid w:val="00654299"/>
    <w:rsid w:val="006547F9"/>
    <w:rsid w:val="00664452"/>
    <w:rsid w:val="00664CD2"/>
    <w:rsid w:val="00665B93"/>
    <w:rsid w:val="00674266"/>
    <w:rsid w:val="006807FA"/>
    <w:rsid w:val="00683070"/>
    <w:rsid w:val="00690A5E"/>
    <w:rsid w:val="00690A6C"/>
    <w:rsid w:val="00693E7A"/>
    <w:rsid w:val="00696A6D"/>
    <w:rsid w:val="006A124D"/>
    <w:rsid w:val="006A5DEA"/>
    <w:rsid w:val="006B141E"/>
    <w:rsid w:val="006B476B"/>
    <w:rsid w:val="006B7E75"/>
    <w:rsid w:val="006C0B25"/>
    <w:rsid w:val="006D7DEC"/>
    <w:rsid w:val="006E1204"/>
    <w:rsid w:val="006E133E"/>
    <w:rsid w:val="006E14F4"/>
    <w:rsid w:val="006E3770"/>
    <w:rsid w:val="006E540F"/>
    <w:rsid w:val="006F6DC8"/>
    <w:rsid w:val="00710683"/>
    <w:rsid w:val="007162A6"/>
    <w:rsid w:val="00720CF1"/>
    <w:rsid w:val="00726C4A"/>
    <w:rsid w:val="007355F8"/>
    <w:rsid w:val="00735BC2"/>
    <w:rsid w:val="007364C0"/>
    <w:rsid w:val="00751427"/>
    <w:rsid w:val="00754230"/>
    <w:rsid w:val="00756C9F"/>
    <w:rsid w:val="00761390"/>
    <w:rsid w:val="007632C3"/>
    <w:rsid w:val="0077779C"/>
    <w:rsid w:val="007823A2"/>
    <w:rsid w:val="007829AF"/>
    <w:rsid w:val="00784614"/>
    <w:rsid w:val="007860C2"/>
    <w:rsid w:val="00787877"/>
    <w:rsid w:val="00791362"/>
    <w:rsid w:val="007A1C2A"/>
    <w:rsid w:val="007A23E1"/>
    <w:rsid w:val="007A7CD8"/>
    <w:rsid w:val="007B11DC"/>
    <w:rsid w:val="007B2190"/>
    <w:rsid w:val="007C06E6"/>
    <w:rsid w:val="007C24FE"/>
    <w:rsid w:val="007C3417"/>
    <w:rsid w:val="007C4C49"/>
    <w:rsid w:val="007C5415"/>
    <w:rsid w:val="007D0D15"/>
    <w:rsid w:val="007D5423"/>
    <w:rsid w:val="007D7DF0"/>
    <w:rsid w:val="007E3902"/>
    <w:rsid w:val="007F3C74"/>
    <w:rsid w:val="00820633"/>
    <w:rsid w:val="00825414"/>
    <w:rsid w:val="00831489"/>
    <w:rsid w:val="00831860"/>
    <w:rsid w:val="008331CB"/>
    <w:rsid w:val="00833378"/>
    <w:rsid w:val="00834DD1"/>
    <w:rsid w:val="00853FA6"/>
    <w:rsid w:val="00861F09"/>
    <w:rsid w:val="008656B5"/>
    <w:rsid w:val="008660CE"/>
    <w:rsid w:val="0087356A"/>
    <w:rsid w:val="00882014"/>
    <w:rsid w:val="00891497"/>
    <w:rsid w:val="00891518"/>
    <w:rsid w:val="00896B09"/>
    <w:rsid w:val="00897380"/>
    <w:rsid w:val="008979D4"/>
    <w:rsid w:val="008A51EF"/>
    <w:rsid w:val="008B00D3"/>
    <w:rsid w:val="008B1F17"/>
    <w:rsid w:val="008B3D72"/>
    <w:rsid w:val="008B43E4"/>
    <w:rsid w:val="008B658C"/>
    <w:rsid w:val="008D6BE3"/>
    <w:rsid w:val="008E07A7"/>
    <w:rsid w:val="008E1436"/>
    <w:rsid w:val="008E536E"/>
    <w:rsid w:val="008E615E"/>
    <w:rsid w:val="008F2F5D"/>
    <w:rsid w:val="0090340D"/>
    <w:rsid w:val="009043E4"/>
    <w:rsid w:val="00906BCA"/>
    <w:rsid w:val="00906FF4"/>
    <w:rsid w:val="009108F6"/>
    <w:rsid w:val="00912B39"/>
    <w:rsid w:val="009156AB"/>
    <w:rsid w:val="00923AF4"/>
    <w:rsid w:val="00926249"/>
    <w:rsid w:val="009300F0"/>
    <w:rsid w:val="009426B9"/>
    <w:rsid w:val="00944035"/>
    <w:rsid w:val="00947565"/>
    <w:rsid w:val="00952F27"/>
    <w:rsid w:val="00963C29"/>
    <w:rsid w:val="00965CF4"/>
    <w:rsid w:val="00966D5C"/>
    <w:rsid w:val="009707BF"/>
    <w:rsid w:val="009743CE"/>
    <w:rsid w:val="00974A35"/>
    <w:rsid w:val="00980A8B"/>
    <w:rsid w:val="00985D20"/>
    <w:rsid w:val="009919E2"/>
    <w:rsid w:val="00995CC8"/>
    <w:rsid w:val="009A3357"/>
    <w:rsid w:val="009B2846"/>
    <w:rsid w:val="009C2B37"/>
    <w:rsid w:val="009D1448"/>
    <w:rsid w:val="009E03C3"/>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33B9E"/>
    <w:rsid w:val="00A371CB"/>
    <w:rsid w:val="00A37EA2"/>
    <w:rsid w:val="00A410BC"/>
    <w:rsid w:val="00A42243"/>
    <w:rsid w:val="00A459B5"/>
    <w:rsid w:val="00A51C0F"/>
    <w:rsid w:val="00A675D9"/>
    <w:rsid w:val="00A70450"/>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481D"/>
    <w:rsid w:val="00B03C03"/>
    <w:rsid w:val="00B049FE"/>
    <w:rsid w:val="00B07883"/>
    <w:rsid w:val="00B21580"/>
    <w:rsid w:val="00B2211D"/>
    <w:rsid w:val="00B24735"/>
    <w:rsid w:val="00B26D33"/>
    <w:rsid w:val="00B37469"/>
    <w:rsid w:val="00B410A5"/>
    <w:rsid w:val="00B42378"/>
    <w:rsid w:val="00B46BCE"/>
    <w:rsid w:val="00B50014"/>
    <w:rsid w:val="00B52BE7"/>
    <w:rsid w:val="00B53364"/>
    <w:rsid w:val="00B54A38"/>
    <w:rsid w:val="00B572D9"/>
    <w:rsid w:val="00B6213D"/>
    <w:rsid w:val="00B6523D"/>
    <w:rsid w:val="00B6542B"/>
    <w:rsid w:val="00B717B4"/>
    <w:rsid w:val="00B80770"/>
    <w:rsid w:val="00B82808"/>
    <w:rsid w:val="00B85E96"/>
    <w:rsid w:val="00B86C02"/>
    <w:rsid w:val="00B91FDE"/>
    <w:rsid w:val="00B9534D"/>
    <w:rsid w:val="00BA0073"/>
    <w:rsid w:val="00BA1582"/>
    <w:rsid w:val="00BA1E8A"/>
    <w:rsid w:val="00BB753C"/>
    <w:rsid w:val="00BC19D6"/>
    <w:rsid w:val="00BD1147"/>
    <w:rsid w:val="00BD45B1"/>
    <w:rsid w:val="00BD64C5"/>
    <w:rsid w:val="00BE1A77"/>
    <w:rsid w:val="00BE4159"/>
    <w:rsid w:val="00BE70B9"/>
    <w:rsid w:val="00C04888"/>
    <w:rsid w:val="00C06EE4"/>
    <w:rsid w:val="00C17304"/>
    <w:rsid w:val="00C219B5"/>
    <w:rsid w:val="00C34980"/>
    <w:rsid w:val="00C43D4C"/>
    <w:rsid w:val="00C46285"/>
    <w:rsid w:val="00C46649"/>
    <w:rsid w:val="00C561C5"/>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2DA1"/>
    <w:rsid w:val="00D644C3"/>
    <w:rsid w:val="00D666DC"/>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5EDF"/>
    <w:rsid w:val="00E07AEA"/>
    <w:rsid w:val="00E1186D"/>
    <w:rsid w:val="00E11937"/>
    <w:rsid w:val="00E15615"/>
    <w:rsid w:val="00E361B3"/>
    <w:rsid w:val="00E36C37"/>
    <w:rsid w:val="00E45E92"/>
    <w:rsid w:val="00E50877"/>
    <w:rsid w:val="00E51169"/>
    <w:rsid w:val="00E51EA2"/>
    <w:rsid w:val="00E55D52"/>
    <w:rsid w:val="00E56018"/>
    <w:rsid w:val="00E56D8B"/>
    <w:rsid w:val="00E659F1"/>
    <w:rsid w:val="00E751CF"/>
    <w:rsid w:val="00E91AF4"/>
    <w:rsid w:val="00E93D9E"/>
    <w:rsid w:val="00E94428"/>
    <w:rsid w:val="00EA0ECA"/>
    <w:rsid w:val="00EA1B24"/>
    <w:rsid w:val="00EB2726"/>
    <w:rsid w:val="00EB5248"/>
    <w:rsid w:val="00EB5EF7"/>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3486"/>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 R J ! 1 7 9 4 4 4 2 . 3 < / d o c u m e n t i d >  
     < s e n d e r i d > P E D R O < / s e n d e r i d >  
     < s e n d e r e m a i l > P V A S C O N C E L L O S @ P I N H E I R O G U I M A R A E S . C O M . B R < / s e n d e r e m a i l >  
     < l a s t m o d i f i e d > 2 0 1 9 - 1 2 - 1 8 T 1 9 : 1 8 : 0 0 . 0 0 0 0 0 0 0 - 0 3 : 0 0 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B71D-5969-468B-8941-069B4D11D8BF}">
  <ds:schemaRefs>
    <ds:schemaRef ds:uri="http://www.imanage.com/work/xmlschema"/>
  </ds:schemaRefs>
</ds:datastoreItem>
</file>

<file path=customXml/itemProps2.xml><?xml version="1.0" encoding="utf-8"?>
<ds:datastoreItem xmlns:ds="http://schemas.openxmlformats.org/officeDocument/2006/customXml" ds:itemID="{9CF37741-9F5A-479C-BFD0-0635727A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3200</Words>
  <Characters>17283</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Carlos Bacha</cp:lastModifiedBy>
  <cp:revision>4</cp:revision>
  <dcterms:created xsi:type="dcterms:W3CDTF">2020-11-04T13:37:00Z</dcterms:created>
  <dcterms:modified xsi:type="dcterms:W3CDTF">2020-11-04T14:25:00Z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RJ-1794442v2</vt:lpwstr>
  </property>
</Properties>
</file>