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48B5" w14:textId="288D1390" w:rsidR="00F0215E" w:rsidRPr="008D12A0" w:rsidRDefault="00F0215E" w:rsidP="00A653ED">
      <w:pPr>
        <w:pStyle w:val="Heading"/>
        <w:spacing w:before="140" w:after="0"/>
        <w:rPr>
          <w:bCs/>
          <w:sz w:val="20"/>
        </w:rPr>
      </w:pPr>
      <w:bookmarkStart w:id="0" w:name="_DV_M0"/>
      <w:bookmarkEnd w:id="0"/>
      <w:r w:rsidRPr="008D12A0">
        <w:rPr>
          <w:sz w:val="20"/>
        </w:rPr>
        <w:t>INSTRUMENTO PARTICULAR DE CONSTITUIÇÃO DE CESSÃO FIDUCIÁRIA DE DIREITOS CREDITÓRIOS E DIREITOS SOBRE CONTA VINCULADA EM GARANTIA E OUTRAS AVENÇAS</w:t>
      </w:r>
    </w:p>
    <w:p w14:paraId="618B03C5" w14:textId="77777777" w:rsidR="00F0215E" w:rsidRPr="008D12A0" w:rsidRDefault="00F0215E" w:rsidP="00A653ED">
      <w:pPr>
        <w:widowControl w:val="0"/>
        <w:spacing w:before="140" w:after="0" w:line="290" w:lineRule="auto"/>
        <w:rPr>
          <w:rFonts w:ascii="Arial" w:hAnsi="Arial" w:cs="Arial"/>
          <w:b/>
          <w:bCs/>
          <w:sz w:val="20"/>
          <w:lang w:eastAsia="en-GB"/>
        </w:rPr>
      </w:pP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e</w:t>
      </w:r>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223B7E39" w:rsidR="00F0215E" w:rsidRPr="008D12A0" w:rsidRDefault="00F0215E" w:rsidP="00AD4E75">
      <w:pPr>
        <w:widowControl w:val="0"/>
        <w:spacing w:before="140" w:after="0" w:line="290" w:lineRule="auto"/>
        <w:jc w:val="center"/>
        <w:rPr>
          <w:rFonts w:ascii="Arial" w:hAnsi="Arial" w:cs="Arial"/>
          <w:sz w:val="20"/>
        </w:rPr>
      </w:pPr>
      <w:r w:rsidRPr="008D12A0">
        <w:rPr>
          <w:rFonts w:ascii="Arial" w:hAnsi="Arial" w:cs="Arial"/>
          <w:sz w:val="20"/>
          <w:highlight w:val="yellow"/>
          <w:lang w:eastAsia="en-GB"/>
        </w:rPr>
        <w:t>[</w:t>
      </w:r>
      <w:r w:rsidRPr="008D12A0">
        <w:rPr>
          <w:rFonts w:ascii="Arial" w:hAnsi="Arial" w:cs="Arial"/>
          <w:sz w:val="20"/>
          <w:highlight w:val="yellow"/>
          <w:lang w:eastAsia="en-GB"/>
        </w:rPr>
        <w:sym w:font="Symbol" w:char="F0B7"/>
      </w:r>
      <w:r w:rsidRPr="008D12A0">
        <w:rPr>
          <w:rFonts w:ascii="Arial" w:hAnsi="Arial" w:cs="Arial"/>
          <w:sz w:val="20"/>
          <w:highlight w:val="yellow"/>
          <w:lang w:eastAsia="en-GB"/>
        </w:rPr>
        <w:t>]</w:t>
      </w:r>
      <w:r w:rsidRPr="008D12A0">
        <w:rPr>
          <w:rFonts w:ascii="Arial" w:hAnsi="Arial" w:cs="Arial"/>
          <w:sz w:val="20"/>
          <w:lang w:eastAsia="en-GB"/>
        </w:rPr>
        <w:t xml:space="preserve"> de </w:t>
      </w:r>
      <w:r w:rsidR="00C10C12" w:rsidRPr="008D12A0">
        <w:rPr>
          <w:rFonts w:ascii="Arial" w:hAnsi="Arial" w:cs="Arial"/>
          <w:sz w:val="20"/>
          <w:lang w:eastAsia="en-GB"/>
        </w:rPr>
        <w:t>maio</w:t>
      </w:r>
      <w:r w:rsidR="00C10C12" w:rsidRPr="008D12A0">
        <w:rPr>
          <w:rFonts w:ascii="Arial" w:hAnsi="Arial" w:cs="Arial"/>
          <w:sz w:val="20"/>
        </w:rPr>
        <w:t xml:space="preserve"> </w:t>
      </w:r>
      <w:r w:rsidRPr="008D12A0">
        <w:rPr>
          <w:rFonts w:ascii="Arial" w:hAnsi="Arial" w:cs="Arial"/>
          <w:sz w:val="20"/>
        </w:rPr>
        <w:t>de 2019</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6D0DD371"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p>
    <w:p w14:paraId="7E7DA4A9" w14:textId="77777777" w:rsidR="00FF587D" w:rsidRPr="008D12A0" w:rsidRDefault="00FF587D" w:rsidP="00A653ED">
      <w:pPr>
        <w:pStyle w:val="Body"/>
        <w:spacing w:before="140" w:after="0"/>
        <w:rPr>
          <w:b/>
          <w:caps/>
        </w:rPr>
      </w:pPr>
      <w:bookmarkStart w:id="1" w:name="_DV_M7"/>
      <w:bookmarkStart w:id="2" w:name="_Ref286048441"/>
      <w:bookmarkStart w:id="3" w:name="_Ref285649110"/>
      <w:bookmarkStart w:id="4" w:name="_Ref286086869"/>
      <w:bookmarkStart w:id="5" w:name="_Ref305574932"/>
      <w:bookmarkEnd w:id="1"/>
      <w:r w:rsidRPr="008D12A0">
        <w:rPr>
          <w:rFonts w:eastAsia="Arial Unicode MS"/>
          <w:b/>
          <w:caps/>
        </w:rPr>
        <w:t xml:space="preserve">Considerando </w:t>
      </w:r>
      <w:r w:rsidRPr="008D12A0">
        <w:rPr>
          <w:b/>
          <w:caps/>
        </w:rPr>
        <w:t xml:space="preserve">que </w:t>
      </w:r>
    </w:p>
    <w:p w14:paraId="3522EA25" w14:textId="46A7D0CE"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C10C12" w:rsidRPr="008D12A0">
        <w:rPr>
          <w:lang w:eastAsia="en-GB"/>
        </w:rPr>
        <w:t xml:space="preserve">29 </w:t>
      </w:r>
      <w:r w:rsidRPr="008D12A0">
        <w:rPr>
          <w:lang w:eastAsia="en-GB"/>
        </w:rPr>
        <w:t xml:space="preserve">de </w:t>
      </w:r>
      <w:r w:rsidR="00C10C12" w:rsidRPr="008D12A0">
        <w:rPr>
          <w:lang w:eastAsia="en-GB"/>
        </w:rPr>
        <w:t>abr</w:t>
      </w:r>
      <w:r w:rsidR="00235269">
        <w:rPr>
          <w:lang w:eastAsia="en-GB"/>
        </w:rPr>
        <w:t>i</w:t>
      </w:r>
      <w:bookmarkStart w:id="6" w:name="_GoBack"/>
      <w:bookmarkEnd w:id="6"/>
      <w:r w:rsidR="00C10C12" w:rsidRPr="008D12A0">
        <w:rPr>
          <w:lang w:eastAsia="en-GB"/>
        </w:rPr>
        <w:t xml:space="preserve">l </w:t>
      </w:r>
      <w:r w:rsidRPr="008D12A0">
        <w:rPr>
          <w:lang w:eastAsia="en-GB"/>
        </w:rPr>
        <w:t>de 2019, cuja ata será arquivada na JUCEB, e 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Pr="008D12A0">
        <w:t>Tribuna 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Pr="008D12A0">
        <w:t xml:space="preserve">1ª (primeira)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R$80.000.000,00 (oitenta 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3447E90A"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1ª (Primeira) Emissão de Debêntures Simples, Não Conversíveis em Ações, da Espécie Quirografária, com Garantia Adicional </w:t>
      </w:r>
      <w:r w:rsidR="0089383C" w:rsidRPr="008D12A0">
        <w:rPr>
          <w:i/>
        </w:rPr>
        <w:t xml:space="preserve">Real e </w:t>
      </w:r>
      <w:r w:rsidRPr="008D12A0">
        <w:rPr>
          <w:i/>
        </w:rPr>
        <w:t xml:space="preserve">Fidejussória, a ser Convolada em Espécie com Garantia Real, com Garantia Adicional </w:t>
      </w:r>
      <w:r w:rsidRPr="008D12A0">
        <w:rPr>
          <w:i/>
        </w:rPr>
        <w:lastRenderedPageBreak/>
        <w:t>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C10C12" w:rsidRPr="008D12A0">
        <w:rPr>
          <w:smallCaps/>
          <w:lang w:eastAsia="en-GB"/>
        </w:rPr>
        <w:t>29</w:t>
      </w:r>
      <w:r w:rsidRPr="008D12A0">
        <w:rPr>
          <w:smallCaps/>
          <w:lang w:eastAsia="en-GB"/>
        </w:rPr>
        <w:t xml:space="preserve"> </w:t>
      </w:r>
      <w:r w:rsidRPr="008D12A0">
        <w:rPr>
          <w:lang w:eastAsia="en-GB"/>
        </w:rPr>
        <w:t xml:space="preserve">de </w:t>
      </w:r>
      <w:r w:rsidR="00C10C12" w:rsidRPr="008D12A0">
        <w:rPr>
          <w:lang w:eastAsia="en-GB"/>
        </w:rPr>
        <w:t>abril</w:t>
      </w:r>
      <w:r w:rsidRPr="008D12A0">
        <w:rPr>
          <w:lang w:eastAsia="en-GB"/>
        </w:rPr>
        <w:t xml:space="preserve"> de 2019,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o qual será devidamente inscrito na JUCEB</w:t>
      </w:r>
      <w:r w:rsidRPr="008D12A0">
        <w:rPr>
          <w:lang w:eastAsia="en-US"/>
        </w:rPr>
        <w:t xml:space="preserve"> (</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0F8D0E31"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a totalidade d</w:t>
      </w:r>
      <w:r w:rsidRPr="008D12A0">
        <w:t xml:space="preserve">o fluxo dos Recebíveis </w:t>
      </w:r>
      <w:r w:rsidR="004C4313" w:rsidRPr="008D12A0">
        <w:t>dos Cartões</w:t>
      </w:r>
      <w:r w:rsidR="004C4313" w:rsidRPr="008D12A0" w:rsidDel="004C4313">
        <w:t xml:space="preserve"> </w:t>
      </w:r>
      <w:r w:rsidRPr="008D12A0">
        <w:t xml:space="preserve">(definidos na Cláusula </w:t>
      </w:r>
      <w:r w:rsidR="0025351B" w:rsidRPr="008D12A0">
        <w:fldChar w:fldCharType="begin"/>
      </w:r>
      <w:r w:rsidR="0025351B" w:rsidRPr="008D12A0">
        <w:instrText xml:space="preserve"> REF _Ref404611721 \r \h </w:instrText>
      </w:r>
      <w:r w:rsidR="008D12A0" w:rsidRPr="008D12A0">
        <w:instrText xml:space="preserve"> \* MERGEFORMAT </w:instrText>
      </w:r>
      <w:r w:rsidR="0025351B" w:rsidRPr="008D12A0">
        <w:fldChar w:fldCharType="separate"/>
      </w:r>
      <w:r w:rsidR="00235269">
        <w:t>1</w:t>
      </w:r>
      <w:r w:rsidR="0025351B" w:rsidRPr="008D12A0">
        <w:fldChar w:fldCharType="end"/>
      </w:r>
      <w:r w:rsidR="0025351B" w:rsidRPr="008D12A0">
        <w:t xml:space="preserve"> </w:t>
      </w:r>
      <w:r w:rsidRPr="008D12A0">
        <w:t>abaixo) que tenham transitado na Conta Vinculada</w:t>
      </w:r>
      <w:r w:rsidR="002300BC" w:rsidRPr="008D12A0">
        <w:t xml:space="preserve"> (conforme abaixo definida)</w:t>
      </w:r>
      <w:r w:rsidRPr="008D12A0">
        <w:t xml:space="preserve">, nos termos </w:t>
      </w:r>
      <w:r w:rsidR="00E6599F" w:rsidRPr="008D12A0">
        <w:t xml:space="preserve">Cláusula </w:t>
      </w:r>
      <w:r w:rsidR="00751C0C" w:rsidRPr="008D12A0">
        <w:fldChar w:fldCharType="begin"/>
      </w:r>
      <w:r w:rsidR="00751C0C" w:rsidRPr="008D12A0">
        <w:instrText xml:space="preserve"> REF _Ref285653490 \r \h </w:instrText>
      </w:r>
      <w:r w:rsidR="008D12A0" w:rsidRPr="008D12A0">
        <w:instrText xml:space="preserve"> \* MERGEFORMAT </w:instrText>
      </w:r>
      <w:r w:rsidR="00751C0C" w:rsidRPr="008D12A0">
        <w:fldChar w:fldCharType="separate"/>
      </w:r>
      <w:r w:rsidR="00235269">
        <w:t>3</w:t>
      </w:r>
      <w:r w:rsidR="00751C0C" w:rsidRPr="008D12A0">
        <w:fldChar w:fldCharType="end"/>
      </w:r>
      <w:r w:rsidR="00751C0C" w:rsidRPr="008D12A0">
        <w:t xml:space="preserve"> </w:t>
      </w:r>
      <w:r w:rsidR="000E2B60" w:rsidRPr="008D12A0">
        <w:t>abaixo</w:t>
      </w:r>
      <w:r w:rsidR="00933DBD" w:rsidRPr="008D12A0">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7" w:name="_Ref404611721"/>
      <w:r w:rsidRPr="008D12A0">
        <w:rPr>
          <w:rFonts w:cs="Arial"/>
          <w:caps/>
          <w:sz w:val="20"/>
        </w:rPr>
        <w:t>Constituição da Cessão Fiduciária</w:t>
      </w:r>
      <w:bookmarkEnd w:id="7"/>
    </w:p>
    <w:p w14:paraId="3BEF1B7F" w14:textId="79CEA4F3" w:rsidR="00FF587D" w:rsidRPr="008D12A0" w:rsidRDefault="00FF587D" w:rsidP="00A653ED">
      <w:pPr>
        <w:pStyle w:val="Level2"/>
        <w:spacing w:before="140" w:after="0"/>
        <w:rPr>
          <w:rFonts w:cs="Arial"/>
        </w:rPr>
      </w:pPr>
      <w:bookmarkStart w:id="8" w:name="_Ref167601451"/>
      <w:bookmarkStart w:id="9"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8"/>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9"/>
    </w:p>
    <w:p w14:paraId="5EFEB5B2" w14:textId="00FC7477" w:rsidR="00724C97" w:rsidRPr="008D12A0" w:rsidRDefault="00942ED4" w:rsidP="00A653ED">
      <w:pPr>
        <w:pStyle w:val="Level4"/>
        <w:tabs>
          <w:tab w:val="clear" w:pos="2041"/>
          <w:tab w:val="num" w:pos="1361"/>
        </w:tabs>
        <w:spacing w:before="140" w:after="0"/>
        <w:ind w:left="1360"/>
        <w:rPr>
          <w:rFonts w:cs="Arial"/>
          <w:b/>
          <w:highlight w:val="yellow"/>
        </w:rPr>
      </w:pPr>
      <w:bookmarkStart w:id="10" w:name="_Ref5721409"/>
      <w:bookmarkStart w:id="11" w:name="_Ref404612810"/>
      <w:r w:rsidRPr="008D12A0">
        <w:rPr>
          <w:rFonts w:cs="Arial"/>
        </w:rPr>
        <w:t xml:space="preserve">até o montante correspondente ao Percentual da Cessão Fiduciária (conforme definido abaixo), </w:t>
      </w:r>
      <w:r w:rsidR="00686AFA" w:rsidRPr="008D12A0">
        <w:rPr>
          <w:rFonts w:cs="Arial"/>
        </w:rPr>
        <w:t>os direitos de crédito</w:t>
      </w:r>
      <w:r w:rsidR="00F7630C" w:rsidRPr="008D12A0">
        <w:rPr>
          <w:rFonts w:cs="Arial"/>
        </w:rPr>
        <w:t>, presentes e futuros,</w:t>
      </w:r>
      <w:r w:rsidR="00686AFA" w:rsidRPr="008D12A0">
        <w:rPr>
          <w:rFonts w:cs="Arial"/>
        </w:rPr>
        <w:t xml:space="preserve"> decorrentes</w:t>
      </w:r>
      <w:r w:rsidR="00207A37" w:rsidRPr="008D12A0">
        <w:rPr>
          <w:rFonts w:cs="Arial"/>
        </w:rPr>
        <w:t xml:space="preserve"> de</w:t>
      </w:r>
      <w:r w:rsidR="00686AFA" w:rsidRPr="008D12A0">
        <w:rPr>
          <w:rFonts w:cs="Arial"/>
        </w:rPr>
        <w:t xml:space="preserve"> </w:t>
      </w:r>
      <w:r w:rsidR="00207A37" w:rsidRPr="008D12A0">
        <w:rPr>
          <w:rFonts w:cs="Arial"/>
        </w:rPr>
        <w:t>transações de compra e venda de bens e serviços efetuadas por portadores de cartões de crédito</w:t>
      </w:r>
      <w:r w:rsidR="001F4CD5" w:rsidRPr="008D12A0">
        <w:rPr>
          <w:rFonts w:cs="Arial"/>
        </w:rPr>
        <w:t xml:space="preserve">, </w:t>
      </w:r>
      <w:r w:rsidR="00686AFA" w:rsidRPr="008D12A0">
        <w:rPr>
          <w:rFonts w:cs="Arial"/>
        </w:rPr>
        <w:t xml:space="preserve">cujos pagamentos sejam efetuados por meio de cartões de crédito das bandeiras </w:t>
      </w:r>
      <w:r w:rsidR="000744EB" w:rsidRPr="008D12A0">
        <w:rPr>
          <w:rFonts w:cs="Arial"/>
        </w:rPr>
        <w:t>Visa</w:t>
      </w:r>
      <w:r w:rsidR="00B203B2" w:rsidRPr="008D12A0">
        <w:rPr>
          <w:rFonts w:cs="Arial"/>
        </w:rPr>
        <w:t xml:space="preserve"> e</w:t>
      </w:r>
      <w:r w:rsidR="001F4CD5" w:rsidRPr="008D12A0">
        <w:rPr>
          <w:rFonts w:cs="Arial"/>
        </w:rPr>
        <w:t xml:space="preserve"> </w:t>
      </w:r>
      <w:r w:rsidR="00E630D0" w:rsidRPr="008D12A0">
        <w:rPr>
          <w:rFonts w:cs="Arial"/>
        </w:rPr>
        <w:t>Mastercard</w:t>
      </w:r>
      <w:r w:rsidR="00207A37" w:rsidRPr="008D12A0">
        <w:rPr>
          <w:rFonts w:cs="Arial"/>
        </w:rPr>
        <w:t xml:space="preserve"> </w:t>
      </w:r>
      <w:r w:rsidR="00686AFA" w:rsidRPr="008D12A0">
        <w:rPr>
          <w:rFonts w:cs="Arial"/>
        </w:rPr>
        <w:t>(</w:t>
      </w:r>
      <w:r w:rsidR="005175AB" w:rsidRPr="008D12A0">
        <w:rPr>
          <w:rFonts w:cs="Arial"/>
        </w:rPr>
        <w:t>“</w:t>
      </w:r>
      <w:r w:rsidR="00686AFA" w:rsidRPr="008D12A0">
        <w:rPr>
          <w:rFonts w:cs="Arial"/>
          <w:b/>
        </w:rPr>
        <w:t>Cartões</w:t>
      </w:r>
      <w:r w:rsidR="005175AB" w:rsidRPr="008D12A0">
        <w:rPr>
          <w:rFonts w:cs="Arial"/>
        </w:rPr>
        <w:t>”</w:t>
      </w:r>
      <w:r w:rsidR="00686AFA" w:rsidRPr="008D12A0">
        <w:rPr>
          <w:rFonts w:cs="Arial"/>
        </w:rPr>
        <w:t>), oriundos de transações em determinados estabelecimentos da Cedente</w:t>
      </w:r>
      <w:r w:rsidR="005D0DDA" w:rsidRPr="008D12A0">
        <w:rPr>
          <w:rFonts w:cs="Arial"/>
        </w:rPr>
        <w:t>,</w:t>
      </w:r>
      <w:r w:rsidR="00686AFA" w:rsidRPr="008D12A0">
        <w:rPr>
          <w:rFonts w:cs="Arial"/>
        </w:rPr>
        <w:t xml:space="preserve"> conforme detalhado</w:t>
      </w:r>
      <w:r w:rsidR="005D0DDA" w:rsidRPr="008D12A0">
        <w:rPr>
          <w:rFonts w:cs="Arial"/>
        </w:rPr>
        <w:t>s</w:t>
      </w:r>
      <w:r w:rsidR="00686AFA" w:rsidRPr="008D12A0">
        <w:rPr>
          <w:rFonts w:cs="Arial"/>
        </w:rPr>
        <w:t xml:space="preserve"> no Anexo I</w:t>
      </w:r>
      <w:r w:rsidR="005D0DDA" w:rsidRPr="008D12A0">
        <w:rPr>
          <w:rFonts w:cs="Arial"/>
        </w:rPr>
        <w:t xml:space="preserve"> ao pre</w:t>
      </w:r>
      <w:r w:rsidR="007E7682" w:rsidRPr="008D12A0">
        <w:rPr>
          <w:rFonts w:cs="Arial"/>
        </w:rPr>
        <w:t>s</w:t>
      </w:r>
      <w:r w:rsidR="005D0DDA" w:rsidRPr="008D12A0">
        <w:rPr>
          <w:rFonts w:cs="Arial"/>
        </w:rPr>
        <w:t>ente Contrato (“</w:t>
      </w:r>
      <w:r w:rsidR="005D0DDA" w:rsidRPr="008D12A0">
        <w:rPr>
          <w:rFonts w:cs="Arial"/>
          <w:b/>
        </w:rPr>
        <w:t>Estabelecimentos</w:t>
      </w:r>
      <w:r w:rsidR="005D0DDA" w:rsidRPr="008D12A0">
        <w:rPr>
          <w:rFonts w:cs="Arial"/>
        </w:rPr>
        <w:t>”</w:t>
      </w:r>
      <w:r w:rsidR="00686AFA" w:rsidRPr="008D12A0">
        <w:rPr>
          <w:rFonts w:cs="Arial"/>
        </w:rPr>
        <w:t xml:space="preserve">), com domicílio bancário na conta corrente nº </w:t>
      </w:r>
      <w:r w:rsidR="00CB693F" w:rsidRPr="008D12A0">
        <w:rPr>
          <w:rFonts w:eastAsia="Arial Unicode MS" w:cs="Arial"/>
          <w:w w:val="0"/>
          <w:highlight w:val="yellow"/>
        </w:rPr>
        <w:t>[</w:t>
      </w:r>
      <w:r w:rsidR="00CB693F" w:rsidRPr="008D12A0">
        <w:rPr>
          <w:rFonts w:eastAsia="Arial Unicode MS" w:cs="Arial"/>
          <w:w w:val="0"/>
          <w:highlight w:val="yellow"/>
        </w:rPr>
        <w:sym w:font="Symbol" w:char="F0B7"/>
      </w:r>
      <w:r w:rsidR="00CB693F" w:rsidRPr="008D12A0">
        <w:rPr>
          <w:rFonts w:eastAsia="Arial Unicode MS" w:cs="Arial"/>
          <w:w w:val="0"/>
          <w:highlight w:val="yellow"/>
        </w:rPr>
        <w:t>]</w:t>
      </w:r>
      <w:r w:rsidR="00CC7E1D" w:rsidRPr="008D12A0">
        <w:rPr>
          <w:rFonts w:cs="Arial"/>
        </w:rPr>
        <w:t>,</w:t>
      </w:r>
      <w:r w:rsidR="00686AFA" w:rsidRPr="008D12A0">
        <w:rPr>
          <w:rFonts w:cs="Arial"/>
        </w:rPr>
        <w:t xml:space="preserve"> na agência </w:t>
      </w:r>
      <w:r w:rsidR="00CB693F" w:rsidRPr="008D12A0">
        <w:rPr>
          <w:rFonts w:cs="Arial"/>
          <w:highlight w:val="yellow"/>
        </w:rPr>
        <w:t>[</w:t>
      </w:r>
      <w:r w:rsidR="00CB693F" w:rsidRPr="008D12A0">
        <w:rPr>
          <w:rFonts w:cs="Arial"/>
          <w:highlight w:val="yellow"/>
        </w:rPr>
        <w:sym w:font="Symbol" w:char="F0B7"/>
      </w:r>
      <w:r w:rsidR="00CB693F" w:rsidRPr="008D12A0">
        <w:rPr>
          <w:rFonts w:cs="Arial"/>
          <w:highlight w:val="yellow"/>
        </w:rPr>
        <w:t>]</w:t>
      </w:r>
      <w:r w:rsidR="00686AFA" w:rsidRPr="008D12A0">
        <w:rPr>
          <w:rFonts w:cs="Arial"/>
        </w:rPr>
        <w:t xml:space="preserve"> do Banco Bradesco S.A.</w:t>
      </w:r>
      <w:r w:rsidR="00537D0D" w:rsidRPr="008D12A0">
        <w:rPr>
          <w:rFonts w:cs="Arial"/>
        </w:rPr>
        <w:t>, na qualid</w:t>
      </w:r>
      <w:r w:rsidR="00CB693F" w:rsidRPr="008D12A0">
        <w:rPr>
          <w:rFonts w:cs="Arial"/>
        </w:rPr>
        <w:t xml:space="preserve">ade de banco arrecadador e </w:t>
      </w:r>
      <w:r w:rsidR="00CB693F" w:rsidRPr="008D12A0">
        <w:rPr>
          <w:rFonts w:cs="Arial"/>
        </w:rPr>
        <w:lastRenderedPageBreak/>
        <w:t>administrador da Conta Vinculada (a seguir definida)</w:t>
      </w:r>
      <w:r w:rsidR="00686AFA" w:rsidRPr="008D12A0">
        <w:rPr>
          <w:rFonts w:cs="Arial"/>
        </w:rPr>
        <w:t xml:space="preserve"> (</w:t>
      </w:r>
      <w:r w:rsidR="005175AB" w:rsidRPr="008D12A0">
        <w:rPr>
          <w:rFonts w:cs="Arial"/>
        </w:rPr>
        <w:t>“</w:t>
      </w:r>
      <w:r w:rsidR="00686AFA" w:rsidRPr="008D12A0">
        <w:rPr>
          <w:rFonts w:cs="Arial"/>
          <w:b/>
        </w:rPr>
        <w:t xml:space="preserve">Banco </w:t>
      </w:r>
      <w:r w:rsidR="00663C06" w:rsidRPr="008D12A0">
        <w:rPr>
          <w:rFonts w:cs="Arial"/>
          <w:b/>
        </w:rPr>
        <w:t>Administrador</w:t>
      </w:r>
      <w:r w:rsidR="005175AB" w:rsidRPr="008D12A0">
        <w:rPr>
          <w:rFonts w:cs="Arial"/>
        </w:rPr>
        <w:t>”</w:t>
      </w:r>
      <w:r w:rsidR="00686AFA" w:rsidRPr="008D12A0">
        <w:rPr>
          <w:rFonts w:cs="Arial"/>
        </w:rPr>
        <w:t>), de titularidade da Emissora (</w:t>
      </w:r>
      <w:r w:rsidR="005175AB" w:rsidRPr="008D12A0">
        <w:rPr>
          <w:rFonts w:cs="Arial"/>
        </w:rPr>
        <w:t>“</w:t>
      </w:r>
      <w:r w:rsidR="00686AFA" w:rsidRPr="008D12A0">
        <w:rPr>
          <w:rFonts w:cs="Arial"/>
          <w:b/>
        </w:rPr>
        <w:t>Conta Vinculada</w:t>
      </w:r>
      <w:r w:rsidR="005175AB" w:rsidRPr="008D12A0">
        <w:rPr>
          <w:rFonts w:cs="Arial"/>
        </w:rPr>
        <w:t>”</w:t>
      </w:r>
      <w:r w:rsidR="00686AFA" w:rsidRPr="008D12A0">
        <w:rPr>
          <w:rFonts w:cs="Arial"/>
        </w:rPr>
        <w:t>)</w:t>
      </w:r>
      <w:r w:rsidR="001F4CD5" w:rsidRPr="008D12A0">
        <w:rPr>
          <w:rFonts w:cs="Arial"/>
        </w:rPr>
        <w:t xml:space="preserve">, </w:t>
      </w:r>
      <w:r w:rsidR="00207A37" w:rsidRPr="008D12A0">
        <w:rPr>
          <w:rFonts w:cs="Arial"/>
        </w:rPr>
        <w:t xml:space="preserve">englobando além das transações já efetuadas, as transações que no futuro vierem a ser efetuadas, e estão ou estarão, conforme o caso, identificados nos registros eletrônicos disponibilizados pelas </w:t>
      </w:r>
      <w:r w:rsidR="005E2F72" w:rsidRPr="008D12A0">
        <w:rPr>
          <w:rFonts w:cs="Arial"/>
        </w:rPr>
        <w:t>Credenciadoras</w:t>
      </w:r>
      <w:r w:rsidR="00207A37" w:rsidRPr="008D12A0">
        <w:rPr>
          <w:rFonts w:cs="Arial"/>
        </w:rPr>
        <w:t xml:space="preserve">, bem como demais direitos de crédito, atuais ou futuros, contra as Credenciadoras decorrentes e/ou relacionados aos respectivos contratos de credenciamento, </w:t>
      </w:r>
      <w:r w:rsidR="00686AFA" w:rsidRPr="008D12A0">
        <w:rPr>
          <w:rFonts w:cs="Arial"/>
        </w:rPr>
        <w:t>inclusive eventuais acréscimos ou valores, seja a que título for, incluindo, mas não se limitando a multa, juros e demais encargos a eles relacionados, líquidos de tarifas e comissões devidas pela Cedente</w:t>
      </w:r>
      <w:r w:rsidR="001F4CD5" w:rsidRPr="008D12A0">
        <w:rPr>
          <w:rFonts w:cs="Arial"/>
        </w:rPr>
        <w:t xml:space="preserve"> às Credenciadoras</w:t>
      </w:r>
      <w:r w:rsidR="00833580" w:rsidRPr="008D12A0">
        <w:rPr>
          <w:rFonts w:cs="Arial"/>
        </w:rPr>
        <w:t xml:space="preserve"> (conforme abaixo definidas)</w:t>
      </w:r>
      <w:r w:rsidR="001F4CD5" w:rsidRPr="008D12A0">
        <w:rPr>
          <w:rFonts w:cs="Arial"/>
        </w:rPr>
        <w:t xml:space="preserve"> (</w:t>
      </w:r>
      <w:r w:rsidR="005175AB" w:rsidRPr="008D12A0">
        <w:rPr>
          <w:rFonts w:cs="Arial"/>
        </w:rPr>
        <w:t>“</w:t>
      </w:r>
      <w:r w:rsidR="00686AFA" w:rsidRPr="008D12A0">
        <w:rPr>
          <w:rFonts w:cs="Arial"/>
          <w:b/>
        </w:rPr>
        <w:t>Recebíveis dos Cartões</w:t>
      </w:r>
      <w:r w:rsidR="005175AB" w:rsidRPr="008D12A0">
        <w:rPr>
          <w:rFonts w:cs="Arial"/>
        </w:rPr>
        <w:t>”</w:t>
      </w:r>
      <w:r w:rsidR="00686AFA" w:rsidRPr="008D12A0">
        <w:rPr>
          <w:rFonts w:cs="Arial"/>
        </w:rPr>
        <w:t>)</w:t>
      </w:r>
      <w:r w:rsidR="00552F3E" w:rsidRPr="008D12A0">
        <w:rPr>
          <w:rFonts w:cs="Arial"/>
        </w:rPr>
        <w:t>, os quais deverão, obrigatoriamente, ser depositados e transitar na Conta Vinculada</w:t>
      </w:r>
      <w:r w:rsidR="00724C97" w:rsidRPr="008D12A0">
        <w:rPr>
          <w:rFonts w:cs="Arial"/>
        </w:rPr>
        <w:t>;</w:t>
      </w:r>
      <w:bookmarkEnd w:id="10"/>
      <w:r w:rsidR="00893FF9" w:rsidRPr="008D12A0">
        <w:rPr>
          <w:rFonts w:cs="Arial"/>
        </w:rPr>
        <w:t xml:space="preserve"> </w:t>
      </w:r>
      <w:r w:rsidR="00C10C12" w:rsidRPr="008D12A0">
        <w:rPr>
          <w:rFonts w:cs="Arial"/>
          <w:b/>
          <w:highlight w:val="yellow"/>
        </w:rPr>
        <w:t>[NOTA Pavarini</w:t>
      </w:r>
      <w:r w:rsidR="00C10C12" w:rsidRPr="008D12A0">
        <w:rPr>
          <w:rFonts w:cs="Arial"/>
          <w:highlight w:val="yellow"/>
        </w:rPr>
        <w:t>: será aplicado algum critério de elegibilidade dos direitos de crédito baseado em prazo de vencimento? Por exemplo, os direitos de crédito direcionados para pagamento na Conta Vinculada poderão ter data de vencimento para daqui a 12 meses?)]</w:t>
      </w:r>
      <w:r w:rsidR="00C10C12" w:rsidRPr="008D12A0">
        <w:rPr>
          <w:rFonts w:cs="Arial"/>
        </w:rPr>
        <w:t xml:space="preserve"> / </w:t>
      </w:r>
      <w:r w:rsidR="00C10C12" w:rsidRPr="008D12A0">
        <w:rPr>
          <w:rFonts w:cs="Arial"/>
          <w:highlight w:val="yellow"/>
        </w:rPr>
        <w:t>[</w:t>
      </w:r>
      <w:r w:rsidR="00C10C12" w:rsidRPr="008D12A0">
        <w:rPr>
          <w:rFonts w:cs="Arial"/>
          <w:b/>
          <w:highlight w:val="yellow"/>
        </w:rPr>
        <w:t>Nota LDR</w:t>
      </w:r>
      <w:r w:rsidR="00C10C12" w:rsidRPr="008D12A0">
        <w:rPr>
          <w:rFonts w:cs="Arial"/>
          <w:highlight w:val="yellow"/>
        </w:rPr>
        <w:t>: Entendemos que não há necessidade de estabelecer critério de exigibilidade, conforme mencionado acima pelo agente fiduciário, já que o Percentual da Cessao Fiduciária será mantido na conta e será verificado periodicamente se o fluxo cobre o Percentual.]</w:t>
      </w:r>
      <w:r w:rsidR="00C10C12" w:rsidRPr="008D12A0">
        <w:rPr>
          <w:rFonts w:cs="Arial"/>
        </w:rPr>
        <w:t xml:space="preserve"> </w:t>
      </w:r>
      <w:r w:rsidR="00C10C12" w:rsidRPr="00E97E9F">
        <w:rPr>
          <w:rFonts w:cs="Arial"/>
          <w:highlight w:val="green"/>
        </w:rPr>
        <w:t>[</w:t>
      </w:r>
      <w:r w:rsidR="00C10C12" w:rsidRPr="00E97E9F">
        <w:rPr>
          <w:rFonts w:cs="Arial"/>
          <w:b/>
          <w:highlight w:val="green"/>
        </w:rPr>
        <w:t>NOTA LEFOSSE: DE ACORDO COM OS COMENTÁRIOS DO LDR</w:t>
      </w:r>
      <w:r w:rsidR="00C10C12" w:rsidRPr="008D12A0">
        <w:rPr>
          <w:rFonts w:cs="Arial"/>
          <w:b/>
          <w:highlight w:val="yellow"/>
        </w:rPr>
        <w:t>]</w:t>
      </w:r>
    </w:p>
    <w:p w14:paraId="6C8D5058" w14:textId="77777777" w:rsidR="000744EB" w:rsidRPr="008D12A0" w:rsidRDefault="00724C97" w:rsidP="00A653ED">
      <w:pPr>
        <w:pStyle w:val="Level4"/>
        <w:tabs>
          <w:tab w:val="clear" w:pos="2041"/>
          <w:tab w:val="num" w:pos="1361"/>
        </w:tabs>
        <w:spacing w:before="140" w:after="0"/>
        <w:ind w:left="1360"/>
        <w:rPr>
          <w:rFonts w:cs="Arial"/>
        </w:rPr>
      </w:pPr>
      <w:r w:rsidRPr="008D12A0">
        <w:rPr>
          <w:rFonts w:cs="Arial"/>
        </w:rPr>
        <w:t>todos e quaisquer direitos</w:t>
      </w:r>
      <w:r w:rsidR="00D7326F" w:rsidRPr="008D12A0">
        <w:rPr>
          <w:rFonts w:cs="Arial"/>
        </w:rPr>
        <w:t xml:space="preserve">, </w:t>
      </w:r>
      <w:r w:rsidR="008B220C" w:rsidRPr="008D12A0">
        <w:rPr>
          <w:rFonts w:cs="Arial"/>
        </w:rPr>
        <w:t xml:space="preserve">ações e garantias </w:t>
      </w:r>
      <w:r w:rsidR="00D7326F" w:rsidRPr="008D12A0">
        <w:rPr>
          <w:rFonts w:cs="Arial"/>
        </w:rPr>
        <w:t>atuais e futuros,</w:t>
      </w:r>
      <w:r w:rsidRPr="008D12A0">
        <w:rPr>
          <w:rFonts w:cs="Arial"/>
        </w:rPr>
        <w:t xml:space="preserve"> sobre a Conta Vinculada e sobre os recursos decorrentes dos Recebíveis dos Cartões depositados e a serem depositados a qualquer tempo e/ou mantidos na Conta Vinculada, incluindo recursos eventualmente em trânsito nas Conta Vinculadas, ou em compensação bancária</w:t>
      </w:r>
      <w:r w:rsidR="00663C06" w:rsidRPr="008D12A0">
        <w:rPr>
          <w:rFonts w:cs="Arial"/>
        </w:rPr>
        <w:t>, bem como eventuais frutos e rendimentos</w:t>
      </w:r>
      <w:r w:rsidR="00552F3E" w:rsidRPr="008D12A0">
        <w:rPr>
          <w:rFonts w:cs="Arial"/>
        </w:rPr>
        <w:t xml:space="preserve"> decorrentes dos Investimentos Permitidos (conforme definido abaixo) </w:t>
      </w:r>
      <w:r w:rsidR="00833580" w:rsidRPr="008D12A0">
        <w:rPr>
          <w:rFonts w:cs="Arial"/>
        </w:rPr>
        <w:t>(</w:t>
      </w:r>
      <w:r w:rsidR="005175AB" w:rsidRPr="008D12A0">
        <w:rPr>
          <w:rFonts w:cs="Arial"/>
        </w:rPr>
        <w:t>“</w:t>
      </w:r>
      <w:r w:rsidR="00833580" w:rsidRPr="008D12A0">
        <w:rPr>
          <w:rFonts w:cs="Arial"/>
          <w:b/>
        </w:rPr>
        <w:t>Direitos da Conta Vinculada</w:t>
      </w:r>
      <w:r w:rsidR="005175AB" w:rsidRPr="008D12A0">
        <w:rPr>
          <w:rFonts w:cs="Arial"/>
        </w:rPr>
        <w:t>”</w:t>
      </w:r>
      <w:r w:rsidR="00833580" w:rsidRPr="008D12A0">
        <w:rPr>
          <w:rFonts w:cs="Arial"/>
        </w:rPr>
        <w:t>)</w:t>
      </w:r>
      <w:r w:rsidRPr="008D12A0">
        <w:rPr>
          <w:rFonts w:cs="Arial"/>
        </w:rPr>
        <w:t>;</w:t>
      </w:r>
      <w:r w:rsidR="00833580" w:rsidRPr="008D12A0">
        <w:rPr>
          <w:rFonts w:cs="Arial"/>
        </w:rPr>
        <w:t xml:space="preserve"> e</w:t>
      </w:r>
      <w:bookmarkEnd w:id="11"/>
    </w:p>
    <w:p w14:paraId="04502247" w14:textId="77777777" w:rsidR="00DB70B8" w:rsidRPr="008D12A0" w:rsidRDefault="00821634" w:rsidP="00A653ED">
      <w:pPr>
        <w:pStyle w:val="Level4"/>
        <w:tabs>
          <w:tab w:val="clear" w:pos="2041"/>
          <w:tab w:val="num" w:pos="1361"/>
        </w:tabs>
        <w:spacing w:before="140" w:after="0"/>
        <w:ind w:left="1360"/>
        <w:rPr>
          <w:rFonts w:cs="Arial"/>
        </w:rPr>
      </w:pPr>
      <w:r w:rsidRPr="008D12A0">
        <w:rPr>
          <w:rFonts w:cs="Arial"/>
        </w:rPr>
        <w:t xml:space="preserve">a totalidade dos créditos de titularidade da </w:t>
      </w:r>
      <w:r w:rsidR="004153A7" w:rsidRPr="008D12A0">
        <w:rPr>
          <w:rFonts w:cs="Arial"/>
        </w:rPr>
        <w:t>Cedente</w:t>
      </w:r>
      <w:r w:rsidRPr="008D12A0">
        <w:rPr>
          <w:rFonts w:cs="Arial"/>
        </w:rPr>
        <w:t xml:space="preserve"> contra o </w:t>
      </w:r>
      <w:r w:rsidR="00CB693F" w:rsidRPr="008D12A0">
        <w:rPr>
          <w:rFonts w:cs="Arial"/>
        </w:rPr>
        <w:t>Banco Administrador</w:t>
      </w:r>
      <w:r w:rsidRPr="008D12A0">
        <w:rPr>
          <w:rFonts w:cs="Arial"/>
        </w:rPr>
        <w:t xml:space="preserve"> decorrentes</w:t>
      </w:r>
      <w:r w:rsidR="00552F3E" w:rsidRPr="008D12A0">
        <w:rPr>
          <w:rFonts w:cs="Arial"/>
        </w:rPr>
        <w:t>:</w:t>
      </w:r>
      <w:r w:rsidRPr="008D12A0">
        <w:rPr>
          <w:rFonts w:cs="Arial"/>
        </w:rPr>
        <w:t xml:space="preserve"> </w:t>
      </w:r>
      <w:r w:rsidR="007C4619" w:rsidRPr="008D12A0">
        <w:rPr>
          <w:rFonts w:cs="Arial"/>
        </w:rPr>
        <w:t xml:space="preserve">(a) de certificados de depósito bancário com liquidez diária de emissão do </w:t>
      </w:r>
      <w:r w:rsidR="00CB693F" w:rsidRPr="008D12A0">
        <w:rPr>
          <w:rFonts w:cs="Arial"/>
        </w:rPr>
        <w:t>Banco Administrador</w:t>
      </w:r>
      <w:r w:rsidR="00552F3E" w:rsidRPr="008D12A0">
        <w:rPr>
          <w:rFonts w:cs="Arial"/>
        </w:rPr>
        <w:t>;</w:t>
      </w:r>
      <w:r w:rsidR="007C4619" w:rsidRPr="008D12A0">
        <w:rPr>
          <w:rFonts w:cs="Arial"/>
        </w:rPr>
        <w:t xml:space="preserve"> (b) de operações compromissadas com baixo risco e com liquidez diária</w:t>
      </w:r>
      <w:r w:rsidR="00552F3E" w:rsidRPr="008D12A0">
        <w:rPr>
          <w:rFonts w:cs="Arial"/>
        </w:rPr>
        <w:t>; e</w:t>
      </w:r>
      <w:r w:rsidR="008B5704" w:rsidRPr="008D12A0">
        <w:rPr>
          <w:rFonts w:cs="Arial"/>
        </w:rPr>
        <w:t xml:space="preserve"> (c) fundos de renda fixa de baixo risco, com liquidez diária, que tenham seu patrimônio representado por títulos ou ativos de renda fixa</w:t>
      </w:r>
      <w:r w:rsidR="007C4619" w:rsidRPr="008D12A0">
        <w:rPr>
          <w:rFonts w:cs="Arial"/>
        </w:rPr>
        <w:t xml:space="preserve"> celebradas entre a Cedente e o </w:t>
      </w:r>
      <w:r w:rsidR="00CB693F" w:rsidRPr="008D12A0">
        <w:rPr>
          <w:rFonts w:cs="Arial"/>
        </w:rPr>
        <w:t>Banco Administrador</w:t>
      </w:r>
      <w:r w:rsidR="007C4619" w:rsidRPr="008D12A0">
        <w:rPr>
          <w:rFonts w:cs="Arial"/>
        </w:rPr>
        <w:t xml:space="preserve"> (</w:t>
      </w:r>
      <w:r w:rsidR="005175AB" w:rsidRPr="008D12A0">
        <w:rPr>
          <w:rFonts w:cs="Arial"/>
        </w:rPr>
        <w:t>“</w:t>
      </w:r>
      <w:r w:rsidR="007C4619" w:rsidRPr="008D12A0">
        <w:rPr>
          <w:rFonts w:cs="Arial"/>
          <w:b/>
        </w:rPr>
        <w:t>Investimentos Permitidos</w:t>
      </w:r>
      <w:r w:rsidR="005175AB" w:rsidRPr="008D12A0">
        <w:rPr>
          <w:rFonts w:cs="Arial"/>
        </w:rPr>
        <w:t>”</w:t>
      </w:r>
      <w:r w:rsidR="007C4619" w:rsidRPr="008D12A0">
        <w:rPr>
          <w:rFonts w:cs="Arial"/>
        </w:rPr>
        <w:t>)</w:t>
      </w:r>
      <w:r w:rsidRPr="008D12A0">
        <w:rPr>
          <w:rFonts w:cs="Arial"/>
        </w:rPr>
        <w:t xml:space="preserve">, que, em qualquer dos casos deste inciso, sejam realizados nos termos </w:t>
      </w:r>
      <w:r w:rsidR="00B86A09" w:rsidRPr="008D12A0">
        <w:rPr>
          <w:rFonts w:cs="Arial"/>
        </w:rPr>
        <w:t>da Cláusula</w:t>
      </w:r>
      <w:r w:rsidRPr="008D12A0">
        <w:rPr>
          <w:rFonts w:cs="Arial"/>
        </w:rPr>
        <w:t xml:space="preserve"> </w:t>
      </w:r>
      <w:r w:rsidR="0032417C" w:rsidRPr="008D12A0">
        <w:rPr>
          <w:rFonts w:cs="Arial"/>
        </w:rPr>
        <w:fldChar w:fldCharType="begin"/>
      </w:r>
      <w:r w:rsidR="0032417C" w:rsidRPr="008D12A0">
        <w:rPr>
          <w:rFonts w:cs="Arial"/>
        </w:rPr>
        <w:instrText xml:space="preserve"> REF _Ref281236340 \r \h </w:instrText>
      </w:r>
      <w:r w:rsidR="00732DA1" w:rsidRPr="008D12A0">
        <w:rPr>
          <w:rFonts w:cs="Arial"/>
        </w:rPr>
        <w:instrText xml:space="preserve"> \* MERGEFORMAT </w:instrText>
      </w:r>
      <w:r w:rsidR="0032417C" w:rsidRPr="008D12A0">
        <w:rPr>
          <w:rFonts w:cs="Arial"/>
        </w:rPr>
      </w:r>
      <w:r w:rsidR="0032417C" w:rsidRPr="008D12A0">
        <w:rPr>
          <w:rFonts w:cs="Arial"/>
        </w:rPr>
        <w:fldChar w:fldCharType="separate"/>
      </w:r>
      <w:r w:rsidR="00235269">
        <w:rPr>
          <w:rFonts w:cs="Arial"/>
        </w:rPr>
        <w:t>4.6.3</w:t>
      </w:r>
      <w:r w:rsidR="0032417C" w:rsidRPr="008D12A0">
        <w:rPr>
          <w:rFonts w:cs="Arial"/>
        </w:rPr>
        <w:fldChar w:fldCharType="end"/>
      </w:r>
      <w:r w:rsidR="0032417C" w:rsidRPr="008D12A0">
        <w:rPr>
          <w:rFonts w:cs="Arial"/>
        </w:rPr>
        <w:t xml:space="preserve"> </w:t>
      </w:r>
      <w:r w:rsidRPr="008D12A0">
        <w:rPr>
          <w:rFonts w:cs="Arial"/>
        </w:rPr>
        <w:t>abaixo e, sendo tais Investimentos Permitidos vinculados à Conta Vinculada</w:t>
      </w:r>
      <w:r w:rsidR="00DB70B8" w:rsidRPr="008D12A0">
        <w:rPr>
          <w:rFonts w:cs="Arial"/>
        </w:rPr>
        <w:t>; e</w:t>
      </w:r>
      <w:r w:rsidR="00724C97" w:rsidRPr="008D12A0">
        <w:rPr>
          <w:rFonts w:cs="Arial"/>
        </w:rPr>
        <w:t xml:space="preserve"> </w:t>
      </w:r>
    </w:p>
    <w:bookmarkEnd w:id="2"/>
    <w:bookmarkEnd w:id="3"/>
    <w:bookmarkEnd w:id="4"/>
    <w:bookmarkEnd w:id="5"/>
    <w:p w14:paraId="113FBD43" w14:textId="77777777"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833580" w:rsidRPr="008D12A0">
        <w:rPr>
          <w:rFonts w:cs="Arial"/>
          <w:highlight w:val="yellow"/>
        </w:rPr>
        <w:t>[</w:t>
      </w:r>
      <w:r w:rsidR="00833580" w:rsidRPr="008D12A0">
        <w:rPr>
          <w:rFonts w:cs="Arial"/>
          <w:highlight w:val="yellow"/>
        </w:rPr>
        <w:sym w:font="Symbol" w:char="F0B7"/>
      </w:r>
      <w:r w:rsidR="00833580" w:rsidRPr="008D12A0">
        <w:rPr>
          <w:rFonts w:cs="Arial"/>
          <w:highlight w:val="yellow"/>
        </w:rPr>
        <w:t>]</w:t>
      </w:r>
      <w:r w:rsidR="00833580" w:rsidRPr="008D12A0">
        <w:rPr>
          <w:rFonts w:cs="Arial"/>
        </w:rPr>
        <w:t xml:space="preserve"> e pela </w:t>
      </w:r>
      <w:r w:rsidR="00833580" w:rsidRPr="008D12A0">
        <w:rPr>
          <w:rFonts w:cs="Arial"/>
          <w:highlight w:val="yellow"/>
        </w:rPr>
        <w:t>[</w:t>
      </w:r>
      <w:r w:rsidR="00833580" w:rsidRPr="008D12A0">
        <w:rPr>
          <w:rFonts w:cs="Arial"/>
          <w:highlight w:val="yellow"/>
        </w:rPr>
        <w:sym w:font="Symbol" w:char="F0B7"/>
      </w:r>
      <w:r w:rsidR="00833580" w:rsidRPr="008D12A0">
        <w:rPr>
          <w:rFonts w:cs="Arial"/>
          <w:highlight w:val="yellow"/>
        </w:rPr>
        <w:t>]</w:t>
      </w:r>
      <w:r w:rsidR="00833580" w:rsidRPr="008D12A0">
        <w:rPr>
          <w:rFonts w:cs="Arial"/>
        </w:rPr>
        <w:t xml:space="preserve"> (em conjunto, </w:t>
      </w:r>
      <w:r w:rsidR="005175AB" w:rsidRPr="008D12A0">
        <w:rPr>
          <w:rFonts w:cs="Arial"/>
        </w:rPr>
        <w:t>“</w:t>
      </w:r>
      <w:r w:rsidR="00833580" w:rsidRPr="008D12A0">
        <w:rPr>
          <w:rFonts w:cs="Arial"/>
          <w:b/>
        </w:rPr>
        <w:t>Credenciadoras</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as Credenciadoras</w:t>
      </w:r>
      <w:r w:rsidR="008B220C" w:rsidRPr="008D12A0">
        <w:rPr>
          <w:rFonts w:cs="Arial"/>
        </w:rPr>
        <w:t>, conforme aditados e/ou substituídos de tempos em tempos</w:t>
      </w:r>
      <w:r w:rsidR="00D72BF1" w:rsidRPr="008D12A0">
        <w:rPr>
          <w:rFonts w:cs="Arial"/>
        </w:rPr>
        <w:t>.</w:t>
      </w:r>
    </w:p>
    <w:p w14:paraId="554C610C" w14:textId="2B0969F4" w:rsidR="003F6714" w:rsidRPr="008D12A0" w:rsidRDefault="003F6714" w:rsidP="00A653ED">
      <w:pPr>
        <w:pStyle w:val="Level2"/>
        <w:spacing w:before="140" w:after="0"/>
        <w:rPr>
          <w:rFonts w:cs="Arial"/>
        </w:rPr>
      </w:pPr>
      <w:bookmarkStart w:id="12" w:name="_Ref404618215"/>
      <w:r w:rsidRPr="008D12A0">
        <w:rPr>
          <w:rFonts w:cs="Arial"/>
        </w:rPr>
        <w:t xml:space="preserve">Em atendimento ao disposto </w:t>
      </w:r>
      <w:r w:rsidR="00E25302" w:rsidRPr="008D12A0">
        <w:rPr>
          <w:rFonts w:cs="Arial"/>
        </w:rPr>
        <w:t>da Cláusula</w:t>
      </w:r>
      <w:r w:rsidR="008D4530" w:rsidRPr="008D12A0">
        <w:rPr>
          <w:rFonts w:cs="Arial"/>
        </w:rPr>
        <w:t xml:space="preserve"> </w:t>
      </w:r>
      <w:r w:rsidR="00BC2826" w:rsidRPr="008D12A0">
        <w:rPr>
          <w:rFonts w:cs="Arial"/>
        </w:rPr>
        <w:fldChar w:fldCharType="begin"/>
      </w:r>
      <w:r w:rsidR="00BC2826" w:rsidRPr="008D12A0">
        <w:rPr>
          <w:rFonts w:cs="Arial"/>
        </w:rPr>
        <w:instrText xml:space="preserve"> REF _Ref5721409 \w \h </w:instrText>
      </w:r>
      <w:r w:rsidR="008D12A0" w:rsidRPr="008D12A0">
        <w:rPr>
          <w:rFonts w:cs="Arial"/>
        </w:rPr>
        <w:instrText xml:space="preserve"> \* MERGEFORMAT </w:instrText>
      </w:r>
      <w:r w:rsidR="00BC2826" w:rsidRPr="008D12A0">
        <w:rPr>
          <w:rFonts w:cs="Arial"/>
        </w:rPr>
      </w:r>
      <w:r w:rsidR="00BC2826" w:rsidRPr="008D12A0">
        <w:rPr>
          <w:rFonts w:cs="Arial"/>
        </w:rPr>
        <w:fldChar w:fldCharType="separate"/>
      </w:r>
      <w:r w:rsidR="00235269">
        <w:rPr>
          <w:rFonts w:cs="Arial"/>
        </w:rPr>
        <w:t>1.1(i)</w:t>
      </w:r>
      <w:r w:rsidR="00BC2826" w:rsidRPr="008D12A0">
        <w:rPr>
          <w:rFonts w:cs="Arial"/>
        </w:rPr>
        <w:fldChar w:fldCharType="end"/>
      </w:r>
      <w:r w:rsidR="00686AFA" w:rsidRPr="008D12A0">
        <w:rPr>
          <w:rFonts w:cs="Arial"/>
        </w:rPr>
        <w:t xml:space="preserve"> acima</w:t>
      </w:r>
      <w:r w:rsidRPr="008D12A0">
        <w:rPr>
          <w:rFonts w:cs="Arial"/>
        </w:rPr>
        <w:t xml:space="preserve">, os Recebíveis </w:t>
      </w:r>
      <w:r w:rsidR="00686AFA" w:rsidRPr="008D12A0">
        <w:rPr>
          <w:rFonts w:cs="Arial"/>
        </w:rPr>
        <w:t xml:space="preserve">dos Cartões </w:t>
      </w:r>
      <w:r w:rsidRPr="008D12A0">
        <w:rPr>
          <w:rFonts w:cs="Arial"/>
        </w:rPr>
        <w:t xml:space="preserve">deverão estar devidamente compostos </w:t>
      </w:r>
      <w:r w:rsidR="008B220C" w:rsidRPr="008D12A0">
        <w:rPr>
          <w:rFonts w:cs="Arial"/>
        </w:rPr>
        <w:t>até a</w:t>
      </w:r>
      <w:r w:rsidRPr="008D12A0">
        <w:rPr>
          <w:rFonts w:cs="Arial"/>
        </w:rPr>
        <w:t xml:space="preserve"> </w:t>
      </w:r>
      <w:r w:rsidR="000E50C9" w:rsidRPr="008D12A0">
        <w:rPr>
          <w:rFonts w:cs="Arial"/>
        </w:rPr>
        <w:t>Data Base (conforme definid</w:t>
      </w:r>
      <w:r w:rsidR="00BC2826" w:rsidRPr="008D12A0">
        <w:rPr>
          <w:rFonts w:cs="Arial"/>
        </w:rPr>
        <w:t>a</w:t>
      </w:r>
      <w:r w:rsidR="000E50C9" w:rsidRPr="008D12A0">
        <w:rPr>
          <w:rFonts w:cs="Arial"/>
        </w:rPr>
        <w:t xml:space="preserve"> abaixo) imediatamente subsequente à </w:t>
      </w:r>
      <w:r w:rsidR="00754DE4" w:rsidRPr="008D12A0">
        <w:rPr>
          <w:rFonts w:cs="Arial"/>
        </w:rPr>
        <w:t xml:space="preserve">Primeira Data de Integralização (conforme definida na Escritura de Emissão) </w:t>
      </w:r>
      <w:r w:rsidR="00B36471" w:rsidRPr="008D12A0">
        <w:rPr>
          <w:rFonts w:cs="Arial"/>
        </w:rPr>
        <w:t>(</w:t>
      </w:r>
      <w:r w:rsidR="005175AB" w:rsidRPr="008D12A0">
        <w:rPr>
          <w:rFonts w:cs="Arial"/>
        </w:rPr>
        <w:t>“</w:t>
      </w:r>
      <w:r w:rsidR="00B36471" w:rsidRPr="008D12A0">
        <w:rPr>
          <w:rFonts w:cs="Arial"/>
          <w:b/>
        </w:rPr>
        <w:t xml:space="preserve">Data de Constituição dos Recebíveis </w:t>
      </w:r>
      <w:r w:rsidR="004C4313" w:rsidRPr="008D12A0">
        <w:rPr>
          <w:rFonts w:cs="Arial"/>
          <w:b/>
        </w:rPr>
        <w:t>dos Cartões</w:t>
      </w:r>
      <w:r w:rsidR="0010657F" w:rsidRPr="008D12A0">
        <w:rPr>
          <w:rFonts w:cs="Arial"/>
        </w:rPr>
        <w:t>”</w:t>
      </w:r>
      <w:r w:rsidR="00B36471" w:rsidRPr="008D12A0">
        <w:rPr>
          <w:rFonts w:cs="Arial"/>
        </w:rPr>
        <w:t>)</w:t>
      </w:r>
      <w:r w:rsidR="00196DD6" w:rsidRPr="008D12A0">
        <w:rPr>
          <w:rFonts w:cs="Arial"/>
        </w:rPr>
        <w:t>.</w:t>
      </w:r>
      <w:bookmarkEnd w:id="12"/>
    </w:p>
    <w:p w14:paraId="6E33DB8E" w14:textId="77777777" w:rsidR="00B341B7" w:rsidRPr="008D12A0" w:rsidRDefault="00FB062F" w:rsidP="00A653ED">
      <w:pPr>
        <w:pStyle w:val="Level3"/>
        <w:spacing w:before="140" w:after="0"/>
      </w:pPr>
      <w:bookmarkStart w:id="13" w:name="_Ref286046006"/>
      <w:bookmarkStart w:id="14" w:name="_Ref272452086"/>
      <w:r w:rsidRPr="008D12A0">
        <w:t>Para os fins deste Contrato</w:t>
      </w:r>
      <w:r w:rsidR="00B341B7" w:rsidRPr="008D12A0">
        <w:t>:</w:t>
      </w:r>
      <w:bookmarkEnd w:id="13"/>
    </w:p>
    <w:p w14:paraId="567ABA64" w14:textId="77777777" w:rsidR="00754DE4" w:rsidRPr="008D12A0" w:rsidRDefault="005175AB" w:rsidP="00A653ED">
      <w:pPr>
        <w:pStyle w:val="Level4"/>
        <w:spacing w:before="140" w:after="0"/>
        <w:rPr>
          <w:rFonts w:cs="Arial"/>
        </w:rPr>
      </w:pPr>
      <w:bookmarkStart w:id="15" w:name="_Ref279447825"/>
      <w:bookmarkEnd w:id="14"/>
      <w:r w:rsidRPr="008D12A0">
        <w:rPr>
          <w:rFonts w:cs="Arial"/>
        </w:rPr>
        <w:lastRenderedPageBreak/>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 Contrato de Alienação Fiduciária de Imóvel (conforme definido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1931555"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da Remuneração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dos eventuais valores de Resgate Antecipado Facultativo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Amortização Extraordinária Facultativa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da Oferta de Resgate Antecipado Total </w:t>
      </w:r>
      <w:r w:rsidR="00D26275" w:rsidRPr="008D12A0">
        <w:rPr>
          <w:rFonts w:cs="Arial"/>
          <w:lang w:eastAsia="en-GB"/>
        </w:rPr>
        <w:t xml:space="preserve">(conforme definida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incluindo os respectivos prêmios, se houver, dos Encargos Moratórios </w:t>
      </w:r>
      <w:r w:rsidR="00D26275" w:rsidRPr="008D12A0">
        <w:rPr>
          <w:rFonts w:cs="Arial"/>
          <w:lang w:eastAsia="en-GB"/>
        </w:rPr>
        <w:t xml:space="preserve">(conforme definidos no </w:t>
      </w:r>
      <w:r w:rsidR="00D26275" w:rsidRPr="008D12A0">
        <w:rPr>
          <w:rFonts w:cs="Arial"/>
          <w:u w:val="single"/>
          <w:lang w:eastAsia="en-GB"/>
        </w:rPr>
        <w:t>Anexo III</w:t>
      </w:r>
      <w:r w:rsidR="00D26275" w:rsidRPr="008D12A0">
        <w:rPr>
          <w:rFonts w:cs="Arial"/>
          <w:lang w:eastAsia="en-GB"/>
        </w:rPr>
        <w:t xml:space="preserve"> ao presente Contrato)</w:t>
      </w:r>
      <w:r w:rsidR="00D26275" w:rsidRPr="008D12A0">
        <w:rPr>
          <w:rFonts w:cs="Arial"/>
        </w:rPr>
        <w:t xml:space="preserve"> e dos demais encargos, relativos às Debêntures e às Garantias </w:t>
      </w:r>
      <w:r w:rsidR="00D26275" w:rsidRPr="008D12A0">
        <w:rPr>
          <w:rFonts w:cs="Arial"/>
          <w:lang w:eastAsia="en-GB"/>
        </w:rPr>
        <w:t>(conforme definidas na Escritura de Emissão)</w:t>
      </w:r>
      <w:r w:rsidR="00D26275" w:rsidRPr="008D12A0">
        <w:rPr>
          <w:rFonts w:cs="Arial"/>
        </w:rPr>
        <w:t xml:space="preserve">, se e quando devidos, </w:t>
      </w:r>
      <w:r w:rsidR="00EE12AF" w:rsidRPr="008D12A0">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16" w:name="_Ref286046009"/>
      <w:bookmarkStart w:id="17" w:name="_Ref286083107"/>
      <w:bookmarkEnd w:id="15"/>
    </w:p>
    <w:p w14:paraId="5D518EEA" w14:textId="77777777" w:rsidR="00EC084C" w:rsidRPr="008D12A0" w:rsidRDefault="00EC084C" w:rsidP="00A653ED">
      <w:pPr>
        <w:pStyle w:val="Level2"/>
        <w:spacing w:before="140" w:after="0"/>
        <w:rPr>
          <w:rFonts w:cs="Arial"/>
        </w:rPr>
      </w:pPr>
      <w:bookmarkStart w:id="18" w:name="_Ref276196128"/>
      <w:bookmarkStart w:id="19" w:name="_Ref273975203"/>
      <w:bookmarkEnd w:id="16"/>
      <w:bookmarkEnd w:id="17"/>
      <w:r w:rsidRPr="008D12A0">
        <w:rPr>
          <w:rFonts w:cs="Arial"/>
        </w:rPr>
        <w:t>Fica desde já certo e ajustado que</w:t>
      </w:r>
      <w:bookmarkEnd w:id="18"/>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0" w:name="_Ref404613422"/>
      <w:bookmarkStart w:id="21" w:name="_Ref130719316"/>
      <w:bookmarkStart w:id="22" w:name="_Ref285532070"/>
      <w:bookmarkStart w:id="23" w:name="_Ref167604268"/>
      <w:bookmarkEnd w:id="19"/>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0"/>
    </w:p>
    <w:bookmarkEnd w:id="21"/>
    <w:bookmarkEnd w:id="22"/>
    <w:p w14:paraId="052A16C4" w14:textId="77777777" w:rsidR="00AC2877" w:rsidRPr="008D12A0" w:rsidRDefault="00B029DF" w:rsidP="00A653ED">
      <w:pPr>
        <w:pStyle w:val="Level3"/>
        <w:spacing w:before="140" w:after="0"/>
      </w:pPr>
      <w:r w:rsidRPr="008D12A0">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24" w:name="_Ref243921840"/>
      <w:r w:rsidRPr="008D12A0">
        <w:lastRenderedPageBreak/>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25" w:name="_Ref293558696"/>
      <w:bookmarkStart w:id="26" w:name="_Ref304888263"/>
      <w:bookmarkEnd w:id="23"/>
      <w:bookmarkEnd w:id="24"/>
      <w:r w:rsidR="00B1280E" w:rsidRPr="008D12A0">
        <w:t>.</w:t>
      </w:r>
    </w:p>
    <w:p w14:paraId="7917201E" w14:textId="50AB7F31" w:rsidR="003B1EA5" w:rsidRPr="008D12A0" w:rsidRDefault="00B05410" w:rsidP="00A653ED">
      <w:pPr>
        <w:pStyle w:val="Level1"/>
        <w:spacing w:before="140" w:after="0"/>
        <w:rPr>
          <w:rFonts w:cs="Arial"/>
          <w:caps/>
          <w:sz w:val="20"/>
        </w:rPr>
      </w:pPr>
      <w:bookmarkStart w:id="27" w:name="_Ref130638680"/>
      <w:bookmarkStart w:id="28" w:name="_Ref130722181"/>
      <w:bookmarkStart w:id="29" w:name="_Ref304551795"/>
      <w:bookmarkStart w:id="30" w:name="_Ref4609705"/>
      <w:bookmarkEnd w:id="25"/>
      <w:bookmarkEnd w:id="26"/>
      <w:r w:rsidRPr="008D12A0">
        <w:rPr>
          <w:rFonts w:cs="Arial"/>
          <w:caps/>
          <w:sz w:val="20"/>
        </w:rPr>
        <w:t xml:space="preserve">Aperfeiçoamento da </w:t>
      </w:r>
      <w:bookmarkEnd w:id="27"/>
      <w:bookmarkEnd w:id="28"/>
      <w:r w:rsidR="006F6998" w:rsidRPr="008D12A0">
        <w:rPr>
          <w:rFonts w:cs="Arial"/>
          <w:caps/>
          <w:sz w:val="20"/>
        </w:rPr>
        <w:t>Cessão Fiduciária</w:t>
      </w:r>
      <w:bookmarkEnd w:id="29"/>
      <w:bookmarkEnd w:id="30"/>
    </w:p>
    <w:p w14:paraId="07381417" w14:textId="6B48B61B" w:rsidR="00F777E0" w:rsidRPr="008D12A0" w:rsidRDefault="00622EBA" w:rsidP="00A653ED">
      <w:pPr>
        <w:pStyle w:val="Level2"/>
        <w:spacing w:before="140" w:after="0"/>
        <w:rPr>
          <w:rFonts w:cs="Arial"/>
        </w:rPr>
      </w:pPr>
      <w:bookmarkStart w:id="31" w:name="_Ref490824048"/>
      <w:bookmarkStart w:id="32" w:name="_Ref130639012"/>
      <w:bookmarkStart w:id="33" w:name="_Ref304897108"/>
      <w:bookmarkStart w:id="34"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1"/>
      <w:r w:rsidRPr="008D12A0">
        <w:rPr>
          <w:rFonts w:cs="Arial"/>
        </w:rPr>
        <w:t xml:space="preserve"> Dessa forma, como parte do processo de aperfeiçoamento da Cessão Fiduciária, a Cedente obriga-se a, às suas expensas </w:t>
      </w:r>
      <w:bookmarkStart w:id="35" w:name="_Ref531513513"/>
      <w:bookmarkStart w:id="36" w:name="_Ref2874030"/>
      <w:bookmarkStart w:id="37" w:name="_Ref2889108"/>
      <w:r w:rsidRPr="008D12A0">
        <w:rPr>
          <w:rFonts w:cs="Arial"/>
        </w:rPr>
        <w:t>protocolar o presente Contrato para registro nos Cartórios de RTD, com até 2 (dois)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35"/>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até a Primeira Data de Integralização</w:t>
      </w:r>
      <w:r w:rsidR="00F777E0" w:rsidRPr="008D12A0">
        <w:rPr>
          <w:rFonts w:cs="Arial"/>
        </w:rPr>
        <w:t xml:space="preserve">. </w:t>
      </w:r>
    </w:p>
    <w:p w14:paraId="53D25C5C" w14:textId="5F7F146E" w:rsidR="00622EBA" w:rsidRPr="008D12A0" w:rsidRDefault="00622EBA" w:rsidP="00A653ED">
      <w:pPr>
        <w:pStyle w:val="Level2"/>
        <w:spacing w:before="140" w:after="0"/>
        <w:rPr>
          <w:rFonts w:cs="Arial"/>
        </w:rPr>
      </w:pPr>
      <w:bookmarkStart w:id="38" w:name="_Ref2889115"/>
      <w:bookmarkEnd w:id="36"/>
      <w:bookmarkEnd w:id="37"/>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38"/>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1E499444" w:rsidR="00B05410" w:rsidRPr="008D12A0" w:rsidRDefault="008739B9" w:rsidP="00A653ED">
      <w:pPr>
        <w:pStyle w:val="Level1"/>
        <w:spacing w:before="140" w:after="0"/>
        <w:rPr>
          <w:rFonts w:cs="Arial"/>
          <w:caps/>
          <w:sz w:val="20"/>
        </w:rPr>
      </w:pPr>
      <w:bookmarkStart w:id="39" w:name="_Ref285653490"/>
      <w:bookmarkEnd w:id="32"/>
      <w:bookmarkEnd w:id="33"/>
      <w:bookmarkEnd w:id="34"/>
      <w:r w:rsidRPr="008D12A0">
        <w:rPr>
          <w:rFonts w:cs="Arial"/>
          <w:caps/>
          <w:sz w:val="20"/>
        </w:rPr>
        <w:t>Percentual da Cessão Fiduciária</w:t>
      </w:r>
      <w:bookmarkEnd w:id="39"/>
    </w:p>
    <w:p w14:paraId="2D2ADB15" w14:textId="6B146AF9" w:rsidR="00702D34" w:rsidRPr="008D12A0" w:rsidRDefault="00702D34" w:rsidP="00A653ED">
      <w:pPr>
        <w:pStyle w:val="Level2"/>
        <w:spacing w:before="140" w:after="0"/>
        <w:rPr>
          <w:rFonts w:cs="Arial"/>
        </w:rPr>
      </w:pPr>
      <w:bookmarkStart w:id="40" w:name="_Ref278535723"/>
      <w:bookmarkStart w:id="41" w:name="_Ref286035882"/>
      <w:bookmarkStart w:id="42" w:name="_Ref131956688"/>
      <w:bookmarkStart w:id="43"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0"/>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r w:rsidR="00E120DE" w:rsidRPr="008D12A0">
        <w:rPr>
          <w:rFonts w:cs="Arial"/>
        </w:rPr>
        <w:t>o</w:t>
      </w:r>
      <w:r w:rsidR="001A2056" w:rsidRPr="008D12A0">
        <w:rPr>
          <w:rFonts w:cs="Arial"/>
        </w:rPr>
        <w:t xml:space="preserve"> </w:t>
      </w:r>
      <w:r w:rsidR="00845324" w:rsidRPr="008D12A0">
        <w:rPr>
          <w:rFonts w:cs="Arial"/>
        </w:rPr>
        <w:t>Montante Performado (conforme abaixo definido),</w:t>
      </w:r>
      <w:r w:rsidR="00943740" w:rsidRPr="008D12A0">
        <w:rPr>
          <w:rFonts w:cs="Arial"/>
        </w:rPr>
        <w:t xml:space="preserve"> </w:t>
      </w:r>
      <w:r w:rsidR="00DF32A4" w:rsidRPr="008D12A0">
        <w:rPr>
          <w:rFonts w:cs="Arial"/>
        </w:rPr>
        <w:t>que seja efetivamente transformad</w:t>
      </w:r>
      <w:r w:rsidR="00845324" w:rsidRPr="008D12A0">
        <w:rPr>
          <w:rFonts w:cs="Arial"/>
        </w:rPr>
        <w:t>o</w:t>
      </w:r>
      <w:r w:rsidR="00DF32A4" w:rsidRPr="008D12A0">
        <w:rPr>
          <w:rFonts w:cs="Arial"/>
        </w:rPr>
        <w:t xml:space="preserve"> </w:t>
      </w:r>
      <w:r w:rsidR="00456FFC" w:rsidRPr="008D12A0">
        <w:rPr>
          <w:rFonts w:cs="Arial"/>
        </w:rPr>
        <w:t xml:space="preserve">em </w:t>
      </w:r>
      <w:r w:rsidR="000803C6" w:rsidRPr="008D12A0">
        <w:rPr>
          <w:rFonts w:cs="Arial"/>
        </w:rPr>
        <w:t>crédito</w:t>
      </w:r>
      <w:r w:rsidR="00845324" w:rsidRPr="008D12A0">
        <w:rPr>
          <w:rFonts w:cs="Arial"/>
        </w:rPr>
        <w:t xml:space="preserve">, cujo valor tenha sido </w:t>
      </w:r>
      <w:r w:rsidR="000803C6" w:rsidRPr="008D12A0">
        <w:rPr>
          <w:rFonts w:cs="Arial"/>
        </w:rPr>
        <w:t xml:space="preserve">depositado </w:t>
      </w:r>
      <w:r w:rsidR="00845324" w:rsidRPr="008D12A0">
        <w:rPr>
          <w:rFonts w:cs="Arial"/>
        </w:rPr>
        <w:t xml:space="preserve">e tenha </w:t>
      </w:r>
      <w:r w:rsidR="000803C6" w:rsidRPr="008D12A0">
        <w:rPr>
          <w:rFonts w:cs="Arial"/>
        </w:rPr>
        <w:t>transitado pela Conta Vinculada</w:t>
      </w:r>
      <w:r w:rsidR="00456FFC" w:rsidRPr="008D12A0">
        <w:rPr>
          <w:rFonts w:cs="Arial"/>
        </w:rPr>
        <w:t xml:space="preserve"> </w:t>
      </w:r>
      <w:r w:rsidR="00F777E0" w:rsidRPr="008D12A0">
        <w:rPr>
          <w:rFonts w:cs="Arial"/>
        </w:rPr>
        <w:t xml:space="preserve">no mês calendário </w:t>
      </w:r>
      <w:r w:rsidR="0016581E" w:rsidRPr="008D12A0">
        <w:rPr>
          <w:rFonts w:cs="Arial"/>
        </w:rPr>
        <w:t>da</w:t>
      </w:r>
      <w:r w:rsidR="00F777E0" w:rsidRPr="008D12A0">
        <w:rPr>
          <w:rFonts w:cs="Arial"/>
        </w:rPr>
        <w:t xml:space="preserve"> </w:t>
      </w:r>
      <w:r w:rsidR="00942ED4" w:rsidRPr="008D12A0">
        <w:rPr>
          <w:rFonts w:cs="Arial"/>
        </w:rPr>
        <w:t xml:space="preserve">respectiva </w:t>
      </w:r>
      <w:r w:rsidR="00F777E0" w:rsidRPr="008D12A0">
        <w:rPr>
          <w:rFonts w:cs="Arial"/>
        </w:rPr>
        <w:t xml:space="preserve">Data Base </w:t>
      </w:r>
      <w:r w:rsidR="00456FFC" w:rsidRPr="008D12A0">
        <w:rPr>
          <w:rFonts w:cs="Arial"/>
        </w:rPr>
        <w:t>(</w:t>
      </w:r>
      <w:r w:rsidR="005175AB" w:rsidRPr="008D12A0">
        <w:rPr>
          <w:rFonts w:cs="Arial"/>
        </w:rPr>
        <w:t>“</w:t>
      </w:r>
      <w:r w:rsidR="00456FFC" w:rsidRPr="008D12A0">
        <w:rPr>
          <w:rFonts w:cs="Arial"/>
          <w:b/>
        </w:rPr>
        <w:t>Agenda</w:t>
      </w:r>
      <w:r w:rsidR="005175AB" w:rsidRPr="008D12A0">
        <w:rPr>
          <w:rFonts w:cs="Arial"/>
        </w:rPr>
        <w:t>”</w:t>
      </w:r>
      <w:r w:rsidR="00456FFC" w:rsidRPr="008D12A0">
        <w:rPr>
          <w:rFonts w:cs="Arial"/>
        </w:rPr>
        <w:t>)</w:t>
      </w:r>
      <w:r w:rsidR="00E120DE" w:rsidRPr="008D12A0">
        <w:rPr>
          <w:rFonts w:cs="Arial"/>
        </w:rPr>
        <w:t>, 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950822" w:rsidRPr="008D12A0">
        <w:rPr>
          <w:rFonts w:cs="Arial"/>
        </w:rPr>
        <w:t>30</w:t>
      </w:r>
      <w:r w:rsidR="009C32FB" w:rsidRPr="008D12A0">
        <w:rPr>
          <w:rFonts w:cs="Arial"/>
        </w:rPr>
        <w:t>% (</w:t>
      </w:r>
      <w:r w:rsidR="00950822" w:rsidRPr="008D12A0">
        <w:rPr>
          <w:rFonts w:cs="Arial"/>
        </w:rPr>
        <w:t xml:space="preserve">trinta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1"/>
      <w:r w:rsidR="009C32FB" w:rsidRPr="008D12A0">
        <w:rPr>
          <w:rFonts w:cs="Arial"/>
        </w:rPr>
        <w:t>.</w:t>
      </w:r>
      <w:r w:rsidR="005D0092" w:rsidRPr="008D12A0">
        <w:rPr>
          <w:rFonts w:cs="Arial"/>
        </w:rPr>
        <w:t xml:space="preserve"> </w:t>
      </w:r>
      <w:r w:rsidR="00893FF9" w:rsidRPr="008D12A0">
        <w:rPr>
          <w:rFonts w:cs="Arial"/>
          <w:b/>
        </w:rPr>
        <w:t>[</w:t>
      </w:r>
      <w:r w:rsidR="00353F71" w:rsidRPr="008D12A0">
        <w:rPr>
          <w:rFonts w:cs="Arial"/>
          <w:b/>
          <w:highlight w:val="yellow"/>
        </w:rPr>
        <w:t>NOTA PAVARINI</w:t>
      </w:r>
      <w:r w:rsidR="00893FF9" w:rsidRPr="008D12A0">
        <w:rPr>
          <w:rFonts w:cs="Arial"/>
          <w:b/>
          <w:highlight w:val="yellow"/>
        </w:rPr>
        <w:t xml:space="preserve">: </w:t>
      </w:r>
      <w:r w:rsidR="00404F49" w:rsidRPr="008D12A0">
        <w:rPr>
          <w:rFonts w:cs="Arial"/>
          <w:highlight w:val="yellow"/>
        </w:rPr>
        <w:t xml:space="preserve">Dúvida: </w:t>
      </w:r>
      <w:r w:rsidR="006909DE" w:rsidRPr="008D12A0">
        <w:rPr>
          <w:rFonts w:cs="Arial"/>
          <w:highlight w:val="yellow"/>
        </w:rPr>
        <w:t xml:space="preserve">Quando o direito creditório </w:t>
      </w:r>
      <w:r w:rsidR="003257C4" w:rsidRPr="008D12A0">
        <w:rPr>
          <w:rFonts w:cs="Arial"/>
          <w:highlight w:val="yellow"/>
        </w:rPr>
        <w:t xml:space="preserve">da Agenda </w:t>
      </w:r>
      <w:r w:rsidR="006909DE" w:rsidRPr="008D12A0">
        <w:rPr>
          <w:rFonts w:cs="Arial"/>
          <w:highlight w:val="yellow"/>
        </w:rPr>
        <w:t>é pago dentro do mês civil da Data Base o mesmo é computado em duplicidade par</w:t>
      </w:r>
      <w:r w:rsidR="00893FF9" w:rsidRPr="008D12A0">
        <w:rPr>
          <w:rFonts w:cs="Arial"/>
          <w:highlight w:val="yellow"/>
        </w:rPr>
        <w:t>a cômputo do Valor da Apuração?</w:t>
      </w:r>
      <w:r w:rsidR="00893FF9" w:rsidRPr="008D12A0">
        <w:rPr>
          <w:rFonts w:cs="Arial"/>
        </w:rPr>
        <w:t>]</w:t>
      </w:r>
      <w:r w:rsidR="00942ED4" w:rsidRPr="008D12A0">
        <w:rPr>
          <w:rFonts w:cs="Arial"/>
          <w:b/>
        </w:rPr>
        <w:t xml:space="preserve"> </w:t>
      </w:r>
      <w:r w:rsidR="00942ED4" w:rsidRPr="008D12A0">
        <w:rPr>
          <w:rFonts w:cs="Arial"/>
          <w:b/>
          <w:highlight w:val="yellow"/>
        </w:rPr>
        <w:t>[</w:t>
      </w:r>
      <w:r w:rsidR="00DF32A4" w:rsidRPr="008D12A0">
        <w:rPr>
          <w:rFonts w:cs="Arial"/>
          <w:b/>
          <w:highlight w:val="yellow"/>
        </w:rPr>
        <w:t xml:space="preserve">Nota </w:t>
      </w:r>
      <w:r w:rsidR="00942ED4" w:rsidRPr="008D12A0">
        <w:rPr>
          <w:rFonts w:cs="Arial"/>
          <w:b/>
          <w:highlight w:val="yellow"/>
        </w:rPr>
        <w:t xml:space="preserve">LDR: </w:t>
      </w:r>
      <w:r w:rsidR="00942ED4" w:rsidRPr="008D12A0">
        <w:rPr>
          <w:rFonts w:cs="Arial"/>
          <w:highlight w:val="yellow"/>
        </w:rPr>
        <w:t xml:space="preserve">Entendemos que a definição de “montante performado” não é necessária, mas não vemos prejuízo em </w:t>
      </w:r>
      <w:r w:rsidR="00632B0F" w:rsidRPr="008D12A0">
        <w:rPr>
          <w:rFonts w:cs="Arial"/>
          <w:highlight w:val="yellow"/>
        </w:rPr>
        <w:t xml:space="preserve">incluir, </w:t>
      </w:r>
      <w:r w:rsidR="00942ED4" w:rsidRPr="008D12A0">
        <w:rPr>
          <w:rFonts w:cs="Arial"/>
          <w:highlight w:val="yellow"/>
        </w:rPr>
        <w:t xml:space="preserve">se o agente fiduciário </w:t>
      </w:r>
      <w:r w:rsidR="00632B0F" w:rsidRPr="008D12A0">
        <w:rPr>
          <w:rFonts w:cs="Arial"/>
          <w:highlight w:val="yellow"/>
        </w:rPr>
        <w:t xml:space="preserve">assim </w:t>
      </w:r>
      <w:r w:rsidR="00942ED4" w:rsidRPr="008D12A0">
        <w:rPr>
          <w:rFonts w:cs="Arial"/>
          <w:highlight w:val="yellow"/>
        </w:rPr>
        <w:t xml:space="preserve">quiser. Além disso, </w:t>
      </w:r>
      <w:r w:rsidR="00DF32A4" w:rsidRPr="008D12A0">
        <w:rPr>
          <w:rFonts w:cs="Arial"/>
          <w:highlight w:val="yellow"/>
        </w:rPr>
        <w:t>ajustamos acima para prever que o direito creditório da Agenda decorre de compras que sejam efetivamente creditadas na conta dentro do mês civil da Data Base. Entendemos que desta forma não damos margem à duplicidade mencionada acima pelo agente fiduciário.</w:t>
      </w:r>
      <w:r w:rsidR="00942ED4" w:rsidRPr="008D12A0">
        <w:rPr>
          <w:rFonts w:cs="Arial"/>
          <w:highlight w:val="yellow"/>
        </w:rPr>
        <w:t>]</w:t>
      </w:r>
      <w:r w:rsidR="00845324" w:rsidRPr="008D12A0">
        <w:rPr>
          <w:rFonts w:cs="Arial"/>
        </w:rPr>
        <w:t xml:space="preserve"> </w:t>
      </w:r>
      <w:r w:rsidR="00845324" w:rsidRPr="008D12A0">
        <w:rPr>
          <w:rFonts w:cs="Arial"/>
          <w:b/>
          <w:highlight w:val="yellow"/>
        </w:rPr>
        <w:t>[NOTA LEFOSSE: PAVARINI, VEJA, POR FAVOR SE OS AJUSTES ATENDEM. EM RELAÇÃO A DEFINIÇÃO, MANTIVEMOS ELA SOMENTE NESTA CLÁUSULA DE DEFINIÇÕES ABAIXO]</w:t>
      </w:r>
    </w:p>
    <w:p w14:paraId="602374FE" w14:textId="0958C52D" w:rsidR="008739B9" w:rsidRPr="008D12A0" w:rsidRDefault="009635D0" w:rsidP="00A653ED">
      <w:pPr>
        <w:pStyle w:val="Level3"/>
        <w:spacing w:before="140" w:after="0"/>
      </w:pPr>
      <w:bookmarkStart w:id="44" w:name="_Ref286045658"/>
      <w:bookmarkStart w:id="45" w:name="_Ref279826754"/>
      <w:bookmarkStart w:id="46" w:name="_Ref280037962"/>
      <w:bookmarkStart w:id="47" w:name="_Ref285654268"/>
      <w:r w:rsidRPr="008D12A0">
        <w:t>Para os fins deste Contrato</w:t>
      </w:r>
      <w:r w:rsidR="008739B9" w:rsidRPr="008D12A0">
        <w:t>:</w:t>
      </w:r>
      <w:bookmarkEnd w:id="44"/>
      <w:r w:rsidR="00A02E6C" w:rsidRPr="008D12A0">
        <w:t xml:space="preserve"> </w:t>
      </w:r>
    </w:p>
    <w:p w14:paraId="4B4C0F3C" w14:textId="5A6F2B74" w:rsidR="00EB12BD" w:rsidRPr="008D12A0" w:rsidRDefault="005175AB" w:rsidP="00A653ED">
      <w:pPr>
        <w:pStyle w:val="Level4"/>
        <w:spacing w:before="140" w:after="0"/>
        <w:rPr>
          <w:rFonts w:cs="Arial"/>
        </w:rPr>
      </w:pPr>
      <w:bookmarkStart w:id="48" w:name="_Ref286779531"/>
      <w:r w:rsidRPr="008D12A0">
        <w:rPr>
          <w:rFonts w:cs="Arial"/>
        </w:rPr>
        <w:lastRenderedPageBreak/>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5E8CB193" w:rsidR="00B37425" w:rsidRPr="008D12A0" w:rsidRDefault="00EB12BD" w:rsidP="00A653ED">
      <w:pPr>
        <w:pStyle w:val="Level4"/>
        <w:spacing w:before="140" w:after="0"/>
        <w:rPr>
          <w:rFonts w:cs="Arial"/>
        </w:rPr>
      </w:pPr>
      <w:r w:rsidRPr="008D12A0">
        <w:rPr>
          <w:rFonts w:cs="Arial"/>
        </w:rPr>
        <w:t>“</w:t>
      </w:r>
      <w:r w:rsidRPr="008D12A0">
        <w:rPr>
          <w:rFonts w:cs="Arial"/>
          <w:b/>
        </w:rPr>
        <w:t>Montante Performado</w:t>
      </w:r>
      <w:r w:rsidRPr="008D12A0">
        <w:rPr>
          <w:rFonts w:cs="Arial"/>
        </w:rPr>
        <w:t>” significa</w:t>
      </w:r>
      <w:r w:rsidR="00DF32A4" w:rsidRPr="008D12A0">
        <w:rPr>
          <w:rFonts w:cs="Arial"/>
        </w:rPr>
        <w:t>,</w:t>
      </w:r>
      <w:r w:rsidRPr="008D12A0">
        <w:rPr>
          <w:rFonts w:cs="Arial"/>
        </w:rPr>
        <w:t xml:space="preserve"> </w:t>
      </w:r>
      <w:r w:rsidR="00DF32A4" w:rsidRPr="008D12A0">
        <w:rPr>
          <w:rFonts w:cs="Arial"/>
        </w:rPr>
        <w:t>em cada Data Base, o montante agregado mensal performado</w:t>
      </w:r>
      <w:r w:rsidR="00C10C12" w:rsidRPr="008D12A0">
        <w:rPr>
          <w:rFonts w:cs="Arial"/>
        </w:rPr>
        <w:t xml:space="preserve"> referente a compras efetuadas nos Estabelecimentos da Cedente com os Cartões</w:t>
      </w:r>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49"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49"/>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77777777"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p>
    <w:p w14:paraId="1FD63D74" w14:textId="1C4511DB" w:rsidR="00AA7DFE" w:rsidRPr="008D12A0" w:rsidRDefault="00AA7DFE" w:rsidP="00A653ED">
      <w:pPr>
        <w:pStyle w:val="Level3"/>
        <w:spacing w:before="140" w:after="0"/>
      </w:pPr>
      <w:bookmarkStart w:id="50" w:name="_Ref305076938"/>
      <w:bookmarkStart w:id="51" w:name="_Ref280038090"/>
      <w:bookmarkEnd w:id="45"/>
      <w:bookmarkEnd w:id="46"/>
      <w:bookmarkEnd w:id="47"/>
      <w:bookmarkEnd w:id="48"/>
      <w:r w:rsidRPr="008D12A0">
        <w:t xml:space="preserve">O Percentual da Cessão Fiduciária será </w:t>
      </w:r>
      <w:r w:rsidR="005B586B" w:rsidRPr="008D12A0">
        <w:t>apurado e verificado</w:t>
      </w:r>
      <w:r w:rsidRPr="008D12A0">
        <w:t xml:space="preserve"> da seguinte forma:</w:t>
      </w:r>
      <w:bookmarkEnd w:id="50"/>
      <w:r w:rsidR="00A02E6C" w:rsidRPr="008D12A0">
        <w:t xml:space="preserve"> </w:t>
      </w:r>
    </w:p>
    <w:p w14:paraId="79003B64" w14:textId="1E2AB1C4" w:rsidR="00B37425" w:rsidRPr="008D12A0" w:rsidRDefault="00B37425" w:rsidP="00A653ED">
      <w:pPr>
        <w:pStyle w:val="Level5"/>
        <w:tabs>
          <w:tab w:val="clear" w:pos="2721"/>
          <w:tab w:val="num" w:pos="2041"/>
        </w:tabs>
        <w:spacing w:before="140" w:after="0"/>
        <w:ind w:left="2041"/>
        <w:rPr>
          <w:rFonts w:cs="Arial"/>
        </w:rPr>
      </w:pPr>
      <w:bookmarkStart w:id="52" w:name="_Ref4532609"/>
      <w:r w:rsidRPr="008D12A0">
        <w:rPr>
          <w:rFonts w:cs="Arial"/>
        </w:rPr>
        <w:t>em cada Data Base</w:t>
      </w:r>
      <w:r w:rsidR="004779D7" w:rsidRPr="008D12A0">
        <w:rPr>
          <w:rFonts w:cs="Arial"/>
        </w:rPr>
        <w:t xml:space="preserve"> </w:t>
      </w:r>
      <w:r w:rsidR="00DF32A4" w:rsidRPr="008D12A0">
        <w:rPr>
          <w:rFonts w:cs="Arial"/>
        </w:rPr>
        <w:t>(</w:t>
      </w:r>
      <w:r w:rsidR="004779D7" w:rsidRPr="008D12A0">
        <w:rPr>
          <w:rFonts w:cs="Arial"/>
        </w:rPr>
        <w:t>ou diariamente enquanto estiver em curso um Evento de Retençao</w:t>
      </w:r>
      <w:r w:rsidR="00B66EF4" w:rsidRPr="008D12A0">
        <w:rPr>
          <w:rFonts w:cs="Arial"/>
        </w:rPr>
        <w:t xml:space="preserve"> (conforme abaixo definido)</w:t>
      </w:r>
      <w:r w:rsidR="00DF32A4" w:rsidRPr="008D12A0">
        <w:rPr>
          <w:rFonts w:cs="Arial"/>
        </w:rPr>
        <w:t>)</w:t>
      </w:r>
      <w:r w:rsidRPr="008D12A0">
        <w:rPr>
          <w:rFonts w:cs="Arial"/>
        </w:rPr>
        <w:t xml:space="preserve">, o </w:t>
      </w:r>
      <w:r w:rsidR="00CB693F" w:rsidRPr="008D12A0">
        <w:rPr>
          <w:rFonts w:cs="Arial"/>
        </w:rPr>
        <w:t>Banco Administrador</w:t>
      </w:r>
      <w:r w:rsidR="00E87EE4" w:rsidRPr="008D12A0">
        <w:rPr>
          <w:rFonts w:cs="Arial"/>
        </w:rPr>
        <w:t xml:space="preserve">, conforme estabelecido no Contrato </w:t>
      </w:r>
      <w:r w:rsidR="00B66EF4" w:rsidRPr="008D12A0">
        <w:rPr>
          <w:rFonts w:cs="Arial"/>
        </w:rPr>
        <w:t>de Administração de Contas (conforme abaixo definido)</w:t>
      </w:r>
      <w:r w:rsidRPr="008D12A0">
        <w:rPr>
          <w:rFonts w:cs="Arial"/>
        </w:rPr>
        <w:t xml:space="preserve"> deverá apurar o Valor de Apuração</w:t>
      </w:r>
      <w:r w:rsidR="00250E93" w:rsidRPr="008D12A0">
        <w:rPr>
          <w:rFonts w:cs="Arial"/>
        </w:rPr>
        <w:t xml:space="preserve">, sendo </w:t>
      </w:r>
      <w:r w:rsidR="007550A3" w:rsidRPr="008D12A0">
        <w:rPr>
          <w:rFonts w:cs="Arial"/>
        </w:rPr>
        <w:t xml:space="preserve">que </w:t>
      </w:r>
      <w:r w:rsidR="00250E93" w:rsidRPr="008D12A0">
        <w:rPr>
          <w:rFonts w:cs="Arial"/>
        </w:rPr>
        <w:t>a apuração</w:t>
      </w:r>
      <w:r w:rsidR="007550A3" w:rsidRPr="008D12A0">
        <w:rPr>
          <w:rFonts w:cs="Arial"/>
        </w:rPr>
        <w:t xml:space="preserve"> deverá ser realizada</w:t>
      </w:r>
      <w:r w:rsidR="00250E93" w:rsidRPr="008D12A0">
        <w:rPr>
          <w:rFonts w:cs="Arial"/>
        </w:rPr>
        <w:t xml:space="preserve"> </w:t>
      </w:r>
      <w:r w:rsidR="007550A3" w:rsidRPr="008D12A0">
        <w:rPr>
          <w:rFonts w:cs="Arial"/>
        </w:rPr>
        <w:t xml:space="preserve">considerando </w:t>
      </w:r>
      <w:r w:rsidR="00250E93" w:rsidRPr="008D12A0">
        <w:rPr>
          <w:rFonts w:cs="Arial"/>
        </w:rPr>
        <w:t>o primeiro Dia Útil d</w:t>
      </w:r>
      <w:r w:rsidR="007550A3" w:rsidRPr="008D12A0">
        <w:rPr>
          <w:rFonts w:cs="Arial"/>
        </w:rPr>
        <w:t>e cada</w:t>
      </w:r>
      <w:r w:rsidR="00250E93" w:rsidRPr="008D12A0">
        <w:rPr>
          <w:rFonts w:cs="Arial"/>
        </w:rPr>
        <w:t xml:space="preserve"> mês até a respectiva Data Base,</w:t>
      </w:r>
      <w:r w:rsidR="007550A3" w:rsidRPr="008D12A0">
        <w:rPr>
          <w:rFonts w:cs="Arial"/>
        </w:rPr>
        <w:t xml:space="preserve"> </w:t>
      </w:r>
      <w:r w:rsidRPr="008D12A0">
        <w:rPr>
          <w:rFonts w:cs="Arial"/>
        </w:rPr>
        <w:t>e encaminhar a informação ao Agente Fiduciário</w:t>
      </w:r>
      <w:r w:rsidR="0016581E" w:rsidRPr="008D12A0">
        <w:rPr>
          <w:rFonts w:cs="Arial"/>
        </w:rPr>
        <w:t xml:space="preserve"> até o </w:t>
      </w:r>
      <w:r w:rsidR="00B66EF4" w:rsidRPr="008D12A0">
        <w:rPr>
          <w:rFonts w:cs="Arial"/>
        </w:rPr>
        <w:t>5º (quinto)</w:t>
      </w:r>
      <w:r w:rsidR="0016581E" w:rsidRPr="008D12A0">
        <w:rPr>
          <w:rFonts w:cs="Arial"/>
        </w:rPr>
        <w:t xml:space="preserve"> </w:t>
      </w:r>
      <w:r w:rsidR="00B66EF4" w:rsidRPr="008D12A0">
        <w:rPr>
          <w:rFonts w:cs="Arial"/>
        </w:rPr>
        <w:t>D</w:t>
      </w:r>
      <w:r w:rsidR="0016581E" w:rsidRPr="008D12A0">
        <w:rPr>
          <w:rFonts w:cs="Arial"/>
        </w:rPr>
        <w:t xml:space="preserve">ia </w:t>
      </w:r>
      <w:r w:rsidR="00B66EF4" w:rsidRPr="008D12A0">
        <w:rPr>
          <w:rFonts w:cs="Arial"/>
        </w:rPr>
        <w:t>Ú</w:t>
      </w:r>
      <w:r w:rsidR="0016581E" w:rsidRPr="008D12A0">
        <w:rPr>
          <w:rFonts w:cs="Arial"/>
        </w:rPr>
        <w:t>til do mês subsequente ao mês da Data Base</w:t>
      </w:r>
      <w:r w:rsidRPr="008D12A0">
        <w:rPr>
          <w:rFonts w:cs="Arial"/>
        </w:rPr>
        <w:t>;</w:t>
      </w:r>
      <w:bookmarkEnd w:id="52"/>
      <w:r w:rsidR="006E4833" w:rsidRPr="008D12A0">
        <w:rPr>
          <w:rFonts w:cs="Arial"/>
        </w:rPr>
        <w:t xml:space="preserve"> </w:t>
      </w:r>
      <w:r w:rsidR="006E4833" w:rsidRPr="008D12A0">
        <w:rPr>
          <w:rFonts w:cs="Arial"/>
          <w:b/>
          <w:highlight w:val="yellow"/>
        </w:rPr>
        <w:t>[LDR: Lefosse, favor circular a minuta do contrato de administração de contas.]</w:t>
      </w:r>
      <w:r w:rsidR="00845324" w:rsidRPr="008D12A0">
        <w:rPr>
          <w:rFonts w:cs="Arial"/>
          <w:b/>
        </w:rPr>
        <w:t xml:space="preserve"> </w:t>
      </w:r>
      <w:r w:rsidR="00845324" w:rsidRPr="008D12A0">
        <w:rPr>
          <w:rFonts w:cs="Arial"/>
          <w:b/>
          <w:highlight w:val="green"/>
        </w:rPr>
        <w:t>[NOTA LEFOSSE: A MINUTA DO CONTRATO DE ADM DE CONTAS SEGUE UM MODELO DO BANCO ADMINISTRADOR. TIME BBI E BRADESCO, PODERIAM, POR FAVOR, VERIFICAR.]</w:t>
      </w:r>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53" w:name="_Ref8135560"/>
      <w:r w:rsidRPr="008D12A0">
        <w:rPr>
          <w:rFonts w:cs="Arial"/>
        </w:rPr>
        <w:t>após recebida a informação sobre o Valor da Apuração, o Agente Fiduciário deverá:</w:t>
      </w:r>
      <w:bookmarkEnd w:id="53"/>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54" w:name="_Ref404614471"/>
      <w:r w:rsidRPr="008D12A0">
        <w:rPr>
          <w:rFonts w:cs="Arial"/>
        </w:rPr>
        <w:t>apurar o Saldo Devedor das Debêntures, na Data Base;</w:t>
      </w:r>
      <w:bookmarkEnd w:id="54"/>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t>verificar se a Apuração do Percentual da Cessão Fiduciária calculado na Data Base é equivalente ou superior ao Percentual da Cessão Fiduciária; e</w:t>
      </w:r>
    </w:p>
    <w:p w14:paraId="46BB3CB7" w14:textId="77777777"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8D12A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4B8679F7" w:rsidR="00491694" w:rsidRPr="008D12A0" w:rsidRDefault="000C762B" w:rsidP="00A653ED">
      <w:pPr>
        <w:pStyle w:val="Level3"/>
        <w:spacing w:before="140" w:after="0"/>
      </w:pPr>
      <w:bookmarkStart w:id="55" w:name="_Ref304558865"/>
      <w:bookmarkEnd w:id="42"/>
      <w:bookmarkEnd w:id="43"/>
      <w:bookmarkEnd w:id="51"/>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w:t>
      </w:r>
      <w:r w:rsidR="00B66EF4" w:rsidRPr="008D12A0">
        <w:lastRenderedPageBreak/>
        <w:t xml:space="preserve">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235269">
        <w:t>3.1.2(b)</w:t>
      </w:r>
      <w:r w:rsidR="00845324" w:rsidRPr="008D12A0">
        <w:fldChar w:fldCharType="end"/>
      </w:r>
      <w:r w:rsidR="00845324" w:rsidRPr="008D12A0">
        <w:t xml:space="preserve"> </w:t>
      </w:r>
      <w:r w:rsidR="00B66EF4" w:rsidRPr="008D12A0">
        <w:t>acima</w:t>
      </w:r>
      <w:r w:rsidR="00491694" w:rsidRPr="008D12A0">
        <w:t xml:space="preserve">, </w:t>
      </w:r>
      <w:bookmarkStart w:id="56" w:name="_Ref131959547"/>
      <w:bookmarkStart w:id="57" w:name="_Ref130716047"/>
      <w:bookmarkStart w:id="58" w:name="_Ref169430001"/>
      <w:bookmarkStart w:id="59"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235269">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CB693F" w:rsidRPr="008D12A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235269">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55"/>
      <w:r w:rsidR="00323813" w:rsidRPr="008D12A0">
        <w:t xml:space="preserve"> </w:t>
      </w:r>
    </w:p>
    <w:p w14:paraId="79F41666" w14:textId="622C605C" w:rsidR="007105A6" w:rsidRPr="008D12A0" w:rsidRDefault="007105A6" w:rsidP="00A653ED">
      <w:pPr>
        <w:pStyle w:val="Level3"/>
        <w:spacing w:before="140" w:after="0"/>
      </w:pPr>
      <w:bookmarkStart w:id="60"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o </w:t>
      </w:r>
      <w:r w:rsidR="00CB693F" w:rsidRPr="008D12A0">
        <w:t>Banco Administrador</w:t>
      </w:r>
      <w:r w:rsidRPr="008D12A0">
        <w:t xml:space="preserve"> sobre o atendimento ao Percentual da Cessão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pelo Banco Administrador,</w:t>
      </w:r>
      <w:r w:rsidR="00574358" w:rsidRPr="008D12A0" w:rsidDel="00C04D56">
        <w:t xml:space="preserve"> </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CB693F" w:rsidRPr="008D12A0" w:rsidDel="00C04D56">
        <w:t>Banco Administrador</w:t>
      </w:r>
      <w:r w:rsidR="00574358" w:rsidRPr="008D12A0" w:rsidDel="00C04D56">
        <w:t xml:space="preserve"> cessar </w:t>
      </w:r>
      <w:r w:rsidR="00632B0F" w:rsidRPr="008D12A0">
        <w:t xml:space="preserve">imediatamente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235269">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o Banco Administrador 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235269">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60"/>
    </w:p>
    <w:p w14:paraId="240C4995" w14:textId="5B799DEF" w:rsidR="00D305E7" w:rsidRPr="00235269" w:rsidRDefault="0083791B" w:rsidP="00A653ED">
      <w:pPr>
        <w:pStyle w:val="Level3"/>
        <w:spacing w:before="140" w:after="0"/>
      </w:pPr>
      <w:bookmarkStart w:id="61"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235269">
        <w:t>3.1.3</w:t>
      </w:r>
      <w:r w:rsidR="002A2A9C" w:rsidRPr="00235269">
        <w:fldChar w:fldCharType="end"/>
      </w:r>
      <w:r w:rsidR="00C04D56" w:rsidRPr="00235269">
        <w:t xml:space="preserve"> acima: </w:t>
      </w:r>
    </w:p>
    <w:p w14:paraId="066F9CCB" w14:textId="77777777" w:rsidR="00C04D56" w:rsidRPr="00235269" w:rsidRDefault="00C04D56" w:rsidP="00A653ED">
      <w:pPr>
        <w:pStyle w:val="Level4"/>
        <w:spacing w:before="140" w:after="0"/>
        <w:rPr>
          <w:rFonts w:cs="Arial"/>
        </w:rPr>
      </w:pPr>
      <w:bookmarkStart w:id="62" w:name="_Ref312151673"/>
      <w:bookmarkStart w:id="63" w:name="_Ref282125455"/>
      <w:bookmarkStart w:id="64" w:name="_Ref280120340"/>
      <w:bookmarkStart w:id="65" w:name="_Ref337575805"/>
      <w:r w:rsidRPr="00235269">
        <w:rPr>
          <w:rFonts w:cs="Arial"/>
        </w:rPr>
        <w:t>apresentar ao Banco Administrador outros ativos, de natureza igual aos Créditos Cedidos Fiduciariamente, em valor suficiente para o atendimento ao Percentual da Cessão Fiduciária, os quais deverão:</w:t>
      </w:r>
      <w:bookmarkStart w:id="66" w:name="_Ref312151682"/>
      <w:bookmarkEnd w:id="62"/>
      <w:bookmarkEnd w:id="63"/>
      <w:bookmarkEnd w:id="64"/>
      <w:bookmarkEnd w:id="65"/>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como penhor, alienação fiduciária, cessão fiduciária, usufruto, fideicomisso, encargo, gravame ou ônus, judicial ou extrajudicial, voluntário 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p>
    <w:p w14:paraId="02DECC0D" w14:textId="77777777" w:rsidR="00C04D56" w:rsidRPr="00235269" w:rsidRDefault="00C04D56" w:rsidP="00A653ED">
      <w:pPr>
        <w:pStyle w:val="Level4"/>
        <w:spacing w:before="140" w:after="0"/>
        <w:rPr>
          <w:rFonts w:cs="Arial"/>
        </w:rPr>
      </w:pPr>
      <w:bookmarkStart w:id="67" w:name="_Ref337576629"/>
      <w:r w:rsidRPr="00235269">
        <w:rPr>
          <w:rFonts w:cs="Arial"/>
        </w:rPr>
        <w:t>depositar recursos na Conta Vinculada em valor suficiente para o atendimento ao Percentual da Cessão Fiduciária;</w:t>
      </w:r>
      <w:bookmarkEnd w:id="67"/>
      <w:r w:rsidR="002A2A9C" w:rsidRPr="00235269">
        <w:rPr>
          <w:rFonts w:cs="Arial"/>
        </w:rPr>
        <w:t xml:space="preserve"> </w:t>
      </w:r>
    </w:p>
    <w:bookmarkEnd w:id="66"/>
    <w:p w14:paraId="3846B9F5" w14:textId="77C520C4"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Banco Administrador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CB693F" w:rsidRPr="008D12A0">
        <w:t>Banco Administrador</w:t>
      </w:r>
      <w:r w:rsidR="00E12BBD" w:rsidRPr="008D12A0">
        <w:t xml:space="preserve"> </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235269">
        <w:t>4.6</w:t>
      </w:r>
      <w:r w:rsidR="00273C8E" w:rsidRPr="008D12A0">
        <w:fldChar w:fldCharType="end"/>
      </w:r>
      <w:r w:rsidR="00E12BBD" w:rsidRPr="008D12A0">
        <w:t xml:space="preserve"> abaixo.</w:t>
      </w:r>
      <w:bookmarkEnd w:id="61"/>
      <w:r w:rsidR="00C04D56" w:rsidRPr="008D12A0">
        <w:t xml:space="preserve"> </w:t>
      </w:r>
    </w:p>
    <w:p w14:paraId="0C58BE6E" w14:textId="2F174BB5" w:rsidR="0046676F" w:rsidRPr="008D12A0" w:rsidRDefault="00EE2571" w:rsidP="00A653ED">
      <w:pPr>
        <w:pStyle w:val="Level2"/>
        <w:spacing w:before="140" w:after="0"/>
        <w:rPr>
          <w:rFonts w:cs="Arial"/>
        </w:rPr>
      </w:pPr>
      <w:bookmarkStart w:id="68" w:name="_Ref288044089"/>
      <w:bookmarkStart w:id="69" w:name="_Ref404617350"/>
      <w:bookmarkStart w:id="70" w:name="_Ref286781272"/>
      <w:bookmarkEnd w:id="56"/>
      <w:bookmarkEnd w:id="57"/>
      <w:bookmarkEnd w:id="58"/>
      <w:bookmarkEnd w:id="59"/>
      <w:r w:rsidRPr="008D12A0">
        <w:rPr>
          <w:rFonts w:cs="Arial"/>
        </w:rPr>
        <w:lastRenderedPageBreak/>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71" w:name="_Ref288489313"/>
      <w:bookmarkEnd w:id="68"/>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71"/>
      <w:r w:rsidR="00551D8E" w:rsidRPr="008D12A0">
        <w:rPr>
          <w:rFonts w:cs="Arial"/>
        </w:rPr>
        <w:t>.</w:t>
      </w:r>
      <w:bookmarkEnd w:id="69"/>
      <w:r w:rsidR="00E1284B" w:rsidRPr="008D12A0">
        <w:rPr>
          <w:rFonts w:cs="Arial"/>
        </w:rPr>
        <w:t xml:space="preserve"> </w:t>
      </w:r>
    </w:p>
    <w:bookmarkEnd w:id="70"/>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72" w:name="_Ref285655351"/>
      <w:r w:rsidRPr="008D12A0">
        <w:rPr>
          <w:rFonts w:cs="Arial"/>
          <w:caps/>
          <w:sz w:val="20"/>
        </w:rPr>
        <w:t>Conta Vinculada</w:t>
      </w:r>
      <w:bookmarkEnd w:id="72"/>
    </w:p>
    <w:p w14:paraId="176FD12E" w14:textId="4AE41ED1" w:rsidR="00E549B7" w:rsidRPr="008D12A0" w:rsidRDefault="00E549B7" w:rsidP="00A653ED">
      <w:pPr>
        <w:pStyle w:val="Level2"/>
        <w:spacing w:before="140" w:after="0"/>
        <w:rPr>
          <w:rFonts w:cs="Arial"/>
        </w:rPr>
      </w:pPr>
      <w:bookmarkStart w:id="73"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73"/>
    </w:p>
    <w:p w14:paraId="37B8A0C3" w14:textId="7AB47564"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CB693F" w:rsidRPr="008D12A0">
        <w:rPr>
          <w:rFonts w:cs="Arial"/>
        </w:rPr>
        <w:t>Banco Administrador</w:t>
      </w:r>
      <w:r w:rsidRPr="008D12A0">
        <w:rPr>
          <w:rFonts w:cs="Arial"/>
        </w:rPr>
        <w:t xml:space="preserve"> 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845324" w:rsidRPr="008D12A0">
        <w:rPr>
          <w:rFonts w:cs="Arial"/>
          <w:highlight w:val="green"/>
        </w:rPr>
        <w:t>[</w:t>
      </w:r>
      <w:r w:rsidR="009E3B3F" w:rsidRPr="008D12A0">
        <w:rPr>
          <w:rFonts w:cs="Arial"/>
          <w:highlight w:val="green"/>
        </w:rPr>
        <w:t>, com exceção dos depósitos</w:t>
      </w:r>
      <w:r w:rsidR="00E0667F" w:rsidRPr="008D12A0">
        <w:rPr>
          <w:rFonts w:cs="Arial"/>
          <w:highlight w:val="green"/>
        </w:rPr>
        <w:t xml:space="preserve"> mencionados na Cláusula </w:t>
      </w:r>
      <w:r w:rsidR="00845324" w:rsidRPr="008D12A0">
        <w:rPr>
          <w:rFonts w:cs="Arial"/>
          <w:highlight w:val="green"/>
        </w:rPr>
        <w:fldChar w:fldCharType="begin"/>
      </w:r>
      <w:r w:rsidR="00845324" w:rsidRPr="008D12A0">
        <w:rPr>
          <w:rFonts w:cs="Arial"/>
          <w:highlight w:val="green"/>
        </w:rPr>
        <w:instrText xml:space="preserve"> REF _Ref337576629 \r \h  \* MERGEFORMAT </w:instrText>
      </w:r>
      <w:r w:rsidR="00845324" w:rsidRPr="008D12A0">
        <w:rPr>
          <w:rFonts w:cs="Arial"/>
          <w:highlight w:val="green"/>
        </w:rPr>
      </w:r>
      <w:r w:rsidR="00845324" w:rsidRPr="008D12A0">
        <w:rPr>
          <w:rFonts w:cs="Arial"/>
          <w:highlight w:val="green"/>
        </w:rPr>
        <w:fldChar w:fldCharType="separate"/>
      </w:r>
      <w:r w:rsidR="00235269">
        <w:rPr>
          <w:rFonts w:cs="Arial"/>
          <w:highlight w:val="green"/>
        </w:rPr>
        <w:t>3.1.5(ii)</w:t>
      </w:r>
      <w:r w:rsidR="00845324" w:rsidRPr="008D12A0">
        <w:rPr>
          <w:rFonts w:cs="Arial"/>
          <w:highlight w:val="green"/>
        </w:rPr>
        <w:fldChar w:fldCharType="end"/>
      </w:r>
      <w:r w:rsidR="00E0667F" w:rsidRPr="008D12A0">
        <w:rPr>
          <w:rFonts w:cs="Arial"/>
          <w:highlight w:val="green"/>
        </w:rPr>
        <w:t>.</w:t>
      </w:r>
      <w:r w:rsidR="00845324" w:rsidRPr="008D12A0">
        <w:rPr>
          <w:rFonts w:cs="Arial"/>
          <w:highlight w:val="green"/>
        </w:rPr>
        <w:t>]</w:t>
      </w:r>
      <w:r w:rsidR="00845324" w:rsidRPr="008D12A0">
        <w:rPr>
          <w:rFonts w:cs="Arial"/>
        </w:rPr>
        <w:t xml:space="preserve"> [</w:t>
      </w:r>
      <w:r w:rsidR="00845324" w:rsidRPr="008D12A0">
        <w:rPr>
          <w:rFonts w:cs="Arial"/>
          <w:b/>
          <w:highlight w:val="green"/>
        </w:rPr>
        <w:t>NOTA LEFOSSE: A CONTA VINCULADA (POR SUA NATUREZA) E CONSEQUENTEMENTE OS RECURSOS NELA DEPOSITADOS NÃO SÃO MOVIMENTÁVEIS PELA CIA EM QUALQUER HIPÓTESE. UMA VEZ DEPOSITADOS NA CONTA, TAIS RECURSOS FICAM ATRELADOS A GARANTIA E DEVERÃO SER LIBERADOS À CEDENTE DA MESMA FORMA QUE OS RECURSOS QUE DECORREM]</w:t>
      </w:r>
      <w:r w:rsidR="00845324" w:rsidRPr="008D12A0">
        <w:rPr>
          <w:rFonts w:cs="Arial"/>
          <w:b/>
        </w:rPr>
        <w:t xml:space="preserve"> </w:t>
      </w:r>
      <w:r w:rsidRPr="008D12A0">
        <w:rPr>
          <w:rFonts w:cs="Arial"/>
          <w:b/>
        </w:rPr>
        <w:t xml:space="preserve"> </w:t>
      </w:r>
    </w:p>
    <w:p w14:paraId="40FC2485" w14:textId="10DA8639"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CB693F" w:rsidRPr="008D12A0">
        <w:rPr>
          <w:rFonts w:cs="Arial"/>
        </w:rPr>
        <w:t>Banco Administrador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CB693F" w:rsidRPr="008D12A0">
        <w:rPr>
          <w:rFonts w:cs="Arial"/>
        </w:rPr>
        <w:t>Banco Administrador</w:t>
      </w:r>
      <w:r w:rsidR="000C762B" w:rsidRPr="008D12A0">
        <w:rPr>
          <w:rFonts w:cs="Arial"/>
        </w:rPr>
        <w:t xml:space="preserve"> 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235269">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235269">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74"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74"/>
    </w:p>
    <w:p w14:paraId="5918A028" w14:textId="77777777" w:rsidR="00324DF7" w:rsidRPr="008D12A0" w:rsidRDefault="00324DF7" w:rsidP="00A653ED">
      <w:pPr>
        <w:pStyle w:val="Level2"/>
        <w:spacing w:before="140" w:after="0"/>
        <w:rPr>
          <w:rFonts w:cs="Arial"/>
          <w:i/>
        </w:rPr>
      </w:pPr>
      <w:bookmarkStart w:id="75" w:name="_Ref285655225"/>
      <w:bookmarkStart w:id="76" w:name="_Ref304906744"/>
      <w:bookmarkStart w:id="77" w:name="_Ref130637882"/>
      <w:bookmarkStart w:id="78" w:name="_Ref197411614"/>
      <w:r w:rsidRPr="008D12A0">
        <w:rPr>
          <w:rFonts w:cs="Arial"/>
          <w:i/>
        </w:rPr>
        <w:t xml:space="preserve">Trava de Domicilio Bancário </w:t>
      </w:r>
    </w:p>
    <w:p w14:paraId="20C4F2AE" w14:textId="77777777" w:rsidR="00245FCD" w:rsidRPr="008D12A0" w:rsidRDefault="00245FCD" w:rsidP="00A653ED">
      <w:pPr>
        <w:pStyle w:val="Level3"/>
        <w:spacing w:before="140" w:after="0"/>
      </w:pPr>
      <w:bookmarkStart w:id="79" w:name="_Ref404617259"/>
      <w:bookmarkEnd w:id="75"/>
      <w:bookmarkEnd w:id="76"/>
      <w:r w:rsidRPr="008D12A0">
        <w:t xml:space="preserve">Nos termos do </w:t>
      </w:r>
      <w:r w:rsidR="005175AB" w:rsidRPr="008D12A0">
        <w:t>“</w:t>
      </w:r>
      <w:r w:rsidR="00B95CB5" w:rsidRPr="008D12A0">
        <w:rPr>
          <w:i/>
        </w:rPr>
        <w:t>Acordo</w:t>
      </w:r>
      <w:r w:rsidR="002828A6" w:rsidRPr="008D12A0">
        <w:rPr>
          <w:i/>
        </w:rPr>
        <w:t xml:space="preserve"> de Manutenção de Domicílio Bancário</w:t>
      </w:r>
      <w:r w:rsidR="005175AB" w:rsidRPr="008D12A0">
        <w:t>”</w:t>
      </w:r>
      <w:r w:rsidR="001A4D4B" w:rsidRPr="008D12A0">
        <w:t xml:space="preserve">, celebrado entre a </w:t>
      </w:r>
      <w:r w:rsidR="007E6BFA" w:rsidRPr="008D12A0">
        <w:t>Cedente</w:t>
      </w:r>
      <w:r w:rsidR="001A4D4B" w:rsidRPr="008D12A0">
        <w:t xml:space="preserve"> e</w:t>
      </w:r>
      <w:r w:rsidR="00C550C1" w:rsidRPr="008D12A0">
        <w:t xml:space="preserve"> o </w:t>
      </w:r>
      <w:r w:rsidR="00CB693F" w:rsidRPr="008D12A0">
        <w:t>Banco Administrador</w:t>
      </w:r>
      <w:r w:rsidR="00C550C1" w:rsidRPr="008D12A0">
        <w:t xml:space="preserve"> (</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ser transferidos por cada uma das Credenciadoras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235269">
        <w:t>4.5.2</w:t>
      </w:r>
      <w:r w:rsidR="00AE2C88" w:rsidRPr="008D12A0">
        <w:fldChar w:fldCharType="end"/>
      </w:r>
      <w:r w:rsidRPr="008D12A0">
        <w:t xml:space="preserve"> abaixo, serão </w:t>
      </w:r>
      <w:r w:rsidR="0003435F" w:rsidRPr="008D12A0">
        <w:lastRenderedPageBreak/>
        <w:t xml:space="preserve">arcados </w:t>
      </w:r>
      <w:r w:rsidR="00C550C1" w:rsidRPr="008D12A0">
        <w:t>única e exclusivamente pela Cedente</w:t>
      </w:r>
      <w:r w:rsidR="0003435F" w:rsidRPr="008D12A0">
        <w:t>, desde que devidamente comprovados e estritamente necessários</w:t>
      </w:r>
      <w:r w:rsidRPr="008D12A0">
        <w:t>.</w:t>
      </w:r>
      <w:bookmarkEnd w:id="79"/>
    </w:p>
    <w:p w14:paraId="3E9EB003" w14:textId="2A5BFC72" w:rsidR="00F1204D" w:rsidRPr="008D12A0" w:rsidRDefault="00F1204D" w:rsidP="00A653ED">
      <w:pPr>
        <w:pStyle w:val="Level3"/>
        <w:spacing w:before="140" w:after="0"/>
      </w:pPr>
      <w:bookmarkStart w:id="80"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235269">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80"/>
    </w:p>
    <w:p w14:paraId="68D342C5" w14:textId="25F05CAF"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235269">
        <w:t>4.5.1</w:t>
      </w:r>
      <w:r w:rsidR="0072584C" w:rsidRPr="008D12A0">
        <w:fldChar w:fldCharType="end"/>
      </w:r>
      <w:r w:rsidRPr="008D12A0">
        <w:t xml:space="preserve"> acima, a Cedente não poderá alterar seu domicílio bancário junto às Credenciadoras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CB693F" w:rsidRPr="008D12A0">
        <w:t>Banco Administrador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às Credenciadoras até a liquidação integral das Obrigações Garantidas.</w:t>
      </w:r>
    </w:p>
    <w:p w14:paraId="0BB57E0D" w14:textId="77777777"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às Credenciadoras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CB693F" w:rsidRPr="008D12A0">
        <w:t>Banco Administrador</w:t>
      </w:r>
      <w:r w:rsidRPr="008D12A0">
        <w:t>.</w:t>
      </w:r>
    </w:p>
    <w:p w14:paraId="4CB15D36" w14:textId="164A8EFB" w:rsidR="00A015C5" w:rsidRPr="008D12A0" w:rsidRDefault="00413F2D" w:rsidP="00A653ED">
      <w:pPr>
        <w:pStyle w:val="Level3"/>
        <w:spacing w:before="140" w:after="0"/>
      </w:pPr>
      <w:bookmarkStart w:id="81" w:name="_Ref305082668"/>
      <w:bookmarkStart w:id="82" w:name="_Ref304906747"/>
      <w:bookmarkStart w:id="83"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81"/>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235269">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CB693F" w:rsidRPr="008D12A0">
        <w:t>Banco Administrador</w:t>
      </w:r>
      <w:r w:rsidRPr="008D12A0">
        <w:t xml:space="preserve"> 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 </w:t>
      </w:r>
      <w:r w:rsidR="009A5C4B" w:rsidRPr="008D12A0">
        <w:rPr>
          <w:highlight w:val="yellow"/>
        </w:rPr>
        <w:t>[</w:t>
      </w:r>
      <w:r w:rsidR="009A5C4B" w:rsidRPr="008D12A0">
        <w:rPr>
          <w:highlight w:val="yellow"/>
        </w:rPr>
        <w:sym w:font="Symbol" w:char="F0B7"/>
      </w:r>
      <w:r w:rsidR="009A5C4B" w:rsidRPr="008D12A0">
        <w:rPr>
          <w:highlight w:val="yellow"/>
        </w:rPr>
        <w:t>]</w:t>
      </w:r>
      <w:r w:rsidRPr="008D12A0">
        <w:t>, mantida na agência n.º </w:t>
      </w:r>
      <w:r w:rsidR="009A5C4B" w:rsidRPr="008D12A0">
        <w:rPr>
          <w:highlight w:val="yellow"/>
        </w:rPr>
        <w:t>[</w:t>
      </w:r>
      <w:r w:rsidR="009A5C4B" w:rsidRPr="008D12A0">
        <w:rPr>
          <w:highlight w:val="yellow"/>
        </w:rPr>
        <w:sym w:font="Symbol" w:char="F0B7"/>
      </w:r>
      <w:r w:rsidR="009A5C4B" w:rsidRPr="008D12A0">
        <w:rPr>
          <w:highlight w:val="yellow"/>
        </w:rPr>
        <w:t>]</w:t>
      </w:r>
      <w:r w:rsidRPr="008D12A0">
        <w:t xml:space="preserve">, do </w:t>
      </w:r>
      <w:r w:rsidR="00CB693F" w:rsidRPr="008D12A0">
        <w:t>Banco Administrador</w:t>
      </w:r>
      <w:r w:rsidR="003073CB" w:rsidRPr="008D12A0">
        <w:t xml:space="preserve"> 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até as </w:t>
      </w:r>
      <w:r w:rsidR="009335A0" w:rsidRPr="008D12A0">
        <w:t>[</w:t>
      </w:r>
      <w:r w:rsidRPr="008D12A0">
        <w:rPr>
          <w:highlight w:val="yellow"/>
        </w:rPr>
        <w:t>12h</w:t>
      </w:r>
      <w:r w:rsidR="00E2705D" w:rsidRPr="008D12A0">
        <w:rPr>
          <w:highlight w:val="yellow"/>
        </w:rPr>
        <w:t>s</w:t>
      </w:r>
      <w:r w:rsidRPr="008D12A0">
        <w:rPr>
          <w:highlight w:val="yellow"/>
        </w:rPr>
        <w:t xml:space="preserve"> (horário de Brasília)</w:t>
      </w:r>
      <w:r w:rsidR="009335A0" w:rsidRPr="008D12A0">
        <w:t>]</w:t>
      </w:r>
      <w:r w:rsidRPr="008D12A0">
        <w:t xml:space="preserve">, no mesmo dia de seu recebimento, sendo os </w:t>
      </w:r>
      <w:r w:rsidR="007672BD" w:rsidRPr="008D12A0">
        <w:t xml:space="preserve">recursos </w:t>
      </w:r>
      <w:r w:rsidRPr="008D12A0">
        <w:t>recebidos após o referido horário transferidos no Dia Útil imediatamente subsequente</w:t>
      </w:r>
      <w:r w:rsidR="0032343C" w:rsidRPr="008D12A0">
        <w:t>, não sendo necessária instrução do Agente Fiduciário para este caso</w:t>
      </w:r>
      <w:r w:rsidRPr="008D12A0">
        <w:t xml:space="preserve">. Os recursos transferidos para a Conta Movimento, nos termos desta Cláusula, serão de livre e exclusiva movimentação e utilização pela </w:t>
      </w:r>
      <w:r w:rsidR="007E6AE2" w:rsidRPr="008D12A0">
        <w:t>Cedente</w:t>
      </w:r>
      <w:bookmarkEnd w:id="82"/>
      <w:r w:rsidR="00BF79AA" w:rsidRPr="008D12A0">
        <w:t>.</w:t>
      </w:r>
      <w:r w:rsidR="00F12573" w:rsidRPr="008D12A0">
        <w:t xml:space="preserve"> </w:t>
      </w:r>
      <w:r w:rsidR="009335A0" w:rsidRPr="008D12A0">
        <w:rPr>
          <w:b/>
          <w:highlight w:val="yellow"/>
        </w:rPr>
        <w:t>[NOTA LEFOSSE: PENDENTE DE CONFIRMAÇÃO POR PARTE DO BANCO DEPOSITÁRIO]</w:t>
      </w:r>
      <w:bookmarkEnd w:id="83"/>
    </w:p>
    <w:p w14:paraId="4B51CC10" w14:textId="2FDD3315" w:rsidR="00E549B7" w:rsidRPr="008D12A0" w:rsidRDefault="00E549B7" w:rsidP="00A653ED">
      <w:pPr>
        <w:pStyle w:val="Level2"/>
        <w:spacing w:before="140" w:after="0"/>
        <w:rPr>
          <w:rFonts w:cs="Arial"/>
        </w:rPr>
      </w:pPr>
      <w:bookmarkStart w:id="84" w:name="_Ref130638033"/>
      <w:bookmarkEnd w:id="77"/>
      <w:bookmarkEnd w:id="78"/>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o </w:t>
      </w:r>
      <w:r w:rsidR="00CB693F" w:rsidRPr="008D12A0">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CB693F" w:rsidRPr="008D12A0">
        <w:rPr>
          <w:rFonts w:cs="Arial"/>
        </w:rPr>
        <w:t>Banco Administrador</w:t>
      </w:r>
      <w:r w:rsidR="0016277B" w:rsidRPr="008D12A0">
        <w:rPr>
          <w:rFonts w:cs="Arial"/>
        </w:rPr>
        <w:t>, na mesma data de recebimento da notificação ou, caso a notificação tenha sido recebida após as 12h</w:t>
      </w:r>
      <w:r w:rsidR="00E2705D" w:rsidRPr="008D12A0">
        <w:rPr>
          <w:rFonts w:cs="Arial"/>
        </w:rPr>
        <w:t>s</w:t>
      </w:r>
      <w:r w:rsidR="0016277B" w:rsidRPr="008D12A0">
        <w:rPr>
          <w:rFonts w:cs="Arial"/>
        </w:rPr>
        <w:t xml:space="preserve"> (horário de Brasília), no Dia Útil subsequente à data de recebimento da notificação,</w:t>
      </w:r>
      <w:r w:rsidR="00A57BD4" w:rsidRPr="008D12A0">
        <w:rPr>
          <w:rFonts w:cs="Arial"/>
        </w:rPr>
        <w:t xml:space="preserve"> 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o </w:t>
      </w:r>
      <w:r w:rsidR="00CB693F" w:rsidRPr="008D12A0">
        <w:rPr>
          <w:rFonts w:cs="Arial"/>
        </w:rPr>
        <w:t>Banco Administrador</w:t>
      </w:r>
      <w:r w:rsidRPr="008D12A0">
        <w:rPr>
          <w:rFonts w:cs="Arial"/>
        </w:rPr>
        <w:t xml:space="preserve"> 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84"/>
    </w:p>
    <w:p w14:paraId="1C0E6DC9" w14:textId="393C3F4D" w:rsidR="00AB63E5" w:rsidRPr="008D12A0" w:rsidRDefault="00E549B7" w:rsidP="00A653ED">
      <w:pPr>
        <w:pStyle w:val="Level6"/>
        <w:tabs>
          <w:tab w:val="clear" w:pos="3402"/>
          <w:tab w:val="left" w:pos="2041"/>
        </w:tabs>
        <w:spacing w:before="140" w:after="0"/>
        <w:ind w:left="2042"/>
        <w:rPr>
          <w:rFonts w:cs="Arial"/>
        </w:rPr>
      </w:pPr>
      <w:bookmarkStart w:id="85" w:name="_Ref286954458"/>
      <w:bookmarkStart w:id="86" w:name="_Ref130716765"/>
      <w:bookmarkStart w:id="87" w:name="_Ref130716742"/>
      <w:r w:rsidRPr="008D12A0">
        <w:rPr>
          <w:rFonts w:cs="Arial"/>
        </w:rPr>
        <w:t xml:space="preserve">não atendimento, pela </w:t>
      </w:r>
      <w:r w:rsidR="007E6AE2" w:rsidRPr="008D12A0">
        <w:rPr>
          <w:rFonts w:cs="Arial"/>
        </w:rPr>
        <w:t>Cedente</w:t>
      </w:r>
      <w:r w:rsidRPr="008D12A0">
        <w:rPr>
          <w:rFonts w:cs="Arial"/>
        </w:rPr>
        <w:t xml:space="preserve">, do </w:t>
      </w:r>
      <w:r w:rsidR="008739B9" w:rsidRPr="008D12A0">
        <w:rPr>
          <w:rFonts w:cs="Arial"/>
        </w:rPr>
        <w:t>Percentual da Cessão Fiduciária</w:t>
      </w:r>
      <w:r w:rsidR="006E4833" w:rsidRPr="008D12A0">
        <w:rPr>
          <w:rFonts w:cs="Arial"/>
        </w:rPr>
        <w:t>,</w:t>
      </w:r>
      <w:r w:rsidR="003F178E" w:rsidRPr="008D12A0">
        <w:rPr>
          <w:rFonts w:cs="Arial"/>
        </w:rPr>
        <w:t xml:space="preserve"> </w:t>
      </w:r>
      <w:r w:rsidR="006E4833" w:rsidRPr="008D12A0">
        <w:rPr>
          <w:rFonts w:cs="Arial"/>
        </w:rPr>
        <w:t xml:space="preserve">nos termos da Cláusula </w:t>
      </w:r>
      <w:r w:rsidR="00845324" w:rsidRPr="008D12A0">
        <w:rPr>
          <w:rFonts w:cs="Arial"/>
        </w:rPr>
        <w:fldChar w:fldCharType="begin"/>
      </w:r>
      <w:r w:rsidR="00845324" w:rsidRPr="008D12A0">
        <w:rPr>
          <w:rFonts w:cs="Arial"/>
        </w:rPr>
        <w:instrText xml:space="preserve"> REF _Ref304558865 \r \h </w:instrText>
      </w:r>
      <w:r w:rsidR="008D12A0" w:rsidRPr="008D12A0">
        <w:rPr>
          <w:rFonts w:cs="Arial"/>
        </w:rPr>
        <w:instrText xml:space="preserve"> \* MERGEFORMAT </w:instrText>
      </w:r>
      <w:r w:rsidR="00845324" w:rsidRPr="008D12A0">
        <w:rPr>
          <w:rFonts w:cs="Arial"/>
        </w:rPr>
      </w:r>
      <w:r w:rsidR="00845324" w:rsidRPr="008D12A0">
        <w:rPr>
          <w:rFonts w:cs="Arial"/>
        </w:rPr>
        <w:fldChar w:fldCharType="separate"/>
      </w:r>
      <w:r w:rsidR="00235269">
        <w:rPr>
          <w:rFonts w:cs="Arial"/>
        </w:rPr>
        <w:t>3.1.3</w:t>
      </w:r>
      <w:r w:rsidR="00845324" w:rsidRPr="008D12A0">
        <w:rPr>
          <w:rFonts w:cs="Arial"/>
        </w:rPr>
        <w:fldChar w:fldCharType="end"/>
      </w:r>
      <w:r w:rsidR="00845324" w:rsidRPr="008D12A0">
        <w:rPr>
          <w:rFonts w:cs="Arial"/>
        </w:rPr>
        <w:t xml:space="preserve"> </w:t>
      </w:r>
      <w:r w:rsidR="006E4833" w:rsidRPr="008D12A0">
        <w:rPr>
          <w:rFonts w:cs="Arial"/>
        </w:rPr>
        <w:t>acima</w:t>
      </w:r>
      <w:r w:rsidR="005210BA" w:rsidRPr="008D12A0">
        <w:rPr>
          <w:rFonts w:cs="Arial"/>
        </w:rPr>
        <w:t>;</w:t>
      </w:r>
      <w:bookmarkStart w:id="88" w:name="_Ref305601900"/>
      <w:bookmarkStart w:id="89" w:name="_Ref286954459"/>
      <w:bookmarkEnd w:id="85"/>
      <w:r w:rsidR="00953F57" w:rsidRPr="008D12A0">
        <w:rPr>
          <w:rFonts w:cs="Arial"/>
        </w:rPr>
        <w:t xml:space="preserve"> </w:t>
      </w:r>
      <w:r w:rsidR="00AB63E5" w:rsidRPr="008D12A0">
        <w:rPr>
          <w:rFonts w:cs="Arial"/>
        </w:rPr>
        <w:t>ou</w:t>
      </w:r>
      <w:bookmarkEnd w:id="88"/>
    </w:p>
    <w:p w14:paraId="7096880A" w14:textId="26CBFD4C" w:rsidR="00E549B7" w:rsidRPr="008D12A0" w:rsidRDefault="00E549B7" w:rsidP="00A653ED">
      <w:pPr>
        <w:pStyle w:val="Level6"/>
        <w:tabs>
          <w:tab w:val="clear" w:pos="3402"/>
          <w:tab w:val="left" w:pos="2041"/>
        </w:tabs>
        <w:spacing w:before="140" w:after="0"/>
        <w:ind w:left="2042"/>
        <w:rPr>
          <w:rFonts w:cs="Arial"/>
        </w:rPr>
      </w:pPr>
      <w:bookmarkStart w:id="90" w:name="_Ref286954462"/>
      <w:bookmarkEnd w:id="86"/>
      <w:bookmarkEnd w:id="89"/>
      <w:r w:rsidRPr="008D12A0">
        <w:rPr>
          <w:rFonts w:cs="Arial"/>
        </w:rPr>
        <w:lastRenderedPageBreak/>
        <w:t xml:space="preserve">ocorrência de um Evento de </w:t>
      </w:r>
      <w:bookmarkEnd w:id="87"/>
      <w:r w:rsidR="003F178E" w:rsidRPr="008D12A0">
        <w:rPr>
          <w:rFonts w:cs="Arial"/>
        </w:rPr>
        <w:t>Vencimento Antecipado</w:t>
      </w:r>
      <w:r w:rsidR="0090413D" w:rsidRPr="008D12A0">
        <w:rPr>
          <w:rFonts w:cs="Arial"/>
        </w:rPr>
        <w:t xml:space="preserve">, nos termos </w:t>
      </w:r>
      <w:r w:rsidR="006E4833" w:rsidRPr="008D12A0">
        <w:rPr>
          <w:rFonts w:cs="Arial"/>
        </w:rPr>
        <w:t xml:space="preserve">deste Contrato e/ou </w:t>
      </w:r>
      <w:r w:rsidR="0090413D" w:rsidRPr="008D12A0">
        <w:rPr>
          <w:rFonts w:cs="Arial"/>
        </w:rPr>
        <w:t>da Escritura de Emissão</w:t>
      </w:r>
      <w:r w:rsidRPr="008D12A0">
        <w:rPr>
          <w:rFonts w:cs="Arial"/>
        </w:rPr>
        <w:t>.</w:t>
      </w:r>
      <w:bookmarkEnd w:id="90"/>
    </w:p>
    <w:p w14:paraId="59EDE789" w14:textId="6B88D736"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235269">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235269">
        <w:t>3.1.5</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7220B66" w:rsidR="003650AF" w:rsidRPr="008D12A0" w:rsidRDefault="003650AF" w:rsidP="00A653ED">
      <w:pPr>
        <w:pStyle w:val="Level3"/>
        <w:spacing w:before="140" w:after="0"/>
      </w:pPr>
      <w:bookmarkStart w:id="91"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235269">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CB693F" w:rsidRPr="008D12A0">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91"/>
    </w:p>
    <w:p w14:paraId="035BCA36" w14:textId="77777777"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77777777"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p>
    <w:p w14:paraId="225EA123" w14:textId="77777777" w:rsidR="00BF79AA" w:rsidRPr="008D12A0" w:rsidRDefault="00BF79AA" w:rsidP="00A653ED">
      <w:pPr>
        <w:pStyle w:val="Level1"/>
        <w:spacing w:before="140" w:after="0"/>
        <w:rPr>
          <w:rFonts w:cs="Arial"/>
          <w:caps/>
          <w:sz w:val="20"/>
        </w:rPr>
      </w:pPr>
      <w:bookmarkStart w:id="92" w:name="_Ref404618997"/>
      <w:bookmarkStart w:id="93" w:name="_Ref130638143"/>
      <w:bookmarkStart w:id="94" w:name="_Ref279456054"/>
      <w:r w:rsidRPr="008D12A0">
        <w:rPr>
          <w:rFonts w:cs="Arial"/>
          <w:caps/>
          <w:sz w:val="20"/>
        </w:rPr>
        <w:t>Cobrança dos Direitos Creditórios</w:t>
      </w:r>
      <w:bookmarkEnd w:id="92"/>
    </w:p>
    <w:p w14:paraId="235889DE" w14:textId="7026A2B9"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235269">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mandatária dos </w:t>
      </w:r>
      <w:r w:rsidR="004618C8" w:rsidRPr="008D12A0">
        <w:rPr>
          <w:rFonts w:cs="Arial"/>
        </w:rPr>
        <w:t>Debenturistas</w:t>
      </w:r>
      <w:r w:rsidRPr="008D12A0">
        <w:rPr>
          <w:rFonts w:cs="Arial"/>
        </w:rPr>
        <w:t xml:space="preserve"> e do </w:t>
      </w:r>
      <w:r w:rsidR="00CB693F" w:rsidRPr="008D12A0">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77777777"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do </w:t>
      </w:r>
      <w:r w:rsidR="00CB693F" w:rsidRPr="008D12A0">
        <w:rPr>
          <w:rFonts w:cs="Arial"/>
        </w:rPr>
        <w:t>Banco Administrador</w:t>
      </w:r>
      <w:r w:rsidRPr="008D12A0">
        <w:rPr>
          <w:rFonts w:cs="Arial"/>
        </w:rPr>
        <w:t xml:space="preserve"> 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6246157A" w:rsidR="00B05410" w:rsidRPr="008D12A0" w:rsidRDefault="00660910" w:rsidP="00A653ED">
      <w:pPr>
        <w:pStyle w:val="Level1"/>
        <w:spacing w:before="140" w:after="0"/>
        <w:rPr>
          <w:rFonts w:cs="Arial"/>
          <w:sz w:val="20"/>
        </w:rPr>
      </w:pPr>
      <w:bookmarkStart w:id="95" w:name="_Ref404614634"/>
      <w:r w:rsidRPr="008D12A0">
        <w:rPr>
          <w:rFonts w:cs="Arial"/>
          <w:sz w:val="20"/>
        </w:rPr>
        <w:lastRenderedPageBreak/>
        <w:t xml:space="preserve">EXCUSSÃO DA </w:t>
      </w:r>
      <w:bookmarkEnd w:id="93"/>
      <w:r w:rsidRPr="008D12A0">
        <w:rPr>
          <w:rFonts w:cs="Arial"/>
          <w:sz w:val="20"/>
        </w:rPr>
        <w:t>CESSÃO FIDUCIÁRIA</w:t>
      </w:r>
      <w:bookmarkEnd w:id="94"/>
      <w:bookmarkEnd w:id="95"/>
    </w:p>
    <w:p w14:paraId="5E8F4C10" w14:textId="153D7FEE" w:rsidR="003B737D" w:rsidRPr="008D12A0" w:rsidRDefault="00B05410" w:rsidP="00A653ED">
      <w:pPr>
        <w:pStyle w:val="Level2"/>
        <w:spacing w:before="140" w:after="0"/>
        <w:rPr>
          <w:rFonts w:cs="Arial"/>
        </w:rPr>
      </w:pPr>
      <w:bookmarkStart w:id="96"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 xml:space="preserve">Evento de Vencimento Antecipado (conforme definido na Escritrua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235269">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CB693F" w:rsidRPr="008D12A0">
        <w:rPr>
          <w:rFonts w:cs="Arial"/>
        </w:rPr>
        <w:t>Banco Administrador</w:t>
      </w:r>
      <w:r w:rsidRPr="008D12A0">
        <w:rPr>
          <w:rFonts w:cs="Arial"/>
        </w:rPr>
        <w:t xml:space="preserve"> 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3E8E5139"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96"/>
      <w:r w:rsidR="00E2326A" w:rsidRPr="008D12A0">
        <w:t xml:space="preserve"> </w:t>
      </w:r>
    </w:p>
    <w:p w14:paraId="731DEB04" w14:textId="01D8239E" w:rsidR="00393224" w:rsidRPr="008D12A0" w:rsidRDefault="00B05410" w:rsidP="00A653ED">
      <w:pPr>
        <w:pStyle w:val="Level2"/>
        <w:spacing w:before="140" w:after="0"/>
        <w:rPr>
          <w:rFonts w:cs="Arial"/>
        </w:rPr>
      </w:pPr>
      <w:bookmarkStart w:id="97"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235269">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235269">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lastRenderedPageBreak/>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7F803A6D" w:rsidR="00B05410" w:rsidRPr="008D12A0" w:rsidRDefault="009D745A" w:rsidP="00A653ED">
      <w:pPr>
        <w:pStyle w:val="Level2"/>
        <w:spacing w:before="140" w:after="0"/>
        <w:rPr>
          <w:rFonts w:cs="Arial"/>
        </w:rPr>
      </w:pPr>
      <w:bookmarkStart w:id="98"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235269">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235269">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97"/>
      <w:bookmarkEnd w:id="98"/>
    </w:p>
    <w:p w14:paraId="64D510D9" w14:textId="62E363E7" w:rsidR="00B05410" w:rsidRPr="008D12A0" w:rsidRDefault="00B05410" w:rsidP="00A653ED">
      <w:pPr>
        <w:pStyle w:val="Level2"/>
        <w:spacing w:before="140" w:after="0"/>
        <w:rPr>
          <w:rFonts w:cs="Arial"/>
        </w:rPr>
      </w:pPr>
      <w:bookmarkStart w:id="99"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99"/>
    </w:p>
    <w:p w14:paraId="5CF42F1F" w14:textId="754E57B0" w:rsidR="00B05410" w:rsidRPr="008D12A0" w:rsidRDefault="00B05410" w:rsidP="00A653ED">
      <w:pPr>
        <w:pStyle w:val="Level2"/>
        <w:spacing w:before="140" w:after="0"/>
        <w:rPr>
          <w:rFonts w:cs="Arial"/>
        </w:rPr>
      </w:pPr>
      <w:bookmarkStart w:id="100"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235269">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 xml:space="preserve">o </w:t>
      </w:r>
      <w:r w:rsidR="00CB693F" w:rsidRPr="008D12A0">
        <w:rPr>
          <w:rFonts w:cs="Arial"/>
        </w:rPr>
        <w:t>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00"/>
    </w:p>
    <w:p w14:paraId="1EC08D62" w14:textId="1428338C" w:rsidR="00EB400C" w:rsidRPr="008D12A0" w:rsidRDefault="00EB400C" w:rsidP="00A653ED">
      <w:pPr>
        <w:pStyle w:val="Level1"/>
        <w:spacing w:before="140" w:after="0"/>
        <w:rPr>
          <w:rFonts w:cs="Arial"/>
          <w:caps/>
          <w:sz w:val="20"/>
        </w:rPr>
      </w:pPr>
      <w:bookmarkStart w:id="101" w:name="_Ref404618255"/>
      <w:r w:rsidRPr="008D12A0">
        <w:rPr>
          <w:rFonts w:cs="Arial"/>
          <w:caps/>
          <w:sz w:val="20"/>
        </w:rPr>
        <w:t>Manutenção e Reforço da Garantia</w:t>
      </w:r>
      <w:bookmarkEnd w:id="101"/>
    </w:p>
    <w:p w14:paraId="5BFCA943" w14:textId="5986F0F3"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w:t>
      </w:r>
      <w:r w:rsidRPr="008D12A0">
        <w:rPr>
          <w:rFonts w:cs="Arial"/>
        </w:rPr>
        <w:lastRenderedPageBreak/>
        <w:t xml:space="preserve">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235269">
        <w:rPr>
          <w:rFonts w:cs="Arial"/>
        </w:rPr>
        <w:t>6</w:t>
      </w:r>
      <w:r w:rsidR="0032761F" w:rsidRPr="008D12A0">
        <w:rPr>
          <w:rFonts w:cs="Arial"/>
        </w:rPr>
        <w:fldChar w:fldCharType="end"/>
      </w:r>
      <w:r w:rsidRPr="008D12A0">
        <w:rPr>
          <w:rFonts w:cs="Arial"/>
        </w:rPr>
        <w:t xml:space="preserve"> do presente Contrato. </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02"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02"/>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77777777" w:rsidR="00CC1FCC" w:rsidRPr="008D12A0" w:rsidRDefault="00CC1FCC"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CB693F" w:rsidRPr="008D12A0">
        <w:rPr>
          <w:rFonts w:cs="Arial"/>
        </w:rPr>
        <w:t>Banco Administrador</w:t>
      </w:r>
      <w:r w:rsidR="00CE4F58" w:rsidRPr="008D12A0">
        <w:rPr>
          <w:rFonts w:cs="Arial"/>
        </w:rPr>
        <w:t xml:space="preserve"> como se fosse signatário original deste Contrato</w:t>
      </w:r>
      <w:r w:rsidRPr="008D12A0">
        <w:rPr>
          <w:rFonts w:cs="Arial"/>
        </w:rPr>
        <w:t xml:space="preserve">, garantindo-lhe o pleno e irrestrito exercício de todos os direitos e </w:t>
      </w:r>
      <w:r w:rsidRPr="008D12A0">
        <w:rPr>
          <w:rFonts w:cs="Arial"/>
        </w:rPr>
        <w:lastRenderedPageBreak/>
        <w:t xml:space="preserve">prerrogativas atribuídos ao </w:t>
      </w:r>
      <w:r w:rsidR="00CB693F" w:rsidRPr="008D12A0">
        <w:rPr>
          <w:rFonts w:cs="Arial"/>
        </w:rPr>
        <w:t>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28D6776A" w:rsidR="00442818" w:rsidRPr="008D12A0" w:rsidRDefault="00E62D0C" w:rsidP="00A653ED">
      <w:pPr>
        <w:pStyle w:val="Level4"/>
        <w:tabs>
          <w:tab w:val="clear" w:pos="2041"/>
          <w:tab w:val="num" w:pos="1361"/>
        </w:tabs>
        <w:spacing w:before="140" w:after="0"/>
        <w:ind w:left="1360"/>
        <w:rPr>
          <w:rFonts w:cs="Arial"/>
        </w:rPr>
      </w:pPr>
      <w:bookmarkStart w:id="103" w:name="_Ref287628688"/>
      <w:bookmarkStart w:id="104" w:name="_Ref130638698"/>
      <w:bookmarkStart w:id="105"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235269">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 xml:space="preserve">o </w:t>
      </w:r>
      <w:r w:rsidR="00CB693F" w:rsidRPr="008D12A0">
        <w:rPr>
          <w:rFonts w:cs="Arial"/>
        </w:rPr>
        <w:t>Banco Administrador</w:t>
      </w:r>
      <w:r w:rsidR="00442818" w:rsidRPr="008D12A0">
        <w:rPr>
          <w:rFonts w:cs="Arial"/>
        </w:rPr>
        <w:t>;</w:t>
      </w:r>
      <w:bookmarkEnd w:id="103"/>
    </w:p>
    <w:p w14:paraId="1DAE5D74" w14:textId="77777777" w:rsidR="006E541F" w:rsidRPr="008D12A0" w:rsidRDefault="006E541F" w:rsidP="00A653ED">
      <w:pPr>
        <w:pStyle w:val="Level4"/>
        <w:tabs>
          <w:tab w:val="clear" w:pos="2041"/>
          <w:tab w:val="num" w:pos="1361"/>
        </w:tabs>
        <w:spacing w:before="140" w:after="0"/>
        <w:ind w:left="1360"/>
        <w:rPr>
          <w:rFonts w:cs="Arial"/>
        </w:rPr>
      </w:pPr>
      <w:bookmarkStart w:id="106"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CB693F" w:rsidRPr="008D12A0">
        <w:rPr>
          <w:rFonts w:cs="Arial"/>
        </w:rPr>
        <w:t>Banco Administrador</w:t>
      </w:r>
      <w:r w:rsidRPr="008D12A0">
        <w:rPr>
          <w:rFonts w:cs="Arial"/>
        </w:rPr>
        <w:t xml:space="preserve"> 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CB693F" w:rsidRPr="008D12A0">
        <w:rPr>
          <w:rFonts w:cs="Arial"/>
        </w:rPr>
        <w:t>Banco Administrador</w:t>
      </w:r>
      <w:r w:rsidR="009F72E7" w:rsidRPr="008D12A0">
        <w:rPr>
          <w:rFonts w:cs="Arial"/>
        </w:rPr>
        <w:t xml:space="preserve">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w:t>
      </w:r>
      <w:bookmarkEnd w:id="106"/>
    </w:p>
    <w:p w14:paraId="4543E1B0" w14:textId="2CE91CCC" w:rsidR="00442818" w:rsidRPr="008D12A0" w:rsidRDefault="00442818" w:rsidP="00A653ED">
      <w:pPr>
        <w:pStyle w:val="Level4"/>
        <w:tabs>
          <w:tab w:val="clear" w:pos="2041"/>
          <w:tab w:val="num" w:pos="1361"/>
        </w:tabs>
        <w:spacing w:before="140" w:after="0"/>
        <w:ind w:left="1360"/>
        <w:rPr>
          <w:rFonts w:cs="Arial"/>
        </w:rPr>
      </w:pPr>
      <w:bookmarkStart w:id="107" w:name="_Ref242293988"/>
      <w:bookmarkEnd w:id="104"/>
      <w:bookmarkEnd w:id="105"/>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07"/>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77777777"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xml:space="preserve">, sem a prévia e expressa autorização do </w:t>
      </w:r>
      <w:r w:rsidR="00CB693F" w:rsidRPr="008D12A0">
        <w:rPr>
          <w:rFonts w:cs="Arial"/>
        </w:rPr>
        <w:t>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77777777"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CB693F" w:rsidRPr="008D12A0">
        <w:rPr>
          <w:rFonts w:cs="Arial"/>
        </w:rPr>
        <w:t>Banco Administrador</w:t>
      </w:r>
      <w:r w:rsidRPr="008D12A0">
        <w:rPr>
          <w:rFonts w:cs="Arial"/>
        </w:rPr>
        <w:t xml:space="preserve"> e ao </w:t>
      </w:r>
      <w:r w:rsidR="00AA05E5" w:rsidRPr="008D12A0">
        <w:rPr>
          <w:rFonts w:cs="Arial"/>
        </w:rPr>
        <w:t>Agente Fiduciário</w:t>
      </w:r>
      <w:r w:rsidRPr="008D12A0">
        <w:rPr>
          <w:rFonts w:cs="Arial"/>
        </w:rPr>
        <w:t xml:space="preserve"> qualquer atraso no repasse pela(s) Credenciadora(s) dos valores relativos a qualquer dos Recebíveis </w:t>
      </w:r>
      <w:r w:rsidR="004C4313" w:rsidRPr="008D12A0">
        <w:rPr>
          <w:rFonts w:cs="Arial"/>
        </w:rPr>
        <w:t>dos Cartões</w:t>
      </w:r>
      <w:r w:rsidRPr="008D12A0">
        <w:rPr>
          <w:rFonts w:cs="Arial"/>
        </w:rPr>
        <w:t>;</w:t>
      </w:r>
    </w:p>
    <w:p w14:paraId="7DD11DD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lastRenderedPageBreak/>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 xml:space="preserve">o </w:t>
      </w:r>
      <w:r w:rsidR="00CB693F" w:rsidRPr="008D12A0">
        <w:rPr>
          <w:rFonts w:cs="Arial"/>
        </w:rPr>
        <w:t>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CB693F" w:rsidRPr="008D12A0">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77777777"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 </w:t>
      </w:r>
      <w:r w:rsidR="00CB693F" w:rsidRPr="008D12A0">
        <w:rPr>
          <w:rFonts w:cs="Arial"/>
        </w:rPr>
        <w:t>Banco Administrador</w:t>
      </w:r>
      <w:r w:rsidRPr="008D12A0">
        <w:rPr>
          <w:rFonts w:cs="Arial"/>
        </w:rPr>
        <w:t xml:space="preserve"> quaisquer comunicações ou notificações eventualmente recebidas da(s) Credenciadora(s),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303A" w:rsidRPr="008D12A0">
        <w:rPr>
          <w:rFonts w:cs="Arial"/>
        </w:rPr>
        <w:t>Visa</w:t>
      </w:r>
      <w:r w:rsidR="00B203B2" w:rsidRPr="008D12A0">
        <w:rPr>
          <w:rFonts w:cs="Arial"/>
        </w:rPr>
        <w:t xml:space="preserve"> e</w:t>
      </w:r>
      <w:r w:rsidR="003E303A" w:rsidRPr="008D12A0">
        <w:rPr>
          <w:rFonts w:cs="Arial"/>
        </w:rPr>
        <w:t xml:space="preserve"> Mastercard</w:t>
      </w:r>
      <w:r w:rsidRPr="008D12A0">
        <w:rPr>
          <w:rFonts w:cs="Arial"/>
        </w:rPr>
        <w:t xml:space="preserve">; e (c) recebimento de </w:t>
      </w:r>
      <w:r w:rsidRPr="008D12A0">
        <w:rPr>
          <w:rFonts w:cs="Arial"/>
        </w:rPr>
        <w:lastRenderedPageBreak/>
        <w:t xml:space="preserve">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77777777"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à(s) Credenciadora(s)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pela(s) Credenciadora(s)</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5AECB91B"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235269">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235269">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235269">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08" w:name="_Ref167637353"/>
      <w:bookmarkStart w:id="109" w:name="_Ref404619028"/>
      <w:r w:rsidRPr="008D12A0">
        <w:rPr>
          <w:rFonts w:cs="Arial"/>
          <w:caps/>
          <w:sz w:val="20"/>
        </w:rPr>
        <w:t>Declarações da</w:t>
      </w:r>
      <w:bookmarkEnd w:id="108"/>
      <w:r w:rsidR="009C0227" w:rsidRPr="008D12A0">
        <w:rPr>
          <w:rFonts w:cs="Arial"/>
          <w:caps/>
          <w:sz w:val="20"/>
        </w:rPr>
        <w:t xml:space="preserve"> </w:t>
      </w:r>
      <w:r w:rsidR="007E6AE2" w:rsidRPr="008D12A0">
        <w:rPr>
          <w:rFonts w:cs="Arial"/>
          <w:caps/>
          <w:sz w:val="20"/>
        </w:rPr>
        <w:t>Cedente</w:t>
      </w:r>
      <w:bookmarkEnd w:id="109"/>
    </w:p>
    <w:p w14:paraId="7802F8F0" w14:textId="106183E7" w:rsidR="00B05410" w:rsidRPr="008D12A0" w:rsidRDefault="00B05410" w:rsidP="00A653ED">
      <w:pPr>
        <w:pStyle w:val="Level2"/>
        <w:spacing w:before="140" w:after="0"/>
        <w:rPr>
          <w:rFonts w:cs="Arial"/>
        </w:rPr>
      </w:pPr>
      <w:bookmarkStart w:id="110" w:name="_Ref167629721"/>
      <w:bookmarkStart w:id="111"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10"/>
      <w:bookmarkEnd w:id="111"/>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12" w:name="_Ref130639684"/>
      <w:r w:rsidRPr="008D12A0">
        <w:rPr>
          <w:rFonts w:cs="Arial"/>
        </w:rPr>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7772C1AD" w14:textId="77777777" w:rsidR="00FD79C0" w:rsidRPr="008D12A0" w:rsidRDefault="00FD79C0" w:rsidP="00A653ED">
      <w:pPr>
        <w:pStyle w:val="Level4"/>
        <w:tabs>
          <w:tab w:val="clear" w:pos="2041"/>
          <w:tab w:val="num" w:pos="1361"/>
        </w:tabs>
        <w:spacing w:before="140" w:after="0"/>
        <w:ind w:left="1360"/>
        <w:rPr>
          <w:rFonts w:cs="Arial"/>
        </w:rPr>
      </w:pPr>
      <w:r w:rsidRPr="008D12A0">
        <w:rPr>
          <w:rFonts w:cs="Arial"/>
        </w:rPr>
        <w:lastRenderedPageBreak/>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lastRenderedPageBreak/>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r w:rsidRPr="008D12A0">
        <w:rPr>
          <w:rFonts w:cs="Arial"/>
        </w:rPr>
        <w:t>o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4686316D"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235269">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368247CB" w14:textId="2522FCAA" w:rsidR="00B05410" w:rsidRPr="008D12A0" w:rsidRDefault="005E3C3F" w:rsidP="00A653ED">
      <w:pPr>
        <w:pStyle w:val="Level4"/>
        <w:tabs>
          <w:tab w:val="clear" w:pos="2041"/>
          <w:tab w:val="num" w:pos="1361"/>
        </w:tabs>
        <w:spacing w:before="140" w:after="0"/>
        <w:ind w:left="1360"/>
        <w:rPr>
          <w:rFonts w:cs="Arial"/>
          <w:lang w:eastAsia="zh-CN" w:bidi="hi-IN"/>
        </w:rPr>
      </w:pPr>
      <w:bookmarkStart w:id="113"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235269">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13"/>
    </w:p>
    <w:p w14:paraId="3F09189A" w14:textId="4A43C5F9"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sidDel="00826A61">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235269">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12"/>
    <w:p w14:paraId="3AD7443A" w14:textId="250EAE7C"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235269">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14"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F489A65"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235269">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5F57FC3E"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235269">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4D74B169" w:rsidR="006E1BA0" w:rsidRPr="008D12A0" w:rsidRDefault="006E1BA0" w:rsidP="00A653ED">
      <w:pPr>
        <w:pStyle w:val="Level4"/>
        <w:tabs>
          <w:tab w:val="clear" w:pos="2041"/>
          <w:tab w:val="num" w:pos="1361"/>
        </w:tabs>
        <w:spacing w:before="140" w:after="0"/>
        <w:ind w:left="1360"/>
        <w:rPr>
          <w:rFonts w:cs="Arial"/>
        </w:rPr>
      </w:pPr>
      <w:r w:rsidRPr="008D12A0">
        <w:rPr>
          <w:rFonts w:cs="Arial"/>
        </w:rPr>
        <w:lastRenderedPageBreak/>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235269">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10C6EFA6"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235269">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77777777" w:rsidR="0040352B" w:rsidRPr="008D12A0" w:rsidRDefault="00C672B2" w:rsidP="00A653ED">
      <w:pPr>
        <w:pStyle w:val="Level4"/>
        <w:tabs>
          <w:tab w:val="clear" w:pos="2041"/>
          <w:tab w:val="num" w:pos="1361"/>
        </w:tabs>
        <w:spacing w:before="140" w:after="0"/>
        <w:ind w:left="1360"/>
        <w:rPr>
          <w:rFonts w:cs="Arial"/>
        </w:rPr>
      </w:pPr>
      <w:r w:rsidRPr="008D12A0">
        <w:rPr>
          <w:rFonts w:cs="Arial"/>
        </w:rPr>
        <w:t xml:space="preserve">não dar ao </w:t>
      </w:r>
      <w:r w:rsidR="00CB693F" w:rsidRPr="008D12A0">
        <w:rPr>
          <w:rFonts w:cs="Arial"/>
        </w:rPr>
        <w:t>Banco Administrador</w:t>
      </w:r>
      <w:r w:rsidR="00470A6F" w:rsidRPr="008D12A0">
        <w:rPr>
          <w:rFonts w:cs="Arial"/>
        </w:rPr>
        <w:t xml:space="preserve"> </w:t>
      </w:r>
      <w:r w:rsidRPr="008D12A0">
        <w:rPr>
          <w:rFonts w:cs="Arial"/>
        </w:rPr>
        <w:t>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o representante lega</w:t>
      </w:r>
      <w:r w:rsidR="00F46C5B" w:rsidRPr="008D12A0">
        <w:rPr>
          <w:rFonts w:cs="Arial"/>
        </w:rPr>
        <w:t>l</w:t>
      </w:r>
      <w:r w:rsidRPr="008D12A0">
        <w:rPr>
          <w:rFonts w:cs="Arial"/>
        </w:rPr>
        <w:t xml:space="preserve"> do </w:t>
      </w:r>
      <w:r w:rsidR="00D01763" w:rsidRPr="008D12A0">
        <w:rPr>
          <w:rFonts w:cs="Arial"/>
        </w:rPr>
        <w:t>Agente Fiduciário</w:t>
      </w:r>
      <w:r w:rsidRPr="008D12A0">
        <w:rPr>
          <w:rFonts w:cs="Arial"/>
        </w:rPr>
        <w:t xml:space="preserve"> que assina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5252E88F" w14:textId="77777777" w:rsidR="0003163D" w:rsidRPr="008D12A0" w:rsidRDefault="0003163D" w:rsidP="00A653ED">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77777777" w:rsidR="0072648C" w:rsidRPr="008D12A0" w:rsidRDefault="0072648C" w:rsidP="00A653ED">
      <w:pPr>
        <w:pStyle w:val="Level1"/>
        <w:spacing w:before="140" w:after="0"/>
        <w:rPr>
          <w:rFonts w:cs="Arial"/>
          <w:sz w:val="20"/>
        </w:rPr>
      </w:pPr>
      <w:bookmarkStart w:id="115" w:name="_Ref520109333"/>
      <w:bookmarkStart w:id="116" w:name="_Ref287979295"/>
      <w:bookmarkEnd w:id="114"/>
      <w:r w:rsidRPr="008D12A0">
        <w:rPr>
          <w:rFonts w:cs="Arial"/>
          <w:sz w:val="20"/>
        </w:rPr>
        <w:t>BANCO ADMINISTRADOR</w:t>
      </w:r>
      <w:bookmarkEnd w:id="115"/>
    </w:p>
    <w:p w14:paraId="7EDC3ACA" w14:textId="6793E8A6" w:rsidR="0072648C" w:rsidRPr="008D12A0" w:rsidRDefault="0072648C" w:rsidP="00A653ED">
      <w:pPr>
        <w:pStyle w:val="Level2"/>
        <w:spacing w:before="140" w:after="0"/>
        <w:rPr>
          <w:rFonts w:cs="Arial"/>
        </w:rPr>
      </w:pPr>
      <w:r w:rsidRPr="008D12A0">
        <w:rPr>
          <w:rFonts w:cs="Arial"/>
        </w:rPr>
        <w:t>O Banco Administrador deverá movimentar a Conta Vinculada de acordo com o previsto no “</w:t>
      </w:r>
      <w:r w:rsidRPr="008D12A0">
        <w:rPr>
          <w:rFonts w:cs="Arial"/>
          <w:i/>
        </w:rPr>
        <w:t>Contrato de Prestação de Serviços de Depositário</w:t>
      </w:r>
      <w:r w:rsidRPr="008D12A0">
        <w:rPr>
          <w:rFonts w:cs="Arial"/>
        </w:rPr>
        <w:t xml:space="preserve">” celebrado, em </w:t>
      </w:r>
      <w:r w:rsidRPr="008D12A0">
        <w:rPr>
          <w:rFonts w:cs="Arial"/>
          <w:highlight w:val="yellow"/>
        </w:rPr>
        <w:t>[</w:t>
      </w:r>
      <w:r w:rsidRPr="008D12A0">
        <w:rPr>
          <w:rFonts w:cs="Arial"/>
          <w:highlight w:val="yellow"/>
        </w:rPr>
        <w:sym w:font="Symbol" w:char="F0B7"/>
      </w:r>
      <w:r w:rsidRPr="008D12A0">
        <w:rPr>
          <w:rFonts w:cs="Arial"/>
          <w:highlight w:val="yellow"/>
        </w:rPr>
        <w:t>]</w:t>
      </w:r>
      <w:r w:rsidRPr="008D12A0">
        <w:rPr>
          <w:rFonts w:cs="Arial"/>
        </w:rPr>
        <w:t xml:space="preserve"> de </w:t>
      </w:r>
      <w:r w:rsidR="005714AE" w:rsidRPr="008D12A0">
        <w:rPr>
          <w:rFonts w:cs="Arial"/>
        </w:rPr>
        <w:t xml:space="preserve">maio </w:t>
      </w:r>
      <w:r w:rsidRPr="008D12A0">
        <w:rPr>
          <w:rFonts w:cs="Arial"/>
        </w:rPr>
        <w:t>de 201</w:t>
      </w:r>
      <w:r w:rsidR="001C0FCA" w:rsidRPr="008D12A0">
        <w:rPr>
          <w:rFonts w:cs="Arial"/>
        </w:rPr>
        <w:t>9</w:t>
      </w:r>
      <w:r w:rsidRPr="008D12A0">
        <w:rPr>
          <w:rFonts w:cs="Arial"/>
        </w:rPr>
        <w:t>, entre a Cedente e o Banco Administrador,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p>
    <w:p w14:paraId="61C86392" w14:textId="69BEE95F" w:rsidR="00B05410" w:rsidRPr="008D12A0" w:rsidRDefault="00B05410" w:rsidP="00A653ED">
      <w:pPr>
        <w:pStyle w:val="Level1"/>
        <w:spacing w:before="140" w:after="0"/>
        <w:rPr>
          <w:rFonts w:cs="Arial"/>
          <w:caps/>
          <w:sz w:val="20"/>
        </w:rPr>
      </w:pPr>
      <w:r w:rsidRPr="008D12A0">
        <w:rPr>
          <w:rFonts w:cs="Arial"/>
          <w:caps/>
          <w:sz w:val="20"/>
        </w:rPr>
        <w:t>Comunicações</w:t>
      </w:r>
      <w:bookmarkEnd w:id="116"/>
    </w:p>
    <w:p w14:paraId="5FA0D28C" w14:textId="1948024B" w:rsidR="00385615" w:rsidRPr="008D12A0" w:rsidRDefault="00385615" w:rsidP="00A653ED">
      <w:pPr>
        <w:pStyle w:val="Level2"/>
        <w:spacing w:before="140" w:after="0"/>
        <w:rPr>
          <w:rFonts w:cs="Arial"/>
        </w:rPr>
      </w:pPr>
      <w:bookmarkStart w:id="117"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w:t>
      </w:r>
      <w:r w:rsidRPr="008D12A0">
        <w:rPr>
          <w:rFonts w:cs="Arial"/>
        </w:rPr>
        <w:lastRenderedPageBreak/>
        <w:t xml:space="preserve">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17"/>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3518352C" w14:textId="1A923151" w:rsidR="005714AE" w:rsidRPr="008D12A0" w:rsidRDefault="005714AE" w:rsidP="00AD4E75">
      <w:pPr>
        <w:pStyle w:val="Level1"/>
        <w:keepNext w:val="0"/>
        <w:widowControl w:val="0"/>
        <w:numPr>
          <w:ilvl w:val="0"/>
          <w:numId w:val="0"/>
        </w:numPr>
        <w:spacing w:before="140" w:after="0"/>
        <w:ind w:left="1276"/>
        <w:jc w:val="left"/>
        <w:rPr>
          <w:rFonts w:cs="Arial"/>
          <w:b w:val="0"/>
          <w:sz w:val="20"/>
        </w:rPr>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7" w:history="1">
        <w:r w:rsidRPr="008D12A0">
          <w:rPr>
            <w:rFonts w:cs="Arial"/>
            <w:b w:val="0"/>
            <w:sz w:val="20"/>
          </w:rPr>
          <w:t>marcelo.moreno@atakarejo.com.br</w:t>
        </w:r>
      </w:hyperlink>
      <w:r w:rsidRPr="008D12A0" w:rsidDel="00C42C55">
        <w:rPr>
          <w:rFonts w:cs="Arial"/>
          <w:b w:val="0"/>
          <w:sz w:val="20"/>
        </w:rPr>
        <w:t xml:space="preserve"> </w:t>
      </w:r>
    </w:p>
    <w:p w14:paraId="1935B657" w14:textId="478E31C5" w:rsidR="003F6714" w:rsidRPr="008D12A0" w:rsidRDefault="00C82F0E" w:rsidP="00A653ED">
      <w:pPr>
        <w:pStyle w:val="Body2"/>
        <w:spacing w:before="140" w:after="0"/>
      </w:pPr>
      <w:r w:rsidRPr="008D12A0">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01F606D2" w14:textId="77777777" w:rsidR="00E74FAA" w:rsidRPr="008D12A0" w:rsidRDefault="00E74FAA" w:rsidP="00A653ED">
      <w:pPr>
        <w:pStyle w:val="Body2"/>
        <w:spacing w:before="140" w:after="0"/>
        <w:rPr>
          <w:highlight w:val="yellow"/>
        </w:rPr>
      </w:pPr>
      <w:r w:rsidRPr="008D12A0">
        <w:rPr>
          <w:b/>
        </w:rPr>
        <w:t>SIMPLIFIC PAVARINI DISTRIBUIDORA DE TÍTULOS E VALORES MOBILIÁRIOS LTDA.</w:t>
      </w:r>
      <w:r w:rsidRPr="008D12A0">
        <w:rPr>
          <w:highlight w:val="yellow"/>
        </w:rPr>
        <w:t xml:space="preserve"> </w:t>
      </w:r>
    </w:p>
    <w:p w14:paraId="567069CC" w14:textId="77777777" w:rsidR="00E74FAA" w:rsidRPr="008D12A0" w:rsidRDefault="00E74FAA" w:rsidP="00A653ED">
      <w:pPr>
        <w:pStyle w:val="Body2"/>
        <w:spacing w:before="140" w:after="0"/>
      </w:pPr>
      <w:r w:rsidRPr="008D12A0">
        <w:t>Rua Joaquim Floriano, nº 466, Bloco B, sala 1.401</w:t>
      </w:r>
    </w:p>
    <w:p w14:paraId="3197AA34" w14:textId="77777777" w:rsidR="0003163D" w:rsidRPr="008D12A0" w:rsidRDefault="00E74FAA" w:rsidP="00A653ED">
      <w:pPr>
        <w:pStyle w:val="Body2"/>
        <w:spacing w:before="140" w:after="0"/>
      </w:pPr>
      <w:r w:rsidRPr="008D12A0">
        <w:t>CEP 04534-002, São Paulo, SP</w:t>
      </w:r>
    </w:p>
    <w:p w14:paraId="2269575F" w14:textId="77777777" w:rsidR="005544E9" w:rsidRPr="008D12A0" w:rsidRDefault="0003163D" w:rsidP="00A653ED">
      <w:pPr>
        <w:pStyle w:val="Body2"/>
        <w:spacing w:before="140" w:after="0"/>
      </w:pPr>
      <w:r w:rsidRPr="008D12A0">
        <w:t xml:space="preserve">At.: </w:t>
      </w:r>
      <w:r w:rsidR="00725BA6" w:rsidRPr="008D12A0">
        <w:t>Srs. Carlos Alberto Bacha / Matheus Gomes Faria / Rinaldo Rabello Ferreira</w:t>
      </w:r>
    </w:p>
    <w:p w14:paraId="3E49A01E" w14:textId="77777777" w:rsidR="0003163D" w:rsidRPr="008D12A0" w:rsidRDefault="0003163D" w:rsidP="00A653ED">
      <w:pPr>
        <w:pStyle w:val="Body2"/>
        <w:spacing w:before="140" w:after="0"/>
        <w:rPr>
          <w:lang w:val="en-US"/>
        </w:rPr>
      </w:pPr>
      <w:r w:rsidRPr="008D12A0">
        <w:rPr>
          <w:lang w:val="en-US"/>
        </w:rPr>
        <w:t xml:space="preserve">Tel.: </w:t>
      </w:r>
      <w:r w:rsidR="00725BA6" w:rsidRPr="008D12A0">
        <w:rPr>
          <w:lang w:val="en-US"/>
        </w:rPr>
        <w:t>(11) 3090-0447 / (21) 2507-1949</w:t>
      </w:r>
    </w:p>
    <w:p w14:paraId="2990791D" w14:textId="77777777" w:rsidR="0003163D" w:rsidRPr="008D12A0" w:rsidRDefault="0003163D" w:rsidP="00A653ED">
      <w:pPr>
        <w:pStyle w:val="Body2"/>
        <w:spacing w:before="140" w:after="0"/>
        <w:rPr>
          <w:lang w:val="en-US"/>
        </w:rPr>
      </w:pPr>
      <w:r w:rsidRPr="008D12A0">
        <w:rPr>
          <w:lang w:val="en-US"/>
        </w:rPr>
        <w:t xml:space="preserve">Email: </w:t>
      </w:r>
      <w:r w:rsidR="00725BA6" w:rsidRPr="008D12A0">
        <w:rPr>
          <w:lang w:val="en-US"/>
        </w:rPr>
        <w:t>fiduciario@simplificpavarini.com.br</w:t>
      </w:r>
      <w:r w:rsidR="006F5F3D" w:rsidRPr="008D12A0">
        <w:rPr>
          <w:lang w:val="en-US"/>
        </w:rPr>
        <w:t xml:space="preserve"> </w:t>
      </w:r>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lastRenderedPageBreak/>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77777777"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CB693F" w:rsidRPr="008D12A0">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77777777"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xml:space="preserve">, não cabendo 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77777777"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CB693F" w:rsidRPr="008D12A0">
        <w:rPr>
          <w:rFonts w:cs="Arial"/>
        </w:rPr>
        <w:t>Banco Administrador</w:t>
      </w:r>
      <w:r w:rsidR="00CD4E3D" w:rsidRPr="008D12A0">
        <w:rPr>
          <w:rFonts w:cs="Arial"/>
        </w:rPr>
        <w:t xml:space="preserve"> 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 xml:space="preserve">o </w:t>
      </w:r>
      <w:r w:rsidR="00CB693F" w:rsidRPr="008D12A0">
        <w:rPr>
          <w:rFonts w:cs="Arial"/>
        </w:rPr>
        <w:t>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7777777"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CB693F" w:rsidRPr="008D12A0">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18"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18"/>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77777777" w:rsidR="00B05410" w:rsidRPr="008D12A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lastRenderedPageBreak/>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35E803DF" w:rsidR="00B05410" w:rsidRPr="008D12A0" w:rsidRDefault="00C16C3F" w:rsidP="00AD4E75">
      <w:pPr>
        <w:pStyle w:val="Body"/>
        <w:spacing w:before="140" w:after="0"/>
        <w:jc w:val="center"/>
      </w:pPr>
      <w:r w:rsidRPr="008D12A0">
        <w:t>Salvador/BA</w:t>
      </w:r>
      <w:r w:rsidR="00B05410" w:rsidRPr="008D12A0">
        <w:t xml:space="preserve">, </w:t>
      </w:r>
      <w:r w:rsidRPr="008D12A0">
        <w:rPr>
          <w:highlight w:val="yellow"/>
        </w:rPr>
        <w:t>[</w:t>
      </w:r>
      <w:r w:rsidRPr="008D12A0">
        <w:rPr>
          <w:highlight w:val="yellow"/>
        </w:rPr>
        <w:sym w:font="Symbol" w:char="F0B7"/>
      </w:r>
      <w:r w:rsidRPr="008D12A0">
        <w:rPr>
          <w:highlight w:val="yellow"/>
        </w:rPr>
        <w:t>]</w:t>
      </w:r>
      <w:r w:rsidRPr="008D12A0">
        <w:t> </w:t>
      </w:r>
      <w:r w:rsidR="0080647E" w:rsidRPr="008D12A0">
        <w:t>de </w:t>
      </w:r>
      <w:r w:rsidR="005714AE" w:rsidRPr="008D12A0">
        <w:t>maio </w:t>
      </w:r>
      <w:r w:rsidR="0080647E" w:rsidRPr="008D12A0">
        <w:t>de 201</w:t>
      </w:r>
      <w:r w:rsidR="0061183F" w:rsidRPr="008D12A0">
        <w:t>9.</w:t>
      </w:r>
    </w:p>
    <w:p w14:paraId="70153C36" w14:textId="77777777" w:rsidR="00B05410" w:rsidRPr="008D12A0" w:rsidRDefault="00B05410" w:rsidP="00AD4E75">
      <w:pPr>
        <w:pStyle w:val="Body"/>
        <w:tabs>
          <w:tab w:val="left" w:pos="5760"/>
        </w:tabs>
        <w:spacing w:before="140" w:after="0"/>
        <w:jc w:val="center"/>
        <w:rPr>
          <w:i/>
        </w:rP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79B3E23E" w14:textId="77777777" w:rsidR="003F659D" w:rsidRPr="008D12A0" w:rsidRDefault="003F659D" w:rsidP="00A653ED">
      <w:pPr>
        <w:widowControl w:val="0"/>
        <w:spacing w:before="140" w:after="0" w:line="290" w:lineRule="auto"/>
        <w:rPr>
          <w:rFonts w:ascii="Arial" w:hAnsi="Arial" w:cs="Arial"/>
          <w:sz w:val="20"/>
        </w:rPr>
      </w:pP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19" w:name="_DV_M1"/>
            <w:bookmarkStart w:id="120" w:name="_DV_M2"/>
            <w:bookmarkEnd w:id="119"/>
            <w:bookmarkEnd w:id="120"/>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04D07511" w14:textId="77777777" w:rsidR="00021E06" w:rsidRPr="008D12A0" w:rsidRDefault="00021E06" w:rsidP="00A653ED">
      <w:pPr>
        <w:suppressAutoHyphens/>
        <w:spacing w:before="140" w:after="0" w:line="290" w:lineRule="auto"/>
        <w:rPr>
          <w:rFonts w:ascii="Arial" w:hAnsi="Arial" w:cs="Arial"/>
          <w:sz w:val="20"/>
          <w:lang w:val="en-US"/>
        </w:rPr>
      </w:pPr>
    </w:p>
    <w:p w14:paraId="4C27B470" w14:textId="77777777" w:rsidR="009C4FF4" w:rsidRPr="008D12A0" w:rsidRDefault="009C4FF4" w:rsidP="00A653ED">
      <w:pPr>
        <w:spacing w:before="140" w:after="0" w:line="290" w:lineRule="auto"/>
        <w:rPr>
          <w:rFonts w:ascii="Arial" w:hAnsi="Arial" w:cs="Arial"/>
          <w:sz w:val="20"/>
          <w:lang w:val="en-US"/>
        </w:rPr>
      </w:pPr>
      <w:bookmarkStart w:id="121" w:name="_DV_M452"/>
      <w:bookmarkStart w:id="122" w:name="_DV_M455"/>
      <w:bookmarkStart w:id="123" w:name="_DV_M456"/>
      <w:bookmarkStart w:id="124" w:name="_DV_M457"/>
      <w:bookmarkStart w:id="125" w:name="_DV_M429"/>
      <w:bookmarkStart w:id="126" w:name="_DV_M431"/>
      <w:bookmarkEnd w:id="121"/>
      <w:bookmarkEnd w:id="122"/>
      <w:bookmarkEnd w:id="123"/>
      <w:bookmarkEnd w:id="124"/>
      <w:bookmarkEnd w:id="125"/>
      <w:bookmarkEnd w:id="126"/>
      <w:r w:rsidRPr="008D12A0">
        <w:rPr>
          <w:rFonts w:ascii="Arial" w:hAnsi="Arial" w:cs="Arial"/>
          <w:sz w:val="20"/>
          <w:lang w:val="en-US"/>
        </w:rPr>
        <w:br w:type="page"/>
      </w:r>
    </w:p>
    <w:p w14:paraId="2A420D6C" w14:textId="77777777" w:rsidR="000001C1" w:rsidRPr="008D12A0" w:rsidRDefault="009C4FF4" w:rsidP="00AD4E75">
      <w:pPr>
        <w:pStyle w:val="Heading"/>
        <w:spacing w:before="140" w:after="0"/>
        <w:jc w:val="center"/>
        <w:rPr>
          <w:smallCaps/>
          <w:sz w:val="20"/>
        </w:rPr>
      </w:pPr>
      <w:r w:rsidRPr="008D12A0">
        <w:rPr>
          <w:smallCaps/>
          <w:sz w:val="20"/>
        </w:rPr>
        <w:lastRenderedPageBreak/>
        <w:t>Anexo I</w:t>
      </w:r>
    </w:p>
    <w:p w14:paraId="4309AED1" w14:textId="77777777" w:rsidR="000001C1" w:rsidRPr="008D12A0" w:rsidRDefault="000001C1" w:rsidP="00AD4E75">
      <w:pPr>
        <w:pStyle w:val="Heading"/>
        <w:spacing w:before="140" w:after="0"/>
        <w:jc w:val="center"/>
        <w:rPr>
          <w:smallCaps/>
          <w:sz w:val="20"/>
        </w:rPr>
      </w:pPr>
      <w:r w:rsidRPr="008D12A0">
        <w:rPr>
          <w:smallCaps/>
          <w:sz w:val="20"/>
        </w:rPr>
        <w:t>Lista de Estabelecimentos</w:t>
      </w:r>
    </w:p>
    <w:p w14:paraId="25B994E8" w14:textId="2C60654E" w:rsidR="005714AE" w:rsidRPr="008D12A0" w:rsidRDefault="005714AE" w:rsidP="00AD4E75">
      <w:pPr>
        <w:pStyle w:val="Body"/>
        <w:spacing w:before="140" w:after="0"/>
        <w:jc w:val="center"/>
        <w:rPr>
          <w:highlight w:val="yellow"/>
        </w:rPr>
      </w:pPr>
      <w:r w:rsidRPr="008D12A0">
        <w:rPr>
          <w:highlight w:val="yellow"/>
        </w:rPr>
        <w:t>[</w:t>
      </w:r>
      <w:r w:rsidRPr="008D12A0">
        <w:rPr>
          <w:highlight w:val="yellow"/>
        </w:rPr>
        <w:sym w:font="Symbol" w:char="F0B7"/>
      </w:r>
      <w:r w:rsidRPr="008D12A0">
        <w:rPr>
          <w:highlight w:val="yellow"/>
        </w:rPr>
        <w:t>]</w:t>
      </w:r>
    </w:p>
    <w:p w14:paraId="658465CF" w14:textId="77777777" w:rsidR="000001C1" w:rsidRPr="008D12A0" w:rsidRDefault="000001C1" w:rsidP="00A653ED">
      <w:pPr>
        <w:spacing w:before="140" w:after="0" w:line="290" w:lineRule="auto"/>
        <w:rPr>
          <w:rFonts w:ascii="Arial" w:hAnsi="Arial" w:cs="Arial"/>
          <w:sz w:val="20"/>
        </w:rPr>
      </w:pPr>
      <w:r w:rsidRPr="008D12A0">
        <w:rPr>
          <w:rFonts w:ascii="Arial" w:hAnsi="Arial" w:cs="Arial"/>
          <w:sz w:val="20"/>
        </w:rPr>
        <w:br w:type="page"/>
      </w:r>
    </w:p>
    <w:p w14:paraId="2342A6E5" w14:textId="77777777" w:rsidR="000001C1" w:rsidRPr="008D12A0" w:rsidRDefault="000001C1" w:rsidP="00A653ED">
      <w:pPr>
        <w:pStyle w:val="Body"/>
        <w:spacing w:before="140" w:after="0"/>
      </w:pPr>
    </w:p>
    <w:p w14:paraId="4F0959DC" w14:textId="77777777" w:rsidR="000001C1" w:rsidRPr="008D12A0" w:rsidRDefault="000001C1" w:rsidP="00AD4E75">
      <w:pPr>
        <w:pStyle w:val="Heading"/>
        <w:spacing w:before="140" w:after="0"/>
        <w:jc w:val="center"/>
        <w:rPr>
          <w:smallCaps/>
          <w:sz w:val="20"/>
        </w:rPr>
      </w:pPr>
      <w:r w:rsidRPr="008D12A0">
        <w:rPr>
          <w:smallCaps/>
          <w:sz w:val="20"/>
        </w:rPr>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1C23C9DF" w14:textId="089FAE3E" w:rsidR="00AD4E75" w:rsidRPr="00AD4E75" w:rsidRDefault="00AD4E75" w:rsidP="00AD4E75">
      <w:pPr>
        <w:spacing w:before="140" w:after="0" w:line="290" w:lineRule="auto"/>
        <w:jc w:val="center"/>
        <w:rPr>
          <w:rFonts w:ascii="Arial" w:hAnsi="Arial" w:cs="Arial"/>
          <w:b/>
          <w:smallCaps/>
          <w:snapToGrid/>
          <w:sz w:val="20"/>
          <w:highlight w:val="yellow"/>
        </w:rPr>
      </w:pPr>
      <w:r w:rsidRPr="00AD4E75">
        <w:rPr>
          <w:rFonts w:ascii="Arial" w:hAnsi="Arial" w:cs="Arial"/>
          <w:b/>
          <w:smallCaps/>
          <w:snapToGrid/>
          <w:sz w:val="20"/>
          <w:highlight w:val="yellow"/>
        </w:rPr>
        <w:t>[</w:t>
      </w:r>
      <w:r w:rsidRPr="00AD4E75">
        <w:rPr>
          <w:rFonts w:ascii="Arial" w:hAnsi="Arial" w:cs="Arial"/>
          <w:b/>
          <w:smallCaps/>
          <w:snapToGrid/>
          <w:sz w:val="20"/>
          <w:highlight w:val="yellow"/>
        </w:rPr>
        <w:sym w:font="Symbol" w:char="F0B7"/>
      </w:r>
      <w:r w:rsidRPr="00AD4E75">
        <w:rPr>
          <w:rFonts w:ascii="Arial" w:hAnsi="Arial" w:cs="Arial"/>
          <w:b/>
          <w:smallCaps/>
          <w:snapToGrid/>
          <w:sz w:val="20"/>
          <w:highlight w:val="yellow"/>
        </w:rPr>
        <w:t>]</w:t>
      </w:r>
    </w:p>
    <w:p w14:paraId="24043E8A" w14:textId="3E41DD6C" w:rsidR="00E2266E" w:rsidRDefault="00E2266E">
      <w:pPr>
        <w:spacing w:after="0"/>
        <w:jc w:val="left"/>
        <w:rPr>
          <w:rFonts w:ascii="Arial" w:hAnsi="Arial" w:cs="Arial"/>
          <w:b/>
          <w:smallCaps/>
          <w:snapToGrid/>
          <w:sz w:val="20"/>
        </w:rPr>
      </w:pPr>
      <w:r>
        <w:rPr>
          <w:rFonts w:ascii="Arial" w:hAnsi="Arial" w:cs="Arial"/>
          <w:b/>
          <w:smallCaps/>
          <w:snapToGrid/>
          <w:sz w:val="20"/>
        </w:rPr>
        <w:br w:type="page"/>
      </w: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0A732516"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B1280E" w:rsidRPr="008D12A0" w14:paraId="61C6E7CF" w14:textId="77777777" w:rsidTr="00B01358">
        <w:tc>
          <w:tcPr>
            <w:tcW w:w="2296" w:type="dxa"/>
            <w:tcMar>
              <w:top w:w="0" w:type="dxa"/>
              <w:left w:w="28" w:type="dxa"/>
              <w:bottom w:w="0" w:type="dxa"/>
              <w:right w:w="28" w:type="dxa"/>
            </w:tcMar>
          </w:tcPr>
          <w:p w14:paraId="1497930E"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Valor Principal</w:t>
            </w:r>
          </w:p>
        </w:tc>
        <w:tc>
          <w:tcPr>
            <w:tcW w:w="6493" w:type="dxa"/>
            <w:tcMar>
              <w:top w:w="0" w:type="dxa"/>
              <w:left w:w="28" w:type="dxa"/>
              <w:bottom w:w="0" w:type="dxa"/>
              <w:right w:w="28" w:type="dxa"/>
            </w:tcMar>
          </w:tcPr>
          <w:p w14:paraId="15F13690" w14:textId="77777777" w:rsidR="00B1280E" w:rsidRPr="008D12A0" w:rsidRDefault="006A24F9"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R$80.000.000,00 (oitenta milhões de reais), na Data de Emissão (conforme definida na Escritura de Emissão) (</w:t>
            </w:r>
            <w:r w:rsidR="005175AB" w:rsidRPr="008D12A0">
              <w:rPr>
                <w:rFonts w:ascii="Arial" w:hAnsi="Arial" w:cs="Arial"/>
                <w:sz w:val="20"/>
              </w:rPr>
              <w:t>“</w:t>
            </w:r>
            <w:r w:rsidRPr="008D12A0">
              <w:rPr>
                <w:rFonts w:ascii="Arial" w:hAnsi="Arial" w:cs="Arial"/>
                <w:b/>
                <w:sz w:val="20"/>
              </w:rPr>
              <w:t>Valor Total da Emissão</w:t>
            </w:r>
            <w:r w:rsidR="005175AB" w:rsidRPr="008D12A0">
              <w:rPr>
                <w:rFonts w:ascii="Arial" w:hAnsi="Arial" w:cs="Arial"/>
                <w:sz w:val="20"/>
              </w:rPr>
              <w:t>”</w:t>
            </w:r>
            <w:r w:rsidRPr="008D12A0">
              <w:rPr>
                <w:rFonts w:ascii="Arial" w:hAnsi="Arial" w:cs="Arial"/>
                <w:sz w:val="20"/>
              </w:rPr>
              <w:t>)</w:t>
            </w:r>
          </w:p>
        </w:tc>
      </w:tr>
      <w:tr w:rsidR="00B1280E" w:rsidRPr="008D12A0" w14:paraId="591FFE05" w14:textId="77777777" w:rsidTr="00B01358">
        <w:tc>
          <w:tcPr>
            <w:tcW w:w="2296" w:type="dxa"/>
            <w:tcMar>
              <w:top w:w="0" w:type="dxa"/>
              <w:left w:w="28" w:type="dxa"/>
              <w:bottom w:w="0" w:type="dxa"/>
              <w:right w:w="28" w:type="dxa"/>
            </w:tcMar>
          </w:tcPr>
          <w:p w14:paraId="26B7E491" w14:textId="77777777" w:rsidR="00B1280E" w:rsidRPr="008D12A0" w:rsidRDefault="00B1280E" w:rsidP="00A653ED">
            <w:pPr>
              <w:widowControl w:val="0"/>
              <w:spacing w:before="140" w:after="0" w:line="290" w:lineRule="auto"/>
              <w:rPr>
                <w:rFonts w:ascii="Arial" w:hAnsi="Arial" w:cs="Arial"/>
                <w:b/>
                <w:sz w:val="20"/>
              </w:rPr>
            </w:pPr>
            <w:r w:rsidRPr="008D12A0">
              <w:rPr>
                <w:rFonts w:ascii="Arial" w:hAnsi="Arial" w:cs="Arial"/>
                <w:b/>
                <w:sz w:val="20"/>
              </w:rPr>
              <w:t>Juros</w:t>
            </w:r>
            <w:r w:rsidRPr="008D12A0">
              <w:rPr>
                <w:rFonts w:ascii="Arial" w:hAnsi="Arial" w:cs="Arial"/>
                <w:b/>
                <w:sz w:val="20"/>
              </w:rPr>
              <w:br/>
              <w:t>Remuneratórios</w:t>
            </w:r>
          </w:p>
        </w:tc>
        <w:tc>
          <w:tcPr>
            <w:tcW w:w="6493" w:type="dxa"/>
            <w:tcMar>
              <w:top w:w="0" w:type="dxa"/>
              <w:left w:w="28" w:type="dxa"/>
              <w:bottom w:w="0" w:type="dxa"/>
              <w:right w:w="28" w:type="dxa"/>
            </w:tcMar>
          </w:tcPr>
          <w:p w14:paraId="77C84585"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O Valor Nominal Unitário não será atualizado monetariamente. </w:t>
            </w:r>
            <w:r w:rsidR="006A24F9" w:rsidRPr="008D12A0">
              <w:rPr>
                <w:rFonts w:ascii="Arial" w:hAnsi="Arial" w:cs="Arial"/>
                <w:sz w:val="20"/>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5175AB" w:rsidRPr="008D12A0">
              <w:rPr>
                <w:rFonts w:ascii="Arial" w:hAnsi="Arial" w:cs="Arial"/>
                <w:sz w:val="20"/>
              </w:rPr>
              <w:t>“</w:t>
            </w:r>
            <w:r w:rsidR="006A24F9" w:rsidRPr="008D12A0">
              <w:rPr>
                <w:rFonts w:ascii="Arial" w:hAnsi="Arial" w:cs="Arial"/>
                <w:b/>
                <w:sz w:val="20"/>
              </w:rPr>
              <w:t>Taxa D</w:t>
            </w:r>
            <w:r w:rsidR="006A24F9" w:rsidRPr="008D12A0">
              <w:rPr>
                <w:rFonts w:ascii="Arial" w:hAnsi="Arial" w:cs="Arial"/>
                <w:sz w:val="20"/>
              </w:rPr>
              <w:t>I</w:t>
            </w:r>
            <w:r w:rsidR="005175AB" w:rsidRPr="008D12A0">
              <w:rPr>
                <w:rFonts w:ascii="Arial" w:hAnsi="Arial" w:cs="Arial"/>
                <w:sz w:val="20"/>
              </w:rPr>
              <w:t>”</w:t>
            </w:r>
            <w:r w:rsidR="006A24F9" w:rsidRPr="008D12A0">
              <w:rPr>
                <w:rFonts w:ascii="Arial" w:hAnsi="Arial" w:cs="Arial"/>
                <w:sz w:val="20"/>
              </w:rPr>
              <w:t>), acrescida de uma sobretaxa de 1,85% (um inteiro e oitenta e cinco centésimos por cento) ao ano, base 252 (duzentos e cinquenta e dois) Dias Úteis (</w:t>
            </w:r>
            <w:r w:rsidR="005175AB" w:rsidRPr="008D12A0">
              <w:rPr>
                <w:rFonts w:ascii="Arial" w:hAnsi="Arial" w:cs="Arial"/>
                <w:sz w:val="20"/>
              </w:rPr>
              <w:t>“</w:t>
            </w:r>
            <w:r w:rsidR="006A24F9" w:rsidRPr="008D12A0">
              <w:rPr>
                <w:rFonts w:ascii="Arial" w:hAnsi="Arial" w:cs="Arial"/>
                <w:b/>
                <w:sz w:val="20"/>
              </w:rPr>
              <w:t>Remuneração</w:t>
            </w:r>
            <w:r w:rsidR="005175AB" w:rsidRPr="008D12A0">
              <w:rPr>
                <w:rFonts w:ascii="Arial" w:hAnsi="Arial" w:cs="Arial"/>
                <w:sz w:val="20"/>
              </w:rPr>
              <w:t>”</w:t>
            </w:r>
            <w:r w:rsidR="006A24F9" w:rsidRPr="008D12A0">
              <w:rPr>
                <w:rFonts w:ascii="Arial" w:hAnsi="Arial" w:cs="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B1280E" w:rsidRPr="008D12A0" w14:paraId="165C4709" w14:textId="77777777" w:rsidTr="00B01358">
        <w:tc>
          <w:tcPr>
            <w:tcW w:w="2296" w:type="dxa"/>
            <w:tcMar>
              <w:top w:w="0" w:type="dxa"/>
              <w:left w:w="28" w:type="dxa"/>
              <w:bottom w:w="0" w:type="dxa"/>
              <w:right w:w="28" w:type="dxa"/>
            </w:tcMar>
          </w:tcPr>
          <w:p w14:paraId="3B60E5A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da Remuneração das Debêntures</w:t>
            </w:r>
          </w:p>
        </w:tc>
        <w:tc>
          <w:tcPr>
            <w:tcW w:w="6493" w:type="dxa"/>
            <w:tcMar>
              <w:top w:w="0" w:type="dxa"/>
              <w:left w:w="28" w:type="dxa"/>
              <w:bottom w:w="0" w:type="dxa"/>
              <w:right w:w="28" w:type="dxa"/>
            </w:tcMar>
          </w:tcPr>
          <w:p w14:paraId="0F56F75C" w14:textId="7114CB2B" w:rsidR="00B1280E" w:rsidRPr="008D12A0" w:rsidRDefault="001515C0"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a Remuneração será paga trimestralmente, todo dia </w:t>
            </w:r>
            <w:r w:rsidR="00744A24" w:rsidRPr="00744A24">
              <w:rPr>
                <w:rFonts w:ascii="Arial" w:hAnsi="Arial" w:cs="Arial"/>
                <w:sz w:val="20"/>
              </w:rPr>
              <w:t>09 (nove)</w:t>
            </w:r>
            <w:r w:rsidRPr="008D12A0">
              <w:rPr>
                <w:rFonts w:ascii="Arial" w:hAnsi="Arial" w:cs="Arial"/>
                <w:sz w:val="20"/>
              </w:rPr>
              <w:t xml:space="preserve"> dos meses de </w:t>
            </w:r>
            <w:r w:rsidR="00744A24" w:rsidRPr="00744A24">
              <w:rPr>
                <w:rFonts w:ascii="Arial" w:hAnsi="Arial" w:cs="Arial"/>
                <w:sz w:val="20"/>
              </w:rPr>
              <w:t>maio, agosto, novembro e fevereiro</w:t>
            </w:r>
            <w:r w:rsidRPr="008D12A0">
              <w:rPr>
                <w:rFonts w:ascii="Arial" w:hAnsi="Arial" w:cs="Arial"/>
                <w:sz w:val="20"/>
              </w:rPr>
              <w:t xml:space="preserve"> de cada ano, a partir da Data de Emissão, sendo o primeiro pagamento devido </w:t>
            </w:r>
            <w:r w:rsidR="00744A24" w:rsidRPr="00744A24">
              <w:rPr>
                <w:rFonts w:ascii="Arial" w:hAnsi="Arial" w:cs="Arial"/>
                <w:sz w:val="20"/>
              </w:rPr>
              <w:t xml:space="preserve">em 09 de agosto de </w:t>
            </w:r>
            <w:r w:rsidR="00744A24">
              <w:rPr>
                <w:rFonts w:ascii="Arial" w:hAnsi="Arial" w:cs="Arial"/>
                <w:sz w:val="20"/>
              </w:rPr>
              <w:t>2019</w:t>
            </w:r>
            <w:r w:rsidRPr="008D12A0">
              <w:rPr>
                <w:rFonts w:ascii="Arial" w:hAnsi="Arial" w:cs="Arial"/>
                <w:sz w:val="20"/>
              </w:rPr>
              <w:t xml:space="preserve"> e o último na Data de Vencimento (</w:t>
            </w:r>
            <w:r w:rsidR="005175AB" w:rsidRPr="008D12A0">
              <w:rPr>
                <w:rFonts w:ascii="Arial" w:hAnsi="Arial" w:cs="Arial"/>
                <w:sz w:val="20"/>
              </w:rPr>
              <w:t>“</w:t>
            </w:r>
            <w:r w:rsidRPr="008D12A0">
              <w:rPr>
                <w:rFonts w:ascii="Arial" w:hAnsi="Arial" w:cs="Arial"/>
                <w:b/>
                <w:sz w:val="20"/>
              </w:rPr>
              <w:t>Data de Pagamento da Remuneração</w:t>
            </w:r>
            <w:r w:rsidR="005175AB" w:rsidRPr="008D12A0">
              <w:rPr>
                <w:rFonts w:ascii="Arial" w:hAnsi="Arial" w:cs="Arial"/>
                <w:sz w:val="20"/>
              </w:rPr>
              <w:t>”</w:t>
            </w:r>
            <w:r w:rsidRPr="008D12A0">
              <w:rPr>
                <w:rFonts w:ascii="Arial" w:hAnsi="Arial" w:cs="Arial"/>
                <w:sz w:val="20"/>
              </w:rPr>
              <w:t>).</w:t>
            </w:r>
          </w:p>
        </w:tc>
      </w:tr>
      <w:tr w:rsidR="00B1280E" w:rsidRPr="008D12A0" w14:paraId="466F4C20" w14:textId="77777777" w:rsidTr="00B01358">
        <w:tc>
          <w:tcPr>
            <w:tcW w:w="2296" w:type="dxa"/>
            <w:tcMar>
              <w:top w:w="0" w:type="dxa"/>
              <w:left w:w="28" w:type="dxa"/>
              <w:bottom w:w="0" w:type="dxa"/>
              <w:right w:w="28" w:type="dxa"/>
            </w:tcMar>
          </w:tcPr>
          <w:p w14:paraId="6D1DEA1A"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Pagamento do Valor Nominal Unitário</w:t>
            </w:r>
          </w:p>
        </w:tc>
        <w:tc>
          <w:tcPr>
            <w:tcW w:w="6493" w:type="dxa"/>
            <w:tcMar>
              <w:top w:w="0" w:type="dxa"/>
              <w:left w:w="28" w:type="dxa"/>
              <w:bottom w:w="0" w:type="dxa"/>
              <w:right w:w="28" w:type="dxa"/>
            </w:tcMar>
          </w:tcPr>
          <w:p w14:paraId="2FAACC60" w14:textId="6AA8E46B"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Sem prejuízo dos pagamentos em decorrência do vencimento antecipado e resgate antecipado das Debêntures, nos termos da Escritura de Emissão, o saldo do Valor Nominal Unitário das Debêntures será amortizado, em </w:t>
            </w:r>
            <w:r w:rsidR="00744A24" w:rsidRPr="00744A24">
              <w:rPr>
                <w:rFonts w:ascii="Arial" w:hAnsi="Arial" w:cs="Arial"/>
                <w:sz w:val="20"/>
              </w:rPr>
              <w:t>20 (vinte)</w:t>
            </w:r>
            <w:r w:rsidRPr="008D12A0">
              <w:rPr>
                <w:rFonts w:ascii="Arial" w:hAnsi="Arial" w:cs="Arial"/>
                <w:sz w:val="20"/>
              </w:rPr>
              <w:t xml:space="preserve"> parcelas trimestrais e sucessivas, após o período de carência que se encerra no 12º mês (inclusive) contado da Data de Emissão, todo dia </w:t>
            </w:r>
            <w:r w:rsidR="00744A24" w:rsidRPr="00744A24">
              <w:rPr>
                <w:rFonts w:ascii="Arial" w:hAnsi="Arial" w:cs="Arial"/>
                <w:sz w:val="20"/>
              </w:rPr>
              <w:t>09 (nove) dos meses de maio, agosto, novembro e fevereiro</w:t>
            </w:r>
            <w:r w:rsidRPr="008D12A0">
              <w:rPr>
                <w:rFonts w:ascii="Arial" w:hAnsi="Arial" w:cs="Arial"/>
                <w:sz w:val="20"/>
              </w:rPr>
              <w:t xml:space="preserve"> de cada ano, sendo o primeiro pagamento devido em </w:t>
            </w:r>
            <w:r w:rsidR="00744A24" w:rsidRPr="00744A24">
              <w:rPr>
                <w:rFonts w:ascii="Arial" w:hAnsi="Arial" w:cs="Arial"/>
                <w:sz w:val="20"/>
              </w:rPr>
              <w:t>09 de agosto de 2020</w:t>
            </w:r>
            <w:r w:rsidRPr="008D12A0">
              <w:rPr>
                <w:rFonts w:ascii="Arial" w:hAnsi="Arial" w:cs="Arial"/>
                <w:sz w:val="20"/>
              </w:rPr>
              <w:t xml:space="preserve"> e o último na Data de Vencimento, nos percentuais e datas indicados na tabela abaixo (</w:t>
            </w:r>
            <w:r w:rsidR="005175AB" w:rsidRPr="008D12A0">
              <w:rPr>
                <w:rFonts w:ascii="Arial" w:hAnsi="Arial" w:cs="Arial"/>
                <w:sz w:val="20"/>
              </w:rPr>
              <w:t>“</w:t>
            </w:r>
            <w:r w:rsidRPr="008D12A0">
              <w:rPr>
                <w:rFonts w:ascii="Arial" w:hAnsi="Arial" w:cs="Arial"/>
                <w:b/>
                <w:sz w:val="20"/>
              </w:rPr>
              <w:t>Datas de Pagamento do Valor Nominal Unitário</w:t>
            </w:r>
            <w:r w:rsidR="005175AB" w:rsidRPr="008D12A0">
              <w:rPr>
                <w:rFonts w:ascii="Arial" w:hAnsi="Arial" w:cs="Arial"/>
                <w:sz w:val="20"/>
              </w:rPr>
              <w:t>”</w:t>
            </w:r>
            <w:r w:rsidRPr="008D12A0">
              <w:rPr>
                <w:rFonts w:ascii="Arial" w:hAnsi="Arial" w:cs="Arial"/>
                <w:sz w:val="20"/>
              </w:rPr>
              <w:t>)</w:t>
            </w:r>
          </w:p>
        </w:tc>
      </w:tr>
      <w:tr w:rsidR="00B1280E" w:rsidRPr="008D12A0" w14:paraId="3C694D1C" w14:textId="77777777" w:rsidTr="00B01358">
        <w:tc>
          <w:tcPr>
            <w:tcW w:w="2296" w:type="dxa"/>
            <w:tcMar>
              <w:top w:w="0" w:type="dxa"/>
              <w:left w:w="28" w:type="dxa"/>
              <w:bottom w:w="0" w:type="dxa"/>
              <w:right w:w="28" w:type="dxa"/>
            </w:tcMar>
          </w:tcPr>
          <w:p w14:paraId="36C84BE1"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Prazo e Data de Vencimento</w:t>
            </w:r>
          </w:p>
        </w:tc>
        <w:tc>
          <w:tcPr>
            <w:tcW w:w="6493" w:type="dxa"/>
            <w:tcMar>
              <w:top w:w="0" w:type="dxa"/>
              <w:left w:w="28" w:type="dxa"/>
              <w:bottom w:w="0" w:type="dxa"/>
              <w:right w:w="28" w:type="dxa"/>
            </w:tcMar>
          </w:tcPr>
          <w:p w14:paraId="3D13D1ED" w14:textId="0A4632C7" w:rsidR="00B1280E" w:rsidRPr="008D12A0" w:rsidRDefault="00F7026F"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As Debêntures terão prazo de 6 (seis) anos contados da Data de Emissão, de forma que vencerão no dia </w:t>
            </w:r>
            <w:r w:rsidR="00744A24" w:rsidRPr="00744A24">
              <w:rPr>
                <w:rFonts w:ascii="Arial" w:hAnsi="Arial" w:cs="Arial"/>
                <w:sz w:val="20"/>
              </w:rPr>
              <w:t>9 de maio de 2025</w:t>
            </w:r>
            <w:r w:rsidRPr="008D12A0" w:rsidDel="00037533">
              <w:rPr>
                <w:rFonts w:ascii="Arial" w:hAnsi="Arial" w:cs="Arial"/>
                <w:sz w:val="20"/>
              </w:rPr>
              <w:t xml:space="preserve"> </w:t>
            </w:r>
            <w:r w:rsidRPr="008D12A0">
              <w:rPr>
                <w:rFonts w:ascii="Arial" w:hAnsi="Arial" w:cs="Arial"/>
                <w:sz w:val="20"/>
              </w:rPr>
              <w:t>(</w:t>
            </w:r>
            <w:r w:rsidR="005175AB" w:rsidRPr="008D12A0">
              <w:rPr>
                <w:rFonts w:ascii="Arial" w:hAnsi="Arial" w:cs="Arial"/>
                <w:sz w:val="20"/>
              </w:rPr>
              <w:t>“</w:t>
            </w:r>
            <w:r w:rsidRPr="008D12A0">
              <w:rPr>
                <w:rFonts w:ascii="Arial" w:hAnsi="Arial" w:cs="Arial"/>
                <w:b/>
                <w:sz w:val="20"/>
              </w:rPr>
              <w:t>Data de Vencimento</w:t>
            </w:r>
            <w:r w:rsidR="005175AB" w:rsidRPr="008D12A0">
              <w:rPr>
                <w:rFonts w:ascii="Arial" w:hAnsi="Arial" w:cs="Arial"/>
                <w:sz w:val="20"/>
              </w:rPr>
              <w:t>”</w:t>
            </w:r>
            <w:r w:rsidRPr="008D12A0">
              <w:rPr>
                <w:rFonts w:ascii="Arial" w:hAnsi="Arial" w:cs="Arial"/>
                <w:sz w:val="20"/>
              </w:rPr>
              <w:t xml:space="preserve">), ressalvadas as hipóteses de resgate antecipado da totalidade das Debêntures ou de vencimento antecipado das obrigações </w:t>
            </w:r>
            <w:r w:rsidRPr="008D12A0">
              <w:rPr>
                <w:rFonts w:ascii="Arial" w:hAnsi="Arial" w:cs="Arial"/>
                <w:sz w:val="20"/>
              </w:rPr>
              <w:lastRenderedPageBreak/>
              <w:t>decorrentes das Debêntures, nos termos previstos na Escritura de Emissão.</w:t>
            </w:r>
          </w:p>
        </w:tc>
      </w:tr>
      <w:tr w:rsidR="00B1280E" w:rsidRPr="008D12A0" w14:paraId="2A3C482B" w14:textId="77777777" w:rsidTr="00B01358">
        <w:tc>
          <w:tcPr>
            <w:tcW w:w="2296" w:type="dxa"/>
            <w:tcMar>
              <w:top w:w="0" w:type="dxa"/>
              <w:left w:w="28" w:type="dxa"/>
              <w:bottom w:w="0" w:type="dxa"/>
              <w:right w:w="28" w:type="dxa"/>
            </w:tcMar>
          </w:tcPr>
          <w:p w14:paraId="2EC0071C"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lastRenderedPageBreak/>
              <w:t>Encargos Moratórios</w:t>
            </w:r>
          </w:p>
        </w:tc>
        <w:tc>
          <w:tcPr>
            <w:tcW w:w="6493" w:type="dxa"/>
            <w:tcMar>
              <w:top w:w="0" w:type="dxa"/>
              <w:left w:w="28" w:type="dxa"/>
              <w:bottom w:w="0" w:type="dxa"/>
              <w:right w:w="28" w:type="dxa"/>
            </w:tcMar>
          </w:tcPr>
          <w:p w14:paraId="17DD9225" w14:textId="77777777" w:rsidR="00B1280E" w:rsidRPr="008D12A0" w:rsidRDefault="003702A2"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Em caso de impontualidade no pagamento de qualquer quantia devida sob as Debêntures, nos termos </w:t>
            </w:r>
            <w:r w:rsidR="00A402AC" w:rsidRPr="008D12A0">
              <w:rPr>
                <w:rFonts w:ascii="Arial" w:hAnsi="Arial" w:cs="Arial"/>
                <w:sz w:val="20"/>
              </w:rPr>
              <w:t>da</w:t>
            </w:r>
            <w:r w:rsidRPr="008D12A0">
              <w:rPr>
                <w:rFonts w:ascii="Arial" w:hAnsi="Arial" w:cs="Arial"/>
                <w:sz w:val="20"/>
              </w:rPr>
              <w:t xml:space="preserve">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005175AB" w:rsidRPr="008D12A0">
              <w:rPr>
                <w:rFonts w:ascii="Arial" w:hAnsi="Arial" w:cs="Arial"/>
                <w:sz w:val="20"/>
              </w:rPr>
              <w:t>“</w:t>
            </w:r>
            <w:r w:rsidRPr="008D12A0">
              <w:rPr>
                <w:rFonts w:ascii="Arial" w:hAnsi="Arial" w:cs="Arial"/>
                <w:b/>
                <w:sz w:val="20"/>
              </w:rPr>
              <w:t>Encargos Moratórios</w:t>
            </w:r>
            <w:r w:rsidR="005175AB" w:rsidRPr="008D12A0">
              <w:rPr>
                <w:rFonts w:ascii="Arial" w:hAnsi="Arial" w:cs="Arial"/>
                <w:sz w:val="20"/>
              </w:rPr>
              <w:t>”</w:t>
            </w:r>
            <w:r w:rsidRPr="008D12A0">
              <w:rPr>
                <w:rFonts w:ascii="Arial" w:hAnsi="Arial" w:cs="Arial"/>
                <w:sz w:val="20"/>
              </w:rPr>
              <w:t>).</w:t>
            </w:r>
          </w:p>
        </w:tc>
      </w:tr>
      <w:tr w:rsidR="00B1280E" w:rsidRPr="008D12A0" w14:paraId="3F081E2A" w14:textId="77777777" w:rsidTr="00B01358">
        <w:tc>
          <w:tcPr>
            <w:tcW w:w="2296" w:type="dxa"/>
            <w:tcMar>
              <w:top w:w="0" w:type="dxa"/>
              <w:left w:w="28" w:type="dxa"/>
              <w:bottom w:w="0" w:type="dxa"/>
              <w:right w:w="28" w:type="dxa"/>
            </w:tcMar>
          </w:tcPr>
          <w:p w14:paraId="65A97256"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Vencimento Antecipado</w:t>
            </w:r>
          </w:p>
        </w:tc>
        <w:tc>
          <w:tcPr>
            <w:tcW w:w="6493" w:type="dxa"/>
            <w:tcMar>
              <w:top w:w="0" w:type="dxa"/>
              <w:left w:w="28" w:type="dxa"/>
              <w:bottom w:w="0" w:type="dxa"/>
              <w:right w:w="28" w:type="dxa"/>
            </w:tcMar>
          </w:tcPr>
          <w:p w14:paraId="3094297B" w14:textId="77777777" w:rsidR="00B1280E" w:rsidRPr="008D12A0" w:rsidRDefault="00B1280E"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B1280E" w:rsidRPr="008D12A0" w14:paraId="1E3C95A7" w14:textId="77777777" w:rsidTr="00B01358">
        <w:tc>
          <w:tcPr>
            <w:tcW w:w="2296" w:type="dxa"/>
            <w:tcMar>
              <w:top w:w="0" w:type="dxa"/>
              <w:left w:w="28" w:type="dxa"/>
              <w:bottom w:w="0" w:type="dxa"/>
              <w:right w:w="28" w:type="dxa"/>
            </w:tcMar>
          </w:tcPr>
          <w:p w14:paraId="3579F9DD"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Resgate Antecipado Facultativo</w:t>
            </w:r>
          </w:p>
        </w:tc>
        <w:tc>
          <w:tcPr>
            <w:tcW w:w="6493" w:type="dxa"/>
            <w:tcMar>
              <w:top w:w="0" w:type="dxa"/>
              <w:left w:w="28" w:type="dxa"/>
              <w:bottom w:w="0" w:type="dxa"/>
              <w:right w:w="28" w:type="dxa"/>
            </w:tcMar>
          </w:tcPr>
          <w:p w14:paraId="23736D80" w14:textId="77777777" w:rsidR="00B1280E" w:rsidRPr="008D12A0" w:rsidRDefault="00AD6F54" w:rsidP="00A653ED">
            <w:pPr>
              <w:widowControl w:val="0"/>
              <w:autoSpaceDE w:val="0"/>
              <w:autoSpaceDN w:val="0"/>
              <w:adjustRightInd w:val="0"/>
              <w:spacing w:before="140" w:after="0" w:line="290" w:lineRule="auto"/>
              <w:rPr>
                <w:rFonts w:ascii="Arial" w:hAnsi="Arial" w:cs="Arial"/>
                <w:sz w:val="20"/>
              </w:rPr>
            </w:pPr>
            <w:bookmarkStart w:id="127" w:name="_Ref481077719"/>
            <w:bookmarkStart w:id="128" w:name="_Ref522709370"/>
            <w:r w:rsidRPr="008D12A0">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005175AB" w:rsidRPr="008D12A0">
              <w:rPr>
                <w:rFonts w:ascii="Arial" w:hAnsi="Arial" w:cs="Arial"/>
                <w:sz w:val="20"/>
              </w:rPr>
              <w:t>“</w:t>
            </w:r>
            <w:r w:rsidRPr="008D12A0">
              <w:rPr>
                <w:rFonts w:ascii="Arial" w:hAnsi="Arial" w:cs="Arial"/>
                <w:b/>
                <w:sz w:val="20"/>
              </w:rPr>
              <w:t>Resgate Antecipado Facultativo</w:t>
            </w:r>
            <w:r w:rsidR="005175AB" w:rsidRPr="008D12A0">
              <w:rPr>
                <w:rFonts w:ascii="Arial" w:hAnsi="Arial" w:cs="Arial"/>
                <w:sz w:val="20"/>
              </w:rPr>
              <w:t>”</w:t>
            </w:r>
            <w:r w:rsidRPr="008D12A0">
              <w:rPr>
                <w:rFonts w:ascii="Arial" w:hAnsi="Arial" w:cs="Arial"/>
                <w:sz w:val="20"/>
              </w:rPr>
              <w:t xml:space="preserve">), de acordo com os termos e condições previstos </w:t>
            </w:r>
            <w:bookmarkEnd w:id="127"/>
            <w:bookmarkEnd w:id="128"/>
            <w:r w:rsidRPr="008D12A0">
              <w:rPr>
                <w:rFonts w:ascii="Arial" w:hAnsi="Arial" w:cs="Arial"/>
                <w:sz w:val="20"/>
              </w:rPr>
              <w:t>na Escritura de Emissão</w:t>
            </w:r>
            <w:r w:rsidR="00BF05B5" w:rsidRPr="008D12A0">
              <w:rPr>
                <w:rFonts w:ascii="Arial" w:hAnsi="Arial" w:cs="Arial"/>
                <w:sz w:val="20"/>
              </w:rPr>
              <w:t>.</w:t>
            </w:r>
          </w:p>
        </w:tc>
      </w:tr>
      <w:tr w:rsidR="00B1280E" w:rsidRPr="008D12A0" w14:paraId="579C7AAB" w14:textId="77777777" w:rsidTr="00B01358">
        <w:tc>
          <w:tcPr>
            <w:tcW w:w="2296" w:type="dxa"/>
            <w:tcMar>
              <w:top w:w="0" w:type="dxa"/>
              <w:left w:w="28" w:type="dxa"/>
              <w:bottom w:w="0" w:type="dxa"/>
              <w:right w:w="28" w:type="dxa"/>
            </w:tcMar>
          </w:tcPr>
          <w:p w14:paraId="1545EC74" w14:textId="77777777" w:rsidR="00B1280E" w:rsidRPr="008D12A0" w:rsidRDefault="00B1280E" w:rsidP="00744A24">
            <w:pPr>
              <w:widowControl w:val="0"/>
              <w:spacing w:before="140" w:after="0" w:line="290" w:lineRule="auto"/>
              <w:jc w:val="left"/>
              <w:rPr>
                <w:rFonts w:ascii="Arial" w:hAnsi="Arial" w:cs="Arial"/>
                <w:b/>
                <w:sz w:val="20"/>
              </w:rPr>
            </w:pPr>
            <w:r w:rsidRPr="008D12A0">
              <w:rPr>
                <w:rFonts w:ascii="Arial" w:hAnsi="Arial" w:cs="Arial"/>
                <w:b/>
                <w:sz w:val="20"/>
              </w:rPr>
              <w:t>Amortização Extraordinária Facultativa</w:t>
            </w:r>
          </w:p>
        </w:tc>
        <w:tc>
          <w:tcPr>
            <w:tcW w:w="6493" w:type="dxa"/>
            <w:tcMar>
              <w:top w:w="0" w:type="dxa"/>
              <w:left w:w="28" w:type="dxa"/>
              <w:bottom w:w="0" w:type="dxa"/>
              <w:right w:w="28" w:type="dxa"/>
            </w:tcMar>
          </w:tcPr>
          <w:p w14:paraId="368CEE3D" w14:textId="77777777" w:rsidR="00B1280E" w:rsidRPr="008D12A0" w:rsidRDefault="00BF05B5"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5175AB" w:rsidRPr="008D12A0">
              <w:rPr>
                <w:rFonts w:ascii="Arial" w:hAnsi="Arial" w:cs="Arial"/>
                <w:sz w:val="20"/>
              </w:rPr>
              <w:t>“</w:t>
            </w:r>
            <w:r w:rsidRPr="008D12A0">
              <w:rPr>
                <w:rFonts w:ascii="Arial" w:hAnsi="Arial" w:cs="Arial"/>
                <w:b/>
                <w:sz w:val="20"/>
              </w:rPr>
              <w:t>Amortização Extraordinária Facultativa</w:t>
            </w:r>
            <w:r w:rsidR="005175AB" w:rsidRPr="008D12A0">
              <w:rPr>
                <w:rFonts w:ascii="Arial" w:hAnsi="Arial" w:cs="Arial"/>
                <w:sz w:val="20"/>
              </w:rPr>
              <w:t>”</w:t>
            </w:r>
            <w:r w:rsidRPr="008D12A0">
              <w:rPr>
                <w:rFonts w:ascii="Arial" w:hAnsi="Arial" w:cs="Arial"/>
                <w:sz w:val="20"/>
              </w:rPr>
              <w:t>), de acordo com os termos e condições previstos abaixo</w:t>
            </w:r>
          </w:p>
        </w:tc>
      </w:tr>
      <w:tr w:rsidR="005E2F72" w:rsidRPr="008D12A0" w14:paraId="086361A6" w14:textId="77777777" w:rsidTr="00B01358">
        <w:tc>
          <w:tcPr>
            <w:tcW w:w="2296" w:type="dxa"/>
            <w:tcMar>
              <w:top w:w="0" w:type="dxa"/>
              <w:left w:w="28" w:type="dxa"/>
              <w:bottom w:w="0" w:type="dxa"/>
              <w:right w:w="28" w:type="dxa"/>
            </w:tcMar>
          </w:tcPr>
          <w:p w14:paraId="291ACA2A" w14:textId="77777777" w:rsidR="005E2F72" w:rsidRPr="008D12A0" w:rsidRDefault="005E2F72" w:rsidP="00744A24">
            <w:pPr>
              <w:widowControl w:val="0"/>
              <w:spacing w:before="140" w:after="0" w:line="290" w:lineRule="auto"/>
              <w:jc w:val="left"/>
              <w:rPr>
                <w:rFonts w:ascii="Arial" w:hAnsi="Arial" w:cs="Arial"/>
                <w:b/>
                <w:sz w:val="20"/>
              </w:rPr>
            </w:pPr>
            <w:r w:rsidRPr="008D12A0">
              <w:rPr>
                <w:rFonts w:ascii="Arial" w:hAnsi="Arial" w:cs="Arial"/>
                <w:b/>
                <w:sz w:val="20"/>
              </w:rPr>
              <w:t>Oferta de Resgate Antecipado Total</w:t>
            </w:r>
          </w:p>
        </w:tc>
        <w:tc>
          <w:tcPr>
            <w:tcW w:w="6493" w:type="dxa"/>
            <w:tcMar>
              <w:top w:w="0" w:type="dxa"/>
              <w:left w:w="28" w:type="dxa"/>
              <w:bottom w:w="0" w:type="dxa"/>
              <w:right w:w="28" w:type="dxa"/>
            </w:tcMar>
          </w:tcPr>
          <w:p w14:paraId="03CA7126" w14:textId="77777777" w:rsidR="005E2F72" w:rsidRPr="008D12A0" w:rsidRDefault="00C53DC4" w:rsidP="00A653ED">
            <w:pPr>
              <w:widowControl w:val="0"/>
              <w:autoSpaceDE w:val="0"/>
              <w:autoSpaceDN w:val="0"/>
              <w:adjustRightInd w:val="0"/>
              <w:spacing w:before="140" w:after="0" w:line="290" w:lineRule="auto"/>
              <w:rPr>
                <w:rFonts w:ascii="Arial" w:hAnsi="Arial" w:cs="Arial"/>
                <w:sz w:val="20"/>
              </w:rPr>
            </w:pPr>
            <w:r w:rsidRPr="008D12A0">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8D12A0">
              <w:rPr>
                <w:rFonts w:ascii="Arial" w:hAnsi="Arial" w:cs="Arial"/>
                <w:iCs/>
                <w:sz w:val="20"/>
              </w:rPr>
              <w:t xml:space="preserve">os Debenturistas, para aceitar o resgate antecipado das </w:t>
            </w:r>
            <w:r w:rsidRPr="008D12A0">
              <w:rPr>
                <w:rFonts w:ascii="Arial" w:hAnsi="Arial" w:cs="Arial"/>
                <w:sz w:val="20"/>
              </w:rPr>
              <w:t>Debêntures de que forem titulares, de acordo com os termos e condições a serem previstos na Escritura de Emissão (“</w:t>
            </w:r>
            <w:r w:rsidRPr="008D12A0">
              <w:rPr>
                <w:rFonts w:ascii="Arial" w:hAnsi="Arial" w:cs="Arial"/>
                <w:b/>
                <w:sz w:val="20"/>
              </w:rPr>
              <w:t>Oferta de Resgate Antecipado Total</w:t>
            </w:r>
            <w:r w:rsidRPr="008D12A0">
              <w:rPr>
                <w:rFonts w:ascii="Arial" w:hAnsi="Arial" w:cs="Arial"/>
                <w:sz w:val="20"/>
              </w:rPr>
              <w:t>”).</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1F09BAD" w14:textId="77777777" w:rsidR="00087C7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0017C881" w14:textId="77777777" w:rsidR="005714AE" w:rsidRPr="008D12A0" w:rsidRDefault="005714AE" w:rsidP="00A653ED">
      <w:pPr>
        <w:spacing w:before="140" w:after="0" w:line="290" w:lineRule="auto"/>
        <w:rPr>
          <w:rFonts w:ascii="Arial" w:hAnsi="Arial" w:cs="Arial"/>
          <w:sz w:val="20"/>
        </w:rPr>
      </w:pPr>
      <w:r w:rsidRPr="008D12A0">
        <w:rPr>
          <w:rFonts w:ascii="Arial" w:hAnsi="Arial" w:cs="Arial"/>
          <w:sz w:val="20"/>
        </w:rPr>
        <w:br w:type="page"/>
      </w:r>
    </w:p>
    <w:p w14:paraId="2B73B968" w14:textId="77777777" w:rsidR="005714AE" w:rsidRPr="008D12A0" w:rsidRDefault="005714AE" w:rsidP="00A653ED">
      <w:pPr>
        <w:pStyle w:val="Header"/>
        <w:widowControl w:val="0"/>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275F7293" w:rsidR="005714AE" w:rsidRPr="008D12A0" w:rsidRDefault="005714AE" w:rsidP="00A653ED">
      <w:pPr>
        <w:pStyle w:val="Parties"/>
        <w:widowControl w:val="0"/>
        <w:numPr>
          <w:ilvl w:val="0"/>
          <w:numId w:val="0"/>
        </w:numPr>
        <w:spacing w:before="140" w:after="0"/>
      </w:pPr>
      <w:bookmarkStart w:id="129"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1ª (primeira)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3926BA" w:rsidRPr="008D12A0">
        <w:rPr>
          <w:i/>
        </w:rPr>
        <w:t>Instrumento Particular de Cessão de Créditos Imobiliários e Outras Avenças</w:t>
      </w:r>
      <w:r w:rsidRPr="008D12A0">
        <w:t xml:space="preserve">” celebrado em </w:t>
      </w:r>
      <w:r w:rsidR="003926BA" w:rsidRPr="008D12A0">
        <w:rPr>
          <w:highlight w:val="yellow"/>
        </w:rPr>
        <w:t>[</w:t>
      </w:r>
      <w:r w:rsidR="003926BA" w:rsidRPr="008D12A0">
        <w:rPr>
          <w:highlight w:val="yellow"/>
        </w:rPr>
        <w:sym w:font="Symbol" w:char="F0B7"/>
      </w:r>
      <w:r w:rsidR="003926BA" w:rsidRPr="008D12A0">
        <w:rPr>
          <w:highlight w:val="yellow"/>
        </w:rPr>
        <w:t>]</w:t>
      </w:r>
      <w:r w:rsidRPr="008D12A0">
        <w:t xml:space="preserve"> de </w:t>
      </w:r>
      <w:r w:rsidR="003926BA" w:rsidRPr="008D12A0">
        <w:t>maio de 2019</w:t>
      </w:r>
      <w:r w:rsidRPr="008D12A0">
        <w:t xml:space="preserve"> </w:t>
      </w:r>
      <w:r w:rsidR="003926BA" w:rsidRPr="008D12A0">
        <w:t>(</w:t>
      </w:r>
      <w:r w:rsidRPr="008D12A0">
        <w:t>“</w:t>
      </w:r>
      <w:r w:rsidR="003926BA" w:rsidRPr="008D12A0">
        <w:rPr>
          <w:b/>
        </w:rPr>
        <w:t>C</w:t>
      </w:r>
      <w:r w:rsidRPr="008D12A0">
        <w:rPr>
          <w:b/>
        </w:rPr>
        <w:t>ontrato</w:t>
      </w:r>
      <w:r w:rsidRPr="008D12A0">
        <w:t>”)</w:t>
      </w:r>
      <w:bookmarkStart w:id="130" w:name="_DV_X410"/>
      <w:bookmarkStart w:id="131" w:name="_DV_C2001"/>
      <w:bookmarkEnd w:id="129"/>
      <w:r w:rsidRPr="008D12A0">
        <w:t>, seu bastante procurador</w:t>
      </w:r>
      <w:bookmarkStart w:id="132" w:name="_DV_C2002"/>
      <w:bookmarkEnd w:id="130"/>
      <w:bookmarkEnd w:id="131"/>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32"/>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446DAB8C"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l,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200FC5E9"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Banco Administrador, nos termos do Contrato; e </w:t>
      </w:r>
    </w:p>
    <w:p w14:paraId="1D66E96F" w14:textId="7ECF271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Obrigalções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2BD443E8"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será regida e interpretada em conformidade com as leis da República Federativa do Brasil.</w:t>
      </w:r>
    </w:p>
    <w:p w14:paraId="04491501" w14:textId="77777777" w:rsidR="005714AE" w:rsidRPr="008D12A0" w:rsidRDefault="005714AE" w:rsidP="00C9586E">
      <w:pPr>
        <w:widowControl w:val="0"/>
        <w:spacing w:before="140" w:after="0" w:line="290" w:lineRule="auto"/>
        <w:jc w:val="center"/>
        <w:rPr>
          <w:rFonts w:ascii="Arial" w:hAnsi="Arial" w:cs="Arial"/>
          <w:sz w:val="20"/>
        </w:rPr>
      </w:pPr>
      <w:r w:rsidRPr="008D12A0">
        <w:rPr>
          <w:rFonts w:ascii="Arial" w:hAnsi="Arial" w:cs="Arial"/>
          <w:sz w:val="20"/>
        </w:rPr>
        <w:lastRenderedPageBreak/>
        <w:t>São Paulo, [</w:t>
      </w:r>
      <w:r w:rsidRPr="008D12A0">
        <w:rPr>
          <w:rFonts w:ascii="Arial" w:hAnsi="Arial" w:cs="Arial"/>
          <w:sz w:val="20"/>
        </w:rPr>
        <w:sym w:font="Symbol" w:char="F0B7"/>
      </w:r>
      <w:r w:rsidRPr="008D12A0">
        <w:rPr>
          <w:rFonts w:ascii="Arial" w:hAnsi="Arial" w:cs="Arial"/>
          <w:sz w:val="20"/>
        </w:rPr>
        <w:t>] de [</w:t>
      </w:r>
      <w:r w:rsidRPr="008D12A0">
        <w:rPr>
          <w:rFonts w:ascii="Arial" w:hAnsi="Arial" w:cs="Arial"/>
          <w:sz w:val="20"/>
        </w:rPr>
        <w:sym w:font="Symbol" w:char="F0B7"/>
      </w:r>
      <w:r w:rsidRPr="008D12A0">
        <w:rPr>
          <w:rFonts w:ascii="Arial" w:hAnsi="Arial" w:cs="Arial"/>
          <w:sz w:val="20"/>
        </w:rPr>
        <w:t>] de 2018.</w:t>
      </w:r>
    </w:p>
    <w:p w14:paraId="28F9A09F" w14:textId="77777777" w:rsidR="00C9586E" w:rsidRPr="0045539C" w:rsidRDefault="00C9586E" w:rsidP="00C9586E">
      <w:pPr>
        <w:widowControl w:val="0"/>
        <w:tabs>
          <w:tab w:val="left" w:pos="2366"/>
        </w:tabs>
        <w:spacing w:before="140" w:line="290" w:lineRule="auto"/>
        <w:jc w:val="center"/>
        <w:rPr>
          <w:rFonts w:ascii="Arial" w:hAnsi="Arial" w:cs="Arial"/>
          <w:smallCaps/>
          <w:sz w:val="20"/>
        </w:rPr>
      </w:pPr>
    </w:p>
    <w:p w14:paraId="0B93C4D6" w14:textId="77777777" w:rsidR="00C9586E" w:rsidRPr="0045539C" w:rsidRDefault="00C9586E" w:rsidP="00AD4E75">
      <w:pPr>
        <w:pStyle w:val="para"/>
      </w:pPr>
      <w:r w:rsidRPr="0045539C">
        <w:t>ATAKAREJO DISTRIBUIDOR DE ALIMENTOS E BEBIDAS S.A.</w:t>
      </w:r>
    </w:p>
    <w:p w14:paraId="3EF30DC0" w14:textId="77777777" w:rsidR="00C9586E" w:rsidRPr="0045539C" w:rsidRDefault="00C9586E" w:rsidP="00AD4E75">
      <w:pPr>
        <w:pStyle w:val="para"/>
      </w:pPr>
    </w:p>
    <w:p w14:paraId="0D634795" w14:textId="77777777" w:rsidR="00C9586E" w:rsidRPr="0045539C" w:rsidRDefault="00C9586E"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C9586E" w:rsidRPr="0045539C" w14:paraId="0A530574" w14:textId="77777777" w:rsidTr="00853026">
        <w:tc>
          <w:tcPr>
            <w:tcW w:w="4489" w:type="dxa"/>
          </w:tcPr>
          <w:p w14:paraId="34BDE7E3"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7475B140"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 xml:space="preserve">Nome: </w:t>
            </w:r>
          </w:p>
          <w:p w14:paraId="621DD085"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 xml:space="preserve">Cargo: </w:t>
            </w:r>
          </w:p>
        </w:tc>
        <w:tc>
          <w:tcPr>
            <w:tcW w:w="4761" w:type="dxa"/>
          </w:tcPr>
          <w:p w14:paraId="2CD56A4A"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___________________________________</w:t>
            </w:r>
          </w:p>
          <w:p w14:paraId="125B68E9"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Nome:</w:t>
            </w:r>
          </w:p>
          <w:p w14:paraId="57D465D2" w14:textId="77777777" w:rsidR="00C9586E" w:rsidRPr="0045539C" w:rsidRDefault="00C9586E" w:rsidP="00853026">
            <w:pPr>
              <w:widowControl w:val="0"/>
              <w:tabs>
                <w:tab w:val="left" w:pos="2366"/>
              </w:tabs>
              <w:spacing w:before="140" w:line="290" w:lineRule="auto"/>
              <w:rPr>
                <w:rFonts w:ascii="Arial" w:hAnsi="Arial" w:cs="Arial"/>
                <w:sz w:val="20"/>
              </w:rPr>
            </w:pPr>
            <w:r w:rsidRPr="0045539C">
              <w:rPr>
                <w:rFonts w:ascii="Arial" w:hAnsi="Arial" w:cs="Arial"/>
                <w:sz w:val="20"/>
              </w:rPr>
              <w:t>Cargo:</w:t>
            </w:r>
          </w:p>
        </w:tc>
      </w:tr>
    </w:tbl>
    <w:p w14:paraId="4CC2CB2F" w14:textId="77777777" w:rsidR="005714AE" w:rsidRPr="008D12A0" w:rsidRDefault="005714AE" w:rsidP="00A653ED">
      <w:pPr>
        <w:widowControl w:val="0"/>
        <w:spacing w:before="140" w:after="0" w:line="290" w:lineRule="auto"/>
        <w:rPr>
          <w:rFonts w:ascii="Arial" w:hAnsi="Arial" w:cs="Arial"/>
          <w:sz w:val="20"/>
        </w:rPr>
      </w:pPr>
    </w:p>
    <w:p w14:paraId="67F99CA5" w14:textId="77777777" w:rsidR="005714AE" w:rsidRPr="008D12A0" w:rsidRDefault="005714AE" w:rsidP="00A653ED">
      <w:pPr>
        <w:widowControl w:val="0"/>
        <w:spacing w:before="140" w:after="0" w:line="290" w:lineRule="auto"/>
        <w:rPr>
          <w:rFonts w:ascii="Arial" w:hAnsi="Arial" w:cs="Arial"/>
          <w:sz w:val="20"/>
        </w:rPr>
      </w:pPr>
    </w:p>
    <w:p w14:paraId="0E15D1D5" w14:textId="77777777" w:rsidR="005714AE" w:rsidRPr="008D12A0" w:rsidRDefault="005714AE" w:rsidP="00A653ED">
      <w:pPr>
        <w:pStyle w:val="Level3"/>
        <w:widowControl w:val="0"/>
        <w:numPr>
          <w:ilvl w:val="0"/>
          <w:numId w:val="0"/>
        </w:numPr>
        <w:spacing w:before="140" w:after="0"/>
      </w:pPr>
    </w:p>
    <w:p w14:paraId="6F7B1C96" w14:textId="77777777" w:rsidR="00B1280E" w:rsidRPr="008D12A0" w:rsidRDefault="00B1280E" w:rsidP="00A653ED">
      <w:pPr>
        <w:widowControl w:val="0"/>
        <w:spacing w:before="140" w:after="0" w:line="290" w:lineRule="auto"/>
        <w:rPr>
          <w:rFonts w:ascii="Arial" w:hAnsi="Arial" w:cs="Arial"/>
          <w:sz w:val="20"/>
        </w:rPr>
      </w:pPr>
    </w:p>
    <w:p w14:paraId="6104904A" w14:textId="77777777" w:rsidR="005544E9" w:rsidRPr="008D12A0" w:rsidRDefault="005544E9" w:rsidP="00A653ED">
      <w:pPr>
        <w:widowControl w:val="0"/>
        <w:spacing w:before="140" w:after="0" w:line="290" w:lineRule="auto"/>
        <w:rPr>
          <w:rFonts w:ascii="Arial" w:hAnsi="Arial" w:cs="Arial"/>
          <w:sz w:val="20"/>
        </w:rPr>
      </w:pPr>
    </w:p>
    <w:sectPr w:rsidR="005544E9" w:rsidRPr="008D12A0" w:rsidSect="006956DC">
      <w:footerReference w:type="default" r:id="rId18"/>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A02B" w14:textId="77777777" w:rsidR="007A3952" w:rsidRDefault="007A3952">
      <w:r>
        <w:separator/>
      </w:r>
    </w:p>
    <w:p w14:paraId="03658743" w14:textId="77777777" w:rsidR="007A3952" w:rsidRDefault="007A3952"/>
  </w:endnote>
  <w:endnote w:type="continuationSeparator" w:id="0">
    <w:p w14:paraId="2BE17FF6" w14:textId="77777777" w:rsidR="007A3952" w:rsidRDefault="007A3952">
      <w:r>
        <w:continuationSeparator/>
      </w:r>
    </w:p>
    <w:p w14:paraId="04F6C023" w14:textId="77777777" w:rsidR="007A3952" w:rsidRDefault="007A3952"/>
  </w:endnote>
  <w:endnote w:type="continuationNotice" w:id="1">
    <w:p w14:paraId="69920F89" w14:textId="77777777" w:rsidR="007A3952" w:rsidRDefault="007A39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0831DA6D" w14:textId="31C23593" w:rsidR="00C10C12" w:rsidRPr="00C10C12" w:rsidRDefault="00C10C12"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sidR="00235269">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08088FE1" w:rsidR="00C10C12" w:rsidRPr="00C10C12" w:rsidRDefault="00C10C12" w:rsidP="007C1414">
        <w:pPr>
          <w:pStyle w:val="Footer"/>
          <w:jc w:val="left"/>
          <w:rPr>
            <w:color w:val="FFFFFF" w:themeColor="background1"/>
            <w:sz w:val="20"/>
          </w:rPr>
        </w:pPr>
        <w:r w:rsidRPr="00C10C12">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48841"/>
      <w:docPartObj>
        <w:docPartGallery w:val="Page Numbers (Bottom of Page)"/>
        <w:docPartUnique/>
      </w:docPartObj>
    </w:sdtPr>
    <w:sdtEndPr>
      <w:rPr>
        <w:noProof/>
        <w:sz w:val="20"/>
      </w:rPr>
    </w:sdtEndPr>
    <w:sdtContent>
      <w:p w14:paraId="4E42372D" w14:textId="77777777" w:rsidR="00C10C12" w:rsidRPr="008028CD" w:rsidRDefault="00C10C12" w:rsidP="00B01358">
        <w:pPr>
          <w:pStyle w:val="Footer"/>
          <w:jc w:val="center"/>
          <w:rPr>
            <w:sz w:val="20"/>
          </w:rPr>
        </w:pPr>
        <w:r>
          <w:fldChar w:fldCharType="begin"/>
        </w:r>
        <w:r w:rsidRPr="000F4989">
          <w:instrText xml:space="preserve"> PAGE   \* MERGEFORMAT </w:instrText>
        </w:r>
        <w:r>
          <w:fldChar w:fldCharType="separate"/>
        </w:r>
        <w:r w:rsidR="00235269" w:rsidRPr="00235269">
          <w:rPr>
            <w:noProof/>
            <w:sz w:val="20"/>
          </w:rPr>
          <w:t>1</w:t>
        </w:r>
        <w:r>
          <w:rPr>
            <w:noProof/>
            <w:sz w:val="20"/>
          </w:rPr>
          <w:fldChar w:fldCharType="end"/>
        </w:r>
      </w:p>
    </w:sdtContent>
  </w:sdt>
  <w:p w14:paraId="5D4B8792" w14:textId="77777777" w:rsidR="00C10C12" w:rsidRDefault="00C10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2504"/>
      <w:docPartObj>
        <w:docPartGallery w:val="Page Numbers (Bottom of Page)"/>
        <w:docPartUnique/>
      </w:docPartObj>
    </w:sdtPr>
    <w:sdtEndPr>
      <w:rPr>
        <w:noProof/>
      </w:rPr>
    </w:sdtEndPr>
    <w:sdtContent>
      <w:p w14:paraId="3DD8A5F5" w14:textId="77777777" w:rsidR="005714AE" w:rsidRDefault="005714AE">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235269">
          <w:rPr>
            <w:rFonts w:ascii="Arial" w:hAnsi="Arial" w:cs="Arial"/>
            <w:noProof/>
            <w:sz w:val="20"/>
          </w:rPr>
          <w:t>8</w:t>
        </w:r>
        <w:r w:rsidRPr="009243D5">
          <w:rPr>
            <w:rFonts w:ascii="Arial" w:hAnsi="Arial" w:cs="Arial"/>
            <w:noProof/>
            <w:sz w:val="20"/>
          </w:rPr>
          <w:fldChar w:fldCharType="end"/>
        </w:r>
      </w:p>
    </w:sdtContent>
  </w:sdt>
  <w:p w14:paraId="3B636E23" w14:textId="77777777" w:rsidR="005714AE" w:rsidRPr="00A55831" w:rsidRDefault="005714AE" w:rsidP="00A55831">
    <w:pPr>
      <w:pStyle w:val="Footer"/>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5FD9" w14:textId="77777777" w:rsidR="007A3952" w:rsidRDefault="007A3952">
      <w:r>
        <w:separator/>
      </w:r>
    </w:p>
    <w:p w14:paraId="2A49D22A" w14:textId="77777777" w:rsidR="007A3952" w:rsidRDefault="007A3952"/>
  </w:footnote>
  <w:footnote w:type="continuationSeparator" w:id="0">
    <w:p w14:paraId="25D7198E" w14:textId="77777777" w:rsidR="007A3952" w:rsidRDefault="007A3952">
      <w:r>
        <w:continuationSeparator/>
      </w:r>
    </w:p>
    <w:p w14:paraId="47FC2A23" w14:textId="77777777" w:rsidR="007A3952" w:rsidRDefault="007A3952"/>
  </w:footnote>
  <w:footnote w:type="continuationNotice" w:id="1">
    <w:p w14:paraId="2640EB64" w14:textId="77777777" w:rsidR="007A3952" w:rsidRDefault="007A395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78C3" w14:textId="7D138D42" w:rsidR="00C10C12" w:rsidRPr="00D37DAF" w:rsidRDefault="00C10C12" w:rsidP="00D37DAF">
    <w:pPr>
      <w:pStyle w:val="Header"/>
      <w:jc w:val="right"/>
      <w:rPr>
        <w:rFonts w:ascii="Arial" w:hAnsi="Arial"/>
        <w:b/>
        <w:sz w:val="20"/>
      </w:rPr>
    </w:pPr>
    <w:r>
      <w:rPr>
        <w:rFonts w:ascii="Arial" w:hAnsi="Arial"/>
        <w:b/>
        <w:sz w:val="20"/>
      </w:rPr>
      <w:t>Minuta Lefosse 07.05.19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77777777" w:rsidR="00C10C12" w:rsidRDefault="00C10C12" w:rsidP="00B013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E0B8B19E"/>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6"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7"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8"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8"/>
  </w:num>
  <w:num w:numId="8">
    <w:abstractNumId w:val="6"/>
  </w:num>
  <w:num w:numId="9">
    <w:abstractNumId w:val="2"/>
  </w:num>
  <w:num w:numId="10">
    <w:abstractNumId w:val="0"/>
  </w:num>
  <w:num w:numId="11">
    <w:abstractNumId w:val="0"/>
  </w:num>
  <w:num w:numId="12">
    <w:abstractNumId w:val="3"/>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4"/>
  </w:num>
  <w:num w:numId="35">
    <w:abstractNumId w:val="0"/>
  </w:num>
  <w:num w:numId="36">
    <w:abstractNumId w:val="9"/>
  </w:num>
  <w:num w:numId="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C24"/>
    <w:rsid w:val="00003809"/>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50B1"/>
    <w:rsid w:val="000352EC"/>
    <w:rsid w:val="00035AFC"/>
    <w:rsid w:val="00036033"/>
    <w:rsid w:val="0003667F"/>
    <w:rsid w:val="000367E4"/>
    <w:rsid w:val="00036C37"/>
    <w:rsid w:val="000377B1"/>
    <w:rsid w:val="000406FD"/>
    <w:rsid w:val="00040A53"/>
    <w:rsid w:val="00040E9B"/>
    <w:rsid w:val="00041114"/>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C7E"/>
    <w:rsid w:val="00087D59"/>
    <w:rsid w:val="00087F20"/>
    <w:rsid w:val="00090030"/>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6FB1"/>
    <w:rsid w:val="000B79CB"/>
    <w:rsid w:val="000C05F1"/>
    <w:rsid w:val="000C0BC1"/>
    <w:rsid w:val="000C0FB3"/>
    <w:rsid w:val="000C1DDF"/>
    <w:rsid w:val="000C2724"/>
    <w:rsid w:val="000C2D2D"/>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60B"/>
    <w:rsid w:val="001162AA"/>
    <w:rsid w:val="001179F5"/>
    <w:rsid w:val="001201CA"/>
    <w:rsid w:val="00121474"/>
    <w:rsid w:val="00121537"/>
    <w:rsid w:val="00121A8B"/>
    <w:rsid w:val="0012248D"/>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133"/>
    <w:rsid w:val="0032343C"/>
    <w:rsid w:val="00323813"/>
    <w:rsid w:val="00323AEF"/>
    <w:rsid w:val="0032417C"/>
    <w:rsid w:val="00324435"/>
    <w:rsid w:val="003247AE"/>
    <w:rsid w:val="00324DF7"/>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2A2"/>
    <w:rsid w:val="00370A0D"/>
    <w:rsid w:val="00370CA9"/>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F23"/>
    <w:rsid w:val="0040352B"/>
    <w:rsid w:val="004042D8"/>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323A"/>
    <w:rsid w:val="00524F34"/>
    <w:rsid w:val="005257AE"/>
    <w:rsid w:val="00525BFF"/>
    <w:rsid w:val="0052626D"/>
    <w:rsid w:val="0052656F"/>
    <w:rsid w:val="005267BB"/>
    <w:rsid w:val="00526EB4"/>
    <w:rsid w:val="00527117"/>
    <w:rsid w:val="0052731B"/>
    <w:rsid w:val="005276F9"/>
    <w:rsid w:val="00527717"/>
    <w:rsid w:val="0052797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2F3E"/>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884"/>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ED2"/>
    <w:rsid w:val="006D5140"/>
    <w:rsid w:val="006D52B0"/>
    <w:rsid w:val="006D5499"/>
    <w:rsid w:val="006D567E"/>
    <w:rsid w:val="006D58F6"/>
    <w:rsid w:val="006D5DFB"/>
    <w:rsid w:val="006D5E12"/>
    <w:rsid w:val="006D693F"/>
    <w:rsid w:val="006D6ADC"/>
    <w:rsid w:val="006D7B11"/>
    <w:rsid w:val="006D7F6D"/>
    <w:rsid w:val="006E05C4"/>
    <w:rsid w:val="006E0622"/>
    <w:rsid w:val="006E0D87"/>
    <w:rsid w:val="006E1BA0"/>
    <w:rsid w:val="006E1E72"/>
    <w:rsid w:val="006E22EA"/>
    <w:rsid w:val="006E410F"/>
    <w:rsid w:val="006E4521"/>
    <w:rsid w:val="006E45D8"/>
    <w:rsid w:val="006E4833"/>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DDA"/>
    <w:rsid w:val="00714FC4"/>
    <w:rsid w:val="007162E3"/>
    <w:rsid w:val="007163ED"/>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4C3"/>
    <w:rsid w:val="007D6729"/>
    <w:rsid w:val="007D7AE7"/>
    <w:rsid w:val="007E02AD"/>
    <w:rsid w:val="007E0DF8"/>
    <w:rsid w:val="007E22D2"/>
    <w:rsid w:val="007E2820"/>
    <w:rsid w:val="007E294C"/>
    <w:rsid w:val="007E2E1A"/>
    <w:rsid w:val="007E398D"/>
    <w:rsid w:val="007E432C"/>
    <w:rsid w:val="007E5425"/>
    <w:rsid w:val="007E5548"/>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9A4"/>
    <w:rsid w:val="00823B59"/>
    <w:rsid w:val="0082527E"/>
    <w:rsid w:val="00825697"/>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EEC"/>
    <w:rsid w:val="00851A03"/>
    <w:rsid w:val="008524C7"/>
    <w:rsid w:val="00853EDC"/>
    <w:rsid w:val="008540CC"/>
    <w:rsid w:val="00854F9E"/>
    <w:rsid w:val="008552DA"/>
    <w:rsid w:val="00856B2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83C"/>
    <w:rsid w:val="00893CB6"/>
    <w:rsid w:val="00893FF9"/>
    <w:rsid w:val="00894D4E"/>
    <w:rsid w:val="00894E41"/>
    <w:rsid w:val="00895B6E"/>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37"/>
    <w:rsid w:val="009B5BC8"/>
    <w:rsid w:val="009B6834"/>
    <w:rsid w:val="009B6D1D"/>
    <w:rsid w:val="009B6E6A"/>
    <w:rsid w:val="009B73F9"/>
    <w:rsid w:val="009B7A72"/>
    <w:rsid w:val="009B7EAC"/>
    <w:rsid w:val="009C0227"/>
    <w:rsid w:val="009C050D"/>
    <w:rsid w:val="009C072A"/>
    <w:rsid w:val="009C088A"/>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755"/>
    <w:rsid w:val="00A72AF9"/>
    <w:rsid w:val="00A72B3D"/>
    <w:rsid w:val="00A731CC"/>
    <w:rsid w:val="00A73CD7"/>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ED8"/>
    <w:rsid w:val="00B0747E"/>
    <w:rsid w:val="00B10117"/>
    <w:rsid w:val="00B1088C"/>
    <w:rsid w:val="00B10C2C"/>
    <w:rsid w:val="00B10E81"/>
    <w:rsid w:val="00B1119A"/>
    <w:rsid w:val="00B11980"/>
    <w:rsid w:val="00B11E5B"/>
    <w:rsid w:val="00B1280E"/>
    <w:rsid w:val="00B12F7F"/>
    <w:rsid w:val="00B13CD1"/>
    <w:rsid w:val="00B14C97"/>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425"/>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A018B"/>
    <w:rsid w:val="00BA0510"/>
    <w:rsid w:val="00BA08CB"/>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2052"/>
    <w:rsid w:val="00C5355E"/>
    <w:rsid w:val="00C53DC4"/>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521"/>
    <w:rsid w:val="00D2173F"/>
    <w:rsid w:val="00D21A27"/>
    <w:rsid w:val="00D22403"/>
    <w:rsid w:val="00D225CC"/>
    <w:rsid w:val="00D22C9E"/>
    <w:rsid w:val="00D236F3"/>
    <w:rsid w:val="00D23993"/>
    <w:rsid w:val="00D23D5C"/>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D06"/>
    <w:rsid w:val="00D410ED"/>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326F"/>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171"/>
    <w:rsid w:val="00D93997"/>
    <w:rsid w:val="00D94054"/>
    <w:rsid w:val="00D9445F"/>
    <w:rsid w:val="00D947F9"/>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8DD"/>
    <w:rsid w:val="00E16354"/>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26F"/>
    <w:rsid w:val="00F706BD"/>
    <w:rsid w:val="00F70E78"/>
    <w:rsid w:val="00F715D0"/>
    <w:rsid w:val="00F71D40"/>
    <w:rsid w:val="00F72014"/>
    <w:rsid w:val="00F72284"/>
    <w:rsid w:val="00F72498"/>
    <w:rsid w:val="00F72AE8"/>
    <w:rsid w:val="00F73581"/>
    <w:rsid w:val="00F73B46"/>
    <w:rsid w:val="00F7444D"/>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449D"/>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uiPriority w:val="99"/>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link w:val="Level2Char"/>
    <w:uiPriority w:val="99"/>
    <w:qFormat/>
    <w:rsid w:val="005257AE"/>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uiPriority w:val="99"/>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uiPriority w:val="99"/>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uiPriority w:val="99"/>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uiPriority w:val="99"/>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kern w:val="20"/>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26427B-CEB7-4D59-9FBA-49B02C5EAC5D}">
  <ds:schemaRefs>
    <ds:schemaRef ds:uri="office.server.policy"/>
  </ds:schemaRefs>
</ds:datastoreItem>
</file>

<file path=customXml/itemProps6.xml><?xml version="1.0" encoding="utf-8"?>
<ds:datastoreItem xmlns:ds="http://schemas.openxmlformats.org/officeDocument/2006/customXml" ds:itemID="{E76EC252-B9C3-4F26-B0BE-83ABB9C4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12660</Words>
  <Characters>68366</Characters>
  <Application>Microsoft Office Word</Application>
  <DocSecurity>0</DocSecurity>
  <Lines>569</Lines>
  <Paragraphs>161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80865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Lefosse Advogados</cp:lastModifiedBy>
  <cp:revision>2</cp:revision>
  <cp:lastPrinted>2019-04-09T19:49:00Z</cp:lastPrinted>
  <dcterms:created xsi:type="dcterms:W3CDTF">2019-05-07T22:13:00Z</dcterms:created>
  <dcterms:modified xsi:type="dcterms:W3CDTF">2019-05-07T22:13:00Z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ies>
</file>