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Start w:id="2" w:name="_GoBack"/>
      <w:bookmarkEnd w:id="0"/>
      <w:bookmarkEnd w:id="1"/>
      <w:bookmarkEnd w:id="2"/>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proofErr w:type="gramStart"/>
      <w:r w:rsidRPr="008D12A0">
        <w:rPr>
          <w:rFonts w:ascii="Arial" w:hAnsi="Arial" w:cs="Arial"/>
          <w:bCs/>
          <w:i/>
          <w:sz w:val="20"/>
          <w:lang w:eastAsia="en-GB"/>
        </w:rPr>
        <w:t>entre</w:t>
      </w:r>
      <w:proofErr w:type="gramEnd"/>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776A129D"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3B58FF7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7777777" w:rsidR="00F0215E" w:rsidRPr="008D12A0" w:rsidRDefault="00F0215E" w:rsidP="00AD4E75">
      <w:pPr>
        <w:widowControl w:val="0"/>
        <w:spacing w:before="140" w:after="0" w:line="290" w:lineRule="auto"/>
        <w:jc w:val="center"/>
        <w:rPr>
          <w:rFonts w:ascii="Arial" w:hAnsi="Arial" w:cs="Arial"/>
          <w:i/>
          <w:sz w:val="20"/>
        </w:rPr>
      </w:pPr>
      <w:proofErr w:type="gramStart"/>
      <w:r w:rsidRPr="008D12A0">
        <w:rPr>
          <w:rFonts w:ascii="Arial" w:hAnsi="Arial" w:cs="Arial"/>
          <w:i/>
          <w:sz w:val="20"/>
        </w:rPr>
        <w:t>como</w:t>
      </w:r>
      <w:proofErr w:type="gramEnd"/>
      <w:r w:rsidRPr="008D12A0">
        <w:rPr>
          <w:rFonts w:ascii="Arial" w:hAnsi="Arial" w:cs="Arial"/>
          <w:i/>
          <w:sz w:val="20"/>
        </w:rPr>
        <w:t xml:space="preserve">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04CEE86A" w14:textId="77777777" w:rsidR="001348F3" w:rsidRPr="008D12A0" w:rsidRDefault="001348F3" w:rsidP="00AD4E75">
      <w:pPr>
        <w:spacing w:before="140" w:after="0" w:line="290" w:lineRule="auto"/>
        <w:jc w:val="center"/>
        <w:rPr>
          <w:rFonts w:ascii="Arial" w:hAnsi="Arial" w:cs="Arial"/>
          <w:b/>
          <w:bCs/>
          <w:smallCaps/>
          <w:sz w:val="20"/>
        </w:rPr>
      </w:pPr>
    </w:p>
    <w:p w14:paraId="10B6D419" w14:textId="77777777" w:rsidR="00F0215E" w:rsidRPr="008D12A0" w:rsidRDefault="00F0215E" w:rsidP="00AD4E75">
      <w:pPr>
        <w:widowControl w:val="0"/>
        <w:spacing w:before="140" w:after="0" w:line="290" w:lineRule="auto"/>
        <w:jc w:val="center"/>
        <w:rPr>
          <w:rFonts w:ascii="Arial" w:hAnsi="Arial" w:cs="Arial"/>
          <w:bCs/>
          <w:sz w:val="20"/>
          <w:lang w:eastAsia="en-GB"/>
        </w:rPr>
      </w:pPr>
      <w:proofErr w:type="gramStart"/>
      <w:r w:rsidRPr="008D12A0">
        <w:rPr>
          <w:rFonts w:ascii="Arial" w:hAnsi="Arial" w:cs="Arial"/>
          <w:bCs/>
          <w:sz w:val="20"/>
          <w:lang w:eastAsia="en-GB"/>
        </w:rPr>
        <w:t>e</w:t>
      </w:r>
      <w:proofErr w:type="gramEnd"/>
    </w:p>
    <w:p w14:paraId="50F36F4A"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6014A2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1A8716C2"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proofErr w:type="gramStart"/>
      <w:r w:rsidRPr="008D12A0">
        <w:rPr>
          <w:rFonts w:ascii="Arial" w:hAnsi="Arial" w:cs="Arial"/>
          <w:i/>
          <w:sz w:val="20"/>
        </w:rPr>
        <w:t>como</w:t>
      </w:r>
      <w:proofErr w:type="gramEnd"/>
      <w:r w:rsidRPr="008D12A0">
        <w:rPr>
          <w:rFonts w:ascii="Arial" w:hAnsi="Arial" w:cs="Arial"/>
          <w:i/>
          <w:sz w:val="20"/>
        </w:rPr>
        <w:t xml:space="preserve">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10B4E9F9"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223B7E39" w:rsidR="00F0215E" w:rsidRPr="008D12A0" w:rsidRDefault="00F0215E" w:rsidP="00AD4E75">
      <w:pPr>
        <w:widowControl w:val="0"/>
        <w:spacing w:before="140" w:after="0" w:line="290" w:lineRule="auto"/>
        <w:jc w:val="center"/>
        <w:rPr>
          <w:rFonts w:ascii="Arial" w:hAnsi="Arial" w:cs="Arial"/>
          <w:sz w:val="20"/>
        </w:rPr>
      </w:pPr>
      <w:r w:rsidRPr="008D12A0">
        <w:rPr>
          <w:rFonts w:ascii="Arial" w:hAnsi="Arial" w:cs="Arial"/>
          <w:sz w:val="20"/>
          <w:highlight w:val="yellow"/>
          <w:lang w:eastAsia="en-GB"/>
        </w:rPr>
        <w:t>[</w:t>
      </w:r>
      <w:r w:rsidRPr="008D12A0">
        <w:rPr>
          <w:rFonts w:ascii="Arial" w:hAnsi="Arial" w:cs="Arial"/>
          <w:sz w:val="20"/>
          <w:highlight w:val="yellow"/>
          <w:lang w:eastAsia="en-GB"/>
        </w:rPr>
        <w:sym w:font="Symbol" w:char="F0B7"/>
      </w:r>
      <w:r w:rsidRPr="008D12A0">
        <w:rPr>
          <w:rFonts w:ascii="Arial" w:hAnsi="Arial" w:cs="Arial"/>
          <w:sz w:val="20"/>
          <w:highlight w:val="yellow"/>
          <w:lang w:eastAsia="en-GB"/>
        </w:rPr>
        <w:t>]</w:t>
      </w:r>
      <w:r w:rsidRPr="008D12A0">
        <w:rPr>
          <w:rFonts w:ascii="Arial" w:hAnsi="Arial" w:cs="Arial"/>
          <w:sz w:val="20"/>
          <w:lang w:eastAsia="en-GB"/>
        </w:rPr>
        <w:t xml:space="preserve"> de </w:t>
      </w:r>
      <w:r w:rsidR="00C10C12" w:rsidRPr="008D12A0">
        <w:rPr>
          <w:rFonts w:ascii="Arial" w:hAnsi="Arial" w:cs="Arial"/>
          <w:sz w:val="20"/>
          <w:lang w:eastAsia="en-GB"/>
        </w:rPr>
        <w:t>maio</w:t>
      </w:r>
      <w:r w:rsidR="00C10C12" w:rsidRPr="008D12A0">
        <w:rPr>
          <w:rFonts w:ascii="Arial" w:hAnsi="Arial" w:cs="Arial"/>
          <w:sz w:val="20"/>
        </w:rPr>
        <w:t xml:space="preserve"> </w:t>
      </w:r>
      <w:r w:rsidRPr="008D12A0">
        <w:rPr>
          <w:rFonts w:ascii="Arial" w:hAnsi="Arial" w:cs="Arial"/>
          <w:sz w:val="20"/>
        </w:rPr>
        <w:t>de 2019</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77777777"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e</w:t>
      </w:r>
    </w:p>
    <w:p w14:paraId="5AEAD86D" w14:textId="6D0DD371"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p>
    <w:p w14:paraId="7E7DA4A9" w14:textId="77777777" w:rsidR="00FF587D" w:rsidRPr="008D12A0" w:rsidRDefault="00FF587D" w:rsidP="00A653ED">
      <w:pPr>
        <w:pStyle w:val="Body"/>
        <w:spacing w:before="140" w:after="0"/>
        <w:rPr>
          <w:b/>
          <w:caps/>
        </w:rPr>
      </w:pPr>
      <w:bookmarkStart w:id="3" w:name="_DV_M7"/>
      <w:bookmarkStart w:id="4" w:name="_Ref286048441"/>
      <w:bookmarkStart w:id="5" w:name="_Ref285649110"/>
      <w:bookmarkStart w:id="6" w:name="_Ref286086869"/>
      <w:bookmarkStart w:id="7" w:name="_Ref305574932"/>
      <w:bookmarkEnd w:id="3"/>
      <w:r w:rsidRPr="008D12A0">
        <w:rPr>
          <w:rFonts w:eastAsia="Arial Unicode MS"/>
          <w:b/>
          <w:caps/>
        </w:rPr>
        <w:t xml:space="preserve">Considerando </w:t>
      </w:r>
      <w:r w:rsidRPr="008D12A0">
        <w:rPr>
          <w:b/>
          <w:caps/>
        </w:rPr>
        <w:t xml:space="preserve">que </w:t>
      </w:r>
    </w:p>
    <w:p w14:paraId="3522EA25" w14:textId="77475921"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C10C12" w:rsidRPr="008D12A0">
        <w:rPr>
          <w:lang w:eastAsia="en-GB"/>
        </w:rPr>
        <w:t xml:space="preserve">29 </w:t>
      </w:r>
      <w:r w:rsidRPr="008D12A0">
        <w:rPr>
          <w:lang w:eastAsia="en-GB"/>
        </w:rPr>
        <w:t xml:space="preserve">de </w:t>
      </w:r>
      <w:r w:rsidR="00C10C12" w:rsidRPr="008D12A0">
        <w:rPr>
          <w:lang w:eastAsia="en-GB"/>
        </w:rPr>
        <w:t>abr</w:t>
      </w:r>
      <w:r w:rsidR="00235269">
        <w:rPr>
          <w:lang w:eastAsia="en-GB"/>
        </w:rPr>
        <w:t>i</w:t>
      </w:r>
      <w:r w:rsidR="00C10C12" w:rsidRPr="008D12A0">
        <w:rPr>
          <w:lang w:eastAsia="en-GB"/>
        </w:rPr>
        <w:t xml:space="preserve">l </w:t>
      </w:r>
      <w:r w:rsidRPr="008D12A0">
        <w:rPr>
          <w:lang w:eastAsia="en-GB"/>
        </w:rPr>
        <w:t xml:space="preserve">de 2019, cuja ata </w:t>
      </w:r>
      <w:r w:rsidR="009C0D90">
        <w:rPr>
          <w:lang w:eastAsia="en-GB"/>
        </w:rPr>
        <w:t>foi</w:t>
      </w:r>
      <w:r w:rsidRPr="008D12A0">
        <w:rPr>
          <w:lang w:eastAsia="en-GB"/>
        </w:rPr>
        <w:t xml:space="preserve"> arquivada na JUCEB</w:t>
      </w:r>
      <w:r w:rsidR="009C0D90">
        <w:rPr>
          <w:lang w:eastAsia="en-GB"/>
        </w:rPr>
        <w:t xml:space="preserve"> em 07 de maio de 2019, sob o nº 97855557,</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Pr="008D12A0">
        <w:t>Tribuna 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Pr="008D12A0">
        <w:t xml:space="preserve">1ª (primeira)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R$80.000.000,00 (oitenta 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proofErr w:type="gramStart"/>
      <w:r w:rsidRPr="008D12A0">
        <w:t>a</w:t>
      </w:r>
      <w:proofErr w:type="gramEnd"/>
      <w:r w:rsidRPr="008D12A0">
        <w:t xml:space="preserve">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28D89863"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1ª (Primeira) Emissão de Debêntures Simples, Não Conversíveis em Ações, da Espécie Quirografária, com Garantia Adicional </w:t>
      </w:r>
      <w:r w:rsidR="0089383C" w:rsidRPr="008D12A0">
        <w:rPr>
          <w:i/>
        </w:rPr>
        <w:t xml:space="preserve">Real e </w:t>
      </w:r>
      <w:r w:rsidRPr="008D12A0">
        <w:rPr>
          <w:i/>
        </w:rPr>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C10C12" w:rsidRPr="008D12A0">
        <w:rPr>
          <w:smallCaps/>
          <w:lang w:eastAsia="en-GB"/>
        </w:rPr>
        <w:t>29</w:t>
      </w:r>
      <w:r w:rsidRPr="008D12A0">
        <w:rPr>
          <w:smallCaps/>
          <w:lang w:eastAsia="en-GB"/>
        </w:rPr>
        <w:t xml:space="preserve"> </w:t>
      </w:r>
      <w:r w:rsidRPr="008D12A0">
        <w:rPr>
          <w:lang w:eastAsia="en-GB"/>
        </w:rPr>
        <w:t xml:space="preserve">de </w:t>
      </w:r>
      <w:r w:rsidR="00C10C12" w:rsidRPr="008D12A0">
        <w:rPr>
          <w:lang w:eastAsia="en-GB"/>
        </w:rPr>
        <w:t>abril</w:t>
      </w:r>
      <w:r w:rsidRPr="008D12A0">
        <w:rPr>
          <w:lang w:eastAsia="en-GB"/>
        </w:rPr>
        <w:t xml:space="preserve"> de 2019,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08 de maio de 2019, sob o nº ED001597000</w:t>
      </w:r>
      <w:r w:rsidRPr="008D12A0">
        <w:rPr>
          <w:lang w:eastAsia="en-US"/>
        </w:rPr>
        <w:t xml:space="preserve"> (</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0F8D0E31"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a totalidade d</w:t>
      </w:r>
      <w:r w:rsidRPr="008D12A0">
        <w:t xml:space="preserve">o fluxo dos Recebíveis </w:t>
      </w:r>
      <w:r w:rsidR="004C4313" w:rsidRPr="008D12A0">
        <w:t>dos Cartões</w:t>
      </w:r>
      <w:r w:rsidR="004C4313" w:rsidRPr="008D12A0" w:rsidDel="004C4313">
        <w:t xml:space="preserve"> </w:t>
      </w:r>
      <w:r w:rsidRPr="008D12A0">
        <w:t xml:space="preserve">(definidos na Cláusula </w:t>
      </w:r>
      <w:r w:rsidR="0025351B" w:rsidRPr="008D12A0">
        <w:fldChar w:fldCharType="begin"/>
      </w:r>
      <w:r w:rsidR="0025351B" w:rsidRPr="008D12A0">
        <w:instrText xml:space="preserve"> REF _Ref404611721 \r \h </w:instrText>
      </w:r>
      <w:r w:rsidR="008D12A0" w:rsidRPr="008D12A0">
        <w:instrText xml:space="preserve"> \* MERGEFORMAT </w:instrText>
      </w:r>
      <w:r w:rsidR="0025351B" w:rsidRPr="008D12A0">
        <w:fldChar w:fldCharType="separate"/>
      </w:r>
      <w:r w:rsidR="00387732">
        <w:t>1</w:t>
      </w:r>
      <w:r w:rsidR="0025351B" w:rsidRPr="008D12A0">
        <w:fldChar w:fldCharType="end"/>
      </w:r>
      <w:r w:rsidR="0025351B" w:rsidRPr="008D12A0">
        <w:t xml:space="preserve"> </w:t>
      </w:r>
      <w:r w:rsidRPr="008D12A0">
        <w:t>abaixo) que tenham transitado na Conta Vinculada</w:t>
      </w:r>
      <w:r w:rsidR="002300BC" w:rsidRPr="008D12A0">
        <w:t xml:space="preserve"> (conforme abaixo definida)</w:t>
      </w:r>
      <w:r w:rsidRPr="008D12A0">
        <w:t xml:space="preserve">, nos termos </w:t>
      </w:r>
      <w:r w:rsidR="00E6599F" w:rsidRPr="008D12A0">
        <w:t xml:space="preserve">Cláusula </w:t>
      </w:r>
      <w:r w:rsidR="00751C0C" w:rsidRPr="008D12A0">
        <w:fldChar w:fldCharType="begin"/>
      </w:r>
      <w:r w:rsidR="00751C0C" w:rsidRPr="008D12A0">
        <w:instrText xml:space="preserve"> REF _Ref285653490 \r \h </w:instrText>
      </w:r>
      <w:r w:rsidR="008D12A0" w:rsidRPr="008D12A0">
        <w:instrText xml:space="preserve"> \* MERGEFORMAT </w:instrText>
      </w:r>
      <w:r w:rsidR="00751C0C" w:rsidRPr="008D12A0">
        <w:fldChar w:fldCharType="separate"/>
      </w:r>
      <w:r w:rsidR="00387732">
        <w:t>3</w:t>
      </w:r>
      <w:r w:rsidR="00751C0C" w:rsidRPr="008D12A0">
        <w:fldChar w:fldCharType="end"/>
      </w:r>
      <w:r w:rsidR="00751C0C" w:rsidRPr="008D12A0">
        <w:t xml:space="preserve"> </w:t>
      </w:r>
      <w:r w:rsidR="000E2B60" w:rsidRPr="008D12A0">
        <w:t>abaixo</w:t>
      </w:r>
      <w:r w:rsidR="00933DBD" w:rsidRPr="008D12A0">
        <w:t>, a qual também será cedida fiduciariamente</w:t>
      </w:r>
      <w:r w:rsidRPr="008D12A0">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8" w:name="_Ref404611721"/>
      <w:r w:rsidRPr="008D12A0">
        <w:rPr>
          <w:rFonts w:cs="Arial"/>
          <w:caps/>
          <w:sz w:val="20"/>
        </w:rPr>
        <w:t>Constituição da Cessão Fiduciária</w:t>
      </w:r>
      <w:bookmarkEnd w:id="8"/>
    </w:p>
    <w:p w14:paraId="3BEF1B7F" w14:textId="79CEA4F3" w:rsidR="00FF587D" w:rsidRPr="008D12A0" w:rsidRDefault="00FF587D" w:rsidP="00A653ED">
      <w:pPr>
        <w:pStyle w:val="Level2"/>
        <w:spacing w:before="140" w:after="0"/>
        <w:rPr>
          <w:rFonts w:cs="Arial"/>
        </w:rPr>
      </w:pPr>
      <w:bookmarkStart w:id="9" w:name="_Ref167601451"/>
      <w:bookmarkStart w:id="10"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9"/>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0"/>
    </w:p>
    <w:p w14:paraId="20687CE8" w14:textId="68C67D21" w:rsidR="00E153EB" w:rsidRDefault="00E153EB" w:rsidP="00A653ED">
      <w:pPr>
        <w:pStyle w:val="Level4"/>
        <w:tabs>
          <w:tab w:val="clear" w:pos="2041"/>
          <w:tab w:val="num" w:pos="1361"/>
        </w:tabs>
        <w:spacing w:before="140" w:after="0"/>
        <w:ind w:left="1360"/>
        <w:rPr>
          <w:rFonts w:cs="Arial"/>
        </w:rPr>
      </w:pPr>
      <w:bookmarkStart w:id="11" w:name="_Ref5721409"/>
      <w:bookmarkStart w:id="12" w:name="_Ref404612810"/>
      <w:r w:rsidRPr="008D12A0">
        <w:rPr>
          <w:rFonts w:cs="Arial"/>
        </w:rPr>
        <w:t>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Visa</w:t>
      </w:r>
      <w:r>
        <w:rPr>
          <w:rFonts w:cs="Arial"/>
        </w:rPr>
        <w:t>,</w:t>
      </w:r>
      <w:r w:rsidRPr="008D12A0">
        <w:rPr>
          <w:rFonts w:cs="Arial"/>
        </w:rPr>
        <w:t xml:space="preserve"> Mastercard</w:t>
      </w:r>
      <w:r>
        <w:rPr>
          <w:rFonts w:cs="Arial"/>
        </w:rPr>
        <w:t>, Elo, Alelo e Diners</w:t>
      </w:r>
      <w:r w:rsidRPr="008D12A0">
        <w:rPr>
          <w:rFonts w:cs="Arial"/>
        </w:rPr>
        <w:t xml:space="preserve">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Pr>
          <w:rFonts w:eastAsia="Arial Unicode MS" w:cs="Arial"/>
          <w:w w:val="0"/>
        </w:rPr>
        <w:t>0003163/1</w:t>
      </w:r>
      <w:r w:rsidRPr="008D12A0">
        <w:rPr>
          <w:rFonts w:cs="Arial"/>
        </w:rPr>
        <w:t xml:space="preserve">, na agência </w:t>
      </w:r>
      <w:r>
        <w:rPr>
          <w:rFonts w:cs="Arial"/>
        </w:rPr>
        <w:t>2864</w:t>
      </w:r>
      <w:r w:rsidRPr="008D12A0">
        <w:rPr>
          <w:rFonts w:cs="Arial"/>
        </w:rPr>
        <w:t xml:space="preserve"> do Banco Bradesco S.A., na qualidade de banco arrecadador e administrador da Conta Vinculada (a seguir definida) (“</w:t>
      </w:r>
      <w:r w:rsidRPr="008D12A0">
        <w:rPr>
          <w:rFonts w:cs="Arial"/>
          <w:b/>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1"/>
      <w:r w:rsidRPr="008D12A0">
        <w:rPr>
          <w:rFonts w:cs="Arial"/>
        </w:rPr>
        <w:t xml:space="preserve"> </w:t>
      </w:r>
    </w:p>
    <w:p w14:paraId="6C8D5058" w14:textId="77777777" w:rsidR="000744EB" w:rsidRPr="008D12A0" w:rsidRDefault="00724C97" w:rsidP="00A653ED">
      <w:pPr>
        <w:pStyle w:val="Level4"/>
        <w:tabs>
          <w:tab w:val="clear" w:pos="2041"/>
          <w:tab w:val="num" w:pos="1361"/>
        </w:tabs>
        <w:spacing w:before="140" w:after="0"/>
        <w:ind w:left="1360"/>
        <w:rPr>
          <w:rFonts w:cs="Arial"/>
        </w:rPr>
      </w:pPr>
      <w:proofErr w:type="gramStart"/>
      <w:r w:rsidRPr="008D12A0">
        <w:rPr>
          <w:rFonts w:cs="Arial"/>
        </w:rPr>
        <w:t>todos</w:t>
      </w:r>
      <w:proofErr w:type="gramEnd"/>
      <w:r w:rsidRPr="008D12A0">
        <w:rPr>
          <w:rFonts w:cs="Arial"/>
        </w:rPr>
        <w:t xml:space="preserve"> e quaisquer direitos</w:t>
      </w:r>
      <w:r w:rsidR="00D7326F" w:rsidRPr="008D12A0">
        <w:rPr>
          <w:rFonts w:cs="Arial"/>
        </w:rPr>
        <w:t xml:space="preserve">, </w:t>
      </w:r>
      <w:r w:rsidR="008B220C" w:rsidRPr="008D12A0">
        <w:rPr>
          <w:rFonts w:cs="Arial"/>
        </w:rPr>
        <w:t xml:space="preserve">ações e garantias </w:t>
      </w:r>
      <w:r w:rsidR="00D7326F" w:rsidRPr="008D12A0">
        <w:rPr>
          <w:rFonts w:cs="Arial"/>
        </w:rPr>
        <w:t>atuais e futuros,</w:t>
      </w:r>
      <w:r w:rsidRPr="008D12A0">
        <w:rPr>
          <w:rFonts w:cs="Arial"/>
        </w:rPr>
        <w:t xml:space="preserve"> sobre a Conta Vinculada e sobre os recursos decorrentes dos Recebíveis dos Cartões depositados e a serem depositados a qualquer tempo e/ou mantidos na Conta Vinculada, incluindo recursos eventualmente em trânsito nas Conta Vinculadas, ou em compensação bancária</w:t>
      </w:r>
      <w:r w:rsidR="00663C06" w:rsidRPr="008D12A0">
        <w:rPr>
          <w:rFonts w:cs="Arial"/>
        </w:rPr>
        <w:t>, bem como eventuais frutos e rendimentos</w:t>
      </w:r>
      <w:r w:rsidR="00552F3E" w:rsidRPr="008D12A0">
        <w:rPr>
          <w:rFonts w:cs="Arial"/>
        </w:rPr>
        <w:t xml:space="preserve"> decorrentes dos Investimentos Permitidos (conforme definido abaixo) </w:t>
      </w:r>
      <w:r w:rsidR="00833580" w:rsidRPr="008D12A0">
        <w:rPr>
          <w:rFonts w:cs="Arial"/>
        </w:rPr>
        <w:t>(</w:t>
      </w:r>
      <w:r w:rsidR="005175AB" w:rsidRPr="008D12A0">
        <w:rPr>
          <w:rFonts w:cs="Arial"/>
        </w:rPr>
        <w:t>“</w:t>
      </w:r>
      <w:r w:rsidR="00833580" w:rsidRPr="008D12A0">
        <w:rPr>
          <w:rFonts w:cs="Arial"/>
          <w:b/>
        </w:rPr>
        <w:t>Direitos da Conta Vinculada</w:t>
      </w:r>
      <w:r w:rsidR="005175AB" w:rsidRPr="008D12A0">
        <w:rPr>
          <w:rFonts w:cs="Arial"/>
        </w:rPr>
        <w:t>”</w:t>
      </w:r>
      <w:r w:rsidR="00833580" w:rsidRPr="008D12A0">
        <w:rPr>
          <w:rFonts w:cs="Arial"/>
        </w:rPr>
        <w:t>)</w:t>
      </w:r>
      <w:r w:rsidRPr="008D12A0">
        <w:rPr>
          <w:rFonts w:cs="Arial"/>
        </w:rPr>
        <w:t>;</w:t>
      </w:r>
      <w:r w:rsidR="00833580" w:rsidRPr="008D12A0">
        <w:rPr>
          <w:rFonts w:cs="Arial"/>
        </w:rPr>
        <w:t xml:space="preserve"> e</w:t>
      </w:r>
      <w:bookmarkEnd w:id="12"/>
    </w:p>
    <w:p w14:paraId="04502247" w14:textId="77777777" w:rsidR="00DB70B8" w:rsidRPr="008D12A0" w:rsidRDefault="00821634" w:rsidP="00A653ED">
      <w:pPr>
        <w:pStyle w:val="Level4"/>
        <w:tabs>
          <w:tab w:val="clear" w:pos="2041"/>
          <w:tab w:val="num" w:pos="1361"/>
        </w:tabs>
        <w:spacing w:before="140" w:after="0"/>
        <w:ind w:left="1360"/>
        <w:rPr>
          <w:rFonts w:cs="Arial"/>
        </w:rPr>
      </w:pPr>
      <w:r w:rsidRPr="008D12A0">
        <w:rPr>
          <w:rFonts w:cs="Arial"/>
        </w:rPr>
        <w:t xml:space="preserve">a totalidade dos créditos de titularidade da </w:t>
      </w:r>
      <w:r w:rsidR="004153A7" w:rsidRPr="008D12A0">
        <w:rPr>
          <w:rFonts w:cs="Arial"/>
        </w:rPr>
        <w:t>Cedente</w:t>
      </w:r>
      <w:r w:rsidRPr="008D12A0">
        <w:rPr>
          <w:rFonts w:cs="Arial"/>
        </w:rPr>
        <w:t xml:space="preserve"> contra o </w:t>
      </w:r>
      <w:r w:rsidR="00CB693F" w:rsidRPr="008D12A0">
        <w:rPr>
          <w:rFonts w:cs="Arial"/>
        </w:rPr>
        <w:t>Banco Administrador</w:t>
      </w:r>
      <w:r w:rsidRPr="008D12A0">
        <w:rPr>
          <w:rFonts w:cs="Arial"/>
        </w:rPr>
        <w:t xml:space="preserve"> decorrentes</w:t>
      </w:r>
      <w:r w:rsidR="00552F3E" w:rsidRPr="008D12A0">
        <w:rPr>
          <w:rFonts w:cs="Arial"/>
        </w:rPr>
        <w:t>:</w:t>
      </w:r>
      <w:r w:rsidRPr="008D12A0">
        <w:rPr>
          <w:rFonts w:cs="Arial"/>
        </w:rPr>
        <w:t xml:space="preserve"> </w:t>
      </w:r>
      <w:r w:rsidR="007C4619" w:rsidRPr="008D12A0">
        <w:rPr>
          <w:rFonts w:cs="Arial"/>
        </w:rPr>
        <w:t xml:space="preserve">(a) de certificados de depósito bancário com liquidez diária de emissão do </w:t>
      </w:r>
      <w:r w:rsidR="00CB693F" w:rsidRPr="008D12A0">
        <w:rPr>
          <w:rFonts w:cs="Arial"/>
        </w:rPr>
        <w:t>Banco Administrador</w:t>
      </w:r>
      <w:r w:rsidR="00552F3E" w:rsidRPr="008D12A0">
        <w:rPr>
          <w:rFonts w:cs="Arial"/>
        </w:rPr>
        <w:t>;</w:t>
      </w:r>
      <w:r w:rsidR="007C4619" w:rsidRPr="008D12A0">
        <w:rPr>
          <w:rFonts w:cs="Arial"/>
        </w:rPr>
        <w:t xml:space="preserve"> (b) de operações compromissadas com baixo risco e com liquidez diária</w:t>
      </w:r>
      <w:r w:rsidR="00552F3E" w:rsidRPr="008D12A0">
        <w:rPr>
          <w:rFonts w:cs="Arial"/>
        </w:rPr>
        <w:t>; e</w:t>
      </w:r>
      <w:r w:rsidR="008B5704" w:rsidRPr="008D12A0">
        <w:rPr>
          <w:rFonts w:cs="Arial"/>
        </w:rPr>
        <w:t xml:space="preserve"> (c) fundos de renda fixa de baixo risco, com liquidez diária, que tenham seu patrimônio representado por títulos ou ativos de renda fixa</w:t>
      </w:r>
      <w:r w:rsidR="007C4619" w:rsidRPr="008D12A0">
        <w:rPr>
          <w:rFonts w:cs="Arial"/>
        </w:rPr>
        <w:t xml:space="preserve"> celebradas entre a Cedente e o </w:t>
      </w:r>
      <w:r w:rsidR="00CB693F" w:rsidRPr="008D12A0">
        <w:rPr>
          <w:rFonts w:cs="Arial"/>
        </w:rPr>
        <w:t>Banco Administrador</w:t>
      </w:r>
      <w:r w:rsidR="007C4619" w:rsidRPr="008D12A0">
        <w:rPr>
          <w:rFonts w:cs="Arial"/>
        </w:rPr>
        <w:t xml:space="preserve"> (</w:t>
      </w:r>
      <w:r w:rsidR="005175AB" w:rsidRPr="008D12A0">
        <w:rPr>
          <w:rFonts w:cs="Arial"/>
        </w:rPr>
        <w:t>“</w:t>
      </w:r>
      <w:r w:rsidR="007C4619" w:rsidRPr="008D12A0">
        <w:rPr>
          <w:rFonts w:cs="Arial"/>
          <w:b/>
        </w:rPr>
        <w:t>Investimentos Permitidos</w:t>
      </w:r>
      <w:r w:rsidR="005175AB" w:rsidRPr="008D12A0">
        <w:rPr>
          <w:rFonts w:cs="Arial"/>
        </w:rPr>
        <w:t>”</w:t>
      </w:r>
      <w:r w:rsidR="007C4619" w:rsidRPr="008D12A0">
        <w:rPr>
          <w:rFonts w:cs="Arial"/>
        </w:rPr>
        <w:t>)</w:t>
      </w:r>
      <w:r w:rsidRPr="008D12A0">
        <w:rPr>
          <w:rFonts w:cs="Arial"/>
        </w:rPr>
        <w:t xml:space="preserve">, que, em qualquer dos casos deste inciso, sejam realizados nos termos </w:t>
      </w:r>
      <w:r w:rsidR="00B86A09" w:rsidRPr="008D12A0">
        <w:rPr>
          <w:rFonts w:cs="Arial"/>
        </w:rPr>
        <w:t>da Cláusula</w:t>
      </w:r>
      <w:r w:rsidRPr="008D12A0">
        <w:rPr>
          <w:rFonts w:cs="Arial"/>
        </w:rPr>
        <w:t xml:space="preserve"> </w:t>
      </w:r>
      <w:r w:rsidR="0032417C" w:rsidRPr="008D12A0">
        <w:rPr>
          <w:rFonts w:cs="Arial"/>
        </w:rPr>
        <w:fldChar w:fldCharType="begin"/>
      </w:r>
      <w:r w:rsidR="0032417C" w:rsidRPr="008D12A0">
        <w:rPr>
          <w:rFonts w:cs="Arial"/>
        </w:rPr>
        <w:instrText xml:space="preserve"> REF _Ref281236340 \r \h </w:instrText>
      </w:r>
      <w:r w:rsidR="00732DA1" w:rsidRPr="008D12A0">
        <w:rPr>
          <w:rFonts w:cs="Arial"/>
        </w:rPr>
        <w:instrText xml:space="preserve"> \* MERGEFORMAT </w:instrText>
      </w:r>
      <w:r w:rsidR="0032417C" w:rsidRPr="008D12A0">
        <w:rPr>
          <w:rFonts w:cs="Arial"/>
        </w:rPr>
      </w:r>
      <w:r w:rsidR="0032417C" w:rsidRPr="008D12A0">
        <w:rPr>
          <w:rFonts w:cs="Arial"/>
        </w:rPr>
        <w:fldChar w:fldCharType="separate"/>
      </w:r>
      <w:r w:rsidR="00387732">
        <w:rPr>
          <w:rFonts w:cs="Arial"/>
        </w:rPr>
        <w:t>4.6.3</w:t>
      </w:r>
      <w:r w:rsidR="0032417C" w:rsidRPr="008D12A0">
        <w:rPr>
          <w:rFonts w:cs="Arial"/>
        </w:rPr>
        <w:fldChar w:fldCharType="end"/>
      </w:r>
      <w:r w:rsidR="0032417C" w:rsidRPr="008D12A0">
        <w:rPr>
          <w:rFonts w:cs="Arial"/>
        </w:rPr>
        <w:t xml:space="preserve"> </w:t>
      </w:r>
      <w:r w:rsidRPr="008D12A0">
        <w:rPr>
          <w:rFonts w:cs="Arial"/>
        </w:rPr>
        <w:t>abaixo e, sendo tais Investimentos Permitidos vinculados à Conta Vinculada</w:t>
      </w:r>
      <w:r w:rsidR="00DB70B8" w:rsidRPr="008D12A0">
        <w:rPr>
          <w:rFonts w:cs="Arial"/>
        </w:rPr>
        <w:t>; e</w:t>
      </w:r>
      <w:r w:rsidR="00724C97" w:rsidRPr="008D12A0">
        <w:rPr>
          <w:rFonts w:cs="Arial"/>
        </w:rPr>
        <w:t xml:space="preserve"> </w:t>
      </w:r>
    </w:p>
    <w:bookmarkEnd w:id="4"/>
    <w:bookmarkEnd w:id="5"/>
    <w:bookmarkEnd w:id="6"/>
    <w:bookmarkEnd w:id="7"/>
    <w:p w14:paraId="113FBD43" w14:textId="3F3D89BD"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p>
    <w:p w14:paraId="554C610C" w14:textId="2B0969F4" w:rsidR="003F6714" w:rsidRPr="008D12A0" w:rsidRDefault="003F6714" w:rsidP="00A653ED">
      <w:pPr>
        <w:pStyle w:val="Level2"/>
        <w:spacing w:before="140" w:after="0"/>
        <w:rPr>
          <w:rFonts w:cs="Arial"/>
        </w:rPr>
      </w:pPr>
      <w:bookmarkStart w:id="13" w:name="_Ref404618215"/>
      <w:r w:rsidRPr="008D12A0">
        <w:rPr>
          <w:rFonts w:cs="Arial"/>
        </w:rPr>
        <w:t xml:space="preserve">Em atendimento ao disposto </w:t>
      </w:r>
      <w:r w:rsidR="00E25302" w:rsidRPr="008D12A0">
        <w:rPr>
          <w:rFonts w:cs="Arial"/>
        </w:rPr>
        <w:t>da Cláusula</w:t>
      </w:r>
      <w:r w:rsidR="008D4530" w:rsidRPr="008D12A0">
        <w:rPr>
          <w:rFonts w:cs="Arial"/>
        </w:rPr>
        <w:t xml:space="preserve"> </w:t>
      </w:r>
      <w:r w:rsidR="00BC2826" w:rsidRPr="008D12A0">
        <w:rPr>
          <w:rFonts w:cs="Arial"/>
        </w:rPr>
        <w:fldChar w:fldCharType="begin"/>
      </w:r>
      <w:r w:rsidR="00BC2826" w:rsidRPr="008D12A0">
        <w:rPr>
          <w:rFonts w:cs="Arial"/>
        </w:rPr>
        <w:instrText xml:space="preserve"> REF _Ref5721409 \w \h </w:instrText>
      </w:r>
      <w:r w:rsidR="008D12A0" w:rsidRPr="008D12A0">
        <w:rPr>
          <w:rFonts w:cs="Arial"/>
        </w:rPr>
        <w:instrText xml:space="preserve"> \* MERGEFORMAT </w:instrText>
      </w:r>
      <w:r w:rsidR="00BC2826" w:rsidRPr="008D12A0">
        <w:rPr>
          <w:rFonts w:cs="Arial"/>
        </w:rPr>
      </w:r>
      <w:r w:rsidR="00BC2826" w:rsidRPr="008D12A0">
        <w:rPr>
          <w:rFonts w:cs="Arial"/>
        </w:rPr>
        <w:fldChar w:fldCharType="separate"/>
      </w:r>
      <w:r w:rsidR="00387732">
        <w:rPr>
          <w:rFonts w:cs="Arial"/>
        </w:rPr>
        <w:t>1.1(i)</w:t>
      </w:r>
      <w:r w:rsidR="00BC2826" w:rsidRPr="008D12A0">
        <w:rPr>
          <w:rFonts w:cs="Arial"/>
        </w:rPr>
        <w:fldChar w:fldCharType="end"/>
      </w:r>
      <w:r w:rsidR="00686AFA" w:rsidRPr="008D12A0">
        <w:rPr>
          <w:rFonts w:cs="Arial"/>
        </w:rPr>
        <w:t xml:space="preserve"> acima</w:t>
      </w:r>
      <w:r w:rsidRPr="008D12A0">
        <w:rPr>
          <w:rFonts w:cs="Arial"/>
        </w:rPr>
        <w:t xml:space="preserve">, os Recebíveis </w:t>
      </w:r>
      <w:r w:rsidR="00686AFA" w:rsidRPr="008D12A0">
        <w:rPr>
          <w:rFonts w:cs="Arial"/>
        </w:rPr>
        <w:t xml:space="preserve">dos Cartões </w:t>
      </w:r>
      <w:r w:rsidRPr="008D12A0">
        <w:rPr>
          <w:rFonts w:cs="Arial"/>
        </w:rPr>
        <w:t xml:space="preserve">deverão estar devidamente compostos </w:t>
      </w:r>
      <w:r w:rsidR="008B220C" w:rsidRPr="008D12A0">
        <w:rPr>
          <w:rFonts w:cs="Arial"/>
        </w:rPr>
        <w:t>até a</w:t>
      </w:r>
      <w:r w:rsidRPr="008D12A0">
        <w:rPr>
          <w:rFonts w:cs="Arial"/>
        </w:rPr>
        <w:t xml:space="preserve"> </w:t>
      </w:r>
      <w:r w:rsidR="000E50C9" w:rsidRPr="008D12A0">
        <w:rPr>
          <w:rFonts w:cs="Arial"/>
        </w:rPr>
        <w:t>Data Base (conforme definid</w:t>
      </w:r>
      <w:r w:rsidR="00BC2826" w:rsidRPr="008D12A0">
        <w:rPr>
          <w:rFonts w:cs="Arial"/>
        </w:rPr>
        <w:t>a</w:t>
      </w:r>
      <w:r w:rsidR="000E50C9" w:rsidRPr="008D12A0">
        <w:rPr>
          <w:rFonts w:cs="Arial"/>
        </w:rPr>
        <w:t xml:space="preserve"> abaixo) imediatamente subsequente à </w:t>
      </w:r>
      <w:r w:rsidR="00754DE4" w:rsidRPr="008D12A0">
        <w:rPr>
          <w:rFonts w:cs="Arial"/>
        </w:rPr>
        <w:t xml:space="preserve">Primeira Data de Integralização (conforme definida na Escritura de Emissão) </w:t>
      </w:r>
      <w:r w:rsidR="00B36471" w:rsidRPr="008D12A0">
        <w:rPr>
          <w:rFonts w:cs="Arial"/>
        </w:rPr>
        <w:t>(</w:t>
      </w:r>
      <w:r w:rsidR="005175AB" w:rsidRPr="008D12A0">
        <w:rPr>
          <w:rFonts w:cs="Arial"/>
        </w:rPr>
        <w:t>“</w:t>
      </w:r>
      <w:r w:rsidR="00B36471" w:rsidRPr="008D12A0">
        <w:rPr>
          <w:rFonts w:cs="Arial"/>
          <w:b/>
        </w:rPr>
        <w:t xml:space="preserve">Data de Constituição dos Recebíveis </w:t>
      </w:r>
      <w:r w:rsidR="004C4313" w:rsidRPr="008D12A0">
        <w:rPr>
          <w:rFonts w:cs="Arial"/>
          <w:b/>
        </w:rPr>
        <w:t>dos Cartões</w:t>
      </w:r>
      <w:r w:rsidR="0010657F" w:rsidRPr="008D12A0">
        <w:rPr>
          <w:rFonts w:cs="Arial"/>
        </w:rPr>
        <w:t>”</w:t>
      </w:r>
      <w:r w:rsidR="00B36471" w:rsidRPr="008D12A0">
        <w:rPr>
          <w:rFonts w:cs="Arial"/>
        </w:rPr>
        <w:t>)</w:t>
      </w:r>
      <w:r w:rsidR="00196DD6" w:rsidRPr="008D12A0">
        <w:rPr>
          <w:rFonts w:cs="Arial"/>
        </w:rPr>
        <w:t>.</w:t>
      </w:r>
      <w:bookmarkEnd w:id="13"/>
    </w:p>
    <w:p w14:paraId="6E33DB8E" w14:textId="77777777" w:rsidR="00B341B7" w:rsidRPr="008D12A0" w:rsidRDefault="00FB062F" w:rsidP="00A653ED">
      <w:pPr>
        <w:pStyle w:val="Level3"/>
        <w:spacing w:before="140" w:after="0"/>
      </w:pPr>
      <w:bookmarkStart w:id="14" w:name="_Ref286046006"/>
      <w:bookmarkStart w:id="15" w:name="_Ref272452086"/>
      <w:r w:rsidRPr="008D12A0">
        <w:t>Para os fins deste Contrato</w:t>
      </w:r>
      <w:r w:rsidR="00B341B7" w:rsidRPr="008D12A0">
        <w:t>:</w:t>
      </w:r>
      <w:bookmarkEnd w:id="14"/>
    </w:p>
    <w:p w14:paraId="567ABA64" w14:textId="77777777" w:rsidR="00754DE4" w:rsidRPr="008D12A0" w:rsidRDefault="005175AB" w:rsidP="00A653ED">
      <w:pPr>
        <w:pStyle w:val="Level4"/>
        <w:spacing w:before="140" w:after="0"/>
        <w:rPr>
          <w:rFonts w:cs="Arial"/>
        </w:rPr>
      </w:pPr>
      <w:bookmarkStart w:id="16" w:name="_Ref279447825"/>
      <w:bookmarkEnd w:id="15"/>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 Contrato de Alienação Fiduciária de Imóvel (conforme definido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51931555"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da Remuneração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dos eventuais valores de Resgate Antecipado Facultativo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Amortização Extraordinária Facultativa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da Oferta de Resgate Antecipado Total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incluindo os respectivos prêmios, se houver, dos Encargos Moratórios </w:t>
      </w:r>
      <w:r w:rsidR="00D26275" w:rsidRPr="008D12A0">
        <w:rPr>
          <w:rFonts w:cs="Arial"/>
          <w:lang w:eastAsia="en-GB"/>
        </w:rPr>
        <w:t xml:space="preserve">(conforme definidos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dos demais encargos, relativos às Debêntures e às Garantias </w:t>
      </w:r>
      <w:r w:rsidR="00D26275" w:rsidRPr="008D12A0">
        <w:rPr>
          <w:rFonts w:cs="Arial"/>
          <w:lang w:eastAsia="en-GB"/>
        </w:rPr>
        <w:t>(conforme definidas na Escritura de Emissão)</w:t>
      </w:r>
      <w:r w:rsidR="00D26275" w:rsidRPr="008D12A0">
        <w:rPr>
          <w:rFonts w:cs="Arial"/>
        </w:rPr>
        <w:t xml:space="preserve">, se e quando devidos, </w:t>
      </w:r>
      <w:r w:rsidR="00EE12AF" w:rsidRPr="008D12A0">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7" w:name="_Ref286046009"/>
      <w:bookmarkStart w:id="18" w:name="_Ref286083107"/>
      <w:bookmarkEnd w:id="16"/>
    </w:p>
    <w:p w14:paraId="5D518EEA" w14:textId="77777777" w:rsidR="00EC084C" w:rsidRPr="008D12A0" w:rsidRDefault="00EC084C" w:rsidP="00A653ED">
      <w:pPr>
        <w:pStyle w:val="Level2"/>
        <w:spacing w:before="140" w:after="0"/>
        <w:rPr>
          <w:rFonts w:cs="Arial"/>
        </w:rPr>
      </w:pPr>
      <w:bookmarkStart w:id="19" w:name="_Ref276196128"/>
      <w:bookmarkStart w:id="20" w:name="_Ref273975203"/>
      <w:bookmarkEnd w:id="17"/>
      <w:bookmarkEnd w:id="18"/>
      <w:r w:rsidRPr="008D12A0">
        <w:rPr>
          <w:rFonts w:cs="Arial"/>
        </w:rPr>
        <w:t>Fica desde já certo e ajustado que</w:t>
      </w:r>
      <w:bookmarkEnd w:id="19"/>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1" w:name="_Ref404613422"/>
      <w:bookmarkStart w:id="22" w:name="_Ref130719316"/>
      <w:bookmarkStart w:id="23" w:name="_Ref285532070"/>
      <w:bookmarkStart w:id="24" w:name="_Ref167604268"/>
      <w:bookmarkEnd w:id="20"/>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1"/>
    </w:p>
    <w:bookmarkEnd w:id="22"/>
    <w:bookmarkEnd w:id="23"/>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77777777" w:rsidR="00767D70" w:rsidRPr="008D12A0" w:rsidRDefault="00B05410" w:rsidP="00A653ED">
      <w:pPr>
        <w:pStyle w:val="Level3"/>
        <w:spacing w:before="140" w:after="0"/>
      </w:pPr>
      <w:bookmarkStart w:id="25"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II</w:t>
      </w:r>
      <w:r w:rsidR="00B1280E" w:rsidRPr="008D12A0">
        <w:t xml:space="preserve"> ao presente Contrato</w:t>
      </w:r>
      <w:bookmarkStart w:id="26" w:name="_Ref293558696"/>
      <w:bookmarkStart w:id="27" w:name="_Ref304888263"/>
      <w:bookmarkEnd w:id="24"/>
      <w:bookmarkEnd w:id="25"/>
      <w:r w:rsidR="00B1280E" w:rsidRPr="008D12A0">
        <w:t>.</w:t>
      </w:r>
    </w:p>
    <w:p w14:paraId="7917201E" w14:textId="50AB7F31" w:rsidR="003B1EA5" w:rsidRPr="008D12A0" w:rsidRDefault="00B05410" w:rsidP="00A653ED">
      <w:pPr>
        <w:pStyle w:val="Level1"/>
        <w:spacing w:before="140" w:after="0"/>
        <w:rPr>
          <w:rFonts w:cs="Arial"/>
          <w:caps/>
          <w:sz w:val="20"/>
        </w:rPr>
      </w:pPr>
      <w:bookmarkStart w:id="28" w:name="_Ref130638680"/>
      <w:bookmarkStart w:id="29" w:name="_Ref130722181"/>
      <w:bookmarkStart w:id="30" w:name="_Ref304551795"/>
      <w:bookmarkStart w:id="31" w:name="_Ref4609705"/>
      <w:bookmarkEnd w:id="26"/>
      <w:bookmarkEnd w:id="27"/>
      <w:r w:rsidRPr="008D12A0">
        <w:rPr>
          <w:rFonts w:cs="Arial"/>
          <w:caps/>
          <w:sz w:val="20"/>
        </w:rPr>
        <w:t xml:space="preserve">Aperfeiçoamento da </w:t>
      </w:r>
      <w:bookmarkEnd w:id="28"/>
      <w:bookmarkEnd w:id="29"/>
      <w:r w:rsidR="006F6998" w:rsidRPr="008D12A0">
        <w:rPr>
          <w:rFonts w:cs="Arial"/>
          <w:caps/>
          <w:sz w:val="20"/>
        </w:rPr>
        <w:t>Cessão Fiduciária</w:t>
      </w:r>
      <w:bookmarkEnd w:id="30"/>
      <w:bookmarkEnd w:id="31"/>
    </w:p>
    <w:p w14:paraId="07381417" w14:textId="6B48B61B" w:rsidR="00F777E0" w:rsidRPr="008D12A0" w:rsidRDefault="00622EBA" w:rsidP="00A653ED">
      <w:pPr>
        <w:pStyle w:val="Level2"/>
        <w:spacing w:before="140" w:after="0"/>
        <w:rPr>
          <w:rFonts w:cs="Arial"/>
        </w:rPr>
      </w:pPr>
      <w:bookmarkStart w:id="32" w:name="_Ref490824048"/>
      <w:bookmarkStart w:id="33" w:name="_Ref130639012"/>
      <w:bookmarkStart w:id="34" w:name="_Ref304897108"/>
      <w:bookmarkStart w:id="35"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2"/>
      <w:r w:rsidRPr="008D12A0">
        <w:rPr>
          <w:rFonts w:cs="Arial"/>
        </w:rPr>
        <w:t xml:space="preserve"> Dessa forma, como parte do processo de aperfeiçoamento da Cessão Fiduciária, a Cedente obriga-se a, às suas expensas </w:t>
      </w:r>
      <w:bookmarkStart w:id="36" w:name="_Ref531513513"/>
      <w:bookmarkStart w:id="37" w:name="_Ref2874030"/>
      <w:bookmarkStart w:id="38" w:name="_Ref2889108"/>
      <w:r w:rsidRPr="008D12A0">
        <w:rPr>
          <w:rFonts w:cs="Arial"/>
        </w:rPr>
        <w:t>protocolar o presente Contrato para registro nos Cartórios de RTD, com até 2 (dois)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6"/>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até a Primeira Data de Integralização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39" w:name="_Ref2889115"/>
      <w:bookmarkEnd w:id="37"/>
      <w:bookmarkEnd w:id="38"/>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9"/>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1E499444" w:rsidR="00B05410" w:rsidRPr="008D12A0" w:rsidRDefault="008739B9" w:rsidP="00A653ED">
      <w:pPr>
        <w:pStyle w:val="Level1"/>
        <w:spacing w:before="140" w:after="0"/>
        <w:rPr>
          <w:rFonts w:cs="Arial"/>
          <w:caps/>
          <w:sz w:val="20"/>
        </w:rPr>
      </w:pPr>
      <w:bookmarkStart w:id="40" w:name="_Ref285653490"/>
      <w:bookmarkEnd w:id="33"/>
      <w:bookmarkEnd w:id="34"/>
      <w:bookmarkEnd w:id="35"/>
      <w:r w:rsidRPr="008D12A0">
        <w:rPr>
          <w:rFonts w:cs="Arial"/>
          <w:caps/>
          <w:sz w:val="20"/>
        </w:rPr>
        <w:t>Percentual da Cessão Fiduciária</w:t>
      </w:r>
      <w:bookmarkEnd w:id="40"/>
    </w:p>
    <w:p w14:paraId="2D2ADB15" w14:textId="682B6D6E" w:rsidR="00702D34" w:rsidRPr="008D12A0" w:rsidRDefault="00702D34" w:rsidP="00A653ED">
      <w:pPr>
        <w:pStyle w:val="Level2"/>
        <w:spacing w:before="140" w:after="0"/>
        <w:rPr>
          <w:rFonts w:cs="Arial"/>
        </w:rPr>
      </w:pPr>
      <w:bookmarkStart w:id="41" w:name="_Ref278535723"/>
      <w:bookmarkStart w:id="42" w:name="_Ref286035882"/>
      <w:bookmarkStart w:id="43" w:name="_Ref131956688"/>
      <w:bookmarkStart w:id="44"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1"/>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E120DE" w:rsidRPr="008D12A0">
        <w:rPr>
          <w:rFonts w:cs="Arial"/>
        </w:rPr>
        <w:t>o</w:t>
      </w:r>
      <w:r w:rsidR="001A2056" w:rsidRPr="008D12A0">
        <w:rPr>
          <w:rFonts w:cs="Arial"/>
        </w:rPr>
        <w:t xml:space="preserve"> </w:t>
      </w:r>
      <w:r w:rsidR="00845324" w:rsidRPr="008D12A0">
        <w:rPr>
          <w:rFonts w:cs="Arial"/>
        </w:rPr>
        <w:t>Montante Performado (conforme abaixo definido),</w:t>
      </w:r>
      <w:r w:rsidR="00943740" w:rsidRPr="008D12A0">
        <w:rPr>
          <w:rFonts w:cs="Arial"/>
        </w:rPr>
        <w:t xml:space="preserve"> </w:t>
      </w:r>
      <w:r w:rsidR="00DF32A4" w:rsidRPr="008D12A0">
        <w:rPr>
          <w:rFonts w:cs="Arial"/>
        </w:rPr>
        <w:t>que seja efetivamente transformad</w:t>
      </w:r>
      <w:r w:rsidR="00845324" w:rsidRPr="008D12A0">
        <w:rPr>
          <w:rFonts w:cs="Arial"/>
        </w:rPr>
        <w:t>o</w:t>
      </w:r>
      <w:r w:rsidR="00DF32A4" w:rsidRPr="008D12A0">
        <w:rPr>
          <w:rFonts w:cs="Arial"/>
        </w:rPr>
        <w:t xml:space="preserve"> </w:t>
      </w:r>
      <w:r w:rsidR="00456FFC" w:rsidRPr="008D12A0">
        <w:rPr>
          <w:rFonts w:cs="Arial"/>
        </w:rPr>
        <w:t xml:space="preserve">em </w:t>
      </w:r>
      <w:r w:rsidR="000803C6" w:rsidRPr="008D12A0">
        <w:rPr>
          <w:rFonts w:cs="Arial"/>
        </w:rPr>
        <w:t>crédito</w:t>
      </w:r>
      <w:r w:rsidR="00845324" w:rsidRPr="008D12A0">
        <w:rPr>
          <w:rFonts w:cs="Arial"/>
        </w:rPr>
        <w:t xml:space="preserve">, cujo valor tenha sido </w:t>
      </w:r>
      <w:r w:rsidR="000803C6" w:rsidRPr="008D12A0">
        <w:rPr>
          <w:rFonts w:cs="Arial"/>
        </w:rPr>
        <w:t xml:space="preserve">depositado </w:t>
      </w:r>
      <w:r w:rsidR="00845324" w:rsidRPr="008D12A0">
        <w:rPr>
          <w:rFonts w:cs="Arial"/>
        </w:rPr>
        <w:t xml:space="preserve">e tenha </w:t>
      </w:r>
      <w:r w:rsidR="000803C6" w:rsidRPr="008D12A0">
        <w:rPr>
          <w:rFonts w:cs="Arial"/>
        </w:rPr>
        <w:t>transitado pela Conta Vinculada</w:t>
      </w:r>
      <w:r w:rsidR="00456FFC" w:rsidRPr="008D12A0">
        <w:rPr>
          <w:rFonts w:cs="Arial"/>
        </w:rPr>
        <w:t xml:space="preserve"> </w:t>
      </w:r>
      <w:r w:rsidR="00F777E0" w:rsidRPr="008D12A0">
        <w:rPr>
          <w:rFonts w:cs="Arial"/>
        </w:rPr>
        <w:t xml:space="preserve">no mês calendário </w:t>
      </w:r>
      <w:r w:rsidR="0016581E" w:rsidRPr="008D12A0">
        <w:rPr>
          <w:rFonts w:cs="Arial"/>
        </w:rPr>
        <w:t>da</w:t>
      </w:r>
      <w:r w:rsidR="00F777E0" w:rsidRPr="008D12A0">
        <w:rPr>
          <w:rFonts w:cs="Arial"/>
        </w:rPr>
        <w:t xml:space="preserve"> </w:t>
      </w:r>
      <w:r w:rsidR="00942ED4" w:rsidRPr="008D12A0">
        <w:rPr>
          <w:rFonts w:cs="Arial"/>
        </w:rPr>
        <w:t xml:space="preserve">respectiva </w:t>
      </w:r>
      <w:r w:rsidR="00F777E0" w:rsidRPr="008D12A0">
        <w:rPr>
          <w:rFonts w:cs="Arial"/>
        </w:rPr>
        <w:t xml:space="preserve">Data Base </w:t>
      </w:r>
      <w:r w:rsidR="00456FFC" w:rsidRPr="008D12A0">
        <w:rPr>
          <w:rFonts w:cs="Arial"/>
        </w:rPr>
        <w:t>(</w:t>
      </w:r>
      <w:r w:rsidR="005175AB" w:rsidRPr="008D12A0">
        <w:rPr>
          <w:rFonts w:cs="Arial"/>
        </w:rPr>
        <w:t>“</w:t>
      </w:r>
      <w:r w:rsidR="00456FFC" w:rsidRPr="008D12A0">
        <w:rPr>
          <w:rFonts w:cs="Arial"/>
          <w:b/>
        </w:rPr>
        <w:t>Agenda</w:t>
      </w:r>
      <w:r w:rsidR="005175AB" w:rsidRPr="008D12A0">
        <w:rPr>
          <w:rFonts w:cs="Arial"/>
        </w:rPr>
        <w:t>”</w:t>
      </w:r>
      <w:r w:rsidR="00456FFC" w:rsidRPr="008D12A0">
        <w:rPr>
          <w:rFonts w:cs="Arial"/>
        </w:rPr>
        <w:t>)</w:t>
      </w:r>
      <w:r w:rsidR="00E120DE" w:rsidRPr="008D12A0">
        <w:rPr>
          <w:rFonts w:cs="Arial"/>
        </w:rPr>
        <w:t>, 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950822" w:rsidRPr="008D12A0">
        <w:rPr>
          <w:rFonts w:cs="Arial"/>
        </w:rPr>
        <w:t>30</w:t>
      </w:r>
      <w:r w:rsidR="009C32FB" w:rsidRPr="008D12A0">
        <w:rPr>
          <w:rFonts w:cs="Arial"/>
        </w:rPr>
        <w:t>% (</w:t>
      </w:r>
      <w:r w:rsidR="00950822" w:rsidRPr="008D12A0">
        <w:rPr>
          <w:rFonts w:cs="Arial"/>
        </w:rPr>
        <w:t xml:space="preserve">trinta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2"/>
      <w:r w:rsidR="009C32FB" w:rsidRPr="008D12A0">
        <w:rPr>
          <w:rFonts w:cs="Arial"/>
        </w:rPr>
        <w:t>.</w:t>
      </w:r>
      <w:r w:rsidR="005D0092" w:rsidRPr="008D12A0">
        <w:rPr>
          <w:rFonts w:cs="Arial"/>
        </w:rPr>
        <w:t xml:space="preserve"> </w:t>
      </w:r>
    </w:p>
    <w:p w14:paraId="602374FE" w14:textId="0958C52D" w:rsidR="008739B9" w:rsidRPr="008D12A0" w:rsidRDefault="009635D0" w:rsidP="00A653ED">
      <w:pPr>
        <w:pStyle w:val="Level3"/>
        <w:spacing w:before="140" w:after="0"/>
      </w:pPr>
      <w:bookmarkStart w:id="45" w:name="_Ref286045658"/>
      <w:bookmarkStart w:id="46" w:name="_Ref279826754"/>
      <w:bookmarkStart w:id="47" w:name="_Ref280037962"/>
      <w:bookmarkStart w:id="48" w:name="_Ref285654268"/>
      <w:r w:rsidRPr="008D12A0">
        <w:t>Para os fins deste Contrato</w:t>
      </w:r>
      <w:r w:rsidR="008739B9" w:rsidRPr="008D12A0">
        <w:t>:</w:t>
      </w:r>
      <w:bookmarkEnd w:id="45"/>
      <w:r w:rsidR="00A02E6C" w:rsidRPr="008D12A0">
        <w:t xml:space="preserve"> </w:t>
      </w:r>
    </w:p>
    <w:p w14:paraId="4B4C0F3C" w14:textId="5A6F2B74" w:rsidR="00EB12BD" w:rsidRPr="008D12A0" w:rsidRDefault="005175AB" w:rsidP="00A653ED">
      <w:pPr>
        <w:pStyle w:val="Level4"/>
        <w:spacing w:before="140" w:after="0"/>
        <w:rPr>
          <w:rFonts w:cs="Arial"/>
        </w:rPr>
      </w:pPr>
      <w:bookmarkStart w:id="49"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50E93" w:rsidRPr="008D12A0">
        <w:rPr>
          <w:rFonts w:cs="Arial"/>
        </w:rPr>
        <w:t xml:space="preserve">o último Dia Útil do mês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5E8CB193" w:rsidR="00B37425" w:rsidRPr="008D12A0" w:rsidRDefault="00EB12BD" w:rsidP="00A653ED">
      <w:pPr>
        <w:pStyle w:val="Level4"/>
        <w:spacing w:before="140" w:after="0"/>
        <w:rPr>
          <w:rFonts w:cs="Arial"/>
        </w:rPr>
      </w:pPr>
      <w:r w:rsidRPr="008D12A0">
        <w:rPr>
          <w:rFonts w:cs="Arial"/>
        </w:rPr>
        <w:t>“</w:t>
      </w:r>
      <w:r w:rsidRPr="008D12A0">
        <w:rPr>
          <w:rFonts w:cs="Arial"/>
          <w:b/>
        </w:rPr>
        <w:t>Montante Performado</w:t>
      </w:r>
      <w:r w:rsidRPr="008D12A0">
        <w:rPr>
          <w:rFonts w:cs="Arial"/>
        </w:rPr>
        <w:t>” significa</w:t>
      </w:r>
      <w:r w:rsidR="00DF32A4" w:rsidRPr="008D12A0">
        <w:rPr>
          <w:rFonts w:cs="Arial"/>
        </w:rPr>
        <w:t>,</w:t>
      </w:r>
      <w:r w:rsidRPr="008D12A0">
        <w:rPr>
          <w:rFonts w:cs="Arial"/>
        </w:rPr>
        <w:t xml:space="preserve"> </w:t>
      </w:r>
      <w:r w:rsidR="00DF32A4" w:rsidRPr="008D12A0">
        <w:rPr>
          <w:rFonts w:cs="Arial"/>
        </w:rPr>
        <w:t>em cada Data Base, o montante agregado mensal performado</w:t>
      </w:r>
      <w:r w:rsidR="00C10C12" w:rsidRPr="008D12A0">
        <w:rPr>
          <w:rFonts w:cs="Arial"/>
        </w:rPr>
        <w:t xml:space="preserve"> referente a compras efetuadas nos Estabelecimentos da Cedente com os Cartões</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50"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0"/>
    </w:p>
    <w:p w14:paraId="690FDD35" w14:textId="75E2E3AB"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verificada em cada Data Base; e</w:t>
      </w:r>
    </w:p>
    <w:p w14:paraId="20A61DE9" w14:textId="77777777"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1C4511DB" w:rsidR="00AA7DFE" w:rsidRPr="008D12A0" w:rsidRDefault="00AA7DFE" w:rsidP="00A653ED">
      <w:pPr>
        <w:pStyle w:val="Level3"/>
        <w:spacing w:before="140" w:after="0"/>
      </w:pPr>
      <w:bookmarkStart w:id="51" w:name="_Ref305076938"/>
      <w:bookmarkStart w:id="52" w:name="_Ref280038090"/>
      <w:bookmarkEnd w:id="46"/>
      <w:bookmarkEnd w:id="47"/>
      <w:bookmarkEnd w:id="48"/>
      <w:bookmarkEnd w:id="49"/>
      <w:r w:rsidRPr="008D12A0">
        <w:t xml:space="preserve">O Percentual da Cessão Fiduciária será </w:t>
      </w:r>
      <w:r w:rsidR="005B586B" w:rsidRPr="008D12A0">
        <w:t>apurado e verificado</w:t>
      </w:r>
      <w:r w:rsidRPr="008D12A0">
        <w:t xml:space="preserve"> da seguinte forma:</w:t>
      </w:r>
      <w:bookmarkEnd w:id="51"/>
      <w:r w:rsidR="00A02E6C" w:rsidRPr="008D12A0">
        <w:t xml:space="preserve"> </w:t>
      </w:r>
    </w:p>
    <w:p w14:paraId="79003B64" w14:textId="4C7D349C" w:rsidR="00B37425" w:rsidRPr="008D12A0" w:rsidRDefault="00B37425" w:rsidP="00A653ED">
      <w:pPr>
        <w:pStyle w:val="Level5"/>
        <w:tabs>
          <w:tab w:val="clear" w:pos="2721"/>
          <w:tab w:val="num" w:pos="2041"/>
        </w:tabs>
        <w:spacing w:before="140" w:after="0"/>
        <w:ind w:left="2041"/>
        <w:rPr>
          <w:rFonts w:cs="Arial"/>
        </w:rPr>
      </w:pPr>
      <w:bookmarkStart w:id="53" w:name="_Ref4532609"/>
      <w:proofErr w:type="gramStart"/>
      <w:r w:rsidRPr="008D12A0">
        <w:rPr>
          <w:rFonts w:cs="Arial"/>
        </w:rPr>
        <w:t>em</w:t>
      </w:r>
      <w:proofErr w:type="gramEnd"/>
      <w:r w:rsidRPr="008D12A0">
        <w:rPr>
          <w:rFonts w:cs="Arial"/>
        </w:rPr>
        <w:t xml:space="preserve"> cada Data Base</w:t>
      </w:r>
      <w:r w:rsidR="004779D7" w:rsidRPr="008D12A0">
        <w:rPr>
          <w:rFonts w:cs="Arial"/>
        </w:rPr>
        <w:t xml:space="preserve"> </w:t>
      </w:r>
      <w:r w:rsidR="00DF32A4" w:rsidRPr="008D12A0">
        <w:rPr>
          <w:rFonts w:cs="Arial"/>
        </w:rPr>
        <w:t>(</w:t>
      </w:r>
      <w:r w:rsidR="004779D7" w:rsidRPr="008D12A0">
        <w:rPr>
          <w:rFonts w:cs="Arial"/>
        </w:rPr>
        <w:t>ou diariamente enquanto estiver em curso um Evento de Retençao</w:t>
      </w:r>
      <w:r w:rsidR="00B66EF4" w:rsidRPr="008D12A0">
        <w:rPr>
          <w:rFonts w:cs="Arial"/>
        </w:rPr>
        <w:t xml:space="preserve"> (conforme abaixo definido)</w:t>
      </w:r>
      <w:r w:rsidR="00DF32A4" w:rsidRPr="008D12A0">
        <w:rPr>
          <w:rFonts w:cs="Arial"/>
        </w:rPr>
        <w:t>)</w:t>
      </w:r>
      <w:r w:rsidRPr="008D12A0">
        <w:rPr>
          <w:rFonts w:cs="Arial"/>
        </w:rPr>
        <w:t xml:space="preserve">, o </w:t>
      </w:r>
      <w:r w:rsidR="00CB693F" w:rsidRPr="008D12A0">
        <w:rPr>
          <w:rFonts w:cs="Arial"/>
        </w:rPr>
        <w:t>Banco Administrador</w:t>
      </w:r>
      <w:r w:rsidR="00E87EE4" w:rsidRPr="008D12A0">
        <w:rPr>
          <w:rFonts w:cs="Arial"/>
        </w:rPr>
        <w:t xml:space="preserve">, conforme estabelecido no Contrato </w:t>
      </w:r>
      <w:r w:rsidR="00B66EF4" w:rsidRPr="008D12A0">
        <w:rPr>
          <w:rFonts w:cs="Arial"/>
        </w:rPr>
        <w:t>de Administração de Contas (conforme abaixo definido)</w:t>
      </w:r>
      <w:r w:rsidRPr="008D12A0">
        <w:rPr>
          <w:rFonts w:cs="Arial"/>
        </w:rPr>
        <w:t xml:space="preserve"> deverá apurar o Valor de Apuração</w:t>
      </w:r>
      <w:r w:rsidR="00250E93" w:rsidRPr="008D12A0">
        <w:rPr>
          <w:rFonts w:cs="Arial"/>
        </w:rPr>
        <w:t xml:space="preserve">, sendo </w:t>
      </w:r>
      <w:r w:rsidR="007550A3" w:rsidRPr="008D12A0">
        <w:rPr>
          <w:rFonts w:cs="Arial"/>
        </w:rPr>
        <w:t xml:space="preserve">que </w:t>
      </w:r>
      <w:r w:rsidR="00250E93" w:rsidRPr="008D12A0">
        <w:rPr>
          <w:rFonts w:cs="Arial"/>
        </w:rPr>
        <w:t>a apuração</w:t>
      </w:r>
      <w:r w:rsidR="007550A3" w:rsidRPr="008D12A0">
        <w:rPr>
          <w:rFonts w:cs="Arial"/>
        </w:rPr>
        <w:t xml:space="preserve"> deverá ser realizada</w:t>
      </w:r>
      <w:r w:rsidR="00250E93" w:rsidRPr="008D12A0">
        <w:rPr>
          <w:rFonts w:cs="Arial"/>
        </w:rPr>
        <w:t xml:space="preserve"> </w:t>
      </w:r>
      <w:r w:rsidR="007550A3" w:rsidRPr="008D12A0">
        <w:rPr>
          <w:rFonts w:cs="Arial"/>
        </w:rPr>
        <w:t xml:space="preserve">considerando </w:t>
      </w:r>
      <w:r w:rsidR="00250E93" w:rsidRPr="008D12A0">
        <w:rPr>
          <w:rFonts w:cs="Arial"/>
        </w:rPr>
        <w:t>o primeiro Dia Útil d</w:t>
      </w:r>
      <w:r w:rsidR="007550A3" w:rsidRPr="008D12A0">
        <w:rPr>
          <w:rFonts w:cs="Arial"/>
        </w:rPr>
        <w:t>e cada</w:t>
      </w:r>
      <w:r w:rsidR="00250E93" w:rsidRPr="008D12A0">
        <w:rPr>
          <w:rFonts w:cs="Arial"/>
        </w:rPr>
        <w:t xml:space="preserve"> mês até a respectiva Data Base,</w:t>
      </w:r>
      <w:r w:rsidR="007550A3" w:rsidRPr="008D12A0">
        <w:rPr>
          <w:rFonts w:cs="Arial"/>
        </w:rPr>
        <w:t xml:space="preserve"> </w:t>
      </w:r>
      <w:r w:rsidRPr="008D12A0">
        <w:rPr>
          <w:rFonts w:cs="Arial"/>
        </w:rPr>
        <w:t>e encaminhar a informação ao Agente Fiduciário</w:t>
      </w:r>
      <w:r w:rsidR="0016581E" w:rsidRPr="008D12A0">
        <w:rPr>
          <w:rFonts w:cs="Arial"/>
        </w:rPr>
        <w:t xml:space="preserve"> até o </w:t>
      </w:r>
      <w:r w:rsidR="00B66EF4" w:rsidRPr="008D12A0">
        <w:rPr>
          <w:rFonts w:cs="Arial"/>
        </w:rPr>
        <w:t>5º (quinto)</w:t>
      </w:r>
      <w:r w:rsidR="0016581E" w:rsidRPr="008D12A0">
        <w:rPr>
          <w:rFonts w:cs="Arial"/>
        </w:rPr>
        <w:t xml:space="preserve"> </w:t>
      </w:r>
      <w:r w:rsidR="00B66EF4" w:rsidRPr="008D12A0">
        <w:rPr>
          <w:rFonts w:cs="Arial"/>
        </w:rPr>
        <w:t>D</w:t>
      </w:r>
      <w:r w:rsidR="0016581E" w:rsidRPr="008D12A0">
        <w:rPr>
          <w:rFonts w:cs="Arial"/>
        </w:rPr>
        <w:t xml:space="preserve">ia </w:t>
      </w:r>
      <w:r w:rsidR="00B66EF4" w:rsidRPr="008D12A0">
        <w:rPr>
          <w:rFonts w:cs="Arial"/>
        </w:rPr>
        <w:t>Ú</w:t>
      </w:r>
      <w:r w:rsidR="0016581E" w:rsidRPr="008D12A0">
        <w:rPr>
          <w:rFonts w:cs="Arial"/>
        </w:rPr>
        <w:t>til do mês subsequente ao mês da Data Base</w:t>
      </w:r>
      <w:r w:rsidRPr="008D12A0">
        <w:rPr>
          <w:rFonts w:cs="Arial"/>
        </w:rPr>
        <w:t>;</w:t>
      </w:r>
      <w:bookmarkEnd w:id="53"/>
      <w:r w:rsidR="006E4833" w:rsidRPr="008D12A0">
        <w:rPr>
          <w:rFonts w:cs="Arial"/>
        </w:rPr>
        <w:t xml:space="preserve"> </w:t>
      </w:r>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4" w:name="_Ref8135560"/>
      <w:proofErr w:type="gramStart"/>
      <w:r w:rsidRPr="008D12A0">
        <w:rPr>
          <w:rFonts w:cs="Arial"/>
        </w:rPr>
        <w:t>após</w:t>
      </w:r>
      <w:proofErr w:type="gramEnd"/>
      <w:r w:rsidRPr="008D12A0">
        <w:rPr>
          <w:rFonts w:cs="Arial"/>
        </w:rPr>
        <w:t xml:space="preserve"> recebida a informação sobre o Valor da Apuração, o Agente Fiduciário deverá:</w:t>
      </w:r>
      <w:bookmarkEnd w:id="54"/>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5" w:name="_Ref404614471"/>
      <w:proofErr w:type="gramStart"/>
      <w:r w:rsidRPr="008D12A0">
        <w:rPr>
          <w:rFonts w:cs="Arial"/>
        </w:rPr>
        <w:t>apurar</w:t>
      </w:r>
      <w:proofErr w:type="gramEnd"/>
      <w:r w:rsidRPr="008D12A0">
        <w:rPr>
          <w:rFonts w:cs="Arial"/>
        </w:rPr>
        <w:t xml:space="preserve"> o Saldo Devedor das Debêntures, na Data Base;</w:t>
      </w:r>
      <w:bookmarkEnd w:id="55"/>
    </w:p>
    <w:p w14:paraId="5A854BD6"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proofErr w:type="gramStart"/>
      <w:r w:rsidRPr="008D12A0">
        <w:rPr>
          <w:rFonts w:cs="Arial"/>
        </w:rPr>
        <w:t>verificar</w:t>
      </w:r>
      <w:proofErr w:type="gramEnd"/>
      <w:r w:rsidRPr="008D12A0">
        <w:rPr>
          <w:rFonts w:cs="Arial"/>
        </w:rPr>
        <w:t xml:space="preserve"> se a Apuração do Percentual da Cessão Fiduciária calculado na Data Base é equivalente ou superior ao Percentual da Cessão Fiduciária; e</w:t>
      </w:r>
    </w:p>
    <w:p w14:paraId="46BB3CB7" w14:textId="77777777" w:rsidR="00B37425" w:rsidRPr="008D12A0" w:rsidRDefault="00B37425" w:rsidP="00A653ED">
      <w:pPr>
        <w:pStyle w:val="Level4"/>
        <w:tabs>
          <w:tab w:val="clear" w:pos="2041"/>
          <w:tab w:val="left" w:pos="2721"/>
        </w:tabs>
        <w:spacing w:before="140" w:after="0"/>
        <w:ind w:left="2721"/>
        <w:rPr>
          <w:rFonts w:cs="Arial"/>
        </w:rPr>
      </w:pPr>
      <w:proofErr w:type="gramStart"/>
      <w:r w:rsidRPr="008D12A0">
        <w:rPr>
          <w:rFonts w:cs="Arial"/>
        </w:rPr>
        <w:t>informar</w:t>
      </w:r>
      <w:proofErr w:type="gramEnd"/>
      <w:r w:rsidRPr="008D12A0">
        <w:rPr>
          <w:rFonts w:cs="Arial"/>
        </w:rPr>
        <w:t xml:space="preserve">, por escrito, no Dia Útil subsequente, ao </w:t>
      </w:r>
      <w:r w:rsidR="00CB693F" w:rsidRPr="008D12A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Base</w:t>
      </w:r>
      <w:r w:rsidRPr="008D12A0">
        <w:rPr>
          <w:rFonts w:cs="Arial"/>
        </w:rPr>
        <w:t>.</w:t>
      </w:r>
    </w:p>
    <w:p w14:paraId="18150882" w14:textId="4B8679F7" w:rsidR="00491694" w:rsidRPr="008D12A0" w:rsidRDefault="000C762B" w:rsidP="00A653ED">
      <w:pPr>
        <w:pStyle w:val="Level3"/>
        <w:spacing w:before="140" w:after="0"/>
      </w:pPr>
      <w:bookmarkStart w:id="56" w:name="_Ref304558865"/>
      <w:bookmarkEnd w:id="43"/>
      <w:bookmarkEnd w:id="44"/>
      <w:bookmarkEnd w:id="52"/>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Data Base,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387732">
        <w:t>3.1.2(b)</w:t>
      </w:r>
      <w:r w:rsidR="00845324" w:rsidRPr="008D12A0">
        <w:fldChar w:fldCharType="end"/>
      </w:r>
      <w:r w:rsidR="00845324" w:rsidRPr="008D12A0">
        <w:t xml:space="preserve"> </w:t>
      </w:r>
      <w:r w:rsidR="00B66EF4" w:rsidRPr="008D12A0">
        <w:t>acima</w:t>
      </w:r>
      <w:r w:rsidR="00491694" w:rsidRPr="008D12A0">
        <w:t xml:space="preserve">, </w:t>
      </w:r>
      <w:bookmarkStart w:id="57" w:name="_Ref131959547"/>
      <w:bookmarkStart w:id="58" w:name="_Ref130716047"/>
      <w:bookmarkStart w:id="59" w:name="_Ref169430001"/>
      <w:bookmarkStart w:id="60"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387732">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CB693F" w:rsidRPr="008D12A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387732">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6"/>
      <w:r w:rsidR="00323813" w:rsidRPr="008D12A0">
        <w:t xml:space="preserve"> </w:t>
      </w:r>
    </w:p>
    <w:p w14:paraId="79F41666" w14:textId="622C605C" w:rsidR="007105A6" w:rsidRPr="008D12A0" w:rsidRDefault="007105A6" w:rsidP="00A653ED">
      <w:pPr>
        <w:pStyle w:val="Level3"/>
        <w:spacing w:before="140" w:after="0"/>
      </w:pPr>
      <w:bookmarkStart w:id="61" w:name="_Ref288640805"/>
      <w:r w:rsidRPr="008D12A0">
        <w:t xml:space="preserve">Caso o </w:t>
      </w:r>
      <w:r w:rsidR="00AA05E5" w:rsidRPr="008D12A0">
        <w:t>Agente Fiduciário</w:t>
      </w:r>
      <w:r w:rsidRPr="008D12A0">
        <w:t xml:space="preserve"> verifique o atendimento ao Percentual da Cessão Fiduciária</w:t>
      </w:r>
      <w:r w:rsidR="00632B0F" w:rsidRPr="008D12A0">
        <w:t xml:space="preserve"> em qualquer Data Base,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o </w:t>
      </w:r>
      <w:r w:rsidR="00CB693F" w:rsidRPr="008D12A0">
        <w:t>Banco Administrador</w:t>
      </w:r>
      <w:r w:rsidRPr="008D12A0">
        <w:t xml:space="preserve"> sobre o atendimento ao Percentual da Cessão Fiduciária</w:t>
      </w:r>
      <w:r w:rsidR="0090413D" w:rsidRPr="008D12A0">
        <w:t xml:space="preserve">, mediante o </w:t>
      </w:r>
      <w:r w:rsidR="0090413D" w:rsidRPr="008D12A0">
        <w:rPr>
          <w:bCs/>
        </w:rPr>
        <w:t>envio de termo de liberação devidamente assinado com relação aos recursos depositados na Conta Vinculada que excederem o montante correspondente ao Percentual da Cessão Fiduciária</w:t>
      </w:r>
      <w:r w:rsidR="000F2952" w:rsidRPr="008D12A0">
        <w:t>.</w:t>
      </w:r>
      <w:r w:rsidR="00574358" w:rsidRPr="008D12A0">
        <w:t xml:space="preserve"> </w:t>
      </w:r>
      <w:r w:rsidR="00574358" w:rsidRPr="008D12A0" w:rsidDel="00C04D56">
        <w:t>O Evento de Retenção</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pelo Banco Administrador,</w:t>
      </w:r>
      <w:r w:rsidR="00574358" w:rsidRPr="008D12A0" w:rsidDel="00C04D56">
        <w:t xml:space="preserve"> </w:t>
      </w:r>
      <w:r w:rsidR="00845324" w:rsidRPr="008D12A0">
        <w:t>d</w:t>
      </w:r>
      <w:r w:rsidR="00632B0F" w:rsidRPr="008D12A0">
        <w:t xml:space="preserve">o termo de liberação </w:t>
      </w:r>
      <w:r w:rsidR="00A55831" w:rsidRPr="008D12A0">
        <w:t>acima</w:t>
      </w:r>
      <w:r w:rsidR="00845324" w:rsidRPr="008D12A0">
        <w:t xml:space="preserve"> mencionado</w:t>
      </w:r>
      <w:r w:rsidR="00574358" w:rsidRPr="008D12A0" w:rsidDel="00C04D56">
        <w:t xml:space="preserve">, devendo o </w:t>
      </w:r>
      <w:r w:rsidR="00CB693F" w:rsidRPr="008D12A0" w:rsidDel="00C04D56">
        <w:t>Banco Administrador</w:t>
      </w:r>
      <w:r w:rsidR="00574358" w:rsidRPr="008D12A0" w:rsidDel="00C04D56">
        <w:t xml:space="preserve"> cessar </w:t>
      </w:r>
      <w:r w:rsidR="00632B0F" w:rsidRPr="008D12A0">
        <w:t xml:space="preserve">imediatamente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387732">
        <w:t>4.6</w:t>
      </w:r>
      <w:r w:rsidR="00273C8E" w:rsidRPr="008D12A0" w:rsidDel="00C04D56">
        <w:fldChar w:fldCharType="end"/>
      </w:r>
      <w:r w:rsidR="00574358" w:rsidRPr="008D12A0" w:rsidDel="00C04D56">
        <w:t xml:space="preserve"> abaixo</w:t>
      </w:r>
      <w:r w:rsidR="00632B0F" w:rsidRPr="008D12A0">
        <w:t>. Em qualquer dos casos mencionados acima</w:t>
      </w:r>
      <w:r w:rsidR="00A55831" w:rsidRPr="008D12A0">
        <w:t xml:space="preserve">, </w:t>
      </w:r>
      <w:r w:rsidR="00632B0F" w:rsidRPr="008D12A0">
        <w:t>o Banco Administrador 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387732">
        <w:t>4.5.5</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A55831" w:rsidRPr="008D12A0">
        <w:rPr>
          <w:bCs/>
        </w:rPr>
        <w:t xml:space="preserve">excedente </w:t>
      </w:r>
      <w:r w:rsidR="006E4833" w:rsidRPr="008D12A0">
        <w:rPr>
          <w:bCs/>
        </w:rPr>
        <w:t xml:space="preserve">ao montante correspondente ao Percentual da Cessão Fiduciária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 xml:space="preserve">, desde </w:t>
      </w:r>
      <w:r w:rsidR="0016581E" w:rsidRPr="008D12A0">
        <w:t xml:space="preserve">que </w:t>
      </w:r>
      <w:r w:rsidR="00122BC6" w:rsidRPr="008D12A0">
        <w:t>não haja mais nenhum outro Evento de Retenção em curso</w:t>
      </w:r>
      <w:r w:rsidR="00574358" w:rsidRPr="008D12A0" w:rsidDel="00C04D56">
        <w:t>.</w:t>
      </w:r>
      <w:bookmarkEnd w:id="61"/>
    </w:p>
    <w:p w14:paraId="240C4995" w14:textId="5B799DEF" w:rsidR="00D305E7" w:rsidRPr="00235269" w:rsidRDefault="0083791B" w:rsidP="00A653ED">
      <w:pPr>
        <w:pStyle w:val="Level3"/>
        <w:spacing w:before="140" w:after="0"/>
      </w:pPr>
      <w:bookmarkStart w:id="62" w:name="_Ref404617378"/>
      <w:r w:rsidRPr="008D12A0">
        <w:t>A Cedente poderá, a qualquer momento</w:t>
      </w:r>
      <w:r w:rsidR="001947CB" w:rsidRPr="008D12A0">
        <w:t xml:space="preserve"> após um Evento de Retenção</w:t>
      </w:r>
      <w:r w:rsidR="00C04D56" w:rsidRPr="008D12A0">
        <w:t>,</w:t>
      </w:r>
      <w:r w:rsidR="00C04D56" w:rsidRPr="00235269">
        <w:t xml:space="preserve"> 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387732">
        <w:t>3.1.3</w:t>
      </w:r>
      <w:r w:rsidR="002A2A9C" w:rsidRPr="00235269">
        <w:fldChar w:fldCharType="end"/>
      </w:r>
      <w:r w:rsidR="00C04D56" w:rsidRPr="00235269">
        <w:t xml:space="preserve"> acima: </w:t>
      </w:r>
    </w:p>
    <w:p w14:paraId="066F9CCB" w14:textId="77777777" w:rsidR="00C04D56" w:rsidRPr="00235269" w:rsidRDefault="00C04D56" w:rsidP="00A653ED">
      <w:pPr>
        <w:pStyle w:val="Level4"/>
        <w:spacing w:before="140" w:after="0"/>
        <w:rPr>
          <w:rFonts w:cs="Arial"/>
        </w:rPr>
      </w:pPr>
      <w:bookmarkStart w:id="63" w:name="_Ref312151673"/>
      <w:bookmarkStart w:id="64" w:name="_Ref282125455"/>
      <w:bookmarkStart w:id="65" w:name="_Ref280120340"/>
      <w:bookmarkStart w:id="66" w:name="_Ref337575805"/>
      <w:r w:rsidRPr="00235269">
        <w:rPr>
          <w:rFonts w:cs="Arial"/>
        </w:rPr>
        <w:t>apresentar ao Banco Administrador outros ativos, de natureza igual aos Créditos Cedidos Fiduciariamente, em valor suficiente para o atendimento ao Percentual da Cessão Fiduciária, os quais deverão:</w:t>
      </w:r>
      <w:bookmarkStart w:id="67" w:name="_Ref312151682"/>
      <w:bookmarkEnd w:id="63"/>
      <w:bookmarkEnd w:id="64"/>
      <w:bookmarkEnd w:id="65"/>
      <w:bookmarkEnd w:id="66"/>
      <w:r w:rsidRPr="00235269">
        <w:rPr>
          <w:rFonts w:cs="Arial"/>
        </w:rPr>
        <w:t xml:space="preserve"> (</w:t>
      </w:r>
      <w:r w:rsidR="002A2A9C" w:rsidRPr="00235269">
        <w:rPr>
          <w:rFonts w:cs="Arial"/>
        </w:rPr>
        <w:t>a</w:t>
      </w:r>
      <w:r w:rsidRPr="00235269">
        <w:rPr>
          <w:rFonts w:cs="Arial"/>
        </w:rPr>
        <w:t>) ser de titularidade da Cedente; (</w:t>
      </w:r>
      <w:r w:rsidR="002A2A9C" w:rsidRPr="00235269">
        <w:rPr>
          <w:rFonts w:cs="Arial"/>
        </w:rPr>
        <w:t>b</w:t>
      </w:r>
      <w:r w:rsidRPr="00235269">
        <w:rPr>
          <w:rFonts w:cs="Arial"/>
        </w:rPr>
        <w:t xml:space="preserve">) estar livres e desembaraçados de qualquer </w:t>
      </w:r>
      <w:r w:rsidR="00D305E7" w:rsidRPr="00235269">
        <w:rPr>
          <w:rFonts w:cs="Arial"/>
        </w:rPr>
        <w:t>ônus</w:t>
      </w:r>
      <w:r w:rsidRPr="00235269">
        <w:rPr>
          <w:rFonts w:cs="Arial"/>
        </w:rPr>
        <w:t xml:space="preserve"> (assim </w:t>
      </w:r>
      <w:r w:rsidR="00D305E7" w:rsidRPr="00235269">
        <w:rPr>
          <w:rFonts w:cs="Arial"/>
        </w:rPr>
        <w:t xml:space="preserve">entendido </w:t>
      </w:r>
      <w:r w:rsidRPr="00235269">
        <w:rPr>
          <w:rFonts w:cs="Arial"/>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35269">
        <w:rPr>
          <w:rFonts w:cs="Arial"/>
        </w:rPr>
        <w:t>)</w:t>
      </w:r>
      <w:r w:rsidR="002A2A9C" w:rsidRPr="00235269">
        <w:rPr>
          <w:rFonts w:cs="Arial"/>
        </w:rPr>
        <w:t xml:space="preserve"> e (c) ser, de forma automática e independentemente de qualquer formalidade adicional ou da celebração de aditamento a este Contrato, cedidos fiduciariamente aos Debenturistas, representados pelo Agente Fiduciário, nos termos deste Contrato</w:t>
      </w:r>
      <w:r w:rsidRPr="00235269">
        <w:rPr>
          <w:rFonts w:cs="Arial"/>
        </w:rPr>
        <w:t xml:space="preserve">; </w:t>
      </w:r>
      <w:r w:rsidR="0061799E" w:rsidRPr="00235269">
        <w:rPr>
          <w:rFonts w:cs="Arial"/>
        </w:rPr>
        <w:t>e/</w:t>
      </w:r>
      <w:r w:rsidRPr="00235269">
        <w:rPr>
          <w:rFonts w:cs="Arial"/>
        </w:rPr>
        <w:t>ou</w:t>
      </w:r>
    </w:p>
    <w:p w14:paraId="02DECC0D" w14:textId="77777777" w:rsidR="00C04D56" w:rsidRPr="00235269" w:rsidRDefault="00C04D56" w:rsidP="00A653ED">
      <w:pPr>
        <w:pStyle w:val="Level4"/>
        <w:spacing w:before="140" w:after="0"/>
        <w:rPr>
          <w:rFonts w:cs="Arial"/>
        </w:rPr>
      </w:pPr>
      <w:bookmarkStart w:id="68" w:name="_Ref337576629"/>
      <w:proofErr w:type="gramStart"/>
      <w:r w:rsidRPr="00235269">
        <w:rPr>
          <w:rFonts w:cs="Arial"/>
        </w:rPr>
        <w:t>depositar</w:t>
      </w:r>
      <w:proofErr w:type="gramEnd"/>
      <w:r w:rsidRPr="00235269">
        <w:rPr>
          <w:rFonts w:cs="Arial"/>
        </w:rPr>
        <w:t xml:space="preserve"> recursos na Conta Vinculada em valor suficiente para o atendimento ao Percentual da Cessão Fiduciária;</w:t>
      </w:r>
      <w:bookmarkEnd w:id="68"/>
      <w:r w:rsidR="002A2A9C" w:rsidRPr="00235269">
        <w:rPr>
          <w:rFonts w:cs="Arial"/>
        </w:rPr>
        <w:t xml:space="preserve"> </w:t>
      </w:r>
    </w:p>
    <w:bookmarkEnd w:id="67"/>
    <w:p w14:paraId="3846B9F5" w14:textId="77C520C4" w:rsidR="0083791B" w:rsidRPr="008D12A0" w:rsidRDefault="00D305E7" w:rsidP="00A653ED">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informado pelo Banco Administrador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CB693F" w:rsidRPr="008D12A0">
        <w:t>Banco Administrador</w:t>
      </w:r>
      <w:r w:rsidR="00E12BBD" w:rsidRPr="008D12A0">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387732">
        <w:t>4.6</w:t>
      </w:r>
      <w:r w:rsidR="00273C8E" w:rsidRPr="008D12A0">
        <w:fldChar w:fldCharType="end"/>
      </w:r>
      <w:r w:rsidR="00E12BBD" w:rsidRPr="008D12A0">
        <w:t xml:space="preserve"> abaixo.</w:t>
      </w:r>
      <w:bookmarkEnd w:id="62"/>
      <w:r w:rsidR="00C04D56" w:rsidRPr="008D12A0">
        <w:t xml:space="preserve"> </w:t>
      </w:r>
    </w:p>
    <w:p w14:paraId="0C58BE6E" w14:textId="2F174BB5" w:rsidR="0046676F" w:rsidRPr="008D12A0" w:rsidRDefault="00EE2571" w:rsidP="00A653ED">
      <w:pPr>
        <w:pStyle w:val="Level2"/>
        <w:spacing w:before="140" w:after="0"/>
        <w:rPr>
          <w:rFonts w:cs="Arial"/>
        </w:rPr>
      </w:pPr>
      <w:bookmarkStart w:id="69" w:name="_Ref288044089"/>
      <w:bookmarkStart w:id="70" w:name="_Ref404617350"/>
      <w:bookmarkStart w:id="71" w:name="_Ref286781272"/>
      <w:bookmarkEnd w:id="57"/>
      <w:bookmarkEnd w:id="58"/>
      <w:bookmarkEnd w:id="59"/>
      <w:bookmarkEnd w:id="60"/>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2" w:name="_Ref288489313"/>
      <w:bookmarkEnd w:id="69"/>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72"/>
      <w:r w:rsidR="00551D8E" w:rsidRPr="008D12A0">
        <w:rPr>
          <w:rFonts w:cs="Arial"/>
        </w:rPr>
        <w:t>.</w:t>
      </w:r>
      <w:bookmarkEnd w:id="70"/>
      <w:r w:rsidR="00E1284B" w:rsidRPr="008D12A0">
        <w:rPr>
          <w:rFonts w:cs="Arial"/>
        </w:rPr>
        <w:t xml:space="preserve"> </w:t>
      </w:r>
    </w:p>
    <w:bookmarkEnd w:id="71"/>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3" w:name="_Ref285655351"/>
      <w:r w:rsidRPr="008D12A0">
        <w:rPr>
          <w:rFonts w:cs="Arial"/>
          <w:caps/>
          <w:sz w:val="20"/>
        </w:rPr>
        <w:t>Conta Vinculada</w:t>
      </w:r>
      <w:bookmarkEnd w:id="73"/>
    </w:p>
    <w:p w14:paraId="176FD12E" w14:textId="4AE41ED1" w:rsidR="00E549B7" w:rsidRPr="008D12A0" w:rsidRDefault="00E549B7" w:rsidP="00A653ED">
      <w:pPr>
        <w:pStyle w:val="Level2"/>
        <w:spacing w:before="140" w:after="0"/>
        <w:rPr>
          <w:rFonts w:cs="Arial"/>
        </w:rPr>
      </w:pPr>
      <w:bookmarkStart w:id="74"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4"/>
    </w:p>
    <w:p w14:paraId="37B8A0C3" w14:textId="34C34375"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CB693F" w:rsidRPr="008D12A0">
        <w:rPr>
          <w:rFonts w:cs="Arial"/>
        </w:rPr>
        <w:t>Banco Administrador</w:t>
      </w:r>
      <w:r w:rsidRPr="008D12A0">
        <w:rPr>
          <w:rFonts w:cs="Arial"/>
        </w:rPr>
        <w:t xml:space="preserve"> diretamente ou de acordo com as instruções recebidas do </w:t>
      </w:r>
      <w:r w:rsidR="00AA05E5" w:rsidRPr="008D12A0">
        <w:rPr>
          <w:rFonts w:cs="Arial"/>
        </w:rPr>
        <w:t>Agente Fiduciário</w:t>
      </w:r>
      <w:r w:rsidRPr="008D12A0">
        <w:rPr>
          <w:rFonts w:cs="Arial"/>
        </w:rPr>
        <w:t>, observados os termos e condições do presente Contrato</w:t>
      </w:r>
      <w:r w:rsidR="00BB0FB0" w:rsidRPr="008D12A0">
        <w:rPr>
          <w:rFonts w:cs="Arial"/>
        </w:rPr>
        <w:t xml:space="preserve"> e do Contrato de Administração de Conta</w:t>
      </w:r>
      <w:r w:rsidR="00B66EF4" w:rsidRPr="008D12A0">
        <w:rPr>
          <w:rFonts w:cs="Arial"/>
        </w:rPr>
        <w:t>s</w:t>
      </w:r>
      <w:r w:rsidRPr="008D12A0">
        <w:rPr>
          <w:rFonts w:cs="Arial"/>
        </w:rPr>
        <w:t>,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10DA8639"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CB693F" w:rsidRPr="008D12A0">
        <w:rPr>
          <w:rFonts w:cs="Arial"/>
        </w:rPr>
        <w:t>Banco Administrador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CB693F" w:rsidRPr="008D12A0">
        <w:rPr>
          <w:rFonts w:cs="Arial"/>
        </w:rPr>
        <w:t>Banco Administrador</w:t>
      </w:r>
      <w:r w:rsidR="000C762B" w:rsidRPr="008D12A0">
        <w:rPr>
          <w:rFonts w:cs="Arial"/>
        </w:rPr>
        <w:t xml:space="preserve"> 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387732">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387732">
        <w:rPr>
          <w:rFonts w:cs="Arial"/>
        </w:rPr>
        <w:t>6</w:t>
      </w:r>
      <w:r w:rsidR="00273C8E" w:rsidRPr="008D12A0">
        <w:rPr>
          <w:rFonts w:cs="Arial"/>
        </w:rPr>
        <w:fldChar w:fldCharType="end"/>
      </w:r>
      <w:r w:rsidR="000C762B" w:rsidRPr="008D12A0">
        <w:rPr>
          <w:rFonts w:cs="Arial"/>
        </w:rPr>
        <w:t xml:space="preserve"> abaixo.</w:t>
      </w:r>
    </w:p>
    <w:p w14:paraId="2411C754" w14:textId="5C34B89A" w:rsidR="00E549B7" w:rsidRPr="008D12A0" w:rsidRDefault="000F6CDA" w:rsidP="00A653ED">
      <w:pPr>
        <w:pStyle w:val="Level2"/>
        <w:spacing w:before="140" w:after="0"/>
        <w:rPr>
          <w:rFonts w:cs="Arial"/>
        </w:rPr>
      </w:pPr>
      <w:bookmarkStart w:id="75"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5"/>
    </w:p>
    <w:p w14:paraId="5918A028" w14:textId="77777777" w:rsidR="00324DF7" w:rsidRPr="008D12A0" w:rsidRDefault="00324DF7" w:rsidP="00A653ED">
      <w:pPr>
        <w:pStyle w:val="Level2"/>
        <w:spacing w:before="140" w:after="0"/>
        <w:rPr>
          <w:rFonts w:cs="Arial"/>
          <w:i/>
        </w:rPr>
      </w:pPr>
      <w:bookmarkStart w:id="76" w:name="_Ref285655225"/>
      <w:bookmarkStart w:id="77" w:name="_Ref304906744"/>
      <w:bookmarkStart w:id="78" w:name="_Ref130637882"/>
      <w:bookmarkStart w:id="79" w:name="_Ref197411614"/>
      <w:r w:rsidRPr="008D12A0">
        <w:rPr>
          <w:rFonts w:cs="Arial"/>
          <w:i/>
        </w:rPr>
        <w:t xml:space="preserve">Trava de Domicilio Bancário </w:t>
      </w:r>
    </w:p>
    <w:p w14:paraId="20C4F2AE" w14:textId="09DDDD80" w:rsidR="00245FCD" w:rsidRPr="008D12A0" w:rsidRDefault="00245FCD" w:rsidP="00A653ED">
      <w:pPr>
        <w:pStyle w:val="Level3"/>
        <w:spacing w:before="140" w:after="0"/>
      </w:pPr>
      <w:bookmarkStart w:id="80" w:name="_Ref404617259"/>
      <w:bookmarkEnd w:id="76"/>
      <w:bookmarkEnd w:id="77"/>
      <w:r w:rsidRPr="008D12A0">
        <w:t xml:space="preserve">Nos termos do </w:t>
      </w:r>
      <w:r w:rsidR="005175AB" w:rsidRPr="008D12A0">
        <w:t>“</w:t>
      </w:r>
      <w:r w:rsidR="00B95CB5" w:rsidRPr="008D12A0">
        <w:rPr>
          <w:i/>
        </w:rPr>
        <w:t>Acordo</w:t>
      </w:r>
      <w:r w:rsidR="002828A6" w:rsidRPr="008D12A0">
        <w:rPr>
          <w:i/>
        </w:rPr>
        <w:t xml:space="preserve"> de Manutenção de Domicílio Bancário</w:t>
      </w:r>
      <w:r w:rsidR="005175AB" w:rsidRPr="008D12A0">
        <w:t>”</w:t>
      </w:r>
      <w:r w:rsidR="001A4D4B" w:rsidRPr="008D12A0">
        <w:t xml:space="preserve">, celebrado entre a </w:t>
      </w:r>
      <w:r w:rsidR="007E6BFA" w:rsidRPr="008D12A0">
        <w:t>Cedente</w:t>
      </w:r>
      <w:r w:rsidR="001A4D4B" w:rsidRPr="008D12A0">
        <w:t xml:space="preserve"> e</w:t>
      </w:r>
      <w:r w:rsidR="00C550C1" w:rsidRPr="008D12A0">
        <w:t xml:space="preserve"> o </w:t>
      </w:r>
      <w:r w:rsidR="00CB693F" w:rsidRPr="008D12A0">
        <w:t>Banco Administrador</w:t>
      </w:r>
      <w:r w:rsidR="00C550C1" w:rsidRPr="008D12A0">
        <w:t xml:space="preserve"> (</w:t>
      </w:r>
      <w:r w:rsidR="005175AB" w:rsidRPr="008D12A0">
        <w:t>“</w:t>
      </w:r>
      <w:r w:rsidR="00C550C1" w:rsidRPr="008D12A0">
        <w:rPr>
          <w:b/>
        </w:rPr>
        <w:t>Instrumento</w:t>
      </w:r>
      <w:r w:rsidRPr="008D12A0">
        <w:rPr>
          <w:b/>
        </w:rPr>
        <w:t xml:space="preserve"> de Trava de Domicílio</w:t>
      </w:r>
      <w:r w:rsidR="005175AB" w:rsidRPr="008D12A0">
        <w:t>”</w:t>
      </w:r>
      <w:r w:rsidRPr="008D12A0">
        <w:t>)</w:t>
      </w:r>
      <w:r w:rsidR="003719CB" w:rsidRPr="008D12A0">
        <w:t>, anexo a este Contrato</w:t>
      </w:r>
      <w:r w:rsidRPr="008D12A0">
        <w:t>,</w:t>
      </w:r>
      <w:r w:rsidR="00974C84" w:rsidRPr="008D12A0">
        <w:t xml:space="preserve"> na forma do </w:t>
      </w:r>
      <w:r w:rsidR="00974C84" w:rsidRPr="008D12A0">
        <w:rPr>
          <w:u w:val="single"/>
        </w:rPr>
        <w:t>Anexo II</w:t>
      </w:r>
      <w:r w:rsidR="00974C84" w:rsidRPr="008D12A0">
        <w:t>,</w:t>
      </w:r>
      <w:r w:rsidR="00B36471" w:rsidRPr="008D12A0">
        <w:t xml:space="preserve"> </w:t>
      </w:r>
      <w:r w:rsidRPr="008D12A0">
        <w:t xml:space="preserve">foi contratada </w:t>
      </w:r>
      <w:r w:rsidR="001A4D4B" w:rsidRPr="008D12A0">
        <w:t>e 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disposto que todos os custos e despesas decorrentes dos procedimentos relativos à Trava de Domicílio, incluindo, mas não se limitando aos custos inerentes à renovação do Instrumento</w:t>
      </w:r>
      <w:r w:rsidR="00C550C1" w:rsidRPr="008D12A0">
        <w:t xml:space="preserve"> Trava de Domicílio</w:t>
      </w:r>
      <w:r w:rsidRPr="008D12A0">
        <w:t xml:space="preserve">, conforme previsto </w:t>
      </w:r>
      <w:r w:rsidR="00826A61" w:rsidRPr="008D12A0">
        <w:t xml:space="preserve">na Cláusula </w:t>
      </w:r>
      <w:r w:rsidR="00AE2C88" w:rsidRPr="008D12A0">
        <w:fldChar w:fldCharType="begin"/>
      </w:r>
      <w:r w:rsidR="00AE2C88" w:rsidRPr="008D12A0">
        <w:instrText xml:space="preserve"> REF _Ref404614885 \r \h </w:instrText>
      </w:r>
      <w:r w:rsidR="00CC7499" w:rsidRPr="008D12A0">
        <w:instrText xml:space="preserve"> \* MERGEFORMAT </w:instrText>
      </w:r>
      <w:r w:rsidR="00AE2C88" w:rsidRPr="008D12A0">
        <w:fldChar w:fldCharType="separate"/>
      </w:r>
      <w:r w:rsidR="00387732">
        <w:t>4.5.2</w:t>
      </w:r>
      <w:r w:rsidR="00AE2C88" w:rsidRPr="008D12A0">
        <w:fldChar w:fldCharType="end"/>
      </w:r>
      <w:r w:rsidRPr="008D12A0">
        <w:t xml:space="preserve"> abaixo,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80"/>
    </w:p>
    <w:p w14:paraId="3E9EB003" w14:textId="2A5BFC72" w:rsidR="00F1204D" w:rsidRPr="008D12A0" w:rsidRDefault="00F1204D" w:rsidP="00A653ED">
      <w:pPr>
        <w:pStyle w:val="Level3"/>
        <w:spacing w:before="140" w:after="0"/>
      </w:pPr>
      <w:bookmarkStart w:id="81" w:name="_Ref404614885"/>
      <w:r w:rsidRPr="008D12A0">
        <w:t xml:space="preserve">Quando da renovação do Instrumento de Trava de Domicílio, nos termos </w:t>
      </w:r>
      <w:r w:rsidR="00B05C2E" w:rsidRPr="008D12A0">
        <w:t xml:space="preserve">da Cláusula </w:t>
      </w:r>
      <w:r w:rsidR="00B05C2E" w:rsidRPr="008D12A0">
        <w:fldChar w:fldCharType="begin"/>
      </w:r>
      <w:r w:rsidR="00B05C2E" w:rsidRPr="008D12A0">
        <w:instrText xml:space="preserve"> REF _Ref404614885 \n \h </w:instrText>
      </w:r>
      <w:r w:rsidR="008D12A0" w:rsidRPr="008D12A0">
        <w:instrText xml:space="preserve"> \* MERGEFORMAT </w:instrText>
      </w:r>
      <w:r w:rsidR="00B05C2E" w:rsidRPr="008D12A0">
        <w:fldChar w:fldCharType="separate"/>
      </w:r>
      <w:r w:rsidR="00387732">
        <w:t>4.5.2</w:t>
      </w:r>
      <w:r w:rsidR="00B05C2E" w:rsidRPr="008D12A0">
        <w:fldChar w:fldCharType="end"/>
      </w:r>
      <w:r w:rsidRPr="008D12A0">
        <w:t xml:space="preserve"> acima, a Cedente deverá encaminhar cópia dos referidos documentos para o </w:t>
      </w:r>
      <w:r w:rsidR="00AA05E5" w:rsidRPr="008D12A0">
        <w:t>Agente Fiduciário</w:t>
      </w:r>
      <w:r w:rsidRPr="008D12A0">
        <w:t>,</w:t>
      </w:r>
      <w:r w:rsidR="0035757A" w:rsidRPr="008D12A0">
        <w:t xml:space="preserve"> em</w:t>
      </w:r>
      <w:r w:rsidRPr="008D12A0">
        <w:t xml:space="preserve"> até 10 (dez) Dias Úteis após a renovação.</w:t>
      </w:r>
      <w:bookmarkEnd w:id="81"/>
    </w:p>
    <w:p w14:paraId="68D342C5" w14:textId="17DB516F" w:rsidR="005E5920" w:rsidRPr="008D12A0" w:rsidRDefault="005E5920" w:rsidP="00A653ED">
      <w:pPr>
        <w:pStyle w:val="Level3"/>
        <w:spacing w:before="140" w:after="0"/>
      </w:pPr>
      <w:r w:rsidRPr="008D12A0">
        <w:t xml:space="preserve">Uma vez contratada 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387732">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CB693F" w:rsidRPr="008D12A0">
        <w:t>Banco Administrador</w:t>
      </w:r>
      <w:r w:rsidRPr="008D12A0">
        <w:t xml:space="preserve">, prévia e expressamente, a autorize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67DDBCB3"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CB693F" w:rsidRPr="008D12A0">
        <w:t>Banco Administrador</w:t>
      </w:r>
      <w:r w:rsidRPr="008D12A0">
        <w:t>.</w:t>
      </w:r>
    </w:p>
    <w:p w14:paraId="4CB15D36" w14:textId="02136A9C" w:rsidR="00A015C5" w:rsidRPr="008D12A0" w:rsidRDefault="00413F2D" w:rsidP="00A653ED">
      <w:pPr>
        <w:pStyle w:val="Level3"/>
        <w:spacing w:before="140" w:after="0"/>
      </w:pPr>
      <w:bookmarkStart w:id="82" w:name="_Ref305082668"/>
      <w:bookmarkStart w:id="83" w:name="_Ref304906747"/>
      <w:bookmarkStart w:id="84" w:name="_Ref813572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2"/>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387732">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CB693F" w:rsidRPr="008D12A0">
        <w:t>Banco Administrador</w:t>
      </w:r>
      <w:r w:rsidRPr="008D12A0">
        <w:t xml:space="preserve"> 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 </w:t>
      </w:r>
      <w:r w:rsidR="009A5C4B" w:rsidRPr="008D12A0">
        <w:rPr>
          <w:highlight w:val="yellow"/>
        </w:rPr>
        <w:t>[</w:t>
      </w:r>
      <w:r w:rsidR="009A5C4B" w:rsidRPr="008D12A0">
        <w:rPr>
          <w:highlight w:val="yellow"/>
        </w:rPr>
        <w:sym w:font="Symbol" w:char="F0B7"/>
      </w:r>
      <w:r w:rsidR="009A5C4B" w:rsidRPr="008D12A0">
        <w:rPr>
          <w:highlight w:val="yellow"/>
        </w:rPr>
        <w:t>]</w:t>
      </w:r>
      <w:r w:rsidRPr="008D12A0">
        <w:t>, mantida na agência n.º </w:t>
      </w:r>
      <w:r w:rsidR="009A5C4B" w:rsidRPr="008D12A0">
        <w:rPr>
          <w:highlight w:val="yellow"/>
        </w:rPr>
        <w:t>[</w:t>
      </w:r>
      <w:r w:rsidR="009A5C4B" w:rsidRPr="008D12A0">
        <w:rPr>
          <w:highlight w:val="yellow"/>
        </w:rPr>
        <w:sym w:font="Symbol" w:char="F0B7"/>
      </w:r>
      <w:r w:rsidR="009A5C4B" w:rsidRPr="008D12A0">
        <w:rPr>
          <w:highlight w:val="yellow"/>
        </w:rPr>
        <w:t>]</w:t>
      </w:r>
      <w:r w:rsidRPr="008D12A0">
        <w:t xml:space="preserve">, do </w:t>
      </w:r>
      <w:r w:rsidR="00CB693F" w:rsidRPr="008D12A0">
        <w:t>Banco Administrador</w:t>
      </w:r>
      <w:r w:rsidR="003073CB" w:rsidRPr="008D12A0">
        <w:t xml:space="preserve"> 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até as </w:t>
      </w:r>
      <w:r w:rsidRPr="00F122B0">
        <w:t>12h</w:t>
      </w:r>
      <w:r w:rsidR="00E2705D" w:rsidRPr="00F122B0">
        <w:t>s</w:t>
      </w:r>
      <w:r w:rsidRPr="00F122B0">
        <w:t xml:space="preserve"> (horário de Brasília)</w:t>
      </w:r>
      <w:r w:rsidRPr="008D12A0">
        <w:t xml:space="preserve">, no mesmo dia de seu recebimento, sendo os </w:t>
      </w:r>
      <w:r w:rsidR="007672BD" w:rsidRPr="008D12A0">
        <w:t xml:space="preserve">recursos </w:t>
      </w:r>
      <w:r w:rsidRPr="008D12A0">
        <w:t>recebidos após o referido horário transferidos no Dia Útil imediatamente subsequente</w:t>
      </w:r>
      <w:r w:rsidR="0032343C" w:rsidRPr="008D12A0">
        <w:t>, não sendo necessária instrução do Agente Fiduciário para este caso</w:t>
      </w:r>
      <w:r w:rsidRPr="008D12A0">
        <w:t xml:space="preserve">. Os recursos transferidos para a Conta Movimento, nos termos desta Cláusula, serão de livre e exclusiva movimentação e utilização pela </w:t>
      </w:r>
      <w:r w:rsidR="007E6AE2" w:rsidRPr="008D12A0">
        <w:t>Cedente</w:t>
      </w:r>
      <w:bookmarkEnd w:id="83"/>
      <w:r w:rsidR="00BF79AA" w:rsidRPr="008D12A0">
        <w:t>.</w:t>
      </w:r>
      <w:r w:rsidR="00F12573" w:rsidRPr="008D12A0">
        <w:t xml:space="preserve"> </w:t>
      </w:r>
      <w:bookmarkEnd w:id="84"/>
    </w:p>
    <w:p w14:paraId="4B51CC10" w14:textId="2FDD3315" w:rsidR="00E549B7" w:rsidRPr="008D12A0" w:rsidRDefault="00E549B7" w:rsidP="00A653ED">
      <w:pPr>
        <w:pStyle w:val="Level2"/>
        <w:spacing w:before="140" w:after="0"/>
        <w:rPr>
          <w:rFonts w:cs="Arial"/>
        </w:rPr>
      </w:pPr>
      <w:bookmarkStart w:id="85" w:name="_Ref130638033"/>
      <w:bookmarkEnd w:id="78"/>
      <w:bookmarkEnd w:id="79"/>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o </w:t>
      </w:r>
      <w:r w:rsidR="00CB693F" w:rsidRPr="008D12A0">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CB693F" w:rsidRPr="008D12A0">
        <w:rPr>
          <w:rFonts w:cs="Arial"/>
        </w:rPr>
        <w:t>Banco Administrador</w:t>
      </w:r>
      <w:r w:rsidR="0016277B" w:rsidRPr="008D12A0">
        <w:rPr>
          <w:rFonts w:cs="Arial"/>
        </w:rPr>
        <w:t>, na mesma data de recebimento da notificação ou, caso a notificação tenha sido recebida após as 12h</w:t>
      </w:r>
      <w:r w:rsidR="00E2705D" w:rsidRPr="008D12A0">
        <w:rPr>
          <w:rFonts w:cs="Arial"/>
        </w:rPr>
        <w:t>s</w:t>
      </w:r>
      <w:r w:rsidR="0016277B" w:rsidRPr="008D12A0">
        <w:rPr>
          <w:rFonts w:cs="Arial"/>
        </w:rPr>
        <w:t xml:space="preserve"> (horário de Brasília), no Dia Útil subsequente à data de recebimento da notificação,</w:t>
      </w:r>
      <w:r w:rsidR="00A57BD4" w:rsidRPr="008D12A0">
        <w:rPr>
          <w:rFonts w:cs="Arial"/>
        </w:rPr>
        <w:t xml:space="preserve"> 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o </w:t>
      </w:r>
      <w:r w:rsidR="00CB693F" w:rsidRPr="008D12A0">
        <w:rPr>
          <w:rFonts w:cs="Arial"/>
        </w:rPr>
        <w:t>Banco Administrador</w:t>
      </w:r>
      <w:r w:rsidRPr="008D12A0">
        <w:rPr>
          <w:rFonts w:cs="Arial"/>
        </w:rPr>
        <w:t xml:space="preserve"> 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5"/>
    </w:p>
    <w:p w14:paraId="1C0E6DC9" w14:textId="393C3F4D" w:rsidR="00AB63E5" w:rsidRPr="008D12A0" w:rsidRDefault="00E549B7" w:rsidP="00B14CFE">
      <w:pPr>
        <w:pStyle w:val="Level4"/>
        <w:tabs>
          <w:tab w:val="clear" w:pos="2041"/>
          <w:tab w:val="num" w:pos="1361"/>
        </w:tabs>
        <w:ind w:left="1360"/>
      </w:pPr>
      <w:bookmarkStart w:id="86" w:name="_Ref286954458"/>
      <w:bookmarkStart w:id="87" w:name="_Ref130716765"/>
      <w:bookmarkStart w:id="88" w:name="_Ref130716742"/>
      <w:proofErr w:type="gramStart"/>
      <w:r w:rsidRPr="008D12A0">
        <w:t>não</w:t>
      </w:r>
      <w:proofErr w:type="gramEnd"/>
      <w:r w:rsidRPr="008D12A0">
        <w:t xml:space="preserve">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387732">
        <w:t>3.1.3</w:t>
      </w:r>
      <w:r w:rsidR="00845324" w:rsidRPr="008D12A0">
        <w:fldChar w:fldCharType="end"/>
      </w:r>
      <w:r w:rsidR="00845324" w:rsidRPr="008D12A0">
        <w:t xml:space="preserve"> </w:t>
      </w:r>
      <w:r w:rsidR="006E4833" w:rsidRPr="008D12A0">
        <w:t>acima</w:t>
      </w:r>
      <w:r w:rsidR="005210BA" w:rsidRPr="008D12A0">
        <w:t>;</w:t>
      </w:r>
      <w:bookmarkStart w:id="89" w:name="_Ref305601900"/>
      <w:bookmarkStart w:id="90" w:name="_Ref286954459"/>
      <w:bookmarkEnd w:id="86"/>
      <w:r w:rsidR="00953F57" w:rsidRPr="008D12A0">
        <w:t xml:space="preserve"> </w:t>
      </w:r>
      <w:r w:rsidR="00AB63E5" w:rsidRPr="008D12A0">
        <w:t>ou</w:t>
      </w:r>
      <w:bookmarkEnd w:id="89"/>
    </w:p>
    <w:p w14:paraId="7096880A" w14:textId="26CBFD4C" w:rsidR="00E549B7" w:rsidRPr="008D12A0" w:rsidRDefault="00E549B7" w:rsidP="00B14CFE">
      <w:pPr>
        <w:pStyle w:val="Level4"/>
        <w:tabs>
          <w:tab w:val="clear" w:pos="2041"/>
          <w:tab w:val="num" w:pos="1361"/>
        </w:tabs>
        <w:ind w:left="1360"/>
      </w:pPr>
      <w:bookmarkStart w:id="91" w:name="_Ref286954462"/>
      <w:bookmarkEnd w:id="87"/>
      <w:bookmarkEnd w:id="90"/>
      <w:proofErr w:type="gramStart"/>
      <w:r w:rsidRPr="008D12A0">
        <w:t>ocorrência</w:t>
      </w:r>
      <w:proofErr w:type="gramEnd"/>
      <w:r w:rsidRPr="008D12A0">
        <w:t xml:space="preserve"> de um Evento de </w:t>
      </w:r>
      <w:bookmarkEnd w:id="88"/>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1"/>
    </w:p>
    <w:p w14:paraId="59EDE789" w14:textId="6B88D736"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387732">
        <w:t>3.1.4</w:t>
      </w:r>
      <w:r w:rsidR="0050677E" w:rsidRPr="008D12A0">
        <w:fldChar w:fldCharType="end"/>
      </w:r>
      <w:r w:rsidR="005A7E9B" w:rsidRPr="008D12A0">
        <w:t xml:space="preserve"> 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387732">
        <w:t>3.1.5</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16D84F02" w14:textId="37220B66" w:rsidR="003650AF" w:rsidRPr="008D12A0" w:rsidRDefault="003650AF" w:rsidP="00A653ED">
      <w:pPr>
        <w:pStyle w:val="Level3"/>
        <w:spacing w:before="140" w:after="0"/>
      </w:pPr>
      <w:bookmarkStart w:id="92" w:name="_Ref281236340"/>
      <w:r w:rsidRPr="008D12A0">
        <w:t xml:space="preserve">Na ocorrência e durante a vigência de um </w:t>
      </w:r>
      <w:r w:rsidR="00F308EF" w:rsidRPr="008D12A0">
        <w:t>Evento de Retenção</w:t>
      </w:r>
      <w:r w:rsidRPr="008D12A0">
        <w:t xml:space="preserve">, </w:t>
      </w:r>
      <w:r w:rsidR="004F1D5B" w:rsidRPr="008D12A0">
        <w:t xml:space="preserve">os </w:t>
      </w:r>
      <w:r w:rsidR="00D9595B" w:rsidRPr="008D12A0">
        <w:t xml:space="preserve">recursos depositados na </w:t>
      </w:r>
      <w:r w:rsidR="005B5F4E" w:rsidRPr="008D12A0">
        <w:t>Conta Vinculada</w:t>
      </w:r>
      <w:r w:rsidR="00D9595B" w:rsidRPr="008D12A0">
        <w:t xml:space="preserve"> bloqueados </w:t>
      </w:r>
      <w:r w:rsidR="004F1D5B" w:rsidRPr="008D12A0">
        <w:t xml:space="preserve">nos termos </w:t>
      </w:r>
      <w:r w:rsidR="00676FEE" w:rsidRPr="008D12A0">
        <w:t>da Cláusula</w:t>
      </w:r>
      <w:r w:rsidR="002570B2" w:rsidRPr="008D12A0">
        <w:t xml:space="preserve"> </w:t>
      </w:r>
      <w:r w:rsidR="0050677E" w:rsidRPr="008D12A0">
        <w:fldChar w:fldCharType="begin"/>
      </w:r>
      <w:r w:rsidR="0050677E" w:rsidRPr="008D12A0">
        <w:instrText xml:space="preserve"> REF _Ref130638033 \r \h </w:instrText>
      </w:r>
      <w:r w:rsidR="008D12A0" w:rsidRPr="008D12A0">
        <w:instrText xml:space="preserve"> \* MERGEFORMAT </w:instrText>
      </w:r>
      <w:r w:rsidR="0050677E" w:rsidRPr="008D12A0">
        <w:fldChar w:fldCharType="separate"/>
      </w:r>
      <w:r w:rsidR="00387732">
        <w:t>4.6</w:t>
      </w:r>
      <w:r w:rsidR="0050677E" w:rsidRPr="008D12A0">
        <w:fldChar w:fldCharType="end"/>
      </w:r>
      <w:r w:rsidR="002570B2" w:rsidRPr="008D12A0">
        <w:t xml:space="preserve"> acima</w:t>
      </w:r>
      <w:r w:rsidR="004F1D5B" w:rsidRPr="008D12A0">
        <w:t xml:space="preserve"> poderão, por solicitação </w:t>
      </w:r>
      <w:r w:rsidR="009D7356" w:rsidRPr="008D12A0">
        <w:t xml:space="preserve">por escrito </w:t>
      </w:r>
      <w:r w:rsidR="004F1D5B" w:rsidRPr="008D12A0">
        <w:t xml:space="preserve">da </w:t>
      </w:r>
      <w:r w:rsidR="007E6AE2" w:rsidRPr="008D12A0">
        <w:t>Cedente</w:t>
      </w:r>
      <w:r w:rsidR="004F1D5B" w:rsidRPr="008D12A0">
        <w:t xml:space="preserve"> ao </w:t>
      </w:r>
      <w:r w:rsidR="00CB693F" w:rsidRPr="008D12A0">
        <w:t>Banco Administrador</w:t>
      </w:r>
      <w:r w:rsidR="009D7356" w:rsidRPr="008D12A0">
        <w:t xml:space="preserve">, com cópia ao </w:t>
      </w:r>
      <w:r w:rsidR="00AA05E5" w:rsidRPr="008D12A0">
        <w:t>Agente Fiduciário</w:t>
      </w:r>
      <w:r w:rsidR="004F1D5B" w:rsidRPr="008D12A0">
        <w:t>, ser aplicados</w:t>
      </w:r>
      <w:r w:rsidR="00464F74" w:rsidRPr="008D12A0">
        <w:t xml:space="preserve"> nos</w:t>
      </w:r>
      <w:r w:rsidR="004F1D5B" w:rsidRPr="008D12A0">
        <w:t xml:space="preserve"> </w:t>
      </w:r>
      <w:r w:rsidR="00E625E5" w:rsidRPr="008D12A0">
        <w:t>Investimentos Permitidos</w:t>
      </w:r>
      <w:r w:rsidR="004F1D5B" w:rsidRPr="008D12A0">
        <w:t xml:space="preserve">, </w:t>
      </w:r>
      <w:r w:rsidR="0010428B" w:rsidRPr="008D12A0">
        <w:t>sendo que tais</w:t>
      </w:r>
      <w:r w:rsidR="004F1D5B" w:rsidRPr="008D12A0">
        <w:t xml:space="preserve"> Investimentos Permitidos serão, de forma automática e independentemente de qualquer formalidade adicional ou da celebração de aditamento a este Contrato, cedidos fiduciariamente aos </w:t>
      </w:r>
      <w:r w:rsidR="006A5762" w:rsidRPr="008D12A0">
        <w:t>Debenturistas</w:t>
      </w:r>
      <w:r w:rsidR="004F1D5B" w:rsidRPr="008D12A0">
        <w:t xml:space="preserve">, representados pelo </w:t>
      </w:r>
      <w:r w:rsidR="00AA05E5" w:rsidRPr="008D12A0">
        <w:t>Agente Fiduciário</w:t>
      </w:r>
      <w:r w:rsidR="004F1D5B" w:rsidRPr="008D12A0">
        <w:t xml:space="preserve">, nos termos </w:t>
      </w:r>
      <w:r w:rsidR="00E625E5" w:rsidRPr="008D12A0">
        <w:t>deste Contrato</w:t>
      </w:r>
      <w:r w:rsidR="007520B7" w:rsidRPr="008D12A0">
        <w:t xml:space="preserve"> e do Contrato de Administração de Conta</w:t>
      </w:r>
      <w:r w:rsidR="00B66EF4" w:rsidRPr="008D12A0">
        <w:t>s</w:t>
      </w:r>
      <w:r w:rsidRPr="008D12A0">
        <w:t>.</w:t>
      </w:r>
      <w:bookmarkEnd w:id="92"/>
    </w:p>
    <w:p w14:paraId="035BCA36" w14:textId="77777777" w:rsidR="00062A2A" w:rsidRPr="008D12A0" w:rsidRDefault="00062A2A" w:rsidP="00A653ED">
      <w:pPr>
        <w:pStyle w:val="Level3"/>
        <w:spacing w:before="140" w:after="0"/>
      </w:pPr>
      <w:r w:rsidRPr="008D12A0">
        <w:t xml:space="preserve">O </w:t>
      </w:r>
      <w:r w:rsidR="00AA05E5" w:rsidRPr="008D12A0">
        <w:t>Agente Fiduciário</w:t>
      </w:r>
      <w:r w:rsidRPr="008D12A0">
        <w:t xml:space="preserve"> não terá qualquer responsabilidade por qualquer perda de capital aplicado, reivindicação, demanda, dano, tributo ou despesa decorrentes de qualquer aplicação, transferência ou liquidação dos recursos.</w:t>
      </w:r>
    </w:p>
    <w:p w14:paraId="73691BDB" w14:textId="77777777" w:rsidR="006E5BA5" w:rsidRPr="008D12A0" w:rsidRDefault="006E5BA5" w:rsidP="00A653ED">
      <w:pPr>
        <w:pStyle w:val="Level3"/>
        <w:spacing w:before="140" w:after="0"/>
      </w:pPr>
      <w:r w:rsidRPr="008D12A0">
        <w:t xml:space="preserve">Na qualidade de agente fiduciário, o Agente Fiduciário não assume qualquer responsabilidade perante a Cedente e os </w:t>
      </w:r>
      <w:r w:rsidR="004618C8" w:rsidRPr="008D12A0">
        <w:t>Debenturistas</w:t>
      </w:r>
      <w:r w:rsidRPr="008D12A0">
        <w:t xml:space="preserve"> por perdas financeiras resultantes de qualquer aplicação financeira, sendo que não possui(rá) qualquer ingerência sobre a modalidade, forma, prazo e quaisquer condições que sejam arbitradas e aprovadas pela Cedente.</w:t>
      </w:r>
    </w:p>
    <w:p w14:paraId="225EA123" w14:textId="77777777" w:rsidR="00BF79AA" w:rsidRPr="008D12A0" w:rsidRDefault="00BF79AA" w:rsidP="00A653ED">
      <w:pPr>
        <w:pStyle w:val="Level1"/>
        <w:spacing w:before="140" w:after="0"/>
        <w:rPr>
          <w:rFonts w:cs="Arial"/>
          <w:caps/>
          <w:sz w:val="20"/>
        </w:rPr>
      </w:pPr>
      <w:bookmarkStart w:id="93" w:name="_Ref404618997"/>
      <w:bookmarkStart w:id="94" w:name="_Ref130638143"/>
      <w:bookmarkStart w:id="95" w:name="_Ref279456054"/>
      <w:r w:rsidRPr="008D12A0">
        <w:rPr>
          <w:rFonts w:cs="Arial"/>
          <w:caps/>
          <w:sz w:val="20"/>
        </w:rPr>
        <w:t>Cobrança dos Direitos Creditórios</w:t>
      </w:r>
      <w:bookmarkEnd w:id="93"/>
    </w:p>
    <w:p w14:paraId="235889DE" w14:textId="7026A2B9"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387732">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CB693F" w:rsidRPr="008D12A0">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77777777"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do </w:t>
      </w:r>
      <w:r w:rsidR="00CB693F" w:rsidRPr="008D12A0">
        <w:rPr>
          <w:rFonts w:cs="Arial"/>
        </w:rPr>
        <w:t>Banco Administrador</w:t>
      </w:r>
      <w:r w:rsidRPr="008D12A0">
        <w:rPr>
          <w:rFonts w:cs="Arial"/>
        </w:rPr>
        <w:t xml:space="preserve"> 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6246157A" w:rsidR="00B05410" w:rsidRPr="008D12A0" w:rsidRDefault="00660910" w:rsidP="00A653ED">
      <w:pPr>
        <w:pStyle w:val="Level1"/>
        <w:spacing w:before="140" w:after="0"/>
        <w:rPr>
          <w:rFonts w:cs="Arial"/>
          <w:sz w:val="20"/>
        </w:rPr>
      </w:pPr>
      <w:bookmarkStart w:id="96" w:name="_Ref404614634"/>
      <w:r w:rsidRPr="008D12A0">
        <w:rPr>
          <w:rFonts w:cs="Arial"/>
          <w:sz w:val="20"/>
        </w:rPr>
        <w:t xml:space="preserve">EXCUSSÃO DA </w:t>
      </w:r>
      <w:bookmarkEnd w:id="94"/>
      <w:r w:rsidRPr="008D12A0">
        <w:rPr>
          <w:rFonts w:cs="Arial"/>
          <w:sz w:val="20"/>
        </w:rPr>
        <w:t>CESSÃO FIDUCIÁRIA</w:t>
      </w:r>
      <w:bookmarkEnd w:id="95"/>
      <w:bookmarkEnd w:id="96"/>
    </w:p>
    <w:p w14:paraId="5E8F4C10" w14:textId="153D7FEE" w:rsidR="003B737D" w:rsidRPr="008D12A0" w:rsidRDefault="00B05410" w:rsidP="00A653ED">
      <w:pPr>
        <w:pStyle w:val="Level2"/>
        <w:spacing w:before="140" w:after="0"/>
        <w:rPr>
          <w:rFonts w:cs="Arial"/>
        </w:rPr>
      </w:pPr>
      <w:bookmarkStart w:id="97"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 xml:space="preserve">Evento de Vencimento Antecipado (conforme definido na Escritrua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387732">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CB693F" w:rsidRPr="008D12A0">
        <w:rPr>
          <w:rFonts w:cs="Arial"/>
        </w:rPr>
        <w:t>Banco Administrador</w:t>
      </w:r>
      <w:r w:rsidRPr="008D12A0">
        <w:rPr>
          <w:rFonts w:cs="Arial"/>
        </w:rPr>
        <w:t xml:space="preserve"> 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3E8E5139"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7"/>
      <w:r w:rsidR="00E2326A" w:rsidRPr="008D12A0">
        <w:t xml:space="preserve"> </w:t>
      </w:r>
    </w:p>
    <w:p w14:paraId="731DEB04" w14:textId="01D8239E" w:rsidR="00393224" w:rsidRPr="008D12A0" w:rsidRDefault="00B05410" w:rsidP="00A653ED">
      <w:pPr>
        <w:pStyle w:val="Level2"/>
        <w:spacing w:before="140" w:after="0"/>
        <w:rPr>
          <w:rFonts w:cs="Arial"/>
        </w:rPr>
      </w:pPr>
      <w:bookmarkStart w:id="98"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387732">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387732">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7F803A6D" w:rsidR="00B05410" w:rsidRPr="008D12A0" w:rsidRDefault="009D745A" w:rsidP="00A653ED">
      <w:pPr>
        <w:pStyle w:val="Level2"/>
        <w:spacing w:before="140" w:after="0"/>
        <w:rPr>
          <w:rFonts w:cs="Arial"/>
        </w:rPr>
      </w:pPr>
      <w:bookmarkStart w:id="99"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387732">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387732">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98"/>
      <w:bookmarkEnd w:id="99"/>
    </w:p>
    <w:p w14:paraId="64D510D9" w14:textId="62E363E7" w:rsidR="00B05410" w:rsidRPr="008D12A0" w:rsidRDefault="00B05410" w:rsidP="00A653ED">
      <w:pPr>
        <w:pStyle w:val="Level2"/>
        <w:spacing w:before="140" w:after="0"/>
        <w:rPr>
          <w:rFonts w:cs="Arial"/>
        </w:rPr>
      </w:pPr>
      <w:bookmarkStart w:id="100"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00"/>
    </w:p>
    <w:p w14:paraId="5CF42F1F" w14:textId="754E57B0" w:rsidR="00B05410" w:rsidRPr="008D12A0" w:rsidRDefault="00B05410" w:rsidP="00A653ED">
      <w:pPr>
        <w:pStyle w:val="Level2"/>
        <w:spacing w:before="140" w:after="0"/>
        <w:rPr>
          <w:rFonts w:cs="Arial"/>
        </w:rPr>
      </w:pPr>
      <w:bookmarkStart w:id="101"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387732">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 xml:space="preserve">o </w:t>
      </w:r>
      <w:r w:rsidR="00CB693F" w:rsidRPr="008D12A0">
        <w:rPr>
          <w:rFonts w:cs="Arial"/>
        </w:rPr>
        <w:t>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1"/>
    </w:p>
    <w:p w14:paraId="1EC08D62" w14:textId="1428338C" w:rsidR="00EB400C" w:rsidRPr="008D12A0" w:rsidRDefault="00EB400C" w:rsidP="00A653ED">
      <w:pPr>
        <w:pStyle w:val="Level1"/>
        <w:spacing w:before="140" w:after="0"/>
        <w:rPr>
          <w:rFonts w:cs="Arial"/>
          <w:caps/>
          <w:sz w:val="20"/>
        </w:rPr>
      </w:pPr>
      <w:bookmarkStart w:id="102" w:name="_Ref404618255"/>
      <w:r w:rsidRPr="008D12A0">
        <w:rPr>
          <w:rFonts w:cs="Arial"/>
          <w:caps/>
          <w:sz w:val="20"/>
        </w:rPr>
        <w:t>Manutenção e Reforço da Garantia</w:t>
      </w:r>
      <w:bookmarkEnd w:id="102"/>
    </w:p>
    <w:p w14:paraId="5BFCA943" w14:textId="5986F0F3"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4.6(I)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387732">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3"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3"/>
    </w:p>
    <w:p w14:paraId="54FF0BAD" w14:textId="77777777" w:rsidR="00050C04" w:rsidRPr="008D12A0" w:rsidRDefault="009218E5" w:rsidP="00A653ED">
      <w:pPr>
        <w:pStyle w:val="Level4"/>
        <w:tabs>
          <w:tab w:val="clear" w:pos="2041"/>
          <w:tab w:val="num" w:pos="1361"/>
        </w:tabs>
        <w:spacing w:before="140" w:after="0"/>
        <w:ind w:left="1360"/>
        <w:rPr>
          <w:rFonts w:cs="Arial"/>
        </w:rPr>
      </w:pPr>
      <w:proofErr w:type="gramStart"/>
      <w:r w:rsidRPr="008D12A0">
        <w:rPr>
          <w:rFonts w:cs="Arial"/>
        </w:rPr>
        <w:t>obter</w:t>
      </w:r>
      <w:proofErr w:type="gramEnd"/>
      <w:r w:rsidRPr="008D12A0">
        <w:rPr>
          <w:rFonts w:cs="Arial"/>
        </w:rPr>
        <w:t xml:space="preserve">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proofErr w:type="gramStart"/>
      <w:r w:rsidRPr="008D12A0">
        <w:rPr>
          <w:rFonts w:cs="Arial"/>
          <w:snapToGrid w:val="0"/>
        </w:rPr>
        <w:t>dar</w:t>
      </w:r>
      <w:proofErr w:type="gramEnd"/>
      <w:r w:rsidRPr="008D12A0">
        <w:rPr>
          <w:rFonts w:cs="Arial"/>
          <w:snapToGrid w:val="0"/>
        </w:rPr>
        <w:t xml:space="preserve">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proofErr w:type="gramStart"/>
      <w:r w:rsidRPr="008D12A0">
        <w:rPr>
          <w:rFonts w:cs="Arial"/>
        </w:rPr>
        <w:t>manter</w:t>
      </w:r>
      <w:proofErr w:type="gramEnd"/>
      <w:r w:rsidRPr="008D12A0">
        <w:rPr>
          <w:rFonts w:cs="Arial"/>
        </w:rPr>
        <w:t xml:space="preserve">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proofErr w:type="gramStart"/>
      <w:r w:rsidRPr="008D12A0">
        <w:rPr>
          <w:rFonts w:cs="Arial"/>
        </w:rPr>
        <w:t>defender</w:t>
      </w:r>
      <w:proofErr w:type="gramEnd"/>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proofErr w:type="gramStart"/>
      <w:r w:rsidRPr="008D12A0">
        <w:rPr>
          <w:rFonts w:cs="Arial"/>
        </w:rPr>
        <w:t>tratar</w:t>
      </w:r>
      <w:proofErr w:type="gramEnd"/>
      <w:r w:rsidRPr="008D12A0">
        <w:rPr>
          <w:rFonts w:cs="Arial"/>
        </w:rPr>
        <w:t xml:space="preserve">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77777777" w:rsidR="00CC1FCC" w:rsidRPr="008D12A0" w:rsidRDefault="00CC1FCC" w:rsidP="00A653ED">
      <w:pPr>
        <w:pStyle w:val="Level4"/>
        <w:tabs>
          <w:tab w:val="clear" w:pos="2041"/>
          <w:tab w:val="num" w:pos="1361"/>
        </w:tabs>
        <w:spacing w:before="140" w:after="0"/>
        <w:ind w:left="1360"/>
        <w:rPr>
          <w:rFonts w:cs="Arial"/>
        </w:rPr>
      </w:pPr>
      <w:proofErr w:type="gramStart"/>
      <w:r w:rsidRPr="008D12A0">
        <w:rPr>
          <w:rFonts w:cs="Arial"/>
        </w:rPr>
        <w:t>tratar</w:t>
      </w:r>
      <w:proofErr w:type="gramEnd"/>
      <w:r w:rsidRPr="008D12A0">
        <w:rPr>
          <w:rFonts w:cs="Arial"/>
        </w:rPr>
        <w:t xml:space="preserve"> qualquer sucessor do </w:t>
      </w:r>
      <w:r w:rsidR="00CB693F" w:rsidRPr="008D12A0">
        <w:rPr>
          <w:rFonts w:cs="Arial"/>
        </w:rPr>
        <w:t>Banco Administrador</w:t>
      </w:r>
      <w:r w:rsidR="00CE4F58" w:rsidRPr="008D12A0">
        <w:rPr>
          <w:rFonts w:cs="Arial"/>
        </w:rPr>
        <w:t xml:space="preserve"> como se fosse signatário original deste Contrato</w:t>
      </w:r>
      <w:r w:rsidRPr="008D12A0">
        <w:rPr>
          <w:rFonts w:cs="Arial"/>
        </w:rPr>
        <w:t xml:space="preserve">, garantindo-lhe o pleno e irrestrito exercício de todos os direitos e prerrogativas atribuídos ao </w:t>
      </w:r>
      <w:r w:rsidR="00CB693F" w:rsidRPr="008D12A0">
        <w:rPr>
          <w:rFonts w:cs="Arial"/>
        </w:rPr>
        <w:t>Banco Administrador</w:t>
      </w:r>
      <w:r w:rsidRPr="008D12A0">
        <w:rPr>
          <w:rFonts w:cs="Arial"/>
        </w:rPr>
        <w:t xml:space="preserve">, nos termos </w:t>
      </w:r>
      <w:r w:rsidR="00033F8D" w:rsidRPr="008D12A0">
        <w:rPr>
          <w:rFonts w:cs="Arial"/>
        </w:rPr>
        <w:t>deste Contrato e no Instrumento de Trava de Domicílio</w:t>
      </w:r>
      <w:r w:rsidRPr="008D12A0">
        <w:rPr>
          <w:rFonts w:cs="Arial"/>
        </w:rPr>
        <w:t>;</w:t>
      </w:r>
    </w:p>
    <w:p w14:paraId="4DDFCC53" w14:textId="28D6776A" w:rsidR="00442818" w:rsidRPr="008D12A0" w:rsidRDefault="00E62D0C" w:rsidP="00A653ED">
      <w:pPr>
        <w:pStyle w:val="Level4"/>
        <w:tabs>
          <w:tab w:val="clear" w:pos="2041"/>
          <w:tab w:val="num" w:pos="1361"/>
        </w:tabs>
        <w:spacing w:before="140" w:after="0"/>
        <w:ind w:left="1360"/>
        <w:rPr>
          <w:rFonts w:cs="Arial"/>
        </w:rPr>
      </w:pPr>
      <w:bookmarkStart w:id="104" w:name="_Ref287628688"/>
      <w:bookmarkStart w:id="105" w:name="_Ref130638698"/>
      <w:bookmarkStart w:id="106"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387732">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 xml:space="preserve">o </w:t>
      </w:r>
      <w:r w:rsidR="00CB693F" w:rsidRPr="008D12A0">
        <w:rPr>
          <w:rFonts w:cs="Arial"/>
        </w:rPr>
        <w:t>Banco Administrador</w:t>
      </w:r>
      <w:r w:rsidR="00442818" w:rsidRPr="008D12A0">
        <w:rPr>
          <w:rFonts w:cs="Arial"/>
        </w:rPr>
        <w:t>;</w:t>
      </w:r>
      <w:bookmarkEnd w:id="104"/>
    </w:p>
    <w:p w14:paraId="1DAE5D74" w14:textId="77777777" w:rsidR="006E541F" w:rsidRPr="008D12A0" w:rsidRDefault="006E541F" w:rsidP="00A653ED">
      <w:pPr>
        <w:pStyle w:val="Level4"/>
        <w:tabs>
          <w:tab w:val="clear" w:pos="2041"/>
          <w:tab w:val="num" w:pos="1361"/>
        </w:tabs>
        <w:spacing w:before="140" w:after="0"/>
        <w:ind w:left="1360"/>
        <w:rPr>
          <w:rFonts w:cs="Arial"/>
        </w:rPr>
      </w:pPr>
      <w:bookmarkStart w:id="107"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CB693F" w:rsidRPr="008D12A0">
        <w:rPr>
          <w:rFonts w:cs="Arial"/>
        </w:rPr>
        <w:t>Banco Administrador</w:t>
      </w:r>
      <w:r w:rsidRPr="008D12A0">
        <w:rPr>
          <w:rFonts w:cs="Arial"/>
        </w:rPr>
        <w:t xml:space="preserve"> 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rsidRPr="008D12A0">
        <w:rPr>
          <w:rFonts w:cs="Arial"/>
        </w:rPr>
        <w:t>Banco Administrador</w:t>
      </w:r>
      <w:r w:rsidR="009F72E7" w:rsidRPr="008D12A0">
        <w:rPr>
          <w:rFonts w:cs="Arial"/>
        </w:rPr>
        <w:t xml:space="preserve">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w:t>
      </w:r>
      <w:bookmarkEnd w:id="107"/>
    </w:p>
    <w:p w14:paraId="4543E1B0" w14:textId="2CE91CCC" w:rsidR="00442818" w:rsidRPr="008D12A0" w:rsidRDefault="00442818" w:rsidP="00A653ED">
      <w:pPr>
        <w:pStyle w:val="Level4"/>
        <w:tabs>
          <w:tab w:val="clear" w:pos="2041"/>
          <w:tab w:val="num" w:pos="1361"/>
        </w:tabs>
        <w:spacing w:before="140" w:after="0"/>
        <w:ind w:left="1360"/>
        <w:rPr>
          <w:rFonts w:cs="Arial"/>
        </w:rPr>
      </w:pPr>
      <w:bookmarkStart w:id="108" w:name="_Ref242293988"/>
      <w:bookmarkEnd w:id="105"/>
      <w:bookmarkEnd w:id="106"/>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inclusive o Instrumento de Trava de Domicílio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08"/>
    </w:p>
    <w:p w14:paraId="5835FFC4" w14:textId="77777777" w:rsidR="00B05410" w:rsidRPr="008D12A0" w:rsidRDefault="00B05410" w:rsidP="00A653ED">
      <w:pPr>
        <w:pStyle w:val="Level4"/>
        <w:tabs>
          <w:tab w:val="clear" w:pos="2041"/>
          <w:tab w:val="num" w:pos="1361"/>
        </w:tabs>
        <w:spacing w:before="140" w:after="0"/>
        <w:ind w:left="1360"/>
        <w:rPr>
          <w:rFonts w:cs="Arial"/>
        </w:rPr>
      </w:pPr>
      <w:proofErr w:type="gramStart"/>
      <w:r w:rsidRPr="008D12A0">
        <w:rPr>
          <w:rFonts w:cs="Arial"/>
        </w:rPr>
        <w:t>comunicar</w:t>
      </w:r>
      <w:proofErr w:type="gramEnd"/>
      <w:r w:rsidRPr="008D12A0">
        <w:rPr>
          <w:rFonts w:cs="Arial"/>
        </w:rPr>
        <w:t xml:space="preserve">,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77777777"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xml:space="preserve">, sem a prévia e expressa autorização do </w:t>
      </w:r>
      <w:r w:rsidR="00CB693F" w:rsidRPr="008D12A0">
        <w:rPr>
          <w:rFonts w:cs="Arial"/>
        </w:rPr>
        <w:t>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502C0F6A" w:rsidR="003E7621" w:rsidRPr="008D12A0" w:rsidRDefault="003E7621" w:rsidP="00A653ED">
      <w:pPr>
        <w:pStyle w:val="Level4"/>
        <w:tabs>
          <w:tab w:val="clear" w:pos="2041"/>
          <w:tab w:val="num" w:pos="1361"/>
        </w:tabs>
        <w:spacing w:before="140" w:after="0"/>
        <w:ind w:left="1360"/>
        <w:rPr>
          <w:rFonts w:cs="Arial"/>
        </w:rPr>
      </w:pPr>
      <w:proofErr w:type="gramStart"/>
      <w:r w:rsidRPr="008D12A0">
        <w:rPr>
          <w:rFonts w:cs="Arial"/>
        </w:rPr>
        <w:t>informar</w:t>
      </w:r>
      <w:proofErr w:type="gramEnd"/>
      <w:r w:rsidRPr="008D12A0">
        <w:rPr>
          <w:rFonts w:cs="Arial"/>
        </w:rPr>
        <w:t xml:space="preserve"> ao </w:t>
      </w:r>
      <w:r w:rsidR="00CB693F" w:rsidRPr="008D12A0">
        <w:rPr>
          <w:rFonts w:cs="Arial"/>
        </w:rPr>
        <w:t>Banco Administrador</w:t>
      </w:r>
      <w:r w:rsidRPr="008D12A0">
        <w:rPr>
          <w:rFonts w:cs="Arial"/>
        </w:rPr>
        <w:t xml:space="preserve"> e 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 xml:space="preserve">o </w:t>
      </w:r>
      <w:r w:rsidR="00CB693F" w:rsidRPr="008D12A0">
        <w:rPr>
          <w:rFonts w:cs="Arial"/>
        </w:rPr>
        <w:t>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CB693F" w:rsidRPr="008D12A0">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77777777"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3D3A74" w:rsidRPr="008D12A0">
        <w:rPr>
          <w:rFonts w:cs="Arial"/>
        </w:rPr>
        <w:t>,</w:t>
      </w:r>
      <w:r w:rsidR="00C672B2" w:rsidRPr="008D12A0">
        <w:rPr>
          <w:rFonts w:cs="Arial"/>
        </w:rPr>
        <w:t xml:space="preserve"> </w:t>
      </w:r>
      <w:r w:rsidR="00577FBB" w:rsidRPr="008D12A0">
        <w:rPr>
          <w:rFonts w:cs="Arial"/>
        </w:rPr>
        <w:t xml:space="preserve">inclusive no Instrumento de Trava Bancária,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77777777"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06304F" w:rsidRPr="008D12A0">
        <w:rPr>
          <w:rFonts w:cs="Arial"/>
        </w:rPr>
        <w:t>, inclusive no Instrumento de Trava Bancária</w:t>
      </w:r>
      <w:r w:rsidR="008C6FCA" w:rsidRPr="008D12A0">
        <w:rPr>
          <w:rFonts w:cs="Arial"/>
        </w:rPr>
        <w:t xml:space="preserve">; </w:t>
      </w:r>
    </w:p>
    <w:p w14:paraId="4339E785" w14:textId="3696FD8D"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 xml:space="preserve"> 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303A" w:rsidRPr="008D12A0">
        <w:rPr>
          <w:rFonts w:cs="Arial"/>
        </w:rPr>
        <w:t>Visa</w:t>
      </w:r>
      <w:r w:rsidR="00E31260">
        <w:rPr>
          <w:rFonts w:cs="Arial"/>
        </w:rPr>
        <w:t>,</w:t>
      </w:r>
      <w:r w:rsidR="003E303A" w:rsidRPr="008D12A0">
        <w:rPr>
          <w:rFonts w:cs="Arial"/>
        </w:rPr>
        <w:t xml:space="preserve"> Mastercard</w:t>
      </w:r>
      <w:r w:rsidR="00E31260">
        <w:rPr>
          <w:rFonts w:cs="Arial"/>
        </w:rPr>
        <w:t>, Elo, Alelo e Diners</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proofErr w:type="gramStart"/>
      <w:r w:rsidRPr="008D12A0">
        <w:rPr>
          <w:rFonts w:cs="Arial"/>
        </w:rPr>
        <w:t>cumprir</w:t>
      </w:r>
      <w:proofErr w:type="gramEnd"/>
      <w:r w:rsidRPr="008D12A0">
        <w:rPr>
          <w:rFonts w:cs="Arial"/>
        </w:rPr>
        <w:t xml:space="preserve">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proofErr w:type="gramStart"/>
      <w:r w:rsidRPr="008D12A0">
        <w:rPr>
          <w:rFonts w:cs="Arial"/>
        </w:rPr>
        <w:t>manter</w:t>
      </w:r>
      <w:proofErr w:type="gramEnd"/>
      <w:r w:rsidRPr="008D12A0">
        <w:rPr>
          <w:rFonts w:cs="Arial"/>
        </w:rPr>
        <w:t xml:space="preserve">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proofErr w:type="gramStart"/>
      <w:r w:rsidRPr="008D12A0">
        <w:rPr>
          <w:rFonts w:cs="Arial"/>
        </w:rPr>
        <w:t>requerer</w:t>
      </w:r>
      <w:proofErr w:type="gramEnd"/>
      <w:r w:rsidRPr="008D12A0">
        <w:rPr>
          <w:rFonts w:cs="Arial"/>
        </w:rPr>
        <w:t xml:space="preserve">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proofErr w:type="gramStart"/>
      <w:r w:rsidRPr="008D12A0">
        <w:rPr>
          <w:rFonts w:cs="Arial"/>
        </w:rPr>
        <w:t>constatando</w:t>
      </w:r>
      <w:proofErr w:type="gramEnd"/>
      <w:r w:rsidRPr="008D12A0">
        <w:rPr>
          <w:rFonts w:cs="Arial"/>
        </w:rPr>
        <w:t xml:space="preserve">-se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5AECB91B"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387732">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387732">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387732">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09" w:name="_Ref167637353"/>
      <w:bookmarkStart w:id="110" w:name="_Ref404619028"/>
      <w:r w:rsidRPr="008D12A0">
        <w:rPr>
          <w:rFonts w:cs="Arial"/>
          <w:caps/>
          <w:sz w:val="20"/>
        </w:rPr>
        <w:t>Declarações da</w:t>
      </w:r>
      <w:bookmarkEnd w:id="109"/>
      <w:r w:rsidR="009C0227" w:rsidRPr="008D12A0">
        <w:rPr>
          <w:rFonts w:cs="Arial"/>
          <w:caps/>
          <w:sz w:val="20"/>
        </w:rPr>
        <w:t xml:space="preserve"> </w:t>
      </w:r>
      <w:r w:rsidR="007E6AE2" w:rsidRPr="008D12A0">
        <w:rPr>
          <w:rFonts w:cs="Arial"/>
          <w:caps/>
          <w:sz w:val="20"/>
        </w:rPr>
        <w:t>Cedente</w:t>
      </w:r>
      <w:bookmarkEnd w:id="110"/>
    </w:p>
    <w:p w14:paraId="7802F8F0" w14:textId="106183E7" w:rsidR="00B05410" w:rsidRPr="008D12A0" w:rsidRDefault="00B05410" w:rsidP="00A653ED">
      <w:pPr>
        <w:pStyle w:val="Level2"/>
        <w:spacing w:before="140" w:after="0"/>
        <w:rPr>
          <w:rFonts w:cs="Arial"/>
        </w:rPr>
      </w:pPr>
      <w:bookmarkStart w:id="111" w:name="_Ref167629721"/>
      <w:bookmarkStart w:id="112"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1"/>
      <w:bookmarkEnd w:id="112"/>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3" w:name="_Ref130639684"/>
      <w:proofErr w:type="gramStart"/>
      <w:r w:rsidRPr="008D12A0">
        <w:rPr>
          <w:rFonts w:cs="Arial"/>
        </w:rPr>
        <w:t>é</w:t>
      </w:r>
      <w:proofErr w:type="gramEnd"/>
      <w:r w:rsidRPr="008D12A0">
        <w:rPr>
          <w:rFonts w:cs="Arial"/>
        </w:rPr>
        <w:t xml:space="preserve">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proofErr w:type="gramStart"/>
      <w:r w:rsidRPr="008D12A0">
        <w:rPr>
          <w:rFonts w:cs="Arial"/>
        </w:rPr>
        <w:t>possui</w:t>
      </w:r>
      <w:proofErr w:type="gramEnd"/>
      <w:r w:rsidRPr="008D12A0">
        <w:rPr>
          <w:rFonts w:cs="Arial"/>
        </w:rPr>
        <w:t xml:space="preserve">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proofErr w:type="gramStart"/>
      <w:r w:rsidRPr="008D12A0">
        <w:rPr>
          <w:rFonts w:cs="Arial"/>
        </w:rPr>
        <w:t>os</w:t>
      </w:r>
      <w:proofErr w:type="gramEnd"/>
      <w:r w:rsidRPr="008D12A0">
        <w:rPr>
          <w:rFonts w:cs="Arial"/>
        </w:rPr>
        <w:t xml:space="preserve">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7772C1AD" w14:textId="77777777" w:rsidR="00FD79C0" w:rsidRPr="008D12A0" w:rsidRDefault="00FD79C0" w:rsidP="00A653ED">
      <w:pPr>
        <w:pStyle w:val="Level4"/>
        <w:tabs>
          <w:tab w:val="clear" w:pos="2041"/>
          <w:tab w:val="num" w:pos="1361"/>
        </w:tabs>
        <w:spacing w:before="140" w:after="0"/>
        <w:ind w:left="1360"/>
        <w:rPr>
          <w:rFonts w:cs="Arial"/>
        </w:rPr>
      </w:pPr>
      <w:proofErr w:type="gramStart"/>
      <w:r w:rsidRPr="008D12A0">
        <w:rPr>
          <w:rFonts w:cs="Arial"/>
        </w:rPr>
        <w:t>este</w:t>
      </w:r>
      <w:proofErr w:type="gramEnd"/>
      <w:r w:rsidRPr="008D12A0">
        <w:rPr>
          <w:rFonts w:cs="Arial"/>
        </w:rPr>
        <w:t xml:space="preserv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proofErr w:type="gramStart"/>
      <w:r w:rsidRPr="008D12A0">
        <w:rPr>
          <w:rFonts w:cs="Arial"/>
        </w:rPr>
        <w:t>os</w:t>
      </w:r>
      <w:proofErr w:type="gramEnd"/>
      <w:r w:rsidRPr="008D12A0">
        <w:rPr>
          <w:rFonts w:cs="Arial"/>
        </w:rPr>
        <w:t xml:space="preserve">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proofErr w:type="gramStart"/>
      <w:r w:rsidRPr="008D12A0">
        <w:rPr>
          <w:rFonts w:cs="Arial"/>
          <w:lang w:eastAsia="zh-CN" w:bidi="hi-IN"/>
        </w:rPr>
        <w:t>os</w:t>
      </w:r>
      <w:proofErr w:type="gramEnd"/>
      <w:r w:rsidRPr="008D12A0">
        <w:rPr>
          <w:rFonts w:cs="Arial"/>
          <w:lang w:eastAsia="zh-CN" w:bidi="hi-IN"/>
        </w:rPr>
        <w:t xml:space="preserve">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proofErr w:type="gramStart"/>
      <w:r w:rsidRPr="008D12A0">
        <w:rPr>
          <w:rFonts w:cs="Arial"/>
        </w:rPr>
        <w:t>a</w:t>
      </w:r>
      <w:proofErr w:type="gramEnd"/>
      <w:r w:rsidRPr="008D12A0">
        <w:rPr>
          <w:rFonts w:cs="Arial"/>
        </w:rPr>
        <w:t xml:space="preserve">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07929E7" w14:textId="77777777" w:rsidR="00A26A56" w:rsidRPr="008D12A0" w:rsidRDefault="00A26A56" w:rsidP="00A653ED">
      <w:pPr>
        <w:pStyle w:val="Level4"/>
        <w:tabs>
          <w:tab w:val="clear" w:pos="2041"/>
          <w:tab w:val="num" w:pos="1361"/>
        </w:tabs>
        <w:spacing w:before="140" w:after="0"/>
        <w:ind w:left="1360"/>
        <w:rPr>
          <w:rFonts w:cs="Arial"/>
        </w:rPr>
      </w:pPr>
      <w:proofErr w:type="gramStart"/>
      <w:r w:rsidRPr="008D12A0">
        <w:rPr>
          <w:rFonts w:cs="Arial"/>
        </w:rPr>
        <w:t>o</w:t>
      </w:r>
      <w:proofErr w:type="gramEnd"/>
      <w:r w:rsidRPr="008D12A0">
        <w:rPr>
          <w:rFonts w:cs="Arial"/>
        </w:rPr>
        <w:t xml:space="preserve"> Instrumento de Trava de Domicílio encontra-se plenamente existente,</w:t>
      </w:r>
      <w:r w:rsidR="00994D25" w:rsidRPr="008D12A0">
        <w:rPr>
          <w:rFonts w:cs="Arial"/>
        </w:rPr>
        <w:t xml:space="preserve"> </w:t>
      </w:r>
      <w:r w:rsidR="00583AEE" w:rsidRPr="008D12A0">
        <w:rPr>
          <w:rFonts w:cs="Arial"/>
        </w:rPr>
        <w:t>válido</w:t>
      </w:r>
      <w:r w:rsidRPr="008D12A0">
        <w:rPr>
          <w:rFonts w:cs="Arial"/>
        </w:rPr>
        <w:t>, em vigor e exeq</w:t>
      </w:r>
      <w:r w:rsidR="00994D25" w:rsidRPr="008D12A0">
        <w:rPr>
          <w:rFonts w:cs="Arial"/>
        </w:rPr>
        <w:t>u</w:t>
      </w:r>
      <w:r w:rsidRPr="008D12A0">
        <w:rPr>
          <w:rFonts w:cs="Arial"/>
        </w:rPr>
        <w:t>íve</w:t>
      </w:r>
      <w:r w:rsidR="00583AEE" w:rsidRPr="008D12A0">
        <w:rPr>
          <w:rFonts w:cs="Arial"/>
        </w:rPr>
        <w:t>l</w:t>
      </w:r>
      <w:r w:rsidRPr="008D12A0">
        <w:rPr>
          <w:rFonts w:cs="Arial"/>
        </w:rPr>
        <w:t xml:space="preserve"> de acordo com os seus termos e condições, e suas</w:t>
      </w:r>
      <w:r w:rsidR="00994D25" w:rsidRPr="008D12A0">
        <w:rPr>
          <w:rFonts w:cs="Arial"/>
        </w:rPr>
        <w:t xml:space="preserve"> </w:t>
      </w:r>
      <w:r w:rsidRPr="008D12A0">
        <w:rPr>
          <w:rFonts w:cs="Arial"/>
        </w:rPr>
        <w:t xml:space="preserve">condições aproveitam aos </w:t>
      </w:r>
      <w:r w:rsidR="00787CC6" w:rsidRPr="008D12A0">
        <w:rPr>
          <w:rFonts w:cs="Arial"/>
        </w:rPr>
        <w:t xml:space="preserve">Debenturistas </w:t>
      </w:r>
      <w:r w:rsidRPr="008D12A0">
        <w:rPr>
          <w:rFonts w:cs="Arial"/>
        </w:rPr>
        <w:t>de acordo com seu atual teor;</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responsabiliza</w:t>
      </w:r>
      <w:proofErr w:type="gramEnd"/>
      <w:r w:rsidRPr="008D12A0">
        <w:rPr>
          <w:rFonts w:cs="Arial"/>
          <w:lang w:eastAsia="zh-CN" w:bidi="hi-IN"/>
        </w:rPr>
        <w:t>-se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possui</w:t>
      </w:r>
      <w:proofErr w:type="gramEnd"/>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4686316D" w:rsidR="00B05410" w:rsidRPr="008D12A0" w:rsidRDefault="00A476BF"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mediante</w:t>
      </w:r>
      <w:proofErr w:type="gramEnd"/>
      <w:r w:rsidRPr="008D12A0">
        <w:rPr>
          <w:rFonts w:cs="Arial"/>
          <w:lang w:eastAsia="zh-CN" w:bidi="hi-IN"/>
        </w:rPr>
        <w:t xml:space="preserv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387732">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368247CB" w14:textId="2522FCAA" w:rsidR="00B05410" w:rsidRPr="008D12A0" w:rsidRDefault="005E3C3F" w:rsidP="00A653ED">
      <w:pPr>
        <w:pStyle w:val="Level4"/>
        <w:tabs>
          <w:tab w:val="clear" w:pos="2041"/>
          <w:tab w:val="num" w:pos="1361"/>
        </w:tabs>
        <w:spacing w:before="140" w:after="0"/>
        <w:ind w:left="1360"/>
        <w:rPr>
          <w:rFonts w:cs="Arial"/>
          <w:lang w:eastAsia="zh-CN" w:bidi="hi-IN"/>
        </w:rPr>
      </w:pPr>
      <w:bookmarkStart w:id="114" w:name="_Ref130643786"/>
      <w:proofErr w:type="gramStart"/>
      <w:r w:rsidRPr="008D12A0">
        <w:rPr>
          <w:rFonts w:cs="Arial"/>
          <w:lang w:eastAsia="zh-CN" w:bidi="hi-IN"/>
        </w:rPr>
        <w:t>mediante</w:t>
      </w:r>
      <w:proofErr w:type="gramEnd"/>
      <w:r w:rsidRPr="008D12A0">
        <w:rPr>
          <w:rFonts w:cs="Arial"/>
          <w:lang w:eastAsia="zh-CN" w:bidi="hi-IN"/>
        </w:rPr>
        <w:t xml:space="preserv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387732">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4"/>
    </w:p>
    <w:p w14:paraId="3F09189A" w14:textId="4A43C5F9" w:rsidR="00B05410" w:rsidRPr="008D12A0" w:rsidRDefault="00B05410"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exceto</w:t>
      </w:r>
      <w:proofErr w:type="gramEnd"/>
      <w:r w:rsidRPr="008D12A0">
        <w:rPr>
          <w:rFonts w:cs="Arial"/>
          <w:lang w:eastAsia="zh-CN" w:bidi="hi-IN"/>
        </w:rPr>
        <w:t xml:space="preserve">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sidDel="00826A61">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387732">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todos</w:t>
      </w:r>
      <w:proofErr w:type="gramEnd"/>
      <w:r w:rsidRPr="008D12A0">
        <w:rPr>
          <w:rFonts w:cs="Arial"/>
          <w:lang w:eastAsia="zh-CN" w:bidi="hi-IN"/>
        </w:rPr>
        <w:t xml:space="preserve">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3"/>
    <w:p w14:paraId="3AD7443A" w14:textId="250EAE7C"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387732">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5"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3F489A65" w:rsidR="0040352B" w:rsidRPr="008D12A0" w:rsidRDefault="0040352B" w:rsidP="00A653ED">
      <w:pPr>
        <w:pStyle w:val="Level4"/>
        <w:tabs>
          <w:tab w:val="clear" w:pos="2041"/>
          <w:tab w:val="num" w:pos="1361"/>
        </w:tabs>
        <w:spacing w:before="140" w:after="0"/>
        <w:ind w:left="1360"/>
        <w:rPr>
          <w:rFonts w:cs="Arial"/>
        </w:rPr>
      </w:pPr>
      <w:proofErr w:type="gramStart"/>
      <w:r w:rsidRPr="008D12A0">
        <w:rPr>
          <w:rFonts w:cs="Arial"/>
        </w:rPr>
        <w:t>verificar</w:t>
      </w:r>
      <w:proofErr w:type="gramEnd"/>
      <w:r w:rsidRPr="008D12A0">
        <w:rPr>
          <w:rFonts w:cs="Arial"/>
        </w:rPr>
        <w:t xml:space="preserve">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387732">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5F57FC3E" w:rsidR="0040352B" w:rsidRPr="008D12A0" w:rsidRDefault="0040352B" w:rsidP="00A653ED">
      <w:pPr>
        <w:pStyle w:val="Level4"/>
        <w:tabs>
          <w:tab w:val="clear" w:pos="2041"/>
          <w:tab w:val="num" w:pos="1361"/>
        </w:tabs>
        <w:spacing w:before="140" w:after="0"/>
        <w:ind w:left="1360"/>
        <w:rPr>
          <w:rFonts w:cs="Arial"/>
        </w:rPr>
      </w:pPr>
      <w:proofErr w:type="gramStart"/>
      <w:r w:rsidRPr="008D12A0">
        <w:rPr>
          <w:rFonts w:cs="Arial"/>
        </w:rPr>
        <w:t>observar</w:t>
      </w:r>
      <w:proofErr w:type="gramEnd"/>
      <w:r w:rsidRPr="008D12A0">
        <w:rPr>
          <w:rFonts w:cs="Arial"/>
        </w:rPr>
        <w:t xml:space="preserve">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387732">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4D74B169" w:rsidR="006E1BA0" w:rsidRPr="008D12A0" w:rsidRDefault="006E1BA0" w:rsidP="00A653ED">
      <w:pPr>
        <w:pStyle w:val="Level4"/>
        <w:tabs>
          <w:tab w:val="clear" w:pos="2041"/>
          <w:tab w:val="num" w:pos="1361"/>
        </w:tabs>
        <w:spacing w:before="140" w:after="0"/>
        <w:ind w:left="1360"/>
        <w:rPr>
          <w:rFonts w:cs="Arial"/>
        </w:rPr>
      </w:pPr>
      <w:proofErr w:type="gramStart"/>
      <w:r w:rsidRPr="008D12A0">
        <w:rPr>
          <w:rFonts w:cs="Arial"/>
        </w:rPr>
        <w:t>observar</w:t>
      </w:r>
      <w:proofErr w:type="gramEnd"/>
      <w:r w:rsidRPr="008D12A0">
        <w:rPr>
          <w:rFonts w:cs="Arial"/>
        </w:rPr>
        <w:t xml:space="preserve">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387732">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10C6EFA6" w:rsidR="0040352B" w:rsidRPr="008D12A0" w:rsidRDefault="00EF1076" w:rsidP="00A653ED">
      <w:pPr>
        <w:pStyle w:val="Level4"/>
        <w:tabs>
          <w:tab w:val="clear" w:pos="2041"/>
          <w:tab w:val="num" w:pos="1361"/>
        </w:tabs>
        <w:spacing w:before="140" w:after="0"/>
        <w:ind w:left="1360"/>
        <w:rPr>
          <w:rFonts w:cs="Arial"/>
        </w:rPr>
      </w:pPr>
      <w:proofErr w:type="gramStart"/>
      <w:r w:rsidRPr="008D12A0">
        <w:rPr>
          <w:rFonts w:cs="Arial"/>
        </w:rPr>
        <w:t>celebrar</w:t>
      </w:r>
      <w:proofErr w:type="gramEnd"/>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387732">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proofErr w:type="gramStart"/>
      <w:r w:rsidRPr="008D12A0">
        <w:rPr>
          <w:rFonts w:cs="Arial"/>
        </w:rPr>
        <w:t>tomar</w:t>
      </w:r>
      <w:proofErr w:type="gramEnd"/>
      <w:r w:rsidRPr="008D12A0">
        <w:rPr>
          <w:rFonts w:cs="Arial"/>
        </w:rPr>
        <w:t xml:space="preserve">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77777777" w:rsidR="0040352B" w:rsidRPr="008D12A0" w:rsidRDefault="00C672B2" w:rsidP="00A653ED">
      <w:pPr>
        <w:pStyle w:val="Level4"/>
        <w:tabs>
          <w:tab w:val="clear" w:pos="2041"/>
          <w:tab w:val="num" w:pos="1361"/>
        </w:tabs>
        <w:spacing w:before="140" w:after="0"/>
        <w:ind w:left="1360"/>
        <w:rPr>
          <w:rFonts w:cs="Arial"/>
        </w:rPr>
      </w:pPr>
      <w:proofErr w:type="gramStart"/>
      <w:r w:rsidRPr="008D12A0">
        <w:rPr>
          <w:rFonts w:cs="Arial"/>
        </w:rPr>
        <w:t>não</w:t>
      </w:r>
      <w:proofErr w:type="gramEnd"/>
      <w:r w:rsidRPr="008D12A0">
        <w:rPr>
          <w:rFonts w:cs="Arial"/>
        </w:rPr>
        <w:t xml:space="preserve"> dar ao </w:t>
      </w:r>
      <w:r w:rsidR="00CB693F" w:rsidRPr="008D12A0">
        <w:rPr>
          <w:rFonts w:cs="Arial"/>
        </w:rPr>
        <w:t>Banco Administrador</w:t>
      </w:r>
      <w:r w:rsidR="00470A6F" w:rsidRPr="008D12A0">
        <w:rPr>
          <w:rFonts w:cs="Arial"/>
        </w:rPr>
        <w:t xml:space="preserve"> </w:t>
      </w:r>
      <w:r w:rsidRPr="008D12A0">
        <w:rPr>
          <w:rFonts w:cs="Arial"/>
        </w:rPr>
        <w:t>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proofErr w:type="gramStart"/>
      <w:r w:rsidRPr="008D12A0">
        <w:rPr>
          <w:rFonts w:cs="Arial"/>
        </w:rPr>
        <w:t>é</w:t>
      </w:r>
      <w:proofErr w:type="gramEnd"/>
      <w:r w:rsidRPr="008D12A0">
        <w:rPr>
          <w:rFonts w:cs="Arial"/>
        </w:rPr>
        <w:t xml:space="preserve">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proofErr w:type="gramStart"/>
      <w:r w:rsidRPr="008D12A0">
        <w:rPr>
          <w:rFonts w:cs="Arial"/>
        </w:rPr>
        <w:t>está</w:t>
      </w:r>
      <w:proofErr w:type="gramEnd"/>
      <w:r w:rsidRPr="008D12A0">
        <w:rPr>
          <w:rFonts w:cs="Arial"/>
        </w:rPr>
        <w:t xml:space="preserve">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77777777" w:rsidR="00745120" w:rsidRPr="008D12A0" w:rsidRDefault="00745120" w:rsidP="00A653ED">
      <w:pPr>
        <w:pStyle w:val="Level4"/>
        <w:tabs>
          <w:tab w:val="clear" w:pos="2041"/>
          <w:tab w:val="num" w:pos="1361"/>
        </w:tabs>
        <w:spacing w:before="140" w:after="0"/>
        <w:ind w:left="1360"/>
        <w:rPr>
          <w:rFonts w:cs="Arial"/>
        </w:rPr>
      </w:pPr>
      <w:proofErr w:type="gramStart"/>
      <w:r w:rsidRPr="008D12A0">
        <w:rPr>
          <w:rFonts w:cs="Arial"/>
        </w:rPr>
        <w:t>o</w:t>
      </w:r>
      <w:proofErr w:type="gramEnd"/>
      <w:r w:rsidRPr="008D12A0">
        <w:rPr>
          <w:rFonts w:cs="Arial"/>
        </w:rPr>
        <w:t xml:space="preserve"> representante lega</w:t>
      </w:r>
      <w:r w:rsidR="00F46C5B" w:rsidRPr="008D12A0">
        <w:rPr>
          <w:rFonts w:cs="Arial"/>
        </w:rPr>
        <w:t>l</w:t>
      </w:r>
      <w:r w:rsidRPr="008D12A0">
        <w:rPr>
          <w:rFonts w:cs="Arial"/>
        </w:rPr>
        <w:t xml:space="preserve"> do </w:t>
      </w:r>
      <w:r w:rsidR="00D01763" w:rsidRPr="008D12A0">
        <w:rPr>
          <w:rFonts w:cs="Arial"/>
        </w:rPr>
        <w:t>Agente Fiduciário</w:t>
      </w:r>
      <w:r w:rsidRPr="008D12A0">
        <w:rPr>
          <w:rFonts w:cs="Arial"/>
        </w:rPr>
        <w:t xml:space="preserve"> que assina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proofErr w:type="gramStart"/>
      <w:r w:rsidRPr="008D12A0">
        <w:rPr>
          <w:rFonts w:cs="Arial"/>
        </w:rPr>
        <w:t>este</w:t>
      </w:r>
      <w:proofErr w:type="gramEnd"/>
      <w:r w:rsidRPr="008D12A0">
        <w:rPr>
          <w:rFonts w:cs="Arial"/>
        </w:rPr>
        <w:t xml:space="preserv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5252E88F" w14:textId="77777777" w:rsidR="0003163D" w:rsidRPr="008D12A0" w:rsidRDefault="0003163D" w:rsidP="00A653ED">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77777777" w:rsidR="0072648C" w:rsidRPr="008D12A0" w:rsidRDefault="0072648C" w:rsidP="00A653ED">
      <w:pPr>
        <w:pStyle w:val="Level1"/>
        <w:spacing w:before="140" w:after="0"/>
        <w:rPr>
          <w:rFonts w:cs="Arial"/>
          <w:sz w:val="20"/>
        </w:rPr>
      </w:pPr>
      <w:bookmarkStart w:id="116" w:name="_Ref520109333"/>
      <w:bookmarkStart w:id="117" w:name="_Ref287979295"/>
      <w:bookmarkEnd w:id="115"/>
      <w:r w:rsidRPr="008D12A0">
        <w:rPr>
          <w:rFonts w:cs="Arial"/>
          <w:sz w:val="20"/>
        </w:rPr>
        <w:t>BANCO ADMINISTRADOR</w:t>
      </w:r>
      <w:bookmarkEnd w:id="116"/>
    </w:p>
    <w:p w14:paraId="7EDC3ACA" w14:textId="6793E8A6" w:rsidR="0072648C" w:rsidRPr="008D12A0" w:rsidRDefault="0072648C" w:rsidP="00A653ED">
      <w:pPr>
        <w:pStyle w:val="Level2"/>
        <w:spacing w:before="140" w:after="0"/>
        <w:rPr>
          <w:rFonts w:cs="Arial"/>
        </w:rPr>
      </w:pPr>
      <w:r w:rsidRPr="008D12A0">
        <w:rPr>
          <w:rFonts w:cs="Arial"/>
        </w:rPr>
        <w:t>O Banco Administrador deverá movimentar a Conta Vinculada de acordo com o previsto no “</w:t>
      </w:r>
      <w:r w:rsidRPr="008D12A0">
        <w:rPr>
          <w:rFonts w:cs="Arial"/>
          <w:i/>
        </w:rPr>
        <w:t>Contrato de Prestação de Serviços de Depositário</w:t>
      </w:r>
      <w:r w:rsidRPr="008D12A0">
        <w:rPr>
          <w:rFonts w:cs="Arial"/>
        </w:rPr>
        <w:t xml:space="preserve">” celebrado, em </w:t>
      </w:r>
      <w:r w:rsidRPr="008D12A0">
        <w:rPr>
          <w:rFonts w:cs="Arial"/>
          <w:highlight w:val="yellow"/>
        </w:rPr>
        <w:t>[</w:t>
      </w:r>
      <w:r w:rsidRPr="008D12A0">
        <w:rPr>
          <w:rFonts w:cs="Arial"/>
          <w:highlight w:val="yellow"/>
        </w:rPr>
        <w:sym w:font="Symbol" w:char="F0B7"/>
      </w:r>
      <w:r w:rsidRPr="008D12A0">
        <w:rPr>
          <w:rFonts w:cs="Arial"/>
          <w:highlight w:val="yellow"/>
        </w:rPr>
        <w:t>]</w:t>
      </w:r>
      <w:r w:rsidRPr="008D12A0">
        <w:rPr>
          <w:rFonts w:cs="Arial"/>
        </w:rPr>
        <w:t xml:space="preserve"> de </w:t>
      </w:r>
      <w:r w:rsidR="005714AE" w:rsidRPr="008D12A0">
        <w:rPr>
          <w:rFonts w:cs="Arial"/>
        </w:rPr>
        <w:t xml:space="preserve">maio </w:t>
      </w:r>
      <w:r w:rsidRPr="008D12A0">
        <w:rPr>
          <w:rFonts w:cs="Arial"/>
        </w:rPr>
        <w:t>de 201</w:t>
      </w:r>
      <w:r w:rsidR="001C0FCA" w:rsidRPr="008D12A0">
        <w:rPr>
          <w:rFonts w:cs="Arial"/>
        </w:rPr>
        <w:t>9</w:t>
      </w:r>
      <w:r w:rsidRPr="008D12A0">
        <w:rPr>
          <w:rFonts w:cs="Arial"/>
        </w:rPr>
        <w:t>, entre a Cedente e o Banco Administrador, com a interveniência e anuência do Agente Fiduciário (“</w:t>
      </w:r>
      <w:r w:rsidRPr="008D12A0">
        <w:rPr>
          <w:rFonts w:cs="Arial"/>
          <w:b/>
        </w:rPr>
        <w:t>Contrato de Administração de Contas</w:t>
      </w:r>
      <w:r w:rsidRPr="008D12A0">
        <w:rPr>
          <w:rFonts w:cs="Arial"/>
        </w:rPr>
        <w:t>”) e com as instruções recebidas exclusivamente do Agente Fiduciário.</w:t>
      </w:r>
    </w:p>
    <w:p w14:paraId="61C86392" w14:textId="69BEE95F" w:rsidR="00B05410" w:rsidRPr="008D12A0" w:rsidRDefault="00B05410" w:rsidP="00A653ED">
      <w:pPr>
        <w:pStyle w:val="Level1"/>
        <w:spacing w:before="140" w:after="0"/>
        <w:rPr>
          <w:rFonts w:cs="Arial"/>
          <w:caps/>
          <w:sz w:val="20"/>
        </w:rPr>
      </w:pPr>
      <w:r w:rsidRPr="008D12A0">
        <w:rPr>
          <w:rFonts w:cs="Arial"/>
          <w:caps/>
          <w:sz w:val="20"/>
        </w:rPr>
        <w:t>Comunicações</w:t>
      </w:r>
      <w:bookmarkEnd w:id="117"/>
    </w:p>
    <w:p w14:paraId="5FA0D28C" w14:textId="1948024B" w:rsidR="00385615" w:rsidRPr="008D12A0" w:rsidRDefault="00385615" w:rsidP="00A653ED">
      <w:pPr>
        <w:pStyle w:val="Level2"/>
        <w:spacing w:before="140" w:after="0"/>
        <w:rPr>
          <w:rFonts w:cs="Arial"/>
        </w:rPr>
      </w:pPr>
      <w:bookmarkStart w:id="118"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18"/>
    </w:p>
    <w:p w14:paraId="37BA1E06" w14:textId="77777777" w:rsidR="00E94B9A" w:rsidRPr="008D12A0" w:rsidRDefault="00E94B9A" w:rsidP="00A653ED">
      <w:pPr>
        <w:pStyle w:val="Level3"/>
        <w:spacing w:before="140" w:after="0"/>
      </w:pPr>
      <w:proofErr w:type="gramStart"/>
      <w:r w:rsidRPr="008D12A0">
        <w:t>para</w:t>
      </w:r>
      <w:proofErr w:type="gramEnd"/>
      <w:r w:rsidRPr="008D12A0">
        <w:t xml:space="preserve"> a </w:t>
      </w:r>
      <w:r w:rsidR="007E6AE2" w:rsidRPr="008D12A0">
        <w:t>Cedente</w:t>
      </w:r>
      <w:r w:rsidRPr="008D12A0">
        <w:t>:</w:t>
      </w:r>
    </w:p>
    <w:p w14:paraId="3518352C" w14:textId="1A923151" w:rsidR="005714AE" w:rsidRPr="008D12A0" w:rsidRDefault="005714AE" w:rsidP="00AD4E75">
      <w:pPr>
        <w:pStyle w:val="Level1"/>
        <w:keepNext w:val="0"/>
        <w:widowControl w:val="0"/>
        <w:numPr>
          <w:ilvl w:val="0"/>
          <w:numId w:val="0"/>
        </w:numPr>
        <w:spacing w:before="140" w:after="0"/>
        <w:ind w:left="1276"/>
        <w:jc w:val="left"/>
        <w:rPr>
          <w:rFonts w:cs="Arial"/>
          <w:b w:val="0"/>
          <w:sz w:val="20"/>
        </w:rPr>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 xml:space="preserve">At.: Marcelo </w:t>
      </w:r>
      <w:proofErr w:type="gramStart"/>
      <w:r w:rsidRPr="008D12A0">
        <w:rPr>
          <w:rFonts w:cs="Arial"/>
          <w:b w:val="0"/>
          <w:sz w:val="20"/>
        </w:rPr>
        <w:t>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w:t>
      </w:r>
      <w:proofErr w:type="gramEnd"/>
      <w:r w:rsidRPr="008D12A0">
        <w:rPr>
          <w:rFonts w:cs="Arial"/>
          <w:b w:val="0"/>
          <w:sz w:val="20"/>
        </w:rPr>
        <w:t>: (71) 3460-8708</w:t>
      </w:r>
      <w:r w:rsidRPr="008D12A0" w:rsidDel="00C42C55">
        <w:rPr>
          <w:rFonts w:cs="Arial"/>
          <w:b w:val="0"/>
          <w:sz w:val="20"/>
        </w:rPr>
        <w:t xml:space="preserve"> </w:t>
      </w:r>
      <w:r w:rsidRPr="008D12A0">
        <w:rPr>
          <w:rFonts w:cs="Arial"/>
          <w:b w:val="0"/>
          <w:sz w:val="20"/>
        </w:rPr>
        <w:br/>
        <w:t xml:space="preserve">E-mail: </w:t>
      </w:r>
      <w:hyperlink r:id="rId17" w:history="1">
        <w:r w:rsidRPr="008D12A0">
          <w:rPr>
            <w:rFonts w:cs="Arial"/>
            <w:b w:val="0"/>
            <w:sz w:val="20"/>
          </w:rPr>
          <w:t>marcelo.moreno@atakarejo.com.br</w:t>
        </w:r>
      </w:hyperlink>
      <w:r w:rsidRPr="008D12A0" w:rsidDel="00C42C55">
        <w:rPr>
          <w:rFonts w:cs="Arial"/>
          <w:b w:val="0"/>
          <w:sz w:val="20"/>
        </w:rPr>
        <w:t xml:space="preserve"> </w:t>
      </w:r>
    </w:p>
    <w:p w14:paraId="1935B657" w14:textId="478E31C5" w:rsidR="003F6714" w:rsidRPr="008D12A0" w:rsidRDefault="00C82F0E" w:rsidP="00A653ED">
      <w:pPr>
        <w:pStyle w:val="Body2"/>
        <w:spacing w:before="140" w:after="0"/>
      </w:pPr>
      <w:r w:rsidRPr="008D12A0">
        <w:t xml:space="preserve"> </w:t>
      </w:r>
    </w:p>
    <w:p w14:paraId="3CA0DAC8" w14:textId="77777777" w:rsidR="00E94B9A" w:rsidRPr="008D12A0" w:rsidRDefault="00E94B9A" w:rsidP="00A653ED">
      <w:pPr>
        <w:pStyle w:val="Level3"/>
        <w:spacing w:before="140" w:after="0"/>
      </w:pPr>
      <w:proofErr w:type="gramStart"/>
      <w:r w:rsidRPr="008D12A0">
        <w:t>para</w:t>
      </w:r>
      <w:proofErr w:type="gramEnd"/>
      <w:r w:rsidRPr="008D12A0">
        <w:t xml:space="preserve"> o </w:t>
      </w:r>
      <w:r w:rsidR="00D01763" w:rsidRPr="008D12A0">
        <w:t>Agente Fiduciário</w:t>
      </w:r>
      <w:r w:rsidRPr="008D12A0">
        <w:t>:</w:t>
      </w:r>
    </w:p>
    <w:p w14:paraId="00C33DFA" w14:textId="6DFC2329" w:rsidR="00B14CFE" w:rsidRPr="00B25D40"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725BA6" w:rsidRPr="00B25D40">
        <w:t>fiduciario@simplificpavarini.com.br</w:t>
      </w:r>
      <w:r w:rsidR="006F5F3D" w:rsidRPr="00B25D40">
        <w:t xml:space="preserve"> </w:t>
      </w: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7777777" w:rsidR="00B05410" w:rsidRPr="008D12A0" w:rsidRDefault="00B05410" w:rsidP="00A653ED">
      <w:pPr>
        <w:pStyle w:val="Level2"/>
        <w:spacing w:before="140" w:after="0"/>
        <w:rPr>
          <w:rFonts w:cs="Arial"/>
        </w:rPr>
      </w:pPr>
      <w:r w:rsidRPr="008D12A0">
        <w:rPr>
          <w:rFonts w:cs="Arial"/>
        </w:rPr>
        <w:t xml:space="preserve">Este Contrato constitui parte integrante e complementar </w:t>
      </w:r>
      <w:r w:rsidR="0086315C" w:rsidRPr="008D12A0">
        <w:rPr>
          <w:rFonts w:cs="Arial"/>
        </w:rPr>
        <w:t>dos</w:t>
      </w:r>
      <w:r w:rsidR="00A7451D" w:rsidRPr="008D12A0">
        <w:rPr>
          <w:rFonts w:cs="Arial"/>
        </w:rPr>
        <w:t xml:space="preserve"> </w:t>
      </w:r>
      <w:r w:rsidR="00C21678" w:rsidRPr="008D12A0">
        <w:rPr>
          <w:rFonts w:cs="Arial"/>
        </w:rPr>
        <w:t xml:space="preserve">Documentos das </w:t>
      </w:r>
      <w:r w:rsidR="00A319BC" w:rsidRPr="008D12A0">
        <w:rPr>
          <w:rFonts w:cs="Arial"/>
        </w:rPr>
        <w:t>Obrigações Garantidas</w:t>
      </w:r>
      <w:r w:rsidRPr="008D12A0">
        <w:rPr>
          <w:rFonts w:cs="Arial"/>
        </w:rPr>
        <w:t>,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77777777"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CB693F" w:rsidRPr="008D12A0">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77777777"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xml:space="preserve">, não cabendo 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77777777"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CB693F" w:rsidRPr="008D12A0">
        <w:rPr>
          <w:rFonts w:cs="Arial"/>
        </w:rPr>
        <w:t>Banco Administrador</w:t>
      </w:r>
      <w:r w:rsidR="00CD4E3D" w:rsidRPr="008D12A0">
        <w:rPr>
          <w:rFonts w:cs="Arial"/>
        </w:rPr>
        <w:t xml:space="preserve"> 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 xml:space="preserve">o </w:t>
      </w:r>
      <w:r w:rsidR="00CB693F" w:rsidRPr="008D12A0">
        <w:rPr>
          <w:rFonts w:cs="Arial"/>
        </w:rPr>
        <w:t>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7777777"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19"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19"/>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77777777" w:rsidR="00B05410" w:rsidRPr="008D12A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35E803DF" w:rsidR="00B05410" w:rsidRPr="008D12A0" w:rsidRDefault="00C16C3F" w:rsidP="00AD4E75">
      <w:pPr>
        <w:pStyle w:val="Body"/>
        <w:spacing w:before="140" w:after="0"/>
        <w:jc w:val="center"/>
      </w:pPr>
      <w:r w:rsidRPr="008D12A0">
        <w:t>Salvador/BA</w:t>
      </w:r>
      <w:r w:rsidR="00B05410" w:rsidRPr="008D12A0">
        <w:t xml:space="preserve">, </w:t>
      </w:r>
      <w:r w:rsidRPr="008D12A0">
        <w:rPr>
          <w:highlight w:val="yellow"/>
        </w:rPr>
        <w:t>[</w:t>
      </w:r>
      <w:r w:rsidRPr="008D12A0">
        <w:rPr>
          <w:highlight w:val="yellow"/>
        </w:rPr>
        <w:sym w:font="Symbol" w:char="F0B7"/>
      </w:r>
      <w:r w:rsidRPr="008D12A0">
        <w:rPr>
          <w:highlight w:val="yellow"/>
        </w:rPr>
        <w:t>]</w:t>
      </w:r>
      <w:r w:rsidRPr="008D12A0">
        <w:t> </w:t>
      </w:r>
      <w:r w:rsidR="0080647E" w:rsidRPr="008D12A0">
        <w:t>de </w:t>
      </w:r>
      <w:r w:rsidR="005714AE" w:rsidRPr="008D12A0">
        <w:t>maio </w:t>
      </w:r>
      <w:r w:rsidR="0080647E" w:rsidRPr="008D12A0">
        <w:t>de 201</w:t>
      </w:r>
      <w:r w:rsidR="0061183F" w:rsidRPr="008D12A0">
        <w:t>9.</w:t>
      </w:r>
    </w:p>
    <w:p w14:paraId="70153C36" w14:textId="77777777" w:rsidR="00B05410" w:rsidRPr="008D12A0" w:rsidRDefault="00B05410" w:rsidP="00AD4E75">
      <w:pPr>
        <w:pStyle w:val="Body"/>
        <w:tabs>
          <w:tab w:val="left" w:pos="5760"/>
        </w:tabs>
        <w:spacing w:before="140" w:after="0"/>
        <w:jc w:val="center"/>
        <w:rPr>
          <w:i/>
        </w:rP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79B3E23E" w14:textId="77777777" w:rsidR="003F659D" w:rsidRPr="008D12A0" w:rsidRDefault="003F659D" w:rsidP="00A653ED">
      <w:pPr>
        <w:widowControl w:val="0"/>
        <w:spacing w:before="140" w:after="0" w:line="290" w:lineRule="auto"/>
        <w:rPr>
          <w:rFonts w:ascii="Arial" w:hAnsi="Arial" w:cs="Arial"/>
          <w:sz w:val="20"/>
        </w:rPr>
      </w:pPr>
    </w:p>
    <w:p w14:paraId="04FB63D5" w14:textId="77777777" w:rsidR="007141C9" w:rsidRPr="008D12A0" w:rsidRDefault="00B05410" w:rsidP="00A653ED">
      <w:pPr>
        <w:pStyle w:val="Body"/>
        <w:spacing w:before="140" w:after="0"/>
        <w:rPr>
          <w:i/>
        </w:rPr>
      </w:pPr>
      <w:r w:rsidRPr="008D12A0">
        <w:br w:type="page"/>
      </w:r>
      <w:r w:rsidR="003F659D" w:rsidRPr="008D12A0">
        <w:rPr>
          <w:i/>
        </w:rPr>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20" w:name="_DV_M1"/>
            <w:bookmarkStart w:id="121" w:name="_DV_M2"/>
            <w:bookmarkEnd w:id="120"/>
            <w:bookmarkEnd w:id="121"/>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04D07511" w14:textId="77777777" w:rsidR="00021E06" w:rsidRPr="008D12A0" w:rsidRDefault="00021E06" w:rsidP="00A653ED">
      <w:pPr>
        <w:suppressAutoHyphens/>
        <w:spacing w:before="140" w:after="0" w:line="290" w:lineRule="auto"/>
        <w:rPr>
          <w:rFonts w:ascii="Arial" w:hAnsi="Arial" w:cs="Arial"/>
          <w:sz w:val="20"/>
          <w:lang w:val="en-US"/>
        </w:rPr>
      </w:pPr>
    </w:p>
    <w:p w14:paraId="4C27B470" w14:textId="77777777" w:rsidR="009C4FF4" w:rsidRPr="008D12A0" w:rsidRDefault="009C4FF4" w:rsidP="00A653ED">
      <w:pPr>
        <w:spacing w:before="140" w:after="0" w:line="290" w:lineRule="auto"/>
        <w:rPr>
          <w:rFonts w:ascii="Arial" w:hAnsi="Arial" w:cs="Arial"/>
          <w:sz w:val="20"/>
          <w:lang w:val="en-US"/>
        </w:rPr>
      </w:pPr>
      <w:bookmarkStart w:id="122" w:name="_DV_M452"/>
      <w:bookmarkStart w:id="123" w:name="_DV_M455"/>
      <w:bookmarkStart w:id="124" w:name="_DV_M456"/>
      <w:bookmarkStart w:id="125" w:name="_DV_M457"/>
      <w:bookmarkStart w:id="126" w:name="_DV_M429"/>
      <w:bookmarkStart w:id="127" w:name="_DV_M431"/>
      <w:bookmarkEnd w:id="122"/>
      <w:bookmarkEnd w:id="123"/>
      <w:bookmarkEnd w:id="124"/>
      <w:bookmarkEnd w:id="125"/>
      <w:bookmarkEnd w:id="126"/>
      <w:bookmarkEnd w:id="127"/>
      <w:r w:rsidRPr="008D12A0">
        <w:rPr>
          <w:rFonts w:ascii="Arial" w:hAnsi="Arial" w:cs="Arial"/>
          <w:sz w:val="20"/>
          <w:lang w:val="en-US"/>
        </w:rPr>
        <w:br w:type="page"/>
      </w:r>
    </w:p>
    <w:p w14:paraId="2A420D6C" w14:textId="77777777" w:rsidR="000001C1" w:rsidRPr="008D12A0" w:rsidRDefault="009C4FF4" w:rsidP="00AD4E75">
      <w:pPr>
        <w:pStyle w:val="Heading"/>
        <w:spacing w:before="140" w:after="0"/>
        <w:jc w:val="center"/>
        <w:rPr>
          <w:smallCaps/>
          <w:sz w:val="20"/>
        </w:rPr>
      </w:pPr>
      <w:r w:rsidRPr="008D12A0">
        <w:rPr>
          <w:smallCaps/>
          <w:sz w:val="20"/>
        </w:rPr>
        <w:t>Anexo I</w:t>
      </w:r>
    </w:p>
    <w:p w14:paraId="4309AED1" w14:textId="77777777" w:rsidR="000001C1" w:rsidRPr="008D12A0" w:rsidRDefault="000001C1" w:rsidP="00AD4E75">
      <w:pPr>
        <w:pStyle w:val="Heading"/>
        <w:spacing w:before="140" w:after="0"/>
        <w:jc w:val="center"/>
        <w:rPr>
          <w:smallCaps/>
          <w:sz w:val="20"/>
        </w:rPr>
      </w:pPr>
      <w:r w:rsidRPr="008D12A0">
        <w:rPr>
          <w:smallCaps/>
          <w:sz w:val="20"/>
        </w:rPr>
        <w:t>Lista de Estabelecimentos</w:t>
      </w:r>
    </w:p>
    <w:p w14:paraId="09AF9637" w14:textId="53C55910" w:rsidR="001D6D4B" w:rsidRDefault="001D6D4B" w:rsidP="00AD4E75">
      <w:pPr>
        <w:pStyle w:val="Body"/>
        <w:spacing w:before="140" w:after="0"/>
        <w:jc w:val="center"/>
        <w:rPr>
          <w:highlight w:val="yellow"/>
        </w:rPr>
      </w:pPr>
    </w:p>
    <w:tbl>
      <w:tblPr>
        <w:tblStyle w:val="TableGrid"/>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r w:rsidRPr="001D6D4B">
              <w:rPr>
                <w:b/>
              </w:rPr>
              <w:t>Atakarejo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CNPJ/ME da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1D6D4B" w14:paraId="38B3EFCB" w14:textId="77777777" w:rsidTr="00C90113">
        <w:tc>
          <w:tcPr>
            <w:tcW w:w="4414" w:type="dxa"/>
            <w:vAlign w:val="bottom"/>
          </w:tcPr>
          <w:p w14:paraId="09CE76E9" w14:textId="648B5AE4" w:rsidR="001D6D4B" w:rsidRDefault="001D6D4B" w:rsidP="001D6D4B">
            <w:pPr>
              <w:pStyle w:val="Body"/>
              <w:spacing w:before="140" w:after="0"/>
              <w:jc w:val="center"/>
              <w:rPr>
                <w:highlight w:val="yellow"/>
              </w:rPr>
            </w:pPr>
            <w:r>
              <w:rPr>
                <w:rFonts w:ascii="Tahoma" w:hAnsi="Tahoma" w:cs="Tahoma"/>
                <w:color w:val="000000"/>
              </w:rPr>
              <w:t>73.849.952/0002-39</w:t>
            </w:r>
          </w:p>
        </w:tc>
        <w:tc>
          <w:tcPr>
            <w:tcW w:w="4414" w:type="dxa"/>
            <w:vAlign w:val="bottom"/>
          </w:tcPr>
          <w:p w14:paraId="50B48735" w14:textId="512AD8AF" w:rsidR="001D6D4B" w:rsidRDefault="001D6D4B" w:rsidP="001D6D4B">
            <w:pPr>
              <w:pStyle w:val="Body"/>
              <w:spacing w:before="140" w:after="0"/>
              <w:jc w:val="center"/>
              <w:rPr>
                <w:highlight w:val="yellow"/>
              </w:rPr>
            </w:pPr>
            <w:r>
              <w:rPr>
                <w:rFonts w:ascii="Tahoma" w:hAnsi="Tahoma" w:cs="Tahoma"/>
                <w:color w:val="000000"/>
              </w:rPr>
              <w:t>1022646130</w:t>
            </w:r>
          </w:p>
        </w:tc>
      </w:tr>
      <w:tr w:rsidR="001D6D4B" w14:paraId="71FA9F9D" w14:textId="77777777" w:rsidTr="00C90113">
        <w:tc>
          <w:tcPr>
            <w:tcW w:w="4414" w:type="dxa"/>
            <w:vAlign w:val="bottom"/>
          </w:tcPr>
          <w:p w14:paraId="6A031C08" w14:textId="5F05F187" w:rsidR="001D6D4B" w:rsidRDefault="001D6D4B" w:rsidP="001D6D4B">
            <w:pPr>
              <w:pStyle w:val="Body"/>
              <w:spacing w:before="140" w:after="0"/>
              <w:jc w:val="center"/>
              <w:rPr>
                <w:highlight w:val="yellow"/>
              </w:rPr>
            </w:pPr>
            <w:r>
              <w:rPr>
                <w:rFonts w:ascii="Tahoma" w:hAnsi="Tahoma" w:cs="Tahoma"/>
                <w:color w:val="000000"/>
              </w:rPr>
              <w:t>73.849.952/0003-10</w:t>
            </w:r>
          </w:p>
        </w:tc>
        <w:tc>
          <w:tcPr>
            <w:tcW w:w="4414" w:type="dxa"/>
            <w:vAlign w:val="bottom"/>
          </w:tcPr>
          <w:p w14:paraId="14573E38" w14:textId="020FB405" w:rsidR="001D6D4B" w:rsidRDefault="001D6D4B" w:rsidP="001D6D4B">
            <w:pPr>
              <w:pStyle w:val="Body"/>
              <w:spacing w:before="140" w:after="0"/>
              <w:jc w:val="center"/>
              <w:rPr>
                <w:highlight w:val="yellow"/>
              </w:rPr>
            </w:pPr>
            <w:r>
              <w:rPr>
                <w:rFonts w:ascii="Tahoma" w:hAnsi="Tahoma" w:cs="Tahoma"/>
                <w:color w:val="000000"/>
              </w:rPr>
              <w:t>1022728293</w:t>
            </w:r>
          </w:p>
        </w:tc>
      </w:tr>
      <w:tr w:rsidR="001D6D4B" w14:paraId="16A1A550" w14:textId="77777777" w:rsidTr="00C90113">
        <w:tc>
          <w:tcPr>
            <w:tcW w:w="4414" w:type="dxa"/>
            <w:vAlign w:val="bottom"/>
          </w:tcPr>
          <w:p w14:paraId="36CA4FDC" w14:textId="783601A0" w:rsidR="001D6D4B" w:rsidRDefault="001D6D4B" w:rsidP="001D6D4B">
            <w:pPr>
              <w:pStyle w:val="Body"/>
              <w:spacing w:before="140" w:after="0"/>
              <w:jc w:val="center"/>
              <w:rPr>
                <w:highlight w:val="yellow"/>
              </w:rPr>
            </w:pPr>
            <w:r>
              <w:rPr>
                <w:rFonts w:ascii="Tahoma" w:hAnsi="Tahoma" w:cs="Tahoma"/>
                <w:color w:val="000000"/>
              </w:rPr>
              <w:t>73.849.952/0005-81</w:t>
            </w:r>
          </w:p>
        </w:tc>
        <w:tc>
          <w:tcPr>
            <w:tcW w:w="4414" w:type="dxa"/>
            <w:vAlign w:val="bottom"/>
          </w:tcPr>
          <w:p w14:paraId="0A666E49" w14:textId="4AE93CA7" w:rsidR="001D6D4B" w:rsidRDefault="001D6D4B" w:rsidP="001D6D4B">
            <w:pPr>
              <w:pStyle w:val="Body"/>
              <w:spacing w:before="140" w:after="0"/>
              <w:jc w:val="center"/>
              <w:rPr>
                <w:highlight w:val="yellow"/>
              </w:rPr>
            </w:pPr>
            <w:r>
              <w:rPr>
                <w:rFonts w:ascii="Tahoma" w:hAnsi="Tahoma" w:cs="Tahoma"/>
                <w:color w:val="000000"/>
              </w:rPr>
              <w:t>1022447251</w:t>
            </w:r>
          </w:p>
        </w:tc>
      </w:tr>
      <w:tr w:rsidR="001D6D4B" w14:paraId="5AD4C432" w14:textId="77777777" w:rsidTr="00C90113">
        <w:tc>
          <w:tcPr>
            <w:tcW w:w="4414" w:type="dxa"/>
            <w:vAlign w:val="bottom"/>
          </w:tcPr>
          <w:p w14:paraId="524FA9C8" w14:textId="39D251A7" w:rsidR="001D6D4B" w:rsidRDefault="001D6D4B" w:rsidP="001D6D4B">
            <w:pPr>
              <w:pStyle w:val="Body"/>
              <w:spacing w:before="140" w:after="0"/>
              <w:jc w:val="center"/>
              <w:rPr>
                <w:highlight w:val="yellow"/>
              </w:rPr>
            </w:pPr>
            <w:r>
              <w:rPr>
                <w:rFonts w:ascii="Tahoma" w:hAnsi="Tahoma" w:cs="Tahoma"/>
                <w:color w:val="000000"/>
              </w:rPr>
              <w:t>73.849.952/0007-43</w:t>
            </w:r>
          </w:p>
        </w:tc>
        <w:tc>
          <w:tcPr>
            <w:tcW w:w="4414" w:type="dxa"/>
            <w:vAlign w:val="bottom"/>
          </w:tcPr>
          <w:p w14:paraId="55312E94" w14:textId="549354D9" w:rsidR="001D6D4B" w:rsidRDefault="001D6D4B" w:rsidP="001D6D4B">
            <w:pPr>
              <w:pStyle w:val="Body"/>
              <w:spacing w:before="140" w:after="0"/>
              <w:jc w:val="center"/>
              <w:rPr>
                <w:highlight w:val="yellow"/>
              </w:rPr>
            </w:pPr>
            <w:r>
              <w:rPr>
                <w:rFonts w:ascii="Tahoma" w:hAnsi="Tahoma" w:cs="Tahoma"/>
                <w:color w:val="000000"/>
              </w:rPr>
              <w:t>1028057889</w:t>
            </w:r>
          </w:p>
        </w:tc>
      </w:tr>
      <w:tr w:rsidR="001D6D4B" w14:paraId="7D729978" w14:textId="77777777" w:rsidTr="00C90113">
        <w:tc>
          <w:tcPr>
            <w:tcW w:w="4414" w:type="dxa"/>
            <w:vAlign w:val="bottom"/>
          </w:tcPr>
          <w:p w14:paraId="2F77A99A" w14:textId="1C2D79BD" w:rsidR="001D6D4B" w:rsidRDefault="001D6D4B" w:rsidP="001D6D4B">
            <w:pPr>
              <w:pStyle w:val="Body"/>
              <w:spacing w:before="140" w:after="0"/>
              <w:jc w:val="center"/>
              <w:rPr>
                <w:highlight w:val="yellow"/>
              </w:rPr>
            </w:pPr>
            <w:r>
              <w:rPr>
                <w:rFonts w:ascii="Tahoma" w:hAnsi="Tahoma" w:cs="Tahoma"/>
                <w:color w:val="000000"/>
              </w:rPr>
              <w:t>73.849.952/0011-20</w:t>
            </w:r>
          </w:p>
        </w:tc>
        <w:tc>
          <w:tcPr>
            <w:tcW w:w="4414" w:type="dxa"/>
            <w:vAlign w:val="bottom"/>
          </w:tcPr>
          <w:p w14:paraId="1CB240F4" w14:textId="17A416DD" w:rsidR="001D6D4B" w:rsidRDefault="001D6D4B" w:rsidP="001D6D4B">
            <w:pPr>
              <w:pStyle w:val="Body"/>
              <w:spacing w:before="140" w:after="0"/>
              <w:jc w:val="center"/>
              <w:rPr>
                <w:highlight w:val="yellow"/>
              </w:rPr>
            </w:pPr>
            <w:r>
              <w:rPr>
                <w:rFonts w:ascii="Tahoma" w:hAnsi="Tahoma" w:cs="Tahoma"/>
                <w:color w:val="000000"/>
              </w:rPr>
              <w:t>1088291101</w:t>
            </w:r>
          </w:p>
        </w:tc>
      </w:tr>
      <w:tr w:rsidR="001D6D4B" w14:paraId="395369D9" w14:textId="77777777" w:rsidTr="00C90113">
        <w:tc>
          <w:tcPr>
            <w:tcW w:w="4414" w:type="dxa"/>
            <w:vAlign w:val="bottom"/>
          </w:tcPr>
          <w:p w14:paraId="30767FB7" w14:textId="7970D534" w:rsidR="001D6D4B" w:rsidRDefault="001D6D4B" w:rsidP="001D6D4B">
            <w:pPr>
              <w:pStyle w:val="Body"/>
              <w:spacing w:before="140" w:after="0"/>
              <w:jc w:val="center"/>
              <w:rPr>
                <w:highlight w:val="yellow"/>
              </w:rPr>
            </w:pPr>
            <w:r>
              <w:rPr>
                <w:rFonts w:ascii="Tahoma" w:hAnsi="Tahoma" w:cs="Tahoma"/>
                <w:color w:val="000000"/>
              </w:rPr>
              <w:t>73.849.952/0013-91</w:t>
            </w:r>
          </w:p>
        </w:tc>
        <w:tc>
          <w:tcPr>
            <w:tcW w:w="4414" w:type="dxa"/>
            <w:vAlign w:val="bottom"/>
          </w:tcPr>
          <w:p w14:paraId="4D0E5158" w14:textId="78B02798" w:rsidR="001D6D4B" w:rsidRDefault="001D6D4B" w:rsidP="001D6D4B">
            <w:pPr>
              <w:pStyle w:val="Body"/>
              <w:spacing w:before="140" w:after="0"/>
              <w:jc w:val="center"/>
              <w:rPr>
                <w:highlight w:val="yellow"/>
              </w:rPr>
            </w:pPr>
            <w:r>
              <w:rPr>
                <w:rFonts w:ascii="Tahoma" w:hAnsi="Tahoma" w:cs="Tahoma"/>
                <w:color w:val="000000"/>
              </w:rPr>
              <w:t>1101380478</w:t>
            </w:r>
          </w:p>
        </w:tc>
      </w:tr>
      <w:tr w:rsidR="001D6D4B" w14:paraId="3D51B8C1" w14:textId="77777777" w:rsidTr="00C90113">
        <w:tc>
          <w:tcPr>
            <w:tcW w:w="4414" w:type="dxa"/>
            <w:vAlign w:val="bottom"/>
          </w:tcPr>
          <w:p w14:paraId="17223862" w14:textId="455E0E73" w:rsidR="001D6D4B" w:rsidRDefault="001D6D4B" w:rsidP="001D6D4B">
            <w:pPr>
              <w:pStyle w:val="Body"/>
              <w:spacing w:before="140" w:after="0"/>
              <w:jc w:val="center"/>
              <w:rPr>
                <w:highlight w:val="yellow"/>
              </w:rPr>
            </w:pPr>
            <w:r>
              <w:rPr>
                <w:rFonts w:ascii="Tahoma" w:hAnsi="Tahoma" w:cs="Tahoma"/>
                <w:color w:val="000000"/>
              </w:rPr>
              <w:t>73.849.952/0015-53</w:t>
            </w:r>
          </w:p>
        </w:tc>
        <w:tc>
          <w:tcPr>
            <w:tcW w:w="4414" w:type="dxa"/>
            <w:vAlign w:val="bottom"/>
          </w:tcPr>
          <w:p w14:paraId="16D9D1C9" w14:textId="445D3356" w:rsidR="001D6D4B" w:rsidRDefault="001D6D4B" w:rsidP="001D6D4B">
            <w:pPr>
              <w:pStyle w:val="Body"/>
              <w:spacing w:before="140" w:after="0"/>
              <w:jc w:val="center"/>
              <w:rPr>
                <w:highlight w:val="yellow"/>
              </w:rPr>
            </w:pPr>
            <w:r>
              <w:rPr>
                <w:rFonts w:ascii="Tahoma" w:hAnsi="Tahoma" w:cs="Tahoma"/>
                <w:color w:val="000000"/>
              </w:rPr>
              <w:t>1100644862</w:t>
            </w:r>
          </w:p>
        </w:tc>
      </w:tr>
      <w:tr w:rsidR="001D6D4B" w14:paraId="4FF6D995" w14:textId="77777777" w:rsidTr="00C90113">
        <w:tc>
          <w:tcPr>
            <w:tcW w:w="4414" w:type="dxa"/>
            <w:vAlign w:val="bottom"/>
          </w:tcPr>
          <w:p w14:paraId="1606F7BE" w14:textId="195E9B06" w:rsidR="001D6D4B" w:rsidRDefault="001D6D4B" w:rsidP="001D6D4B">
            <w:pPr>
              <w:pStyle w:val="Body"/>
              <w:spacing w:before="140" w:after="0"/>
              <w:jc w:val="center"/>
              <w:rPr>
                <w:highlight w:val="yellow"/>
              </w:rPr>
            </w:pPr>
            <w:r>
              <w:rPr>
                <w:rFonts w:ascii="Tahoma" w:hAnsi="Tahoma" w:cs="Tahoma"/>
                <w:color w:val="000000"/>
              </w:rPr>
              <w:t>73.849.952/0016-34</w:t>
            </w:r>
          </w:p>
        </w:tc>
        <w:tc>
          <w:tcPr>
            <w:tcW w:w="4414" w:type="dxa"/>
            <w:vAlign w:val="bottom"/>
          </w:tcPr>
          <w:p w14:paraId="245AF1B1" w14:textId="5D6DE6B5" w:rsidR="001D6D4B" w:rsidRDefault="001D6D4B" w:rsidP="001D6D4B">
            <w:pPr>
              <w:pStyle w:val="Body"/>
              <w:spacing w:before="140" w:after="0"/>
              <w:jc w:val="center"/>
              <w:rPr>
                <w:highlight w:val="yellow"/>
              </w:rPr>
            </w:pPr>
            <w:r>
              <w:rPr>
                <w:rFonts w:ascii="Tahoma" w:hAnsi="Tahoma" w:cs="Tahoma"/>
                <w:color w:val="000000"/>
              </w:rPr>
              <w:t>1101380451</w:t>
            </w:r>
          </w:p>
        </w:tc>
      </w:tr>
      <w:tr w:rsidR="001D6D4B" w14:paraId="217F542B" w14:textId="77777777" w:rsidTr="00C90113">
        <w:tc>
          <w:tcPr>
            <w:tcW w:w="4414" w:type="dxa"/>
            <w:vAlign w:val="bottom"/>
          </w:tcPr>
          <w:p w14:paraId="0739FED6" w14:textId="5E2A468D" w:rsidR="001D6D4B" w:rsidRDefault="001D6D4B" w:rsidP="001D6D4B">
            <w:pPr>
              <w:pStyle w:val="Body"/>
              <w:spacing w:before="140" w:after="0"/>
              <w:jc w:val="center"/>
              <w:rPr>
                <w:highlight w:val="yellow"/>
              </w:rPr>
            </w:pPr>
            <w:r>
              <w:rPr>
                <w:rFonts w:ascii="Tahoma" w:hAnsi="Tahoma" w:cs="Tahoma"/>
                <w:color w:val="000000"/>
              </w:rPr>
              <w:t>73.849.952/0017-15</w:t>
            </w:r>
          </w:p>
        </w:tc>
        <w:tc>
          <w:tcPr>
            <w:tcW w:w="4414" w:type="dxa"/>
            <w:vAlign w:val="bottom"/>
          </w:tcPr>
          <w:p w14:paraId="56F21E40" w14:textId="16E1895C" w:rsidR="001D6D4B" w:rsidRDefault="001D6D4B" w:rsidP="001D6D4B">
            <w:pPr>
              <w:pStyle w:val="Body"/>
              <w:spacing w:before="140" w:after="0"/>
              <w:jc w:val="center"/>
              <w:rPr>
                <w:highlight w:val="yellow"/>
              </w:rPr>
            </w:pPr>
            <w:r>
              <w:rPr>
                <w:rFonts w:ascii="Tahoma" w:hAnsi="Tahoma" w:cs="Tahoma"/>
                <w:color w:val="000000"/>
              </w:rPr>
              <w:t>1100629855</w:t>
            </w:r>
          </w:p>
        </w:tc>
      </w:tr>
      <w:tr w:rsidR="001D6D4B" w14:paraId="0FAB1291" w14:textId="77777777" w:rsidTr="00C90113">
        <w:tc>
          <w:tcPr>
            <w:tcW w:w="4414" w:type="dxa"/>
            <w:vAlign w:val="bottom"/>
          </w:tcPr>
          <w:p w14:paraId="50106B3E" w14:textId="4CE2FB1B" w:rsidR="001D6D4B" w:rsidRDefault="001D6D4B" w:rsidP="001D6D4B">
            <w:pPr>
              <w:pStyle w:val="Body"/>
              <w:spacing w:before="140" w:after="0"/>
              <w:jc w:val="center"/>
              <w:rPr>
                <w:highlight w:val="yellow"/>
              </w:rPr>
            </w:pPr>
            <w:r>
              <w:rPr>
                <w:rFonts w:ascii="Tahoma" w:hAnsi="Tahoma" w:cs="Tahoma"/>
                <w:color w:val="000000"/>
              </w:rPr>
              <w:t>73.849.952/0018-04</w:t>
            </w:r>
          </w:p>
        </w:tc>
        <w:tc>
          <w:tcPr>
            <w:tcW w:w="4414" w:type="dxa"/>
            <w:vAlign w:val="bottom"/>
          </w:tcPr>
          <w:p w14:paraId="20EF1952" w14:textId="3AC8110D" w:rsidR="001D6D4B" w:rsidRDefault="001D6D4B" w:rsidP="001D6D4B">
            <w:pPr>
              <w:pStyle w:val="Body"/>
              <w:spacing w:before="140" w:after="0"/>
              <w:jc w:val="center"/>
              <w:rPr>
                <w:highlight w:val="yellow"/>
              </w:rPr>
            </w:pPr>
            <w:r>
              <w:rPr>
                <w:rFonts w:ascii="Tahoma" w:hAnsi="Tahoma" w:cs="Tahoma"/>
                <w:color w:val="000000"/>
              </w:rPr>
              <w:t>1101380443</w:t>
            </w:r>
          </w:p>
        </w:tc>
      </w:tr>
    </w:tbl>
    <w:p w14:paraId="0D9C5D9D" w14:textId="77777777" w:rsidR="00E31260" w:rsidRPr="008D12A0" w:rsidRDefault="00E31260" w:rsidP="00AD4E75">
      <w:pPr>
        <w:pStyle w:val="Body"/>
        <w:spacing w:before="140" w:after="0"/>
        <w:jc w:val="center"/>
        <w:rPr>
          <w:highlight w:val="yellow"/>
        </w:rPr>
      </w:pPr>
    </w:p>
    <w:p w14:paraId="658465CF" w14:textId="77777777" w:rsidR="000001C1" w:rsidRPr="008D12A0" w:rsidRDefault="000001C1" w:rsidP="00A653ED">
      <w:pPr>
        <w:spacing w:before="140" w:after="0" w:line="290" w:lineRule="auto"/>
        <w:rPr>
          <w:rFonts w:ascii="Arial" w:hAnsi="Arial" w:cs="Arial"/>
          <w:sz w:val="20"/>
        </w:rPr>
      </w:pPr>
      <w:r w:rsidRPr="008D12A0">
        <w:rPr>
          <w:rFonts w:ascii="Arial" w:hAnsi="Arial" w:cs="Arial"/>
          <w:sz w:val="20"/>
        </w:rPr>
        <w:br w:type="page"/>
      </w:r>
    </w:p>
    <w:p w14:paraId="2342A6E5" w14:textId="77777777" w:rsidR="000001C1" w:rsidRPr="008D12A0" w:rsidRDefault="000001C1" w:rsidP="00A653ED">
      <w:pPr>
        <w:pStyle w:val="Body"/>
        <w:spacing w:before="140" w:after="0"/>
      </w:pPr>
    </w:p>
    <w:p w14:paraId="4F0959DC" w14:textId="77777777" w:rsidR="000001C1" w:rsidRPr="008D12A0" w:rsidRDefault="000001C1" w:rsidP="00AD4E75">
      <w:pPr>
        <w:pStyle w:val="Heading"/>
        <w:spacing w:before="140" w:after="0"/>
        <w:jc w:val="center"/>
        <w:rPr>
          <w:smallCaps/>
          <w:sz w:val="20"/>
        </w:rPr>
      </w:pPr>
      <w:r w:rsidRPr="008D12A0">
        <w:rPr>
          <w:smallCaps/>
          <w:sz w:val="20"/>
        </w:rPr>
        <w:t>Anexo II</w:t>
      </w:r>
    </w:p>
    <w:p w14:paraId="34C92F61" w14:textId="77777777" w:rsidR="006956DC" w:rsidRDefault="00D37DAF" w:rsidP="00AD4E75">
      <w:pPr>
        <w:spacing w:before="140" w:after="0" w:line="290" w:lineRule="auto"/>
        <w:jc w:val="center"/>
        <w:rPr>
          <w:rFonts w:ascii="Arial" w:hAnsi="Arial" w:cs="Arial"/>
          <w:b/>
          <w:smallCaps/>
          <w:snapToGrid/>
          <w:sz w:val="20"/>
        </w:rPr>
      </w:pPr>
      <w:r w:rsidRPr="008D12A0">
        <w:rPr>
          <w:rFonts w:ascii="Arial" w:hAnsi="Arial" w:cs="Arial"/>
          <w:b/>
          <w:smallCaps/>
          <w:snapToGrid/>
          <w:sz w:val="20"/>
        </w:rPr>
        <w:t>Instrumento de Trava de Domicílio</w:t>
      </w:r>
    </w:p>
    <w:p w14:paraId="724A688C" w14:textId="77777777" w:rsidR="00C90113" w:rsidRDefault="00C90113" w:rsidP="00AD4E75">
      <w:pPr>
        <w:spacing w:before="140" w:after="0" w:line="290" w:lineRule="auto"/>
        <w:jc w:val="center"/>
        <w:rPr>
          <w:rFonts w:ascii="Arial" w:hAnsi="Arial" w:cs="Arial"/>
          <w:b/>
          <w:smallCaps/>
          <w:snapToGrid/>
          <w:sz w:val="20"/>
        </w:rPr>
      </w:pPr>
    </w:p>
    <w:p w14:paraId="24043E8A" w14:textId="3E41DD6C" w:rsidR="00E2266E" w:rsidRDefault="00E2266E">
      <w:pPr>
        <w:spacing w:after="0"/>
        <w:jc w:val="left"/>
        <w:rPr>
          <w:rFonts w:ascii="Arial" w:hAnsi="Arial" w:cs="Arial"/>
          <w:b/>
          <w:smallCaps/>
          <w:snapToGrid/>
          <w:sz w:val="20"/>
        </w:rPr>
      </w:pPr>
      <w:r>
        <w:rPr>
          <w:rFonts w:ascii="Arial" w:hAnsi="Arial" w:cs="Arial"/>
          <w:b/>
          <w:smallCaps/>
          <w:snapToGrid/>
          <w:sz w:val="20"/>
        </w:rPr>
        <w:br w:type="page"/>
      </w:r>
    </w:p>
    <w:p w14:paraId="16645CBB" w14:textId="77777777"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t>ANEXO I</w:t>
      </w:r>
      <w:r w:rsidR="000001C1" w:rsidRPr="008D12A0">
        <w:rPr>
          <w:rFonts w:ascii="Arial" w:hAnsi="Arial" w:cs="Arial"/>
          <w:b/>
          <w:bCs/>
          <w:sz w:val="20"/>
        </w:rPr>
        <w:t>I</w:t>
      </w:r>
      <w:r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0A732516"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B1280E" w:rsidRPr="008D12A0" w14:paraId="61C6E7CF" w14:textId="77777777" w:rsidTr="00B01358">
        <w:tc>
          <w:tcPr>
            <w:tcW w:w="2296" w:type="dxa"/>
            <w:tcMar>
              <w:top w:w="0" w:type="dxa"/>
              <w:left w:w="28" w:type="dxa"/>
              <w:bottom w:w="0" w:type="dxa"/>
              <w:right w:w="28" w:type="dxa"/>
            </w:tcMar>
          </w:tcPr>
          <w:p w14:paraId="1497930E" w14:textId="77777777" w:rsidR="00B1280E" w:rsidRPr="008D12A0" w:rsidRDefault="00B1280E" w:rsidP="00A653ED">
            <w:pPr>
              <w:widowControl w:val="0"/>
              <w:spacing w:before="140" w:after="0" w:line="290" w:lineRule="auto"/>
              <w:rPr>
                <w:rFonts w:ascii="Arial" w:hAnsi="Arial" w:cs="Arial"/>
                <w:b/>
                <w:sz w:val="20"/>
              </w:rPr>
            </w:pPr>
            <w:r w:rsidRPr="008D12A0">
              <w:rPr>
                <w:rFonts w:ascii="Arial" w:hAnsi="Arial" w:cs="Arial"/>
                <w:b/>
                <w:sz w:val="20"/>
              </w:rPr>
              <w:t>Valor Principal</w:t>
            </w:r>
          </w:p>
        </w:tc>
        <w:tc>
          <w:tcPr>
            <w:tcW w:w="6493" w:type="dxa"/>
            <w:tcMar>
              <w:top w:w="0" w:type="dxa"/>
              <w:left w:w="28" w:type="dxa"/>
              <w:bottom w:w="0" w:type="dxa"/>
              <w:right w:w="28" w:type="dxa"/>
            </w:tcMar>
          </w:tcPr>
          <w:p w14:paraId="15F13690" w14:textId="77777777" w:rsidR="00B1280E" w:rsidRPr="008D12A0" w:rsidRDefault="006A24F9"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R$80.000.000,00 (oitenta milhões de reais), na Data de Emissão (conforme definida na Escritura de Emissão) (</w:t>
            </w:r>
            <w:r w:rsidR="005175AB" w:rsidRPr="008D12A0">
              <w:rPr>
                <w:rFonts w:ascii="Arial" w:hAnsi="Arial" w:cs="Arial"/>
                <w:sz w:val="20"/>
              </w:rPr>
              <w:t>“</w:t>
            </w:r>
            <w:r w:rsidRPr="008D12A0">
              <w:rPr>
                <w:rFonts w:ascii="Arial" w:hAnsi="Arial" w:cs="Arial"/>
                <w:b/>
                <w:sz w:val="20"/>
              </w:rPr>
              <w:t>Valor Total da Emissão</w:t>
            </w:r>
            <w:r w:rsidR="005175AB" w:rsidRPr="008D12A0">
              <w:rPr>
                <w:rFonts w:ascii="Arial" w:hAnsi="Arial" w:cs="Arial"/>
                <w:sz w:val="20"/>
              </w:rPr>
              <w:t>”</w:t>
            </w:r>
            <w:r w:rsidRPr="008D12A0">
              <w:rPr>
                <w:rFonts w:ascii="Arial" w:hAnsi="Arial" w:cs="Arial"/>
                <w:sz w:val="20"/>
              </w:rPr>
              <w:t>)</w:t>
            </w:r>
          </w:p>
        </w:tc>
      </w:tr>
      <w:tr w:rsidR="00B1280E" w:rsidRPr="008D12A0" w14:paraId="591FFE05" w14:textId="77777777" w:rsidTr="00B01358">
        <w:tc>
          <w:tcPr>
            <w:tcW w:w="2296" w:type="dxa"/>
            <w:tcMar>
              <w:top w:w="0" w:type="dxa"/>
              <w:left w:w="28" w:type="dxa"/>
              <w:bottom w:w="0" w:type="dxa"/>
              <w:right w:w="28" w:type="dxa"/>
            </w:tcMar>
          </w:tcPr>
          <w:p w14:paraId="26B7E491" w14:textId="77777777" w:rsidR="00B1280E" w:rsidRPr="008D12A0" w:rsidRDefault="00B1280E" w:rsidP="00A653ED">
            <w:pPr>
              <w:widowControl w:val="0"/>
              <w:spacing w:before="140" w:after="0" w:line="290" w:lineRule="auto"/>
              <w:rPr>
                <w:rFonts w:ascii="Arial" w:hAnsi="Arial" w:cs="Arial"/>
                <w:b/>
                <w:sz w:val="20"/>
              </w:rPr>
            </w:pPr>
            <w:r w:rsidRPr="008D12A0">
              <w:rPr>
                <w:rFonts w:ascii="Arial" w:hAnsi="Arial" w:cs="Arial"/>
                <w:b/>
                <w:sz w:val="20"/>
              </w:rPr>
              <w:t>Juros</w:t>
            </w:r>
            <w:r w:rsidRPr="008D12A0">
              <w:rPr>
                <w:rFonts w:ascii="Arial" w:hAnsi="Arial" w:cs="Arial"/>
                <w:b/>
                <w:sz w:val="20"/>
              </w:rPr>
              <w:br/>
              <w:t>Remuneratórios</w:t>
            </w:r>
          </w:p>
        </w:tc>
        <w:tc>
          <w:tcPr>
            <w:tcW w:w="6493" w:type="dxa"/>
            <w:tcMar>
              <w:top w:w="0" w:type="dxa"/>
              <w:left w:w="28" w:type="dxa"/>
              <w:bottom w:w="0" w:type="dxa"/>
              <w:right w:w="28" w:type="dxa"/>
            </w:tcMar>
          </w:tcPr>
          <w:p w14:paraId="77C84585" w14:textId="77777777" w:rsidR="00B1280E" w:rsidRPr="008D12A0" w:rsidRDefault="00B1280E"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O Valor Nominal Unitário não será atualizado monetariamente. </w:t>
            </w:r>
            <w:r w:rsidR="006A24F9" w:rsidRPr="008D12A0">
              <w:rPr>
                <w:rFonts w:ascii="Arial" w:hAnsi="Arial" w:cs="Arial"/>
                <w:sz w:val="20"/>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5175AB" w:rsidRPr="008D12A0">
              <w:rPr>
                <w:rFonts w:ascii="Arial" w:hAnsi="Arial" w:cs="Arial"/>
                <w:sz w:val="20"/>
              </w:rPr>
              <w:t>“</w:t>
            </w:r>
            <w:r w:rsidR="006A24F9" w:rsidRPr="008D12A0">
              <w:rPr>
                <w:rFonts w:ascii="Arial" w:hAnsi="Arial" w:cs="Arial"/>
                <w:b/>
                <w:sz w:val="20"/>
              </w:rPr>
              <w:t>Taxa D</w:t>
            </w:r>
            <w:r w:rsidR="006A24F9" w:rsidRPr="008D12A0">
              <w:rPr>
                <w:rFonts w:ascii="Arial" w:hAnsi="Arial" w:cs="Arial"/>
                <w:sz w:val="20"/>
              </w:rPr>
              <w:t>I</w:t>
            </w:r>
            <w:r w:rsidR="005175AB" w:rsidRPr="008D12A0">
              <w:rPr>
                <w:rFonts w:ascii="Arial" w:hAnsi="Arial" w:cs="Arial"/>
                <w:sz w:val="20"/>
              </w:rPr>
              <w:t>”</w:t>
            </w:r>
            <w:r w:rsidR="006A24F9" w:rsidRPr="008D12A0">
              <w:rPr>
                <w:rFonts w:ascii="Arial" w:hAnsi="Arial" w:cs="Arial"/>
                <w:sz w:val="20"/>
              </w:rPr>
              <w:t>), acrescida de uma sobretaxa de 1,85% (um inteiro e oitenta e cinco centésimos por cento) ao ano, base 252 (duzentos e cinquenta e dois) Dias Úteis (</w:t>
            </w:r>
            <w:r w:rsidR="005175AB" w:rsidRPr="008D12A0">
              <w:rPr>
                <w:rFonts w:ascii="Arial" w:hAnsi="Arial" w:cs="Arial"/>
                <w:sz w:val="20"/>
              </w:rPr>
              <w:t>“</w:t>
            </w:r>
            <w:r w:rsidR="006A24F9" w:rsidRPr="008D12A0">
              <w:rPr>
                <w:rFonts w:ascii="Arial" w:hAnsi="Arial" w:cs="Arial"/>
                <w:b/>
                <w:sz w:val="20"/>
              </w:rPr>
              <w:t>Remuneração</w:t>
            </w:r>
            <w:r w:rsidR="005175AB" w:rsidRPr="008D12A0">
              <w:rPr>
                <w:rFonts w:ascii="Arial" w:hAnsi="Arial" w:cs="Arial"/>
                <w:sz w:val="20"/>
              </w:rPr>
              <w:t>”</w:t>
            </w:r>
            <w:r w:rsidR="006A24F9" w:rsidRPr="008D12A0">
              <w:rPr>
                <w:rFonts w:ascii="Arial" w:hAnsi="Arial" w:cs="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B1280E" w:rsidRPr="008D12A0" w14:paraId="165C4709" w14:textId="77777777" w:rsidTr="00B01358">
        <w:tc>
          <w:tcPr>
            <w:tcW w:w="2296" w:type="dxa"/>
            <w:tcMar>
              <w:top w:w="0" w:type="dxa"/>
              <w:left w:w="28" w:type="dxa"/>
              <w:bottom w:w="0" w:type="dxa"/>
              <w:right w:w="28" w:type="dxa"/>
            </w:tcMar>
          </w:tcPr>
          <w:p w14:paraId="3B60E5A6"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Pagamento da Remuneração das Debêntures</w:t>
            </w:r>
          </w:p>
        </w:tc>
        <w:tc>
          <w:tcPr>
            <w:tcW w:w="6493" w:type="dxa"/>
            <w:tcMar>
              <w:top w:w="0" w:type="dxa"/>
              <w:left w:w="28" w:type="dxa"/>
              <w:bottom w:w="0" w:type="dxa"/>
              <w:right w:w="28" w:type="dxa"/>
            </w:tcMar>
          </w:tcPr>
          <w:p w14:paraId="0F56F75C" w14:textId="7114CB2B" w:rsidR="00B1280E" w:rsidRPr="008D12A0" w:rsidRDefault="001515C0"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Sem prejuízo dos pagamentos em decorrência do vencimento antecipado e resgate antecipado das Debêntures, nos termos da Escritura de Emissão, a Remuneração será paga trimestralmente, todo dia </w:t>
            </w:r>
            <w:r w:rsidR="00744A24" w:rsidRPr="00744A24">
              <w:rPr>
                <w:rFonts w:ascii="Arial" w:hAnsi="Arial" w:cs="Arial"/>
                <w:sz w:val="20"/>
              </w:rPr>
              <w:t>09 (nove)</w:t>
            </w:r>
            <w:r w:rsidRPr="008D12A0">
              <w:rPr>
                <w:rFonts w:ascii="Arial" w:hAnsi="Arial" w:cs="Arial"/>
                <w:sz w:val="20"/>
              </w:rPr>
              <w:t xml:space="preserve"> dos meses de </w:t>
            </w:r>
            <w:r w:rsidR="00744A24" w:rsidRPr="00744A24">
              <w:rPr>
                <w:rFonts w:ascii="Arial" w:hAnsi="Arial" w:cs="Arial"/>
                <w:sz w:val="20"/>
              </w:rPr>
              <w:t>maio, agosto, novembro e fevereiro</w:t>
            </w:r>
            <w:r w:rsidRPr="008D12A0">
              <w:rPr>
                <w:rFonts w:ascii="Arial" w:hAnsi="Arial" w:cs="Arial"/>
                <w:sz w:val="20"/>
              </w:rPr>
              <w:t xml:space="preserve"> de cada ano, a partir da Data de Emissão, sendo o primeiro pagamento devido </w:t>
            </w:r>
            <w:r w:rsidR="00744A24" w:rsidRPr="00744A24">
              <w:rPr>
                <w:rFonts w:ascii="Arial" w:hAnsi="Arial" w:cs="Arial"/>
                <w:sz w:val="20"/>
              </w:rPr>
              <w:t xml:space="preserve">em 09 de agosto de </w:t>
            </w:r>
            <w:r w:rsidR="00744A24">
              <w:rPr>
                <w:rFonts w:ascii="Arial" w:hAnsi="Arial" w:cs="Arial"/>
                <w:sz w:val="20"/>
              </w:rPr>
              <w:t>2019</w:t>
            </w:r>
            <w:r w:rsidRPr="008D12A0">
              <w:rPr>
                <w:rFonts w:ascii="Arial" w:hAnsi="Arial" w:cs="Arial"/>
                <w:sz w:val="20"/>
              </w:rPr>
              <w:t xml:space="preserve"> e o último na Data de Vencimento (</w:t>
            </w:r>
            <w:r w:rsidR="005175AB" w:rsidRPr="008D12A0">
              <w:rPr>
                <w:rFonts w:ascii="Arial" w:hAnsi="Arial" w:cs="Arial"/>
                <w:sz w:val="20"/>
              </w:rPr>
              <w:t>“</w:t>
            </w:r>
            <w:r w:rsidRPr="008D12A0">
              <w:rPr>
                <w:rFonts w:ascii="Arial" w:hAnsi="Arial" w:cs="Arial"/>
                <w:b/>
                <w:sz w:val="20"/>
              </w:rPr>
              <w:t>Data de Pagamento da Remuneração</w:t>
            </w:r>
            <w:r w:rsidR="005175AB" w:rsidRPr="008D12A0">
              <w:rPr>
                <w:rFonts w:ascii="Arial" w:hAnsi="Arial" w:cs="Arial"/>
                <w:sz w:val="20"/>
              </w:rPr>
              <w:t>”</w:t>
            </w:r>
            <w:r w:rsidRPr="008D12A0">
              <w:rPr>
                <w:rFonts w:ascii="Arial" w:hAnsi="Arial" w:cs="Arial"/>
                <w:sz w:val="20"/>
              </w:rPr>
              <w:t>).</w:t>
            </w:r>
          </w:p>
        </w:tc>
      </w:tr>
      <w:tr w:rsidR="00B1280E" w:rsidRPr="008D12A0" w14:paraId="466F4C20" w14:textId="77777777" w:rsidTr="00B01358">
        <w:tc>
          <w:tcPr>
            <w:tcW w:w="2296" w:type="dxa"/>
            <w:tcMar>
              <w:top w:w="0" w:type="dxa"/>
              <w:left w:w="28" w:type="dxa"/>
              <w:bottom w:w="0" w:type="dxa"/>
              <w:right w:w="28" w:type="dxa"/>
            </w:tcMar>
          </w:tcPr>
          <w:p w14:paraId="6D1DEA1A"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Pagamento do Valor Nominal Unitário</w:t>
            </w:r>
          </w:p>
        </w:tc>
        <w:tc>
          <w:tcPr>
            <w:tcW w:w="6493" w:type="dxa"/>
            <w:tcMar>
              <w:top w:w="0" w:type="dxa"/>
              <w:left w:w="28" w:type="dxa"/>
              <w:bottom w:w="0" w:type="dxa"/>
              <w:right w:w="28" w:type="dxa"/>
            </w:tcMar>
          </w:tcPr>
          <w:p w14:paraId="2FAACC60" w14:textId="6AA8E46B" w:rsidR="00B1280E" w:rsidRPr="008D12A0" w:rsidRDefault="00F7026F"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Sem prejuízo dos pagamentos em decorrência do vencimento antecipado e resgate antecipado das Debêntures, nos termos da Escritura de Emissão, o saldo do Valor Nominal Unitário das Debêntures será amortizado, em </w:t>
            </w:r>
            <w:r w:rsidR="00744A24" w:rsidRPr="00744A24">
              <w:rPr>
                <w:rFonts w:ascii="Arial" w:hAnsi="Arial" w:cs="Arial"/>
                <w:sz w:val="20"/>
              </w:rPr>
              <w:t>20 (vinte)</w:t>
            </w:r>
            <w:r w:rsidRPr="008D12A0">
              <w:rPr>
                <w:rFonts w:ascii="Arial" w:hAnsi="Arial" w:cs="Arial"/>
                <w:sz w:val="20"/>
              </w:rPr>
              <w:t xml:space="preserve"> parcelas trimestrais e sucessivas, após o período de carência que se encerra no 12º mês (inclusive) contado da Data de Emissão, todo dia </w:t>
            </w:r>
            <w:r w:rsidR="00744A24" w:rsidRPr="00744A24">
              <w:rPr>
                <w:rFonts w:ascii="Arial" w:hAnsi="Arial" w:cs="Arial"/>
                <w:sz w:val="20"/>
              </w:rPr>
              <w:t>09 (nove) dos meses de maio, agosto, novembro e fevereiro</w:t>
            </w:r>
            <w:r w:rsidRPr="008D12A0">
              <w:rPr>
                <w:rFonts w:ascii="Arial" w:hAnsi="Arial" w:cs="Arial"/>
                <w:sz w:val="20"/>
              </w:rPr>
              <w:t xml:space="preserve"> de cada ano, sendo o primeiro pagamento devido em </w:t>
            </w:r>
            <w:r w:rsidR="00744A24" w:rsidRPr="00744A24">
              <w:rPr>
                <w:rFonts w:ascii="Arial" w:hAnsi="Arial" w:cs="Arial"/>
                <w:sz w:val="20"/>
              </w:rPr>
              <w:t>09 de agosto de 2020</w:t>
            </w:r>
            <w:r w:rsidRPr="008D12A0">
              <w:rPr>
                <w:rFonts w:ascii="Arial" w:hAnsi="Arial" w:cs="Arial"/>
                <w:sz w:val="20"/>
              </w:rPr>
              <w:t xml:space="preserve"> e o último na Data de Vencimento, nos percentuais e datas indicados na tabela abaixo (</w:t>
            </w:r>
            <w:r w:rsidR="005175AB" w:rsidRPr="008D12A0">
              <w:rPr>
                <w:rFonts w:ascii="Arial" w:hAnsi="Arial" w:cs="Arial"/>
                <w:sz w:val="20"/>
              </w:rPr>
              <w:t>“</w:t>
            </w:r>
            <w:r w:rsidRPr="008D12A0">
              <w:rPr>
                <w:rFonts w:ascii="Arial" w:hAnsi="Arial" w:cs="Arial"/>
                <w:b/>
                <w:sz w:val="20"/>
              </w:rPr>
              <w:t>Datas de Pagamento do Valor Nominal Unitário</w:t>
            </w:r>
            <w:r w:rsidR="005175AB" w:rsidRPr="008D12A0">
              <w:rPr>
                <w:rFonts w:ascii="Arial" w:hAnsi="Arial" w:cs="Arial"/>
                <w:sz w:val="20"/>
              </w:rPr>
              <w:t>”</w:t>
            </w:r>
            <w:r w:rsidRPr="008D12A0">
              <w:rPr>
                <w:rFonts w:ascii="Arial" w:hAnsi="Arial" w:cs="Arial"/>
                <w:sz w:val="20"/>
              </w:rPr>
              <w:t>)</w:t>
            </w:r>
          </w:p>
        </w:tc>
      </w:tr>
      <w:tr w:rsidR="00B1280E" w:rsidRPr="008D12A0" w14:paraId="3C694D1C" w14:textId="77777777" w:rsidTr="00B01358">
        <w:tc>
          <w:tcPr>
            <w:tcW w:w="2296" w:type="dxa"/>
            <w:tcMar>
              <w:top w:w="0" w:type="dxa"/>
              <w:left w:w="28" w:type="dxa"/>
              <w:bottom w:w="0" w:type="dxa"/>
              <w:right w:w="28" w:type="dxa"/>
            </w:tcMar>
          </w:tcPr>
          <w:p w14:paraId="36C84BE1"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Prazo e Data de Vencimento</w:t>
            </w:r>
          </w:p>
        </w:tc>
        <w:tc>
          <w:tcPr>
            <w:tcW w:w="6493" w:type="dxa"/>
            <w:tcMar>
              <w:top w:w="0" w:type="dxa"/>
              <w:left w:w="28" w:type="dxa"/>
              <w:bottom w:w="0" w:type="dxa"/>
              <w:right w:w="28" w:type="dxa"/>
            </w:tcMar>
          </w:tcPr>
          <w:p w14:paraId="3D13D1ED" w14:textId="0A4632C7" w:rsidR="00B1280E" w:rsidRPr="008D12A0" w:rsidRDefault="00F7026F"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As Debêntures terão prazo de 6 (seis) anos contados da Data de Emissão, de forma que vencerão no dia </w:t>
            </w:r>
            <w:r w:rsidR="00744A24" w:rsidRPr="00744A24">
              <w:rPr>
                <w:rFonts w:ascii="Arial" w:hAnsi="Arial" w:cs="Arial"/>
                <w:sz w:val="20"/>
              </w:rPr>
              <w:t>9 de maio de 2025</w:t>
            </w:r>
            <w:r w:rsidRPr="008D12A0" w:rsidDel="00037533">
              <w:rPr>
                <w:rFonts w:ascii="Arial" w:hAnsi="Arial" w:cs="Arial"/>
                <w:sz w:val="20"/>
              </w:rPr>
              <w:t xml:space="preserve"> </w:t>
            </w:r>
            <w:r w:rsidRPr="008D12A0">
              <w:rPr>
                <w:rFonts w:ascii="Arial" w:hAnsi="Arial" w:cs="Arial"/>
                <w:sz w:val="20"/>
              </w:rPr>
              <w:t>(</w:t>
            </w:r>
            <w:r w:rsidR="005175AB" w:rsidRPr="008D12A0">
              <w:rPr>
                <w:rFonts w:ascii="Arial" w:hAnsi="Arial" w:cs="Arial"/>
                <w:sz w:val="20"/>
              </w:rPr>
              <w:t>“</w:t>
            </w:r>
            <w:r w:rsidRPr="008D12A0">
              <w:rPr>
                <w:rFonts w:ascii="Arial" w:hAnsi="Arial" w:cs="Arial"/>
                <w:b/>
                <w:sz w:val="20"/>
              </w:rPr>
              <w:t>Data de Vencimento</w:t>
            </w:r>
            <w:r w:rsidR="005175AB" w:rsidRPr="008D12A0">
              <w:rPr>
                <w:rFonts w:ascii="Arial" w:hAnsi="Arial" w:cs="Arial"/>
                <w:sz w:val="20"/>
              </w:rPr>
              <w:t>”</w:t>
            </w:r>
            <w:r w:rsidRPr="008D12A0">
              <w:rPr>
                <w:rFonts w:ascii="Arial" w:hAnsi="Arial" w:cs="Arial"/>
                <w:sz w:val="20"/>
              </w:rPr>
              <w:t>), ressalvadas as hipóteses de resgate antecipado da totalidade das Debêntures ou de vencimento antecipado das obrigações decorrentes das Debêntures, nos termos previstos na Escritura de Emissão.</w:t>
            </w:r>
          </w:p>
        </w:tc>
      </w:tr>
      <w:tr w:rsidR="00B1280E" w:rsidRPr="008D12A0" w14:paraId="2A3C482B" w14:textId="77777777" w:rsidTr="00B01358">
        <w:tc>
          <w:tcPr>
            <w:tcW w:w="2296" w:type="dxa"/>
            <w:tcMar>
              <w:top w:w="0" w:type="dxa"/>
              <w:left w:w="28" w:type="dxa"/>
              <w:bottom w:w="0" w:type="dxa"/>
              <w:right w:w="28" w:type="dxa"/>
            </w:tcMar>
          </w:tcPr>
          <w:p w14:paraId="2EC0071C"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Encargos Moratórios</w:t>
            </w:r>
          </w:p>
        </w:tc>
        <w:tc>
          <w:tcPr>
            <w:tcW w:w="6493" w:type="dxa"/>
            <w:tcMar>
              <w:top w:w="0" w:type="dxa"/>
              <w:left w:w="28" w:type="dxa"/>
              <w:bottom w:w="0" w:type="dxa"/>
              <w:right w:w="28" w:type="dxa"/>
            </w:tcMar>
          </w:tcPr>
          <w:p w14:paraId="17DD9225" w14:textId="77777777" w:rsidR="00B1280E" w:rsidRPr="008D12A0" w:rsidRDefault="003702A2"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Em caso de impontualidade no pagamento de qualquer quantia devida sob as Debêntures, nos termos </w:t>
            </w:r>
            <w:r w:rsidR="00A402AC" w:rsidRPr="008D12A0">
              <w:rPr>
                <w:rFonts w:ascii="Arial" w:hAnsi="Arial" w:cs="Arial"/>
                <w:sz w:val="20"/>
              </w:rPr>
              <w:t>da</w:t>
            </w:r>
            <w:r w:rsidRPr="008D12A0">
              <w:rPr>
                <w:rFonts w:ascii="Arial" w:hAnsi="Arial" w:cs="Arial"/>
                <w:sz w:val="20"/>
              </w:rPr>
              <w:t xml:space="preserve">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005175AB" w:rsidRPr="008D12A0">
              <w:rPr>
                <w:rFonts w:ascii="Arial" w:hAnsi="Arial" w:cs="Arial"/>
                <w:sz w:val="20"/>
              </w:rPr>
              <w:t>“</w:t>
            </w:r>
            <w:r w:rsidRPr="008D12A0">
              <w:rPr>
                <w:rFonts w:ascii="Arial" w:hAnsi="Arial" w:cs="Arial"/>
                <w:b/>
                <w:sz w:val="20"/>
              </w:rPr>
              <w:t>Encargos Moratórios</w:t>
            </w:r>
            <w:r w:rsidR="005175AB" w:rsidRPr="008D12A0">
              <w:rPr>
                <w:rFonts w:ascii="Arial" w:hAnsi="Arial" w:cs="Arial"/>
                <w:sz w:val="20"/>
              </w:rPr>
              <w:t>”</w:t>
            </w:r>
            <w:r w:rsidRPr="008D12A0">
              <w:rPr>
                <w:rFonts w:ascii="Arial" w:hAnsi="Arial" w:cs="Arial"/>
                <w:sz w:val="20"/>
              </w:rPr>
              <w:t>).</w:t>
            </w:r>
          </w:p>
        </w:tc>
      </w:tr>
      <w:tr w:rsidR="00B1280E" w:rsidRPr="008D12A0" w14:paraId="3F081E2A" w14:textId="77777777" w:rsidTr="00B01358">
        <w:tc>
          <w:tcPr>
            <w:tcW w:w="2296" w:type="dxa"/>
            <w:tcMar>
              <w:top w:w="0" w:type="dxa"/>
              <w:left w:w="28" w:type="dxa"/>
              <w:bottom w:w="0" w:type="dxa"/>
              <w:right w:w="28" w:type="dxa"/>
            </w:tcMar>
          </w:tcPr>
          <w:p w14:paraId="65A97256"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Vencimento Antecipado</w:t>
            </w:r>
          </w:p>
        </w:tc>
        <w:tc>
          <w:tcPr>
            <w:tcW w:w="6493" w:type="dxa"/>
            <w:tcMar>
              <w:top w:w="0" w:type="dxa"/>
              <w:left w:w="28" w:type="dxa"/>
              <w:bottom w:w="0" w:type="dxa"/>
              <w:right w:w="28" w:type="dxa"/>
            </w:tcMar>
          </w:tcPr>
          <w:p w14:paraId="3094297B" w14:textId="77777777" w:rsidR="00B1280E" w:rsidRPr="008D12A0" w:rsidRDefault="00B1280E"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B1280E" w:rsidRPr="008D12A0" w14:paraId="1E3C95A7" w14:textId="77777777" w:rsidTr="00B01358">
        <w:tc>
          <w:tcPr>
            <w:tcW w:w="2296" w:type="dxa"/>
            <w:tcMar>
              <w:top w:w="0" w:type="dxa"/>
              <w:left w:w="28" w:type="dxa"/>
              <w:bottom w:w="0" w:type="dxa"/>
              <w:right w:w="28" w:type="dxa"/>
            </w:tcMar>
          </w:tcPr>
          <w:p w14:paraId="3579F9DD"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Resgate Antecipado Facultativo</w:t>
            </w:r>
          </w:p>
        </w:tc>
        <w:tc>
          <w:tcPr>
            <w:tcW w:w="6493" w:type="dxa"/>
            <w:tcMar>
              <w:top w:w="0" w:type="dxa"/>
              <w:left w:w="28" w:type="dxa"/>
              <w:bottom w:w="0" w:type="dxa"/>
              <w:right w:w="28" w:type="dxa"/>
            </w:tcMar>
          </w:tcPr>
          <w:p w14:paraId="23736D80" w14:textId="77777777" w:rsidR="00B1280E" w:rsidRPr="008D12A0" w:rsidRDefault="00AD6F54" w:rsidP="00A653ED">
            <w:pPr>
              <w:widowControl w:val="0"/>
              <w:autoSpaceDE w:val="0"/>
              <w:autoSpaceDN w:val="0"/>
              <w:adjustRightInd w:val="0"/>
              <w:spacing w:before="140" w:after="0" w:line="290" w:lineRule="auto"/>
              <w:rPr>
                <w:rFonts w:ascii="Arial" w:hAnsi="Arial" w:cs="Arial"/>
                <w:sz w:val="20"/>
              </w:rPr>
            </w:pPr>
            <w:bookmarkStart w:id="128" w:name="_Ref481077719"/>
            <w:bookmarkStart w:id="129" w:name="_Ref522709370"/>
            <w:r w:rsidRPr="008D12A0">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005175AB" w:rsidRPr="008D12A0">
              <w:rPr>
                <w:rFonts w:ascii="Arial" w:hAnsi="Arial" w:cs="Arial"/>
                <w:sz w:val="20"/>
              </w:rPr>
              <w:t>“</w:t>
            </w:r>
            <w:r w:rsidRPr="008D12A0">
              <w:rPr>
                <w:rFonts w:ascii="Arial" w:hAnsi="Arial" w:cs="Arial"/>
                <w:b/>
                <w:sz w:val="20"/>
              </w:rPr>
              <w:t>Resgate Antecipado Facultativo</w:t>
            </w:r>
            <w:r w:rsidR="005175AB" w:rsidRPr="008D12A0">
              <w:rPr>
                <w:rFonts w:ascii="Arial" w:hAnsi="Arial" w:cs="Arial"/>
                <w:sz w:val="20"/>
              </w:rPr>
              <w:t>”</w:t>
            </w:r>
            <w:r w:rsidRPr="008D12A0">
              <w:rPr>
                <w:rFonts w:ascii="Arial" w:hAnsi="Arial" w:cs="Arial"/>
                <w:sz w:val="20"/>
              </w:rPr>
              <w:t xml:space="preserve">), de acordo com os termos e condições previstos </w:t>
            </w:r>
            <w:bookmarkEnd w:id="128"/>
            <w:bookmarkEnd w:id="129"/>
            <w:r w:rsidRPr="008D12A0">
              <w:rPr>
                <w:rFonts w:ascii="Arial" w:hAnsi="Arial" w:cs="Arial"/>
                <w:sz w:val="20"/>
              </w:rPr>
              <w:t>na Escritura de Emissão</w:t>
            </w:r>
            <w:r w:rsidR="00BF05B5" w:rsidRPr="008D12A0">
              <w:rPr>
                <w:rFonts w:ascii="Arial" w:hAnsi="Arial" w:cs="Arial"/>
                <w:sz w:val="20"/>
              </w:rPr>
              <w:t>.</w:t>
            </w:r>
          </w:p>
        </w:tc>
      </w:tr>
      <w:tr w:rsidR="00B1280E" w:rsidRPr="008D12A0" w14:paraId="579C7AAB" w14:textId="77777777" w:rsidTr="00B01358">
        <w:tc>
          <w:tcPr>
            <w:tcW w:w="2296" w:type="dxa"/>
            <w:tcMar>
              <w:top w:w="0" w:type="dxa"/>
              <w:left w:w="28" w:type="dxa"/>
              <w:bottom w:w="0" w:type="dxa"/>
              <w:right w:w="28" w:type="dxa"/>
            </w:tcMar>
          </w:tcPr>
          <w:p w14:paraId="1545EC74"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Amortização Extraordinária Facultativa</w:t>
            </w:r>
          </w:p>
        </w:tc>
        <w:tc>
          <w:tcPr>
            <w:tcW w:w="6493" w:type="dxa"/>
            <w:tcMar>
              <w:top w:w="0" w:type="dxa"/>
              <w:left w:w="28" w:type="dxa"/>
              <w:bottom w:w="0" w:type="dxa"/>
              <w:right w:w="28" w:type="dxa"/>
            </w:tcMar>
          </w:tcPr>
          <w:p w14:paraId="368CEE3D" w14:textId="77777777" w:rsidR="00B1280E" w:rsidRPr="008D12A0" w:rsidRDefault="00BF05B5"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5175AB" w:rsidRPr="008D12A0">
              <w:rPr>
                <w:rFonts w:ascii="Arial" w:hAnsi="Arial" w:cs="Arial"/>
                <w:sz w:val="20"/>
              </w:rPr>
              <w:t>“</w:t>
            </w:r>
            <w:r w:rsidRPr="008D12A0">
              <w:rPr>
                <w:rFonts w:ascii="Arial" w:hAnsi="Arial" w:cs="Arial"/>
                <w:b/>
                <w:sz w:val="20"/>
              </w:rPr>
              <w:t>Amortização Extraordinária Facultativa</w:t>
            </w:r>
            <w:r w:rsidR="005175AB" w:rsidRPr="008D12A0">
              <w:rPr>
                <w:rFonts w:ascii="Arial" w:hAnsi="Arial" w:cs="Arial"/>
                <w:sz w:val="20"/>
              </w:rPr>
              <w:t>”</w:t>
            </w:r>
            <w:r w:rsidRPr="008D12A0">
              <w:rPr>
                <w:rFonts w:ascii="Arial" w:hAnsi="Arial" w:cs="Arial"/>
                <w:sz w:val="20"/>
              </w:rPr>
              <w:t>), de acordo com os termos e condições previstos abaixo</w:t>
            </w:r>
          </w:p>
        </w:tc>
      </w:tr>
      <w:tr w:rsidR="005E2F72" w:rsidRPr="008D12A0" w14:paraId="086361A6" w14:textId="77777777" w:rsidTr="00B01358">
        <w:tc>
          <w:tcPr>
            <w:tcW w:w="2296" w:type="dxa"/>
            <w:tcMar>
              <w:top w:w="0" w:type="dxa"/>
              <w:left w:w="28" w:type="dxa"/>
              <w:bottom w:w="0" w:type="dxa"/>
              <w:right w:w="28" w:type="dxa"/>
            </w:tcMar>
          </w:tcPr>
          <w:p w14:paraId="291ACA2A" w14:textId="77777777" w:rsidR="005E2F72" w:rsidRPr="008D12A0" w:rsidRDefault="005E2F72" w:rsidP="00744A24">
            <w:pPr>
              <w:widowControl w:val="0"/>
              <w:spacing w:before="140" w:after="0" w:line="290" w:lineRule="auto"/>
              <w:jc w:val="left"/>
              <w:rPr>
                <w:rFonts w:ascii="Arial" w:hAnsi="Arial" w:cs="Arial"/>
                <w:b/>
                <w:sz w:val="20"/>
              </w:rPr>
            </w:pPr>
            <w:r w:rsidRPr="008D12A0">
              <w:rPr>
                <w:rFonts w:ascii="Arial" w:hAnsi="Arial" w:cs="Arial"/>
                <w:b/>
                <w:sz w:val="20"/>
              </w:rPr>
              <w:t>Oferta de Resgate Antecipado Total</w:t>
            </w:r>
          </w:p>
        </w:tc>
        <w:tc>
          <w:tcPr>
            <w:tcW w:w="6493" w:type="dxa"/>
            <w:tcMar>
              <w:top w:w="0" w:type="dxa"/>
              <w:left w:w="28" w:type="dxa"/>
              <w:bottom w:w="0" w:type="dxa"/>
              <w:right w:w="28" w:type="dxa"/>
            </w:tcMar>
          </w:tcPr>
          <w:p w14:paraId="03CA7126" w14:textId="77777777" w:rsidR="005E2F72" w:rsidRPr="008D12A0" w:rsidRDefault="00C53DC4"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8D12A0">
              <w:rPr>
                <w:rFonts w:ascii="Arial" w:hAnsi="Arial" w:cs="Arial"/>
                <w:iCs/>
                <w:sz w:val="20"/>
              </w:rPr>
              <w:t xml:space="preserve">os Debenturistas, para aceitar o resgate antecipado das </w:t>
            </w:r>
            <w:r w:rsidRPr="008D12A0">
              <w:rPr>
                <w:rFonts w:ascii="Arial" w:hAnsi="Arial" w:cs="Arial"/>
                <w:sz w:val="20"/>
              </w:rPr>
              <w:t>Debêntures de que forem titulares, de acordo com os termos e condições a serem previstos na Escritura de Emissão (“</w:t>
            </w:r>
            <w:r w:rsidRPr="008D12A0">
              <w:rPr>
                <w:rFonts w:ascii="Arial" w:hAnsi="Arial" w:cs="Arial"/>
                <w:b/>
                <w:sz w:val="20"/>
              </w:rPr>
              <w:t>Oferta de Resgate Antecipado Total</w:t>
            </w:r>
            <w:r w:rsidRPr="008D12A0">
              <w:rPr>
                <w:rFonts w:ascii="Arial" w:hAnsi="Arial" w:cs="Arial"/>
                <w:sz w:val="20"/>
              </w:rPr>
              <w:t>”).</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1F09BAD" w14:textId="77777777" w:rsidR="00087C7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0017C881" w14:textId="77777777" w:rsidR="005714AE" w:rsidRPr="008D12A0" w:rsidRDefault="005714AE" w:rsidP="00A653ED">
      <w:pPr>
        <w:spacing w:before="140" w:after="0" w:line="290" w:lineRule="auto"/>
        <w:rPr>
          <w:rFonts w:ascii="Arial" w:hAnsi="Arial" w:cs="Arial"/>
          <w:sz w:val="20"/>
        </w:rPr>
      </w:pPr>
      <w:r w:rsidRPr="008D12A0">
        <w:rPr>
          <w:rFonts w:ascii="Arial" w:hAnsi="Arial" w:cs="Arial"/>
          <w:sz w:val="20"/>
        </w:rPr>
        <w:br w:type="page"/>
      </w:r>
    </w:p>
    <w:p w14:paraId="2B73B968" w14:textId="77777777" w:rsidR="005714AE" w:rsidRPr="008D12A0" w:rsidRDefault="005714AE" w:rsidP="00A653ED">
      <w:pPr>
        <w:pStyle w:val="Header"/>
        <w:widowControl w:val="0"/>
        <w:spacing w:before="140" w:after="0" w:line="290" w:lineRule="auto"/>
        <w:jc w:val="center"/>
        <w:rPr>
          <w:rFonts w:ascii="Arial" w:hAnsi="Arial" w:cs="Arial"/>
          <w:b/>
          <w:bCs/>
          <w:sz w:val="20"/>
        </w:rPr>
      </w:pPr>
      <w:r w:rsidRPr="008D12A0">
        <w:rPr>
          <w:rFonts w:ascii="Arial" w:hAnsi="Arial" w:cs="Arial"/>
          <w:b/>
          <w:bCs/>
          <w:sz w:val="20"/>
        </w:rPr>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275F7293" w:rsidR="005714AE" w:rsidRPr="008D12A0" w:rsidRDefault="005714AE" w:rsidP="00A653ED">
      <w:pPr>
        <w:pStyle w:val="Parties"/>
        <w:widowControl w:val="0"/>
        <w:numPr>
          <w:ilvl w:val="0"/>
          <w:numId w:val="0"/>
        </w:numPr>
        <w:spacing w:before="140" w:after="0"/>
      </w:pPr>
      <w:bookmarkStart w:id="130"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1ª (primeira)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3926BA" w:rsidRPr="008D12A0">
        <w:rPr>
          <w:i/>
        </w:rPr>
        <w:t>Instrumento Particular de Cessão de Créditos Imobiliários e Outras Avenças</w:t>
      </w:r>
      <w:r w:rsidRPr="008D12A0">
        <w:t xml:space="preserve">” celebrado em </w:t>
      </w:r>
      <w:r w:rsidR="003926BA" w:rsidRPr="008D12A0">
        <w:rPr>
          <w:highlight w:val="yellow"/>
        </w:rPr>
        <w:t>[</w:t>
      </w:r>
      <w:r w:rsidR="003926BA" w:rsidRPr="008D12A0">
        <w:rPr>
          <w:highlight w:val="yellow"/>
        </w:rPr>
        <w:sym w:font="Symbol" w:char="F0B7"/>
      </w:r>
      <w:r w:rsidR="003926BA" w:rsidRPr="008D12A0">
        <w:rPr>
          <w:highlight w:val="yellow"/>
        </w:rPr>
        <w:t>]</w:t>
      </w:r>
      <w:r w:rsidRPr="008D12A0">
        <w:t xml:space="preserve"> de </w:t>
      </w:r>
      <w:r w:rsidR="003926BA" w:rsidRPr="008D12A0">
        <w:t>maio de 2019</w:t>
      </w:r>
      <w:r w:rsidRPr="008D12A0">
        <w:t xml:space="preserve"> </w:t>
      </w:r>
      <w:r w:rsidR="003926BA" w:rsidRPr="008D12A0">
        <w:t>(</w:t>
      </w:r>
      <w:r w:rsidRPr="008D12A0">
        <w:t>“</w:t>
      </w:r>
      <w:r w:rsidR="003926BA" w:rsidRPr="008D12A0">
        <w:rPr>
          <w:b/>
        </w:rPr>
        <w:t>C</w:t>
      </w:r>
      <w:r w:rsidRPr="008D12A0">
        <w:rPr>
          <w:b/>
        </w:rPr>
        <w:t>ontrato</w:t>
      </w:r>
      <w:r w:rsidRPr="008D12A0">
        <w:t>”)</w:t>
      </w:r>
      <w:bookmarkStart w:id="131" w:name="_DV_X410"/>
      <w:bookmarkStart w:id="132" w:name="_DV_C2001"/>
      <w:bookmarkEnd w:id="130"/>
      <w:r w:rsidRPr="008D12A0">
        <w:t>, seu bastante procurador</w:t>
      </w:r>
      <w:bookmarkStart w:id="133" w:name="_DV_C2002"/>
      <w:bookmarkEnd w:id="131"/>
      <w:bookmarkEnd w:id="132"/>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3"/>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na</w:t>
      </w:r>
      <w:proofErr w:type="gramEnd"/>
      <w:r w:rsidRPr="008D12A0">
        <w:rPr>
          <w:rFonts w:cs="Arial"/>
        </w:rPr>
        <w:t xml:space="preserve">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efetuar</w:t>
      </w:r>
      <w:proofErr w:type="gramEnd"/>
      <w:r w:rsidRPr="008D12A0">
        <w:rPr>
          <w:rFonts w:cs="Arial"/>
        </w:rPr>
        <w:t xml:space="preserve">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446DAB8C"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w:t>
      </w:r>
      <w:r w:rsidR="00680BF3">
        <w:rPr>
          <w:rFonts w:cs="Arial"/>
        </w:rPr>
        <w:t>competente</w:t>
      </w:r>
      <w:r w:rsidRPr="008D12A0">
        <w:rPr>
          <w:rFonts w:cs="Arial"/>
        </w:rPr>
        <w:t>l, Cartórios de Registro de Títulos e Documentos, Banco Central do Brasil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assinar</w:t>
      </w:r>
      <w:proofErr w:type="gramEnd"/>
      <w:r w:rsidRPr="008D12A0">
        <w:rPr>
          <w:rFonts w:cs="Arial"/>
        </w:rPr>
        <w:t xml:space="preserve">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proceder</w:t>
      </w:r>
      <w:proofErr w:type="gramEnd"/>
      <w:r w:rsidRPr="008D12A0">
        <w:rPr>
          <w:rFonts w:cs="Arial"/>
        </w:rPr>
        <w:t xml:space="preserve">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praticar</w:t>
      </w:r>
      <w:proofErr w:type="gramEnd"/>
      <w:r w:rsidRPr="008D12A0">
        <w:rPr>
          <w:rFonts w:cs="Arial"/>
        </w:rPr>
        <w:t xml:space="preserve">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praticar</w:t>
      </w:r>
      <w:proofErr w:type="gramEnd"/>
      <w:r w:rsidRPr="008D12A0">
        <w:rPr>
          <w:rFonts w:cs="Arial"/>
        </w:rPr>
        <w:t xml:space="preserve">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ter</w:t>
      </w:r>
      <w:proofErr w:type="gramEnd"/>
      <w:r w:rsidRPr="008D12A0">
        <w:rPr>
          <w:rFonts w:cs="Arial"/>
        </w:rPr>
        <w:t xml:space="preserve">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200FC5E9"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movimentar</w:t>
      </w:r>
      <w:proofErr w:type="gramEnd"/>
      <w:r w:rsidRPr="008D12A0">
        <w:rPr>
          <w:rFonts w:cs="Arial"/>
        </w:rPr>
        <w:t xml:space="preserve"> a Conta Vinculada, mediante envio de notificação ao Banco Administrador, nos termos do Contrato; e </w:t>
      </w:r>
    </w:p>
    <w:p w14:paraId="1D66E96F" w14:textId="7ECF271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na</w:t>
      </w:r>
      <w:proofErr w:type="gramEnd"/>
      <w:r w:rsidRPr="008D12A0">
        <w:rPr>
          <w:rFonts w:cs="Arial"/>
        </w:rPr>
        <w:t xml:space="preserve"> eventual declaração do vencimento antecipado ou no vencimento final sem que as Obrigalções Garantidas tenham sido quitadas, assinar quaisquer aditamentos, nos termos permitidos no Contrato, caso a </w:t>
      </w:r>
      <w:r w:rsidR="00680BF3">
        <w:rPr>
          <w:rFonts w:cs="Arial"/>
        </w:rPr>
        <w:t>Cedente</w:t>
      </w:r>
      <w:r w:rsidRPr="008D12A0">
        <w:rPr>
          <w:rFonts w:cs="Arial"/>
        </w:rPr>
        <w:t xml:space="preserve"> não o faça nos termos e prazos previstos no Contrato.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2BD443E8"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será regida e interpretada em conformidade com as leis da República Federativa do Brasil.</w:t>
      </w:r>
    </w:p>
    <w:p w14:paraId="04491501" w14:textId="5AD3CF99" w:rsidR="005714AE" w:rsidRPr="008D12A0" w:rsidRDefault="005714AE" w:rsidP="00C9586E">
      <w:pPr>
        <w:widowControl w:val="0"/>
        <w:spacing w:before="140" w:after="0" w:line="290" w:lineRule="auto"/>
        <w:jc w:val="center"/>
        <w:rPr>
          <w:rFonts w:ascii="Arial" w:hAnsi="Arial" w:cs="Arial"/>
          <w:sz w:val="20"/>
        </w:rPr>
      </w:pPr>
      <w:r w:rsidRPr="008D12A0">
        <w:rPr>
          <w:rFonts w:ascii="Arial" w:hAnsi="Arial" w:cs="Arial"/>
          <w:sz w:val="20"/>
        </w:rPr>
        <w:t>São Paulo, [</w:t>
      </w:r>
      <w:r w:rsidRPr="008D12A0">
        <w:rPr>
          <w:rFonts w:ascii="Arial" w:hAnsi="Arial" w:cs="Arial"/>
          <w:sz w:val="20"/>
        </w:rPr>
        <w:sym w:font="Symbol" w:char="F0B7"/>
      </w:r>
      <w:r w:rsidRPr="008D12A0">
        <w:rPr>
          <w:rFonts w:ascii="Arial" w:hAnsi="Arial" w:cs="Arial"/>
          <w:sz w:val="20"/>
        </w:rPr>
        <w:t xml:space="preserve">] de </w:t>
      </w:r>
      <w:r w:rsidR="00715020">
        <w:rPr>
          <w:rFonts w:ascii="Arial" w:hAnsi="Arial" w:cs="Arial"/>
          <w:sz w:val="20"/>
        </w:rPr>
        <w:t>maio</w:t>
      </w:r>
      <w:r w:rsidR="00715020" w:rsidRPr="008D12A0">
        <w:rPr>
          <w:rFonts w:ascii="Arial" w:hAnsi="Arial" w:cs="Arial"/>
          <w:sz w:val="20"/>
        </w:rPr>
        <w:t xml:space="preserve"> </w:t>
      </w:r>
      <w:r w:rsidRPr="008D12A0">
        <w:rPr>
          <w:rFonts w:ascii="Arial" w:hAnsi="Arial" w:cs="Arial"/>
          <w:sz w:val="20"/>
        </w:rPr>
        <w:t xml:space="preserve">de </w:t>
      </w:r>
      <w:r w:rsidR="00715020">
        <w:rPr>
          <w:rFonts w:ascii="Arial" w:hAnsi="Arial" w:cs="Arial"/>
          <w:sz w:val="20"/>
        </w:rPr>
        <w:t>2019</w:t>
      </w:r>
      <w:r w:rsidRPr="008D12A0">
        <w:rPr>
          <w:rFonts w:ascii="Arial" w:hAnsi="Arial" w:cs="Arial"/>
          <w:sz w:val="20"/>
        </w:rPr>
        <w:t>.</w:t>
      </w:r>
    </w:p>
    <w:p w14:paraId="28F9A09F" w14:textId="77777777" w:rsidR="00C9586E" w:rsidRPr="0045539C" w:rsidRDefault="00C9586E" w:rsidP="00C9586E">
      <w:pPr>
        <w:widowControl w:val="0"/>
        <w:tabs>
          <w:tab w:val="left" w:pos="2366"/>
        </w:tabs>
        <w:spacing w:before="140" w:line="290" w:lineRule="auto"/>
        <w:jc w:val="center"/>
        <w:rPr>
          <w:rFonts w:ascii="Arial" w:hAnsi="Arial" w:cs="Arial"/>
          <w:smallCaps/>
          <w:sz w:val="20"/>
        </w:rPr>
      </w:pPr>
    </w:p>
    <w:p w14:paraId="0B93C4D6" w14:textId="77777777" w:rsidR="00C9586E" w:rsidRPr="0045539C" w:rsidRDefault="00C9586E" w:rsidP="00AD4E75">
      <w:pPr>
        <w:pStyle w:val="para"/>
      </w:pPr>
      <w:r w:rsidRPr="0045539C">
        <w:t>ATAKAREJO DISTRIBUIDOR DE ALIMENTOS E BEBIDAS S.A.</w:t>
      </w:r>
    </w:p>
    <w:p w14:paraId="3EF30DC0" w14:textId="77777777" w:rsidR="00C9586E" w:rsidRPr="0045539C" w:rsidRDefault="00C9586E" w:rsidP="00AD4E75">
      <w:pPr>
        <w:pStyle w:val="para"/>
      </w:pPr>
    </w:p>
    <w:p w14:paraId="0D634795" w14:textId="77777777" w:rsidR="00C9586E" w:rsidRPr="0045539C" w:rsidRDefault="00C9586E"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C9586E" w:rsidRPr="0045539C" w14:paraId="0A530574" w14:textId="77777777" w:rsidTr="009C0D90">
        <w:tc>
          <w:tcPr>
            <w:tcW w:w="4489" w:type="dxa"/>
          </w:tcPr>
          <w:p w14:paraId="34BDE7E3"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7475B140"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 xml:space="preserve">Nome: </w:t>
            </w:r>
          </w:p>
          <w:p w14:paraId="621DD085"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 xml:space="preserve">Cargo: </w:t>
            </w:r>
          </w:p>
        </w:tc>
        <w:tc>
          <w:tcPr>
            <w:tcW w:w="4761" w:type="dxa"/>
          </w:tcPr>
          <w:p w14:paraId="2CD56A4A"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125B68E9"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Nome:</w:t>
            </w:r>
          </w:p>
          <w:p w14:paraId="57D465D2"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Cargo:</w:t>
            </w:r>
          </w:p>
        </w:tc>
      </w:tr>
    </w:tbl>
    <w:p w14:paraId="4CC2CB2F" w14:textId="77777777" w:rsidR="005714AE" w:rsidRPr="008D12A0" w:rsidRDefault="005714AE" w:rsidP="00A653ED">
      <w:pPr>
        <w:widowControl w:val="0"/>
        <w:spacing w:before="140" w:after="0" w:line="290" w:lineRule="auto"/>
        <w:rPr>
          <w:rFonts w:ascii="Arial" w:hAnsi="Arial" w:cs="Arial"/>
          <w:sz w:val="20"/>
        </w:rPr>
      </w:pPr>
    </w:p>
    <w:p w14:paraId="67F99CA5" w14:textId="77777777" w:rsidR="005714AE" w:rsidRPr="008D12A0" w:rsidRDefault="005714AE" w:rsidP="00A653ED">
      <w:pPr>
        <w:widowControl w:val="0"/>
        <w:spacing w:before="140" w:after="0" w:line="290" w:lineRule="auto"/>
        <w:rPr>
          <w:rFonts w:ascii="Arial" w:hAnsi="Arial" w:cs="Arial"/>
          <w:sz w:val="20"/>
        </w:rPr>
      </w:pPr>
    </w:p>
    <w:p w14:paraId="0E15D1D5" w14:textId="77777777" w:rsidR="005714AE" w:rsidRPr="008D12A0" w:rsidRDefault="005714AE" w:rsidP="00A653ED">
      <w:pPr>
        <w:pStyle w:val="Level3"/>
        <w:widowControl w:val="0"/>
        <w:numPr>
          <w:ilvl w:val="0"/>
          <w:numId w:val="0"/>
        </w:numPr>
        <w:spacing w:before="140" w:after="0"/>
      </w:pPr>
    </w:p>
    <w:p w14:paraId="6F7B1C96" w14:textId="77777777" w:rsidR="00B1280E" w:rsidRPr="008D12A0" w:rsidRDefault="00B1280E" w:rsidP="00A653ED">
      <w:pPr>
        <w:widowControl w:val="0"/>
        <w:spacing w:before="140" w:after="0" w:line="290" w:lineRule="auto"/>
        <w:rPr>
          <w:rFonts w:ascii="Arial" w:hAnsi="Arial" w:cs="Arial"/>
          <w:sz w:val="20"/>
        </w:rPr>
      </w:pPr>
    </w:p>
    <w:p w14:paraId="6104904A" w14:textId="77777777" w:rsidR="005544E9" w:rsidRPr="008D12A0" w:rsidRDefault="005544E9" w:rsidP="00A653ED">
      <w:pPr>
        <w:widowControl w:val="0"/>
        <w:spacing w:before="140" w:after="0" w:line="290" w:lineRule="auto"/>
        <w:rPr>
          <w:rFonts w:ascii="Arial" w:hAnsi="Arial" w:cs="Arial"/>
          <w:sz w:val="20"/>
        </w:rPr>
      </w:pPr>
    </w:p>
    <w:sectPr w:rsidR="005544E9" w:rsidRPr="008D12A0" w:rsidSect="006956DC">
      <w:footerReference w:type="default" r:id="rId18"/>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8A02B" w14:textId="77777777" w:rsidR="00B87160" w:rsidRDefault="00B87160">
      <w:r>
        <w:separator/>
      </w:r>
    </w:p>
    <w:p w14:paraId="03658743" w14:textId="77777777" w:rsidR="00B87160" w:rsidRDefault="00B87160"/>
  </w:endnote>
  <w:endnote w:type="continuationSeparator" w:id="0">
    <w:p w14:paraId="2BE17FF6" w14:textId="77777777" w:rsidR="00B87160" w:rsidRDefault="00B87160">
      <w:r>
        <w:continuationSeparator/>
      </w:r>
    </w:p>
    <w:p w14:paraId="04F6C023" w14:textId="77777777" w:rsidR="00B87160" w:rsidRDefault="00B87160"/>
  </w:endnote>
  <w:endnote w:type="continuationNotice" w:id="1">
    <w:p w14:paraId="69920F89" w14:textId="77777777" w:rsidR="00B87160" w:rsidRDefault="00B87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0831DA6D" w14:textId="31C23593" w:rsidR="00B87160" w:rsidRPr="00C10C12" w:rsidRDefault="00B87160"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sidR="00387732">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08088FE1" w:rsidR="00B87160" w:rsidRPr="00C10C12" w:rsidRDefault="00B87160" w:rsidP="007C1414">
        <w:pPr>
          <w:pStyle w:val="Footer"/>
          <w:jc w:val="left"/>
          <w:rPr>
            <w:color w:val="FFFFFF" w:themeColor="background1"/>
            <w:sz w:val="20"/>
          </w:rPr>
        </w:pPr>
        <w:r w:rsidRPr="00C10C12">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48841"/>
      <w:docPartObj>
        <w:docPartGallery w:val="Page Numbers (Bottom of Page)"/>
        <w:docPartUnique/>
      </w:docPartObj>
    </w:sdtPr>
    <w:sdtEndPr>
      <w:rPr>
        <w:noProof/>
        <w:sz w:val="20"/>
      </w:rPr>
    </w:sdtEndPr>
    <w:sdtContent>
      <w:p w14:paraId="4E42372D" w14:textId="77777777" w:rsidR="00B87160" w:rsidRPr="008028CD" w:rsidRDefault="00B87160" w:rsidP="00B01358">
        <w:pPr>
          <w:pStyle w:val="Footer"/>
          <w:jc w:val="center"/>
          <w:rPr>
            <w:sz w:val="20"/>
          </w:rPr>
        </w:pPr>
        <w:r>
          <w:fldChar w:fldCharType="begin"/>
        </w:r>
        <w:r w:rsidRPr="000F4989">
          <w:instrText xml:space="preserve"> PAGE   \* MERGEFORMAT </w:instrText>
        </w:r>
        <w:r>
          <w:fldChar w:fldCharType="separate"/>
        </w:r>
        <w:r w:rsidR="00387732" w:rsidRPr="00387732">
          <w:rPr>
            <w:noProof/>
            <w:sz w:val="20"/>
          </w:rPr>
          <w:t>1</w:t>
        </w:r>
        <w:r>
          <w:rPr>
            <w:noProof/>
            <w:sz w:val="20"/>
          </w:rPr>
          <w:fldChar w:fldCharType="end"/>
        </w:r>
      </w:p>
    </w:sdtContent>
  </w:sdt>
  <w:p w14:paraId="5D4B8792" w14:textId="77777777" w:rsidR="00B87160" w:rsidRDefault="00B87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22504"/>
      <w:docPartObj>
        <w:docPartGallery w:val="Page Numbers (Bottom of Page)"/>
        <w:docPartUnique/>
      </w:docPartObj>
    </w:sdtPr>
    <w:sdtEndPr>
      <w:rPr>
        <w:noProof/>
      </w:rPr>
    </w:sdtEndPr>
    <w:sdtContent>
      <w:p w14:paraId="3DD8A5F5" w14:textId="77777777" w:rsidR="00B87160" w:rsidRDefault="00B87160">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387732">
          <w:rPr>
            <w:rFonts w:ascii="Arial" w:hAnsi="Arial" w:cs="Arial"/>
            <w:noProof/>
            <w:sz w:val="20"/>
          </w:rPr>
          <w:t>19</w:t>
        </w:r>
        <w:r w:rsidRPr="009243D5">
          <w:rPr>
            <w:rFonts w:ascii="Arial" w:hAnsi="Arial" w:cs="Arial"/>
            <w:noProof/>
            <w:sz w:val="20"/>
          </w:rPr>
          <w:fldChar w:fldCharType="end"/>
        </w:r>
      </w:p>
    </w:sdtContent>
  </w:sdt>
  <w:p w14:paraId="3B636E23" w14:textId="77777777" w:rsidR="00B87160" w:rsidRPr="00A55831" w:rsidRDefault="00B87160" w:rsidP="00A55831">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5FD9" w14:textId="77777777" w:rsidR="00B87160" w:rsidRDefault="00B87160">
      <w:r>
        <w:separator/>
      </w:r>
    </w:p>
    <w:p w14:paraId="2A49D22A" w14:textId="77777777" w:rsidR="00B87160" w:rsidRDefault="00B87160"/>
  </w:footnote>
  <w:footnote w:type="continuationSeparator" w:id="0">
    <w:p w14:paraId="25D7198E" w14:textId="77777777" w:rsidR="00B87160" w:rsidRDefault="00B87160">
      <w:r>
        <w:continuationSeparator/>
      </w:r>
    </w:p>
    <w:p w14:paraId="47FC2A23" w14:textId="77777777" w:rsidR="00B87160" w:rsidRDefault="00B87160"/>
  </w:footnote>
  <w:footnote w:type="continuationNotice" w:id="1">
    <w:p w14:paraId="2640EB64" w14:textId="77777777" w:rsidR="00B87160" w:rsidRDefault="00B871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78C3" w14:textId="5207A56A" w:rsidR="00B87160" w:rsidRPr="00D37DAF" w:rsidRDefault="00B87160" w:rsidP="00D37DAF">
    <w:pPr>
      <w:pStyle w:val="Header"/>
      <w:jc w:val="right"/>
      <w:rPr>
        <w:rFonts w:ascii="Arial" w:hAnsi="Arial"/>
        <w:b/>
        <w:sz w:val="20"/>
      </w:rPr>
    </w:pPr>
    <w:r>
      <w:rPr>
        <w:rFonts w:ascii="Arial" w:hAnsi="Arial"/>
        <w:b/>
        <w:sz w:val="20"/>
      </w:rPr>
      <w:t xml:space="preserve">Minuta Lefosse </w:t>
    </w:r>
    <w:r w:rsidR="00F02BFB">
      <w:rPr>
        <w:rFonts w:ascii="Arial" w:hAnsi="Arial"/>
        <w:b/>
        <w:sz w:val="20"/>
      </w:rPr>
      <w:t>13</w:t>
    </w:r>
    <w:r>
      <w:rPr>
        <w:rFonts w:ascii="Arial" w:hAnsi="Arial"/>
        <w:b/>
        <w:sz w:val="20"/>
      </w:rPr>
      <w:t>.05.19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7A65" w14:textId="77777777" w:rsidR="00B87160" w:rsidRDefault="00B87160" w:rsidP="00B013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DCC2892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6"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7"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8"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8"/>
  </w:num>
  <w:num w:numId="8">
    <w:abstractNumId w:val="6"/>
  </w:num>
  <w:num w:numId="9">
    <w:abstractNumId w:val="2"/>
  </w:num>
  <w:num w:numId="10">
    <w:abstractNumId w:val="0"/>
  </w:num>
  <w:num w:numId="11">
    <w:abstractNumId w:val="0"/>
  </w:num>
  <w:num w:numId="12">
    <w:abstractNumId w:val="3"/>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4"/>
  </w:num>
  <w:num w:numId="35">
    <w:abstractNumId w:val="0"/>
  </w:num>
  <w:num w:numId="36">
    <w:abstractNumId w:val="9"/>
  </w:num>
  <w:num w:numId="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C24"/>
    <w:rsid w:val="00003809"/>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6543"/>
    <w:rsid w:val="00086DF6"/>
    <w:rsid w:val="00086EC1"/>
    <w:rsid w:val="00087C7E"/>
    <w:rsid w:val="00087D59"/>
    <w:rsid w:val="00087F20"/>
    <w:rsid w:val="00090030"/>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6FB1"/>
    <w:rsid w:val="000B79CB"/>
    <w:rsid w:val="000C05F1"/>
    <w:rsid w:val="000C0BC1"/>
    <w:rsid w:val="000C0FB3"/>
    <w:rsid w:val="000C1DDF"/>
    <w:rsid w:val="000C2724"/>
    <w:rsid w:val="000C2D2D"/>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60B"/>
    <w:rsid w:val="001162AA"/>
    <w:rsid w:val="001179F5"/>
    <w:rsid w:val="001201CA"/>
    <w:rsid w:val="00121474"/>
    <w:rsid w:val="00121537"/>
    <w:rsid w:val="00121A8B"/>
    <w:rsid w:val="0012248D"/>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F72"/>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133"/>
    <w:rsid w:val="0032343C"/>
    <w:rsid w:val="00323813"/>
    <w:rsid w:val="00323AEF"/>
    <w:rsid w:val="0032417C"/>
    <w:rsid w:val="00324435"/>
    <w:rsid w:val="003247AE"/>
    <w:rsid w:val="00324DF7"/>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F23"/>
    <w:rsid w:val="0040352B"/>
    <w:rsid w:val="004042D8"/>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323A"/>
    <w:rsid w:val="00524F34"/>
    <w:rsid w:val="005257AE"/>
    <w:rsid w:val="00525BFF"/>
    <w:rsid w:val="0052626D"/>
    <w:rsid w:val="0052656F"/>
    <w:rsid w:val="005267BB"/>
    <w:rsid w:val="00526EB4"/>
    <w:rsid w:val="00527117"/>
    <w:rsid w:val="0052731B"/>
    <w:rsid w:val="005276F9"/>
    <w:rsid w:val="00527717"/>
    <w:rsid w:val="0052797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2F3E"/>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884"/>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ED2"/>
    <w:rsid w:val="006D5140"/>
    <w:rsid w:val="006D52B0"/>
    <w:rsid w:val="006D5499"/>
    <w:rsid w:val="006D567E"/>
    <w:rsid w:val="006D58F6"/>
    <w:rsid w:val="006D5DFB"/>
    <w:rsid w:val="006D5E12"/>
    <w:rsid w:val="006D693F"/>
    <w:rsid w:val="006D6ADC"/>
    <w:rsid w:val="006D6C4B"/>
    <w:rsid w:val="006D7B11"/>
    <w:rsid w:val="006D7F6D"/>
    <w:rsid w:val="006E05C4"/>
    <w:rsid w:val="006E0622"/>
    <w:rsid w:val="006E0D87"/>
    <w:rsid w:val="006E1BA0"/>
    <w:rsid w:val="006E1E72"/>
    <w:rsid w:val="006E22EA"/>
    <w:rsid w:val="006E410F"/>
    <w:rsid w:val="006E4521"/>
    <w:rsid w:val="006E45D8"/>
    <w:rsid w:val="006E4833"/>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DDA"/>
    <w:rsid w:val="00714FC4"/>
    <w:rsid w:val="00715020"/>
    <w:rsid w:val="007162E3"/>
    <w:rsid w:val="007163ED"/>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4C3"/>
    <w:rsid w:val="007D6729"/>
    <w:rsid w:val="007D7AE7"/>
    <w:rsid w:val="007E02AD"/>
    <w:rsid w:val="007E0DF8"/>
    <w:rsid w:val="007E22D2"/>
    <w:rsid w:val="007E2820"/>
    <w:rsid w:val="007E294C"/>
    <w:rsid w:val="007E2E1A"/>
    <w:rsid w:val="007E398D"/>
    <w:rsid w:val="007E432C"/>
    <w:rsid w:val="007E5425"/>
    <w:rsid w:val="007E5548"/>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324"/>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3FF9"/>
    <w:rsid w:val="00894D4E"/>
    <w:rsid w:val="00894E41"/>
    <w:rsid w:val="00895B6E"/>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37"/>
    <w:rsid w:val="009B5BC8"/>
    <w:rsid w:val="009B6834"/>
    <w:rsid w:val="009B6D1D"/>
    <w:rsid w:val="009B6E6A"/>
    <w:rsid w:val="009B73F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755"/>
    <w:rsid w:val="00A72AF9"/>
    <w:rsid w:val="00A72B3D"/>
    <w:rsid w:val="00A731CC"/>
    <w:rsid w:val="00A73CD7"/>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A018B"/>
    <w:rsid w:val="00BA0510"/>
    <w:rsid w:val="00BA08CB"/>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2052"/>
    <w:rsid w:val="00C5355E"/>
    <w:rsid w:val="00C53DC4"/>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521"/>
    <w:rsid w:val="00D2173F"/>
    <w:rsid w:val="00D21A27"/>
    <w:rsid w:val="00D22403"/>
    <w:rsid w:val="00D225CC"/>
    <w:rsid w:val="00D22C9E"/>
    <w:rsid w:val="00D236F3"/>
    <w:rsid w:val="00D23993"/>
    <w:rsid w:val="00D23D5C"/>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5657"/>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171"/>
    <w:rsid w:val="00D93997"/>
    <w:rsid w:val="00D94054"/>
    <w:rsid w:val="00D9445F"/>
    <w:rsid w:val="00D947F9"/>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26F"/>
    <w:rsid w:val="00F706BD"/>
    <w:rsid w:val="00F70E78"/>
    <w:rsid w:val="00F715D0"/>
    <w:rsid w:val="00F71D40"/>
    <w:rsid w:val="00F72014"/>
    <w:rsid w:val="00F72284"/>
    <w:rsid w:val="00F72498"/>
    <w:rsid w:val="00F72AE8"/>
    <w:rsid w:val="00F73581"/>
    <w:rsid w:val="00F73B46"/>
    <w:rsid w:val="00F7444D"/>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449D"/>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uiPriority w:val="99"/>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uiPriority w:val="99"/>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uiPriority w:val="99"/>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uiPriority w:val="99"/>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uiPriority w:val="99"/>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uiPriority w:val="99"/>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91401A5A-298E-4F4A-A331-8CFDE5E176BF}">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4.xml><?xml version="1.0" encoding="utf-8"?>
<ds:datastoreItem xmlns:ds="http://schemas.openxmlformats.org/officeDocument/2006/customXml" ds:itemID="{6F26427B-CEB7-4D59-9FBA-49B02C5EAC5D}">
  <ds:schemaRefs>
    <ds:schemaRef ds:uri="office.server.policy"/>
  </ds:schemaRefs>
</ds:datastoreItem>
</file>

<file path=customXml/itemProps5.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963FCE-A25A-4575-9DD9-6ED7812A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11546</Words>
  <Characters>67939</Characters>
  <Application>Microsoft Office Word</Application>
  <DocSecurity>0</DocSecurity>
  <Lines>1258</Lines>
  <Paragraphs>380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79105</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4</cp:revision>
  <cp:lastPrinted>2019-04-09T19:49:00Z</cp:lastPrinted>
  <dcterms:created xsi:type="dcterms:W3CDTF">2019-05-14T00:48:00Z</dcterms:created>
  <dcterms:modified xsi:type="dcterms:W3CDTF">2019-05-14T00:57:00Z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ies>
</file>