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F5266">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7BDDE00D"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w:t>
      </w:r>
      <w:bookmarkStart w:id="0" w:name="_GoBack"/>
      <w:bookmarkEnd w:id="0"/>
      <w:r w:rsidRPr="00121FA8">
        <w:t>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1" w:name="_Hlk43395712"/>
      <w:r w:rsidR="0060012F" w:rsidRPr="0045539C">
        <w:rPr>
          <w:i/>
        </w:rPr>
        <w:t>Atakarejo Distribuidor de Alimentos e Bebidas S.A.</w:t>
      </w:r>
      <w:bookmarkEnd w:id="1"/>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5D2A7819"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7C49D6">
        <w:t xml:space="preserve">em processo de obtenção de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52C2A4FC"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1D6C935E"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695E3F28" w:rsidR="000A1C2B" w:rsidRPr="0096549F" w:rsidRDefault="0003420C">
      <w:pPr>
        <w:pStyle w:val="Level2"/>
        <w:widowControl w:val="0"/>
        <w:spacing w:before="140" w:after="0"/>
        <w:rPr>
          <w:rFonts w:cs="Arial"/>
          <w:szCs w:val="20"/>
        </w:rPr>
      </w:pPr>
      <w:bookmarkStart w:id="4" w:name="_Ref535163866"/>
      <w:bookmarkStart w:id="5"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4"/>
      <w:r w:rsidR="000A1C2B" w:rsidRPr="0045539C">
        <w:t xml:space="preserve"> </w:t>
      </w:r>
      <w:bookmarkEnd w:id="5"/>
    </w:p>
    <w:p w14:paraId="0854CC8A" w14:textId="77777777" w:rsidR="008466A8" w:rsidRPr="0045539C" w:rsidRDefault="009945DA">
      <w:pPr>
        <w:pStyle w:val="Level1"/>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w:t>
      </w:r>
      <w:r w:rsidR="00A955FE">
        <w:rPr>
          <w:rFonts w:eastAsia="Arial"/>
          <w:szCs w:val="28"/>
          <w:lang w:eastAsia="en-GB"/>
        </w:rPr>
        <w:lastRenderedPageBreak/>
        <w:t>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20"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0"/>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1"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1"/>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607A9FF8" w14:textId="072176E8"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xml:space="preserve">, (ii)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r w:rsidR="00572881">
        <w:t>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r w:rsidRPr="00984F72">
        <w:rPr>
          <w:b/>
          <w:bCs/>
          <w:highlight w:val="yellow"/>
        </w:rPr>
        <w:t>[NOTA LEFOSSE: CIA, FAVOR CONFIRMAR SE A JUCEB ESTÁ PRESTANDO OS SERVIÇOS REGULARES PARA FINS DE REGISTRO DE ATAS]</w:t>
      </w:r>
    </w:p>
    <w:p w14:paraId="4D3BA070" w14:textId="0089ED04" w:rsidR="008466A8" w:rsidRPr="0045539C" w:rsidRDefault="00785FBF">
      <w:pPr>
        <w:pStyle w:val="Level2"/>
        <w:widowControl w:val="0"/>
        <w:spacing w:before="140" w:after="0"/>
        <w:rPr>
          <w:rFonts w:cs="Arial"/>
          <w:b/>
          <w:szCs w:val="20"/>
        </w:rPr>
      </w:pPr>
      <w:bookmarkStart w:id="22" w:name="_Ref440286795"/>
      <w:bookmarkStart w:id="23" w:name="_Ref435651343"/>
      <w:bookmarkStart w:id="24" w:name="_Ref508981152"/>
      <w:bookmarkStart w:id="2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
      <w:r w:rsidR="008466A8" w:rsidRPr="0045539C">
        <w:rPr>
          <w:rFonts w:cs="Arial"/>
          <w:b/>
          <w:szCs w:val="20"/>
        </w:rPr>
        <w:t xml:space="preserve"> </w:t>
      </w:r>
      <w:bookmarkEnd w:id="23"/>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4"/>
      <w:bookmarkEnd w:id="25"/>
    </w:p>
    <w:p w14:paraId="6D0BCA4F" w14:textId="07374826" w:rsidR="00D50864" w:rsidRPr="0045539C" w:rsidRDefault="000C2DF6">
      <w:pPr>
        <w:pStyle w:val="Level3"/>
        <w:widowControl w:val="0"/>
        <w:spacing w:before="140" w:after="0"/>
        <w:rPr>
          <w:b/>
          <w:szCs w:val="20"/>
        </w:rPr>
      </w:pPr>
      <w:bookmarkStart w:id="26" w:name="_Ref498605952"/>
      <w:bookmarkStart w:id="2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18C959C"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6"/>
      <w:r w:rsidR="009B140A" w:rsidRPr="0045539C">
        <w:rPr>
          <w:szCs w:val="20"/>
        </w:rPr>
        <w:t xml:space="preserve"> </w:t>
      </w:r>
      <w:r w:rsidR="000C1B76" w:rsidRPr="00C0194E">
        <w:rPr>
          <w:b/>
          <w:szCs w:val="20"/>
          <w:highlight w:val="yellow"/>
        </w:rPr>
        <w:t>[NOTA LEFOSSE: ALTERAÇÃO DO PRAZO DE 2 DE 2 DU PARA 5 DU, PENDENTE DE APROVAÇÃO PELO IBBA.]</w:t>
      </w:r>
    </w:p>
    <w:p w14:paraId="6260580B" w14:textId="5B7138FE" w:rsidR="00DA0C65" w:rsidRDefault="00DA0C65">
      <w:pPr>
        <w:pStyle w:val="Level3"/>
        <w:widowControl w:val="0"/>
        <w:spacing w:before="140" w:after="0"/>
        <w:rPr>
          <w:szCs w:val="20"/>
        </w:rPr>
      </w:pPr>
      <w:bookmarkStart w:id="28" w:name="_Ref440286167"/>
      <w:bookmarkStart w:id="29" w:name="_Ref435644706"/>
      <w:bookmarkEnd w:id="2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9F4A48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w:t>
      </w:r>
      <w:r w:rsidR="00CB1CFA">
        <w:lastRenderedPageBreak/>
        <w:t>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(ii) </w:t>
      </w:r>
      <w:r w:rsidR="00CB1CFA">
        <w:t>inscrita</w:t>
      </w:r>
      <w:r w:rsidR="00CB1CFA" w:rsidRPr="000847F6">
        <w:t xml:space="preserve"> no 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r w:rsidRPr="00984F72">
        <w:rPr>
          <w:b/>
          <w:bCs/>
          <w:highlight w:val="yellow"/>
        </w:rPr>
        <w:t>[NOTA LEFOSSE: CIA, FAVOR CONFIRMAR SE A JUCEB ESTÁ PRESTANDO OS SERVIÇOS REGULARES PARA FINS DE REGISTRO DE ESCRITURAS]</w:t>
      </w:r>
    </w:p>
    <w:p w14:paraId="251E8686" w14:textId="77777777" w:rsidR="004D3A6B" w:rsidRPr="0045539C" w:rsidRDefault="004D3A6B">
      <w:pPr>
        <w:pStyle w:val="Level2"/>
        <w:widowControl w:val="0"/>
        <w:spacing w:before="140" w:after="0"/>
        <w:rPr>
          <w:rFonts w:cs="Arial"/>
          <w:b/>
          <w:szCs w:val="20"/>
        </w:rPr>
      </w:pPr>
      <w:bookmarkStart w:id="30" w:name="_Ref508981155"/>
      <w:bookmarkEnd w:id="28"/>
      <w:bookmarkEnd w:id="29"/>
      <w:r w:rsidRPr="0045539C">
        <w:rPr>
          <w:rFonts w:cs="Arial"/>
          <w:b/>
          <w:szCs w:val="20"/>
        </w:rPr>
        <w:t>Distribuição, Negociação e Custódia Eletrônica</w:t>
      </w:r>
      <w:bookmarkEnd w:id="30"/>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1"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739923B8" w:rsidR="004D3A6B" w:rsidRPr="0045539C" w:rsidRDefault="00AA11F5" w:rsidP="00DF5266">
      <w:pPr>
        <w:pStyle w:val="Level3"/>
        <w:widowControl w:val="0"/>
        <w:spacing w:before="140" w:after="0"/>
        <w:rPr>
          <w:szCs w:val="20"/>
        </w:rPr>
      </w:pPr>
      <w:bookmarkStart w:id="32" w:name="_Ref2792611"/>
      <w:bookmarkStart w:id="33" w:name="_Ref2872145"/>
      <w:bookmarkEnd w:id="31"/>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4B28FA">
        <w:t>2.4.1(ii)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2"/>
      <w:bookmarkEnd w:id="33"/>
    </w:p>
    <w:p w14:paraId="133BBA6C" w14:textId="40026737" w:rsidR="00E4336C" w:rsidRPr="0045539C" w:rsidRDefault="00AA11F5">
      <w:pPr>
        <w:pStyle w:val="Level3"/>
        <w:widowControl w:val="0"/>
        <w:spacing w:before="140" w:after="0"/>
        <w:rPr>
          <w:szCs w:val="20"/>
        </w:rPr>
      </w:pPr>
      <w:bookmarkStart w:id="34" w:name="_Ref2872115"/>
      <w:bookmarkStart w:id="35" w:name="_Ref490155570"/>
      <w:bookmarkStart w:id="36"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4"/>
    </w:p>
    <w:p w14:paraId="756B70E3" w14:textId="77777777" w:rsidR="00946E83" w:rsidRPr="0045539C" w:rsidRDefault="00946E83">
      <w:pPr>
        <w:pStyle w:val="Level2"/>
        <w:widowControl w:val="0"/>
        <w:spacing w:before="140" w:after="0"/>
        <w:rPr>
          <w:rFonts w:cs="Arial"/>
          <w:b/>
          <w:szCs w:val="20"/>
        </w:rPr>
      </w:pPr>
      <w:bookmarkStart w:id="37" w:name="_Ref508981161"/>
      <w:r w:rsidRPr="0045539C">
        <w:rPr>
          <w:rFonts w:cs="Arial"/>
          <w:b/>
          <w:szCs w:val="20"/>
        </w:rPr>
        <w:t>Constituição da Fiança</w:t>
      </w:r>
      <w:bookmarkEnd w:id="35"/>
      <w:bookmarkEnd w:id="37"/>
    </w:p>
    <w:p w14:paraId="218EAA84" w14:textId="35E8E9B1" w:rsidR="00D13813" w:rsidRPr="0045539C" w:rsidRDefault="00946E83" w:rsidP="00DF5266">
      <w:pPr>
        <w:pStyle w:val="Level3"/>
        <w:widowControl w:val="0"/>
        <w:spacing w:before="140" w:after="0"/>
        <w:ind w:hanging="680"/>
      </w:pPr>
      <w:bookmarkStart w:id="3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4B28FA">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F52512">
        <w:t>[</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F52512">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3E0858">
        <w:t xml:space="preserve"> </w:t>
      </w:r>
      <w:r w:rsidR="000C1B76" w:rsidRPr="00675FF8">
        <w:rPr>
          <w:b/>
          <w:highlight w:val="yellow"/>
        </w:rPr>
        <w:t xml:space="preserve">[NOTA LEFOSSE: </w:t>
      </w:r>
      <w:r w:rsidR="000C1B76">
        <w:rPr>
          <w:b/>
          <w:highlight w:val="yellow"/>
        </w:rPr>
        <w:t>NOS TEMOS DO ART. 130 DA LEI Nº 6.015, O PRAZO PARA REGISTRO EM RTD É DE 20 DIAS. CIA, FAVOR CONFIRMAR SE PODEMOS SEGUIR DESTA FORMA AO INVÉS DOS 30 DIAS PROPOSTOS. CASO HAJA OUTRA DISPOSIÇÃO LEGAL QUE ENTENDAM APLICÁVEL, FAVOR INFORMAR PARA QUE POSSAMOS AVALIAR EM CONJUNTO.</w:t>
      </w:r>
      <w:r w:rsidR="006F4CB1" w:rsidRPr="00675FF8">
        <w:rPr>
          <w:b/>
          <w:highlight w:val="yellow"/>
        </w:rPr>
        <w:t>]</w:t>
      </w:r>
    </w:p>
    <w:p w14:paraId="69320A96" w14:textId="3E2894BA" w:rsidR="00F939AA" w:rsidRPr="0045539C" w:rsidRDefault="00F939AA">
      <w:pPr>
        <w:pStyle w:val="Level2"/>
        <w:widowControl w:val="0"/>
        <w:spacing w:before="140" w:after="0"/>
        <w:rPr>
          <w:rFonts w:cs="Arial"/>
          <w:b/>
          <w:szCs w:val="20"/>
        </w:rPr>
      </w:pPr>
      <w:bookmarkStart w:id="39" w:name="_Ref508981172"/>
      <w:bookmarkStart w:id="40" w:name="_Ref2838312"/>
      <w:bookmarkStart w:id="41" w:name="_Ref479230964"/>
      <w:bookmarkStart w:id="42" w:name="_Ref508981176"/>
      <w:bookmarkStart w:id="43" w:name="_Ref516682477"/>
      <w:bookmarkStart w:id="44" w:name="_Ref522091376"/>
      <w:bookmarkEnd w:id="36"/>
      <w:bookmarkEnd w:id="38"/>
      <w:r w:rsidRPr="0045539C">
        <w:rPr>
          <w:b/>
        </w:rPr>
        <w:t>Constituição da Alienação Fiduciária</w:t>
      </w:r>
      <w:bookmarkEnd w:id="39"/>
      <w:r w:rsidRPr="0045539C">
        <w:rPr>
          <w:b/>
        </w:rPr>
        <w:t xml:space="preserve"> de </w:t>
      </w:r>
      <w:bookmarkEnd w:id="40"/>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5D2A3EB" w:rsidR="00DB7F8D" w:rsidRPr="0045539C" w:rsidRDefault="008153AE">
      <w:pPr>
        <w:pStyle w:val="Level2"/>
        <w:widowControl w:val="0"/>
        <w:spacing w:before="140" w:after="0"/>
        <w:rPr>
          <w:rFonts w:cs="Arial"/>
          <w:b/>
          <w:szCs w:val="20"/>
        </w:rPr>
      </w:pPr>
      <w:bookmarkStart w:id="45" w:name="_Ref2346679"/>
      <w:r>
        <w:rPr>
          <w:rFonts w:cs="Arial"/>
          <w:b/>
          <w:szCs w:val="20"/>
        </w:rPr>
        <w:t>[</w:t>
      </w:r>
      <w:r w:rsidR="00DB7F8D" w:rsidRPr="0045539C">
        <w:rPr>
          <w:rFonts w:cs="Arial"/>
          <w:b/>
          <w:szCs w:val="20"/>
        </w:rPr>
        <w:t xml:space="preserve">Constituição da </w:t>
      </w:r>
      <w:bookmarkEnd w:id="41"/>
      <w:bookmarkEnd w:id="42"/>
      <w:bookmarkEnd w:id="43"/>
      <w:r w:rsidR="008347A7" w:rsidRPr="0045539C">
        <w:rPr>
          <w:rFonts w:cs="Arial"/>
          <w:b/>
          <w:szCs w:val="20"/>
        </w:rPr>
        <w:t>Cessão Fiduciária de Recebíveis</w:t>
      </w:r>
      <w:bookmarkEnd w:id="44"/>
      <w:bookmarkEnd w:id="45"/>
    </w:p>
    <w:p w14:paraId="50A7072D" w14:textId="3685219E" w:rsidR="00690367" w:rsidRPr="0045539C" w:rsidRDefault="00690367">
      <w:pPr>
        <w:pStyle w:val="Level3"/>
        <w:spacing w:before="140" w:after="0"/>
      </w:pPr>
      <w:bookmarkStart w:id="46" w:name="_Ref490824048"/>
      <w:bookmarkStart w:id="47"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6"/>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48" w:name="_Ref509245377"/>
      <w:bookmarkStart w:id="49" w:name="_Toc327379523"/>
      <w:bookmarkEnd w:id="47"/>
      <w:r w:rsidRPr="0045539C">
        <w:t xml:space="preserve">CLÁUSULA TERCEIRA - </w:t>
      </w:r>
      <w:r w:rsidR="00825656" w:rsidRPr="0045539C">
        <w:t>OBJETO SOCIAL DA EMISSORA</w:t>
      </w:r>
      <w:bookmarkEnd w:id="48"/>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w:t>
      </w:r>
      <w:r w:rsidRPr="00984F72">
        <w:rPr>
          <w:rFonts w:cs="Arial"/>
        </w:rPr>
        <w:lastRenderedPageBreak/>
        <w:t>em geral</w:t>
      </w:r>
      <w:r w:rsidRPr="00984F72">
        <w:rPr>
          <w:rFonts w:cs="Arial"/>
          <w:szCs w:val="20"/>
        </w:rPr>
        <w:t>;</w:t>
      </w:r>
      <w:r w:rsidRPr="00984F72">
        <w:rPr>
          <w:rFonts w:cs="Arial"/>
        </w:rPr>
        <w:t xml:space="preserve"> (iv)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(vii) comércio varejista de mercadorias em geral, com predominância de produtos alimentícios supermercados</w:t>
      </w:r>
      <w:r w:rsidRPr="00984F72">
        <w:rPr>
          <w:rFonts w:cs="Arial"/>
          <w:szCs w:val="20"/>
        </w:rPr>
        <w:t>;</w:t>
      </w:r>
      <w:r w:rsidRPr="00984F72">
        <w:rPr>
          <w:rFonts w:cs="Arial"/>
        </w:rPr>
        <w:t xml:space="preserve"> (viii) comércio varejista de produtos não especificado anteriormente</w:t>
      </w:r>
      <w:r w:rsidRPr="00984F72">
        <w:rPr>
          <w:rFonts w:cs="Arial"/>
          <w:szCs w:val="20"/>
        </w:rPr>
        <w:t>;</w:t>
      </w:r>
      <w:r w:rsidRPr="00984F72">
        <w:rPr>
          <w:rFonts w:cs="Arial"/>
        </w:rPr>
        <w:t xml:space="preserve"> (ix)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(xii) comércio varejista e importação de bebidas, incluindo Vinho e Fermentados da Uva, Destilados, Bebidas Energéticas, Sucos e Isotônico</w:t>
      </w:r>
      <w:r w:rsidRPr="00984F72">
        <w:rPr>
          <w:rFonts w:cs="Arial"/>
          <w:szCs w:val="20"/>
        </w:rPr>
        <w:t>;</w:t>
      </w:r>
      <w:r w:rsidRPr="00984F72">
        <w:rPr>
          <w:rFonts w:cs="Arial"/>
        </w:rPr>
        <w:t xml:space="preserve"> (xiii) comércio varejista de hortifrutigranjeiros</w:t>
      </w:r>
      <w:r w:rsidRPr="00984F72">
        <w:rPr>
          <w:rFonts w:cs="Arial"/>
          <w:szCs w:val="20"/>
        </w:rPr>
        <w:t>;</w:t>
      </w:r>
      <w:r w:rsidRPr="00984F72">
        <w:rPr>
          <w:rFonts w:cs="Arial"/>
        </w:rPr>
        <w:t xml:space="preserve"> (xiv) lanchonetes casas de chá, de sucos e similares</w:t>
      </w:r>
      <w:r w:rsidRPr="00984F72">
        <w:rPr>
          <w:rFonts w:cs="Arial"/>
          <w:szCs w:val="20"/>
        </w:rPr>
        <w:t>;</w:t>
      </w:r>
      <w:r w:rsidRPr="00984F72">
        <w:rPr>
          <w:rFonts w:cs="Arial"/>
        </w:rPr>
        <w:t xml:space="preserve"> (xv) atividades de tele atendimento</w:t>
      </w:r>
      <w:r w:rsidRPr="00984F72">
        <w:rPr>
          <w:rFonts w:cs="Arial"/>
          <w:szCs w:val="20"/>
        </w:rPr>
        <w:t>;</w:t>
      </w:r>
      <w:r w:rsidRPr="00984F72">
        <w:rPr>
          <w:rFonts w:cs="Arial"/>
        </w:rPr>
        <w:t xml:space="preserve"> (xvi) serviços combinados de escritório e apoio administrativo</w:t>
      </w:r>
      <w:r w:rsidRPr="00984F72">
        <w:rPr>
          <w:rFonts w:cs="Arial"/>
          <w:szCs w:val="20"/>
        </w:rPr>
        <w:t>; e</w:t>
      </w:r>
      <w:r w:rsidRPr="00984F72">
        <w:rPr>
          <w:rFonts w:cs="Arial"/>
        </w:rPr>
        <w:t xml:space="preserve"> (xvii)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0" w:name="_Ref479194326"/>
      <w:r w:rsidRPr="0045539C">
        <w:t xml:space="preserve">CLÁUSULA QUARTA - </w:t>
      </w:r>
      <w:r w:rsidR="00825656" w:rsidRPr="0045539C">
        <w:t>DESTINAÇÃO DOS RECURSOS</w:t>
      </w:r>
      <w:bookmarkEnd w:id="50"/>
    </w:p>
    <w:p w14:paraId="708DB49C" w14:textId="2F860E5D" w:rsidR="00DF08A9" w:rsidRPr="0045539C" w:rsidRDefault="000E2DCC">
      <w:pPr>
        <w:pStyle w:val="Level2"/>
        <w:widowControl w:val="0"/>
        <w:spacing w:before="140" w:after="0"/>
        <w:rPr>
          <w:rFonts w:cs="Arial"/>
          <w:b/>
          <w:szCs w:val="20"/>
        </w:rPr>
      </w:pPr>
      <w:bookmarkStart w:id="51" w:name="_Ref264564155"/>
      <w:bookmarkStart w:id="52" w:name="_Ref502247064"/>
      <w:bookmarkStart w:id="53" w:name="_Ref435691066"/>
      <w:r w:rsidRPr="0045539C">
        <w:t>Os recursos</w:t>
      </w:r>
      <w:r w:rsidR="00316824" w:rsidRPr="0045539C">
        <w:t xml:space="preserve"> líquidos</w:t>
      </w:r>
      <w:r w:rsidRPr="0045539C">
        <w:t xml:space="preserve"> obtidos pela Emissora com a Emissão serão utilizados</w:t>
      </w:r>
      <w:bookmarkEnd w:id="51"/>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2"/>
    </w:p>
    <w:bookmarkEnd w:id="53"/>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9"/>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4"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4"/>
    </w:p>
    <w:p w14:paraId="1F71FEC7" w14:textId="77777777" w:rsidR="007C7503" w:rsidRPr="0045539C" w:rsidRDefault="007C7503">
      <w:pPr>
        <w:pStyle w:val="Level2"/>
        <w:widowControl w:val="0"/>
        <w:spacing w:before="140" w:after="0"/>
        <w:rPr>
          <w:rFonts w:cs="Arial"/>
          <w:b/>
          <w:szCs w:val="20"/>
        </w:rPr>
      </w:pPr>
      <w:bookmarkStart w:id="55" w:name="_Ref521692073"/>
      <w:r w:rsidRPr="0045539C">
        <w:rPr>
          <w:rFonts w:cs="Arial"/>
          <w:b/>
          <w:szCs w:val="20"/>
        </w:rPr>
        <w:t>Quantidade</w:t>
      </w:r>
      <w:r w:rsidR="00764A7B" w:rsidRPr="0045539C">
        <w:rPr>
          <w:rFonts w:cs="Arial"/>
          <w:b/>
          <w:szCs w:val="20"/>
        </w:rPr>
        <w:t xml:space="preserve"> de Debêntures</w:t>
      </w:r>
      <w:bookmarkEnd w:id="55"/>
    </w:p>
    <w:p w14:paraId="7347E8EA" w14:textId="1691A183" w:rsidR="007C7503" w:rsidRPr="0045539C" w:rsidRDefault="004506D2">
      <w:pPr>
        <w:pStyle w:val="Level3"/>
        <w:widowControl w:val="0"/>
        <w:spacing w:before="140" w:after="0"/>
        <w:rPr>
          <w:szCs w:val="20"/>
        </w:rPr>
      </w:pPr>
      <w:bookmarkStart w:id="56"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6"/>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7"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7"/>
    <w:p w14:paraId="5C0E4131" w14:textId="77777777" w:rsidR="0056210A" w:rsidRPr="0045539C" w:rsidRDefault="008466A8">
      <w:pPr>
        <w:pStyle w:val="Level2"/>
        <w:widowControl w:val="0"/>
        <w:spacing w:before="140" w:after="0"/>
        <w:rPr>
          <w:rFonts w:cs="Arial"/>
          <w:b/>
          <w:szCs w:val="20"/>
        </w:rPr>
      </w:pPr>
      <w:r w:rsidRPr="0045539C">
        <w:rPr>
          <w:rFonts w:cs="Arial"/>
          <w:b/>
          <w:szCs w:val="20"/>
        </w:rPr>
        <w:lastRenderedPageBreak/>
        <w:t xml:space="preserve">Data de Emissão </w:t>
      </w:r>
    </w:p>
    <w:p w14:paraId="29E7D1F0" w14:textId="7B23341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007E19EA">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E32F02C" w:rsidR="0020296D" w:rsidRPr="00835E82" w:rsidRDefault="0020296D" w:rsidP="00DF5266">
      <w:pPr>
        <w:pStyle w:val="Level3"/>
        <w:widowControl w:val="0"/>
        <w:spacing w:before="140" w:after="0"/>
        <w:rPr>
          <w:b/>
        </w:rPr>
      </w:pPr>
      <w:bookmarkStart w:id="58" w:name="_Ref4483360"/>
      <w:bookmarkStart w:id="59"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4B28FA">
        <w:t>5.9</w:t>
      </w:r>
      <w:r w:rsidR="0022122B">
        <w:fldChar w:fldCharType="end"/>
      </w:r>
      <w:r w:rsidR="0022122B">
        <w:t xml:space="preserve"> abaixo.</w:t>
      </w:r>
      <w:bookmarkEnd w:id="58"/>
      <w:bookmarkEnd w:id="59"/>
      <w:r w:rsidR="00800B31">
        <w:t xml:space="preserve"> </w:t>
      </w:r>
      <w:r w:rsidR="00800B31" w:rsidRPr="00984F72">
        <w:rPr>
          <w:b/>
          <w:bCs/>
          <w:highlight w:val="yellow"/>
        </w:rPr>
        <w:t>[NOTA L</w:t>
      </w:r>
      <w:r w:rsidR="00A63E5E" w:rsidRPr="00984F72">
        <w:rPr>
          <w:b/>
          <w:bCs/>
          <w:highlight w:val="yellow"/>
        </w:rPr>
        <w:t>EFOSSE: MANTIVEMOS A ESPÉCIE COM SENDO QUIROGRAFÁRIA, PARA CASO NÃO TENHAMOS UMA GARANTIA REAL CONSTITUÍDA NA 1ª DATA DE INTEGRALIZAÇÃO]</w:t>
      </w:r>
    </w:p>
    <w:p w14:paraId="5A353FE8" w14:textId="48CAE028" w:rsidR="0022122B" w:rsidRDefault="0022122B">
      <w:pPr>
        <w:pStyle w:val="Level2"/>
        <w:widowControl w:val="0"/>
        <w:spacing w:before="140" w:after="0"/>
        <w:rPr>
          <w:rFonts w:cs="Arial"/>
          <w:b/>
          <w:szCs w:val="20"/>
        </w:rPr>
      </w:pPr>
      <w:bookmarkStart w:id="60" w:name="_Ref4478588"/>
      <w:r>
        <w:rPr>
          <w:rFonts w:cs="Arial"/>
          <w:b/>
          <w:szCs w:val="20"/>
        </w:rPr>
        <w:t>Convolação em Debêntures da Espécie com Garantia Real</w:t>
      </w:r>
      <w:bookmarkEnd w:id="60"/>
    </w:p>
    <w:p w14:paraId="653B7A0A" w14:textId="4068DEDC"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521FD686"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4B28FA">
        <w:t>2.3</w:t>
      </w:r>
      <w:r w:rsidR="0019245A">
        <w:fldChar w:fldCharType="end"/>
      </w:r>
      <w:r>
        <w:t xml:space="preserve"> e </w:t>
      </w:r>
      <w:r>
        <w:fldChar w:fldCharType="begin"/>
      </w:r>
      <w:r>
        <w:instrText xml:space="preserve"> REF _Ref508981161 \r \h </w:instrText>
      </w:r>
      <w:r>
        <w:fldChar w:fldCharType="separate"/>
      </w:r>
      <w:r w:rsidR="004B28FA">
        <w:t>2.5</w:t>
      </w:r>
      <w:r>
        <w:fldChar w:fldCharType="end"/>
      </w:r>
      <w:r w:rsidRPr="00A612FB">
        <w:t>, respectivamente.</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 xml:space="preserve">na Data </w:t>
      </w:r>
      <w:r w:rsidRPr="009171BD">
        <w:rPr>
          <w:szCs w:val="20"/>
        </w:rPr>
        <w:lastRenderedPageBreak/>
        <w:t>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200B1FE3"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r w:rsidR="00355121" w:rsidRPr="00675FF8">
        <w:rPr>
          <w:rFonts w:cs="Arial"/>
          <w:b/>
          <w:szCs w:val="20"/>
          <w:highlight w:val="yellow"/>
        </w:rPr>
        <w:t>[NOTA LEFOSSE: PAVARINI, FAVOR VALIDAR FÓRMULAS ABAIXO.]</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1" w:name="_DV_M176"/>
      <w:bookmarkStart w:id="62" w:name="_DV_M182"/>
      <w:bookmarkStart w:id="63" w:name="_DV_M184"/>
      <w:bookmarkStart w:id="64" w:name="_Ref435688993"/>
      <w:bookmarkEnd w:id="61"/>
      <w:bookmarkEnd w:id="62"/>
      <w:bookmarkEnd w:id="6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xml:space="preserve">, conforme o </w:t>
      </w:r>
      <w:r w:rsidR="003D0637" w:rsidRPr="0045539C">
        <w:rPr>
          <w:rFonts w:eastAsia="SimSun"/>
          <w:lang w:eastAsia="zh-CN"/>
        </w:rPr>
        <w:lastRenderedPageBreak/>
        <w:t>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decimais, aplicando-se o próximo fator diário, e assim por diante até o </w:t>
      </w:r>
      <w:r w:rsidRPr="0045539C">
        <w:lastRenderedPageBreak/>
        <w:t>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5" w:name="_Ref440269418"/>
      <w:bookmarkStart w:id="66"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6EFEE035" w:rsidR="008E202B" w:rsidRPr="0045539C" w:rsidRDefault="006F1C3D" w:rsidP="00DF5266">
      <w:pPr>
        <w:pStyle w:val="Level3"/>
        <w:widowControl w:val="0"/>
        <w:spacing w:before="140" w:after="0"/>
      </w:pPr>
      <w:bookmarkStart w:id="67" w:name="_Ref137107438"/>
      <w:bookmarkStart w:id="68" w:name="_Ref168843123"/>
      <w:bookmarkStart w:id="69" w:name="_Ref210749176"/>
      <w:bookmarkStart w:id="7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B28FA">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B28FA">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7"/>
      <w:bookmarkEnd w:id="68"/>
      <w:bookmarkEnd w:id="69"/>
      <w:r w:rsidRPr="0045539C">
        <w:t>da Taxa Substitutiva.</w:t>
      </w:r>
      <w:bookmarkEnd w:id="70"/>
      <w:r w:rsidR="00F86252">
        <w:t xml:space="preserve"> </w:t>
      </w:r>
    </w:p>
    <w:p w14:paraId="1F3A2B87" w14:textId="057888A6"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B28FA">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B28FA">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 xml:space="preserve">imediatamente anterior, conforme o </w:t>
      </w:r>
      <w:r w:rsidRPr="0045539C">
        <w:lastRenderedPageBreak/>
        <w:t>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4B28FA">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6"/>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C65EDA"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AB4AF3" w:rsidRPr="00984F72">
        <w:t>[</w:t>
      </w:r>
      <w:r w:rsidR="00AB4AF3" w:rsidRPr="00984F72">
        <w:rPr>
          <w:highlight w:val="yellow"/>
        </w:rPr>
        <w:t>●</w:t>
      </w:r>
      <w:r w:rsidR="00AB4AF3" w:rsidRPr="00984F72">
        <w:t>]</w:t>
      </w:r>
      <w:r w:rsidR="00B57198">
        <w:t xml:space="preserve">, </w:t>
      </w:r>
      <w:r w:rsidR="00B57198" w:rsidRPr="00984F72">
        <w:t>[</w:t>
      </w:r>
      <w:r w:rsidR="00B57198" w:rsidRPr="00984F72">
        <w:rPr>
          <w:highlight w:val="yellow"/>
        </w:rPr>
        <w:t>●</w:t>
      </w:r>
      <w:r w:rsidR="00B57198" w:rsidRPr="00984F72">
        <w:t>]</w:t>
      </w:r>
      <w:r w:rsidR="00B57198">
        <w:t xml:space="preserve">, </w:t>
      </w:r>
      <w:r w:rsidR="00B57198" w:rsidRPr="00984F72">
        <w:t>[</w:t>
      </w:r>
      <w:r w:rsidR="00B57198" w:rsidRPr="00984F72">
        <w:rPr>
          <w:highlight w:val="yellow"/>
        </w:rPr>
        <w:t>●</w:t>
      </w:r>
      <w:r w:rsidR="00B57198" w:rsidRPr="00984F72">
        <w:t>]</w:t>
      </w:r>
      <w:r w:rsidR="00B57198">
        <w:t xml:space="preserve"> e </w:t>
      </w:r>
      <w:r w:rsidR="00B57198" w:rsidRPr="00984F72">
        <w:t>[</w:t>
      </w:r>
      <w:r w:rsidR="00B57198" w:rsidRPr="00984F72">
        <w:rPr>
          <w:highlight w:val="yellow"/>
        </w:rPr>
        <w:t>●</w:t>
      </w:r>
      <w:r w:rsidR="00B57198"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1" w:name="_Ref440552532"/>
      <w:r w:rsidRPr="0045539C">
        <w:rPr>
          <w:rFonts w:cs="Arial"/>
          <w:b/>
          <w:szCs w:val="20"/>
        </w:rPr>
        <w:t>Pagamento do Valor Nominal Unitário</w:t>
      </w:r>
      <w:bookmarkEnd w:id="71"/>
    </w:p>
    <w:p w14:paraId="66F82259" w14:textId="030339AE"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932B55">
        <w:t>[</w:t>
      </w:r>
      <w:r w:rsidR="00932B55" w:rsidRPr="002213C7">
        <w:rPr>
          <w:highlight w:val="yellow"/>
        </w:rPr>
        <w:t>●</w:t>
      </w:r>
      <w:r w:rsidR="00932B55">
        <w:t>]</w:t>
      </w:r>
      <w:r w:rsidR="00D456B1">
        <w:t xml:space="preserve">, </w:t>
      </w:r>
      <w:r w:rsidR="00D456B1" w:rsidRPr="00984F72">
        <w:t>[</w:t>
      </w:r>
      <w:r w:rsidR="00D456B1" w:rsidRPr="00984F72">
        <w:rPr>
          <w:highlight w:val="yellow"/>
        </w:rPr>
        <w:t>●</w:t>
      </w:r>
      <w:r w:rsidR="00D456B1" w:rsidRPr="00984F72">
        <w:t>]</w:t>
      </w:r>
      <w:r w:rsidR="00D456B1">
        <w:t xml:space="preserve">, </w:t>
      </w:r>
      <w:r w:rsidR="00D456B1" w:rsidRPr="00984F72">
        <w:t>[</w:t>
      </w:r>
      <w:r w:rsidR="00D456B1" w:rsidRPr="00984F72">
        <w:rPr>
          <w:highlight w:val="yellow"/>
        </w:rPr>
        <w:t>●</w:t>
      </w:r>
      <w:r w:rsidR="00D456B1" w:rsidRPr="00984F72">
        <w:t>]</w:t>
      </w:r>
      <w:r w:rsidR="00D456B1">
        <w:t xml:space="preserve"> e </w:t>
      </w:r>
      <w:r w:rsidR="00D456B1" w:rsidRPr="00984F72">
        <w:t>[</w:t>
      </w:r>
      <w:r w:rsidR="00D456B1" w:rsidRPr="00984F72">
        <w:rPr>
          <w:highlight w:val="yellow"/>
        </w:rPr>
        <w:t>●</w:t>
      </w:r>
      <w:r w:rsidR="00D456B1" w:rsidRPr="00984F72">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2" w:name="_Ref481077719"/>
      <w:bookmarkStart w:id="73"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w:t>
      </w:r>
      <w:r w:rsidR="001E6303" w:rsidRPr="0045539C">
        <w:rPr>
          <w:snapToGrid w:val="0"/>
          <w:szCs w:val="20"/>
        </w:rPr>
        <w:lastRenderedPageBreak/>
        <w:t xml:space="preserve">e condições previstos </w:t>
      </w:r>
      <w:bookmarkEnd w:id="72"/>
      <w:r w:rsidR="00DC461E" w:rsidRPr="0045539C">
        <w:rPr>
          <w:snapToGrid w:val="0"/>
          <w:szCs w:val="20"/>
        </w:rPr>
        <w:t>nas Cláusulas abaixo</w:t>
      </w:r>
      <w:r w:rsidR="00D12FA6" w:rsidRPr="0045539C">
        <w:rPr>
          <w:snapToGrid w:val="0"/>
          <w:szCs w:val="20"/>
        </w:rPr>
        <w:t>:</w:t>
      </w:r>
      <w:bookmarkEnd w:id="73"/>
      <w:r w:rsidR="00916D20" w:rsidRPr="0045539C">
        <w:rPr>
          <w:snapToGrid w:val="0"/>
          <w:szCs w:val="20"/>
        </w:rPr>
        <w:t xml:space="preserve"> </w:t>
      </w:r>
    </w:p>
    <w:p w14:paraId="5F08313C" w14:textId="48DF59A9"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226C2BE" w:rsidR="0087438D" w:rsidRPr="000136F7" w:rsidRDefault="00DC461E" w:rsidP="00DF5266">
      <w:pPr>
        <w:pStyle w:val="Level4"/>
        <w:widowControl w:val="0"/>
        <w:spacing w:before="140" w:after="0"/>
      </w:pPr>
      <w:bookmarkStart w:id="74"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4"/>
      <w:r w:rsidR="007F0963" w:rsidRPr="000136F7">
        <w:t xml:space="preserve"> </w:t>
      </w:r>
      <w:r w:rsidR="00535170" w:rsidRPr="00C0194E">
        <w:rPr>
          <w:b/>
          <w:highlight w:val="yellow"/>
        </w:rPr>
        <w:t>[NOTA LEFOSSE: SEMESTRAL ATÉ O 5º SEMESTRE.</w:t>
      </w:r>
      <w:r w:rsidR="008A4CB3">
        <w:rPr>
          <w:b/>
          <w:highlight w:val="yellow"/>
        </w:rPr>
        <w:t xml:space="preserve"> LEFOSSE IRÁ AJUSTAR </w:t>
      </w:r>
      <w:r w:rsidR="004C54F4">
        <w:rPr>
          <w:b/>
          <w:highlight w:val="yellow"/>
        </w:rPr>
        <w:t>QUANDO D</w:t>
      </w:r>
      <w:r w:rsidR="008A4CB3">
        <w:rPr>
          <w:b/>
          <w:highlight w:val="yellow"/>
        </w:rPr>
        <w:t>A DEFINIÇÃO DA DATA DE EMISSÃO.</w:t>
      </w:r>
      <w:r w:rsidR="00535170" w:rsidRPr="00C0194E">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10C408F"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5124D034" w:rsidR="00086EF3" w:rsidRPr="0045539C" w:rsidRDefault="00086EF3" w:rsidP="00086EF3">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4B78CB">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t xml:space="preserve">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01BE15E9"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745B397F"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63CFDD61"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rsidDel="00E11DDC">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lastRenderedPageBreak/>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5" w:name="_Ref4157064"/>
      <w:bookmarkStart w:id="76"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7869810B" w:rsidR="00FC3983" w:rsidRPr="0045539C" w:rsidRDefault="00355121">
      <w:pPr>
        <w:pStyle w:val="Level2"/>
        <w:spacing w:before="140" w:after="0"/>
        <w:rPr>
          <w:b/>
        </w:rPr>
      </w:pPr>
      <w:bookmarkStart w:id="77" w:name="_Ref6763201"/>
      <w:r w:rsidDel="00355121">
        <w:t xml:space="preserve"> </w:t>
      </w:r>
      <w:bookmarkEnd w:id="75"/>
      <w:bookmarkEnd w:id="76"/>
      <w:bookmarkEnd w:id="77"/>
      <w:r w:rsidR="009B495E">
        <w:rPr>
          <w:b/>
        </w:rPr>
        <w:t>[</w:t>
      </w:r>
      <w:r w:rsidR="00FC3983" w:rsidRPr="0045539C">
        <w:rPr>
          <w:b/>
        </w:rPr>
        <w:t xml:space="preserve">Amortização Extraordinária Facultativa </w:t>
      </w:r>
      <w:r w:rsidR="009B495E" w:rsidRPr="00984F72">
        <w:rPr>
          <w:b/>
          <w:highlight w:val="yellow"/>
        </w:rPr>
        <w:t>[</w:t>
      </w:r>
      <w:r w:rsidR="00BA6C24" w:rsidRPr="00984F72">
        <w:rPr>
          <w:b/>
          <w:highlight w:val="yellow"/>
        </w:rPr>
        <w:t xml:space="preserve">NOTA LEFOSSE: </w:t>
      </w:r>
      <w:r w:rsidR="00BA6C24">
        <w:rPr>
          <w:b/>
          <w:highlight w:val="yellow"/>
        </w:rPr>
        <w:t>MANUTENÇÃO DA CLÁUSULA PENDENTE DE DISCUSSÃO ENTRE IBBA E CIA</w:t>
      </w:r>
      <w:r w:rsidR="00C967EE">
        <w:rPr>
          <w:b/>
          <w:highlight w:val="yellow"/>
        </w:rPr>
        <w:t>.</w:t>
      </w:r>
      <w:r w:rsidRPr="00984F72">
        <w:rPr>
          <w:b/>
          <w:highlight w:val="yellow"/>
        </w:rPr>
        <w:t>]</w:t>
      </w:r>
    </w:p>
    <w:p w14:paraId="5F0982C4" w14:textId="77777777" w:rsidR="00FC3983" w:rsidRPr="0045539C" w:rsidRDefault="00FC3983">
      <w:pPr>
        <w:pStyle w:val="Level3"/>
        <w:spacing w:before="140" w:after="0"/>
      </w:pPr>
      <w:bookmarkStart w:id="78"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4CE13D1"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53FA1AC5" w:rsidR="000136F7" w:rsidRPr="009171BD" w:rsidRDefault="002703B3" w:rsidP="00DF5266">
      <w:pPr>
        <w:pStyle w:val="Level4"/>
        <w:spacing w:before="140" w:after="0"/>
      </w:pPr>
      <w:bookmarkStart w:id="79" w:name="_Ref4477053"/>
      <w:bookmarkStart w:id="8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w:t>
      </w:r>
      <w:r w:rsidRPr="009171BD">
        <w:lastRenderedPageBreak/>
        <w:t xml:space="preserve">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9"/>
      <w:bookmarkEnd w:id="80"/>
      <w:r w:rsidR="00FC3983" w:rsidRPr="009171BD">
        <w:t xml:space="preserve"> </w:t>
      </w:r>
      <w:r w:rsidR="00BA6C24" w:rsidRPr="006E3A71">
        <w:rPr>
          <w:b/>
          <w:highlight w:val="yellow"/>
        </w:rPr>
        <w:t>[NOTA LEFOSSE: SEMESTRAL ATÉ O 5º SEMESTRE.</w:t>
      </w:r>
      <w:r w:rsidR="00BA6C24">
        <w:rPr>
          <w:b/>
          <w:highlight w:val="yellow"/>
        </w:rPr>
        <w:t xml:space="preserve"> LEFOSSE IRÁ AJUSTAR QUANDO DA DEFINIÇÃO DA DATA DE EMISSÃO.</w:t>
      </w:r>
      <w:r w:rsidR="00BA6C24" w:rsidRPr="006E3A71">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BA6C24" w:rsidRPr="0045539C" w14:paraId="3F61388F" w14:textId="77777777" w:rsidTr="00C0194E">
        <w:tc>
          <w:tcPr>
            <w:tcW w:w="2809" w:type="dxa"/>
          </w:tcPr>
          <w:p w14:paraId="41B306BA" w14:textId="187484E2" w:rsidR="00BA6C24" w:rsidRPr="0045539C" w:rsidRDefault="00BA6C24" w:rsidP="00BA6C24">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rsidDel="00E11DDC">
              <w:t xml:space="preserve"> </w:t>
            </w:r>
            <w:r w:rsidRPr="0045539C">
              <w:t>(inclusive)</w:t>
            </w:r>
          </w:p>
        </w:tc>
        <w:tc>
          <w:tcPr>
            <w:tcW w:w="3563" w:type="dxa"/>
            <w:vAlign w:val="center"/>
          </w:tcPr>
          <w:p w14:paraId="0C15E790" w14:textId="45DC0CBA" w:rsidR="00BA6C24" w:rsidRPr="0045539C" w:rsidRDefault="00BA6C24">
            <w:pPr>
              <w:pStyle w:val="Level3"/>
              <w:widowControl w:val="0"/>
              <w:numPr>
                <w:ilvl w:val="0"/>
                <w:numId w:val="0"/>
              </w:numPr>
              <w:spacing w:before="140" w:after="0"/>
              <w:jc w:val="center"/>
              <w:outlineLvl w:val="9"/>
            </w:pPr>
            <w:r w:rsidRPr="00DC4ADB">
              <w:t>0,85%</w:t>
            </w:r>
          </w:p>
        </w:tc>
      </w:tr>
      <w:tr w:rsidR="00BA6C24" w:rsidRPr="0045539C" w14:paraId="0690B707" w14:textId="77777777" w:rsidTr="00C0194E">
        <w:tc>
          <w:tcPr>
            <w:tcW w:w="2809" w:type="dxa"/>
          </w:tcPr>
          <w:p w14:paraId="35899F98" w14:textId="104EBBEF" w:rsidR="00BA6C24" w:rsidRPr="0045539C" w:rsidRDefault="00BA6C24" w:rsidP="00BA6C24">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(inclusive)</w:t>
            </w:r>
          </w:p>
        </w:tc>
        <w:tc>
          <w:tcPr>
            <w:tcW w:w="3563" w:type="dxa"/>
            <w:vAlign w:val="center"/>
          </w:tcPr>
          <w:p w14:paraId="7BBC6C39" w14:textId="54DDE982" w:rsidR="00BA6C24" w:rsidRDefault="00BA6C24">
            <w:pPr>
              <w:pStyle w:val="Level3"/>
              <w:widowControl w:val="0"/>
              <w:numPr>
                <w:ilvl w:val="0"/>
                <w:numId w:val="0"/>
              </w:numPr>
              <w:spacing w:before="140" w:after="0"/>
              <w:jc w:val="center"/>
              <w:outlineLvl w:val="9"/>
            </w:pPr>
            <w:r w:rsidRPr="00DC4ADB">
              <w:t>0,80%</w:t>
            </w:r>
          </w:p>
        </w:tc>
      </w:tr>
      <w:tr w:rsidR="00BA6C24" w:rsidRPr="0045539C" w14:paraId="1743DE30" w14:textId="77777777" w:rsidTr="00C0194E">
        <w:tc>
          <w:tcPr>
            <w:tcW w:w="2809" w:type="dxa"/>
          </w:tcPr>
          <w:p w14:paraId="6876B7B4" w14:textId="14728F0F"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2D725C18" w14:textId="6F627241" w:rsidR="00BA6C24" w:rsidRPr="004E3DBF" w:rsidRDefault="00BA6C24">
            <w:pPr>
              <w:pStyle w:val="Level3"/>
              <w:widowControl w:val="0"/>
              <w:numPr>
                <w:ilvl w:val="0"/>
                <w:numId w:val="0"/>
              </w:numPr>
              <w:spacing w:before="140" w:after="0"/>
              <w:jc w:val="center"/>
              <w:outlineLvl w:val="9"/>
            </w:pPr>
            <w:r w:rsidRPr="00DC4ADB">
              <w:t>0,70%</w:t>
            </w:r>
          </w:p>
        </w:tc>
      </w:tr>
      <w:tr w:rsidR="00BA6C24" w:rsidRPr="0045539C" w14:paraId="3E6C32B1" w14:textId="77777777" w:rsidTr="00C0194E">
        <w:tc>
          <w:tcPr>
            <w:tcW w:w="2809" w:type="dxa"/>
          </w:tcPr>
          <w:p w14:paraId="18B52ADC" w14:textId="09E6E7A7"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939EDFE" w14:textId="2EC616E2" w:rsidR="00BA6C24" w:rsidRPr="004E3DBF" w:rsidRDefault="00BA6C24">
            <w:pPr>
              <w:pStyle w:val="Level3"/>
              <w:widowControl w:val="0"/>
              <w:numPr>
                <w:ilvl w:val="0"/>
                <w:numId w:val="0"/>
              </w:numPr>
              <w:spacing w:before="140" w:after="0"/>
              <w:jc w:val="center"/>
              <w:outlineLvl w:val="9"/>
            </w:pPr>
            <w:r w:rsidRPr="00DC4ADB">
              <w:t>0,60%</w:t>
            </w:r>
          </w:p>
        </w:tc>
      </w:tr>
      <w:tr w:rsidR="00BA6C24" w:rsidRPr="0045539C" w14:paraId="23862535" w14:textId="77777777" w:rsidTr="00C0194E">
        <w:tc>
          <w:tcPr>
            <w:tcW w:w="2809" w:type="dxa"/>
          </w:tcPr>
          <w:p w14:paraId="78CA45CE" w14:textId="6139C20B" w:rsidR="00BA6C24" w:rsidRPr="0045539C" w:rsidRDefault="00BA6C24" w:rsidP="00BA6C24">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B321DD">
              <w:t>(</w:t>
            </w:r>
            <w:r>
              <w:t>exclusive</w:t>
            </w:r>
            <w:r w:rsidRPr="00B321DD">
              <w:t>) até a Data de Vencimento (exclusive)</w:t>
            </w:r>
          </w:p>
        </w:tc>
        <w:tc>
          <w:tcPr>
            <w:tcW w:w="3563" w:type="dxa"/>
            <w:vAlign w:val="center"/>
          </w:tcPr>
          <w:p w14:paraId="02E4EDDF" w14:textId="07BCD535" w:rsidR="00BA6C24" w:rsidRDefault="00BA6C24">
            <w:pPr>
              <w:pStyle w:val="Level3"/>
              <w:widowControl w:val="0"/>
              <w:numPr>
                <w:ilvl w:val="0"/>
                <w:numId w:val="0"/>
              </w:numPr>
              <w:spacing w:before="140" w:after="0"/>
              <w:jc w:val="center"/>
              <w:outlineLvl w:val="9"/>
            </w:pPr>
            <w:r w:rsidRPr="00DC4ADB">
              <w:t>0,50%</w:t>
            </w:r>
          </w:p>
        </w:tc>
      </w:tr>
    </w:tbl>
    <w:p w14:paraId="76B1D6B1" w14:textId="3D04968D"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8"/>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1" w:name="_Ref439933589"/>
      <w:r w:rsidRPr="00684D54">
        <w:t xml:space="preserve">As Debêntures poderão, a qualquer momento, a partir da Primeira Data de Subscrição e Integralização, ser adquiridas pela Emissora, no mercado secundário, condicionado ao aceite do respectivo Debenturista vendedor e </w:t>
      </w:r>
      <w:r w:rsidRPr="00684D54">
        <w:lastRenderedPageBreak/>
        <w:t>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1"/>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59B61638"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4B28FA">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4B28FA">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2" w:name="_Ref285570958"/>
      <w:bookmarkStart w:id="83"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2"/>
      <w:r w:rsidRPr="0045539C">
        <w:t>;</w:t>
      </w:r>
      <w:bookmarkEnd w:id="83"/>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lastRenderedPageBreak/>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4" w:name="_Ref509243874"/>
      <w:r w:rsidRPr="0045539C">
        <w:rPr>
          <w:rFonts w:cs="Arial"/>
          <w:b/>
          <w:szCs w:val="20"/>
        </w:rPr>
        <w:t>Local de Pagamento</w:t>
      </w:r>
      <w:bookmarkEnd w:id="84"/>
    </w:p>
    <w:p w14:paraId="6B98396D" w14:textId="19662D4C"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5" w:name="_Ref508983538"/>
      <w:r w:rsidRPr="0045539C">
        <w:rPr>
          <w:rFonts w:cs="Arial"/>
          <w:b/>
          <w:szCs w:val="20"/>
        </w:rPr>
        <w:t>Encargos Moratórios</w:t>
      </w:r>
      <w:bookmarkEnd w:id="85"/>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lastRenderedPageBreak/>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6" w:name="_DV_M210"/>
      <w:bookmarkStart w:id="87" w:name="_Ref3276263"/>
      <w:bookmarkEnd w:id="86"/>
      <w:r w:rsidRPr="0045539C">
        <w:rPr>
          <w:rFonts w:cs="Arial"/>
          <w:b/>
          <w:szCs w:val="20"/>
        </w:rPr>
        <w:t>Decadência dos Direitos aos Acréscimos</w:t>
      </w:r>
      <w:bookmarkEnd w:id="87"/>
    </w:p>
    <w:p w14:paraId="34F1721A" w14:textId="64314658"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4B28FA">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8" w:name="_Ref435655112"/>
      <w:r w:rsidRPr="0045539C">
        <w:rPr>
          <w:rFonts w:cs="Arial"/>
          <w:b/>
          <w:szCs w:val="20"/>
        </w:rPr>
        <w:t>Publicidade</w:t>
      </w:r>
      <w:bookmarkEnd w:id="88"/>
    </w:p>
    <w:p w14:paraId="4D99E350" w14:textId="5662E2CF" w:rsidR="003D2982" w:rsidRPr="0045539C" w:rsidRDefault="001828E0">
      <w:pPr>
        <w:pStyle w:val="Level3"/>
        <w:widowControl w:val="0"/>
        <w:spacing w:before="140" w:after="0"/>
        <w:rPr>
          <w:b/>
          <w:szCs w:val="20"/>
        </w:rPr>
      </w:pPr>
      <w:bookmarkStart w:id="89" w:name="_Ref508572745"/>
      <w:bookmarkStart w:id="9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9"/>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0"/>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1"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1"/>
    </w:p>
    <w:p w14:paraId="5324A0C7" w14:textId="18B67675"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B28FA">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98CB5A2"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B28FA">
        <w:rPr>
          <w:szCs w:val="20"/>
        </w:rPr>
        <w:t>5.28.1 acima</w:t>
      </w:r>
      <w:r w:rsidR="001828E0" w:rsidRPr="0045539C">
        <w:rPr>
          <w:szCs w:val="20"/>
        </w:rPr>
        <w:fldChar w:fldCharType="end"/>
      </w:r>
      <w:r w:rsidRPr="0045539C">
        <w:t xml:space="preserve">, </w:t>
      </w:r>
      <w:r w:rsidRPr="0045539C">
        <w:lastRenderedPageBreak/>
        <w:t>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2" w:name="_DV_M232"/>
      <w:bookmarkEnd w:id="92"/>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3" w:name="_Ref516659883"/>
      <w:bookmarkStart w:id="94" w:name="_Ref479197610"/>
      <w:r w:rsidRPr="0045539C">
        <w:rPr>
          <w:rFonts w:cs="Arial"/>
          <w:b/>
          <w:szCs w:val="20"/>
        </w:rPr>
        <w:t>Garantias</w:t>
      </w:r>
      <w:r w:rsidR="001828E0" w:rsidRPr="0045539C">
        <w:rPr>
          <w:rFonts w:cs="Arial"/>
          <w:b/>
          <w:szCs w:val="20"/>
        </w:rPr>
        <w:t xml:space="preserve"> Reais</w:t>
      </w:r>
      <w:bookmarkEnd w:id="93"/>
    </w:p>
    <w:p w14:paraId="3ECBE8D3" w14:textId="49373D40" w:rsidR="00295A29" w:rsidRPr="0045539C" w:rsidRDefault="00295A29">
      <w:pPr>
        <w:pStyle w:val="Level3"/>
        <w:widowControl w:val="0"/>
        <w:spacing w:before="140" w:after="0"/>
      </w:pPr>
      <w:bookmarkStart w:id="95" w:name="_Ref4485221"/>
      <w:bookmarkStart w:id="96" w:name="_Ref479324215"/>
      <w:bookmarkEnd w:id="9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5"/>
      <w:r w:rsidR="00655E0E" w:rsidRPr="00984F72">
        <w:rPr>
          <w:b/>
          <w:bCs/>
          <w:highlight w:val="yellow"/>
        </w:rPr>
        <w:t>[NOTA LEFOSSE: REFERÊNCIAS À “CONTRATOS DE GARANTIA” AO LONGO DA EE SERÁ AJUSATADA QDO DA DEFINIÇÃO ACERCA DA CF]</w:t>
      </w:r>
    </w:p>
    <w:p w14:paraId="2FAFBD0C" w14:textId="3B85F9ED" w:rsidR="001443E7" w:rsidRPr="0045539C" w:rsidRDefault="00F0092D">
      <w:pPr>
        <w:pStyle w:val="Level4"/>
        <w:widowControl w:val="0"/>
        <w:spacing w:before="140" w:after="0"/>
        <w:ind w:hanging="682"/>
        <w:rPr>
          <w:szCs w:val="20"/>
        </w:rPr>
      </w:pPr>
      <w:bookmarkStart w:id="97" w:name="_Ref535169016"/>
      <w:bookmarkStart w:id="98" w:name="_Ref522017889"/>
      <w:bookmarkStart w:id="99" w:name="_Ref401068819"/>
      <w:r w:rsidRPr="0045539C">
        <w:t xml:space="preserve">Alienação fiduciária, em caráter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lastRenderedPageBreak/>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7"/>
      <w:bookmarkEnd w:id="98"/>
      <w:r w:rsidR="008F036E" w:rsidRPr="0045539C">
        <w:rPr>
          <w:szCs w:val="20"/>
        </w:rPr>
        <w:t xml:space="preserve"> </w:t>
      </w:r>
      <w:r w:rsidR="00AB40FA" w:rsidRPr="0045539C">
        <w:rPr>
          <w:szCs w:val="20"/>
        </w:rPr>
        <w:t>e</w:t>
      </w:r>
      <w:r w:rsidR="00E71D91">
        <w:rPr>
          <w:szCs w:val="20"/>
        </w:rPr>
        <w:t xml:space="preserve"> </w:t>
      </w:r>
      <w:r w:rsidR="00E327D2">
        <w:rPr>
          <w:szCs w:val="20"/>
        </w:rPr>
        <w:t xml:space="preserve"> </w:t>
      </w:r>
      <w:r w:rsidR="00E327D2" w:rsidRPr="00675FF8">
        <w:rPr>
          <w:b/>
          <w:szCs w:val="20"/>
          <w:highlight w:val="yellow"/>
        </w:rPr>
        <w:t>[NOTA LEFOSSE: CIA, FAVOR CONFIRMAR QUE OS IMÓVEIS A SEREM ALIENADOS NÃO SÃO OS MESMOS DA PRIMEIRA EMISSÃO.]</w:t>
      </w:r>
    </w:p>
    <w:p w14:paraId="03F43966" w14:textId="14684071" w:rsidR="009A1A8B" w:rsidRPr="005B4471" w:rsidRDefault="00AB1536">
      <w:pPr>
        <w:pStyle w:val="Level4"/>
        <w:widowControl w:val="0"/>
        <w:spacing w:before="140" w:after="0"/>
        <w:ind w:hanging="682"/>
        <w:rPr>
          <w:szCs w:val="20"/>
        </w:rPr>
      </w:pPr>
      <w:bookmarkStart w:id="100"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o</w:t>
      </w:r>
      <w:r w:rsidR="00E327D2">
        <w:t>s</w:t>
      </w:r>
      <w:r w:rsidR="00D83AB7" w:rsidRPr="0045539C">
        <w:t xml:space="preserve"> Contrato</w:t>
      </w:r>
      <w:r w:rsidR="00E327D2">
        <w:t>s</w:t>
      </w:r>
      <w:r w:rsidR="00D83AB7" w:rsidRPr="0045539C">
        <w:t xml:space="preserve">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 xml:space="preserve">NOTA LEFOSSE: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99"/>
      <w:bookmarkEnd w:id="100"/>
    </w:p>
    <w:p w14:paraId="0B2204BD" w14:textId="77777777" w:rsidR="00295A29" w:rsidRPr="0045539C" w:rsidRDefault="00295A29">
      <w:pPr>
        <w:pStyle w:val="Level2"/>
        <w:widowControl w:val="0"/>
        <w:spacing w:before="140" w:after="0"/>
        <w:rPr>
          <w:b/>
        </w:rPr>
      </w:pPr>
      <w:bookmarkStart w:id="101" w:name="_Ref431142386"/>
      <w:bookmarkStart w:id="102" w:name="_Ref2846313"/>
      <w:bookmarkStart w:id="103" w:name="_Ref491421794"/>
      <w:bookmarkStart w:id="104" w:name="_Ref491684125"/>
      <w:r w:rsidRPr="0045539C">
        <w:rPr>
          <w:b/>
        </w:rPr>
        <w:t>Garantia</w:t>
      </w:r>
      <w:bookmarkEnd w:id="101"/>
      <w:r w:rsidRPr="0045539C">
        <w:rPr>
          <w:b/>
        </w:rPr>
        <w:t xml:space="preserve"> Fidejussória</w:t>
      </w:r>
      <w:bookmarkEnd w:id="102"/>
      <w:bookmarkEnd w:id="103"/>
      <w:bookmarkEnd w:id="104"/>
    </w:p>
    <w:bookmarkEnd w:id="96"/>
    <w:p w14:paraId="7FD1ACBA" w14:textId="696A2A2C" w:rsidR="00295A29" w:rsidRPr="0045539C" w:rsidRDefault="00295A29">
      <w:pPr>
        <w:pStyle w:val="Level3"/>
        <w:widowControl w:val="0"/>
        <w:spacing w:before="140" w:after="0"/>
        <w:rPr>
          <w:color w:val="000000"/>
        </w:rPr>
      </w:pPr>
      <w:r w:rsidRPr="0045539C">
        <w:lastRenderedPageBreak/>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71BC4BCE" w:rsidR="00633ABC" w:rsidRPr="0045539C" w:rsidRDefault="005A3726">
      <w:pPr>
        <w:pStyle w:val="Level3"/>
        <w:widowControl w:val="0"/>
        <w:spacing w:before="140" w:after="0"/>
      </w:pPr>
      <w:bookmarkStart w:id="105" w:name="_Ref491420653"/>
      <w:bookmarkStart w:id="10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4B28FA">
        <w:t>5.23</w:t>
      </w:r>
      <w:r w:rsidR="0081413B">
        <w:fldChar w:fldCharType="end"/>
      </w:r>
      <w:r w:rsidR="0081413B">
        <w:t xml:space="preserve"> </w:t>
      </w:r>
      <w:r w:rsidR="007875CF" w:rsidRPr="0045539C">
        <w:t>acima</w:t>
      </w:r>
      <w:r w:rsidR="00295A29" w:rsidRPr="0045539C">
        <w:t>.</w:t>
      </w:r>
      <w:bookmarkEnd w:id="106"/>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 xml:space="preserve">contado da </w:t>
      </w:r>
      <w:r w:rsidR="00A540D1" w:rsidRPr="0045539C">
        <w:rPr>
          <w:szCs w:val="18"/>
        </w:rPr>
        <w:lastRenderedPageBreak/>
        <w:t>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7" w:name="_Ref516666996"/>
      <w:bookmarkStart w:id="10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7"/>
    </w:p>
    <w:p w14:paraId="05E1A30D" w14:textId="3FA21629"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w:t>
      </w:r>
      <w:r w:rsidRPr="0045539C">
        <w:lastRenderedPageBreak/>
        <w:t xml:space="preserve">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B28FA">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09" w:name="_Ref497842157"/>
      <w:r w:rsidRPr="0045539C">
        <w:t xml:space="preserve">CLÁUSULA OITAVA - </w:t>
      </w:r>
      <w:r w:rsidR="00E87272" w:rsidRPr="0045539C">
        <w:t>VENCIMENTO ANTECIPADO</w:t>
      </w:r>
      <w:bookmarkStart w:id="110" w:name="_Ref435666640"/>
      <w:bookmarkEnd w:id="108"/>
      <w:bookmarkEnd w:id="109"/>
    </w:p>
    <w:p w14:paraId="5012949F" w14:textId="448DECB1" w:rsidR="0015036F" w:rsidRPr="00655E0E" w:rsidRDefault="0015036F">
      <w:pPr>
        <w:pStyle w:val="Level2"/>
        <w:widowControl w:val="0"/>
        <w:spacing w:before="140" w:after="0"/>
      </w:pPr>
      <w:bookmarkStart w:id="111" w:name="_Ref507427659"/>
      <w:bookmarkStart w:id="112" w:name="_Ref392008548"/>
      <w:bookmarkStart w:id="113" w:name="_Ref435654812"/>
      <w:bookmarkStart w:id="114" w:name="_Ref439944675"/>
      <w:bookmarkStart w:id="115" w:name="_Ref435693772"/>
      <w:bookmarkEnd w:id="11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B28FA">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4B28FA">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B28FA">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4B28FA">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1"/>
    </w:p>
    <w:p w14:paraId="73DC70B3" w14:textId="4BC07B6D" w:rsidR="001064A5" w:rsidRPr="0045539C" w:rsidRDefault="0015036F" w:rsidP="00DF5266">
      <w:pPr>
        <w:pStyle w:val="Level3"/>
        <w:spacing w:before="140" w:after="0"/>
        <w:rPr>
          <w:szCs w:val="20"/>
        </w:rPr>
      </w:pPr>
      <w:bookmarkStart w:id="116" w:name="_Ref356481657"/>
      <w:bookmarkStart w:id="117" w:name="_Ref3890151"/>
      <w:r w:rsidRPr="0045539C">
        <w:t xml:space="preserve">Constituem Eventos de Vencimento Antecipado que acarretam o vencimento automático das obrigações decorrentes das Debêntures, independentemente de aviso ou notificação, judicial ou extrajudicial, aplicando-se o disposto na </w:t>
      </w:r>
      <w:r w:rsidRPr="0045539C">
        <w:lastRenderedPageBreak/>
        <w:t>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B28FA">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2"/>
      <w:bookmarkEnd w:id="113"/>
      <w:bookmarkEnd w:id="114"/>
      <w:bookmarkEnd w:id="116"/>
      <w:r w:rsidR="00BB1D99" w:rsidRPr="0045539C">
        <w:t xml:space="preserve"> </w:t>
      </w:r>
      <w:bookmarkEnd w:id="117"/>
    </w:p>
    <w:p w14:paraId="5E17BBF8" w14:textId="0287BEF8" w:rsidR="00ED089F" w:rsidRPr="0045539C" w:rsidRDefault="00ED089F">
      <w:pPr>
        <w:pStyle w:val="Level4"/>
        <w:widowControl w:val="0"/>
        <w:numPr>
          <w:ilvl w:val="3"/>
          <w:numId w:val="213"/>
        </w:numPr>
        <w:tabs>
          <w:tab w:val="num" w:pos="2721"/>
        </w:tabs>
        <w:spacing w:before="140" w:after="0"/>
        <w:rPr>
          <w:szCs w:val="26"/>
        </w:rPr>
      </w:pPr>
      <w:bookmarkStart w:id="118" w:name="_Ref137475231"/>
      <w:bookmarkStart w:id="119" w:name="_Ref149033996"/>
      <w:bookmarkStart w:id="120" w:name="_Ref164238998"/>
      <w:bookmarkStart w:id="121"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6515C4">
        <w:rPr>
          <w:szCs w:val="26"/>
        </w:rPr>
        <w:t>5</w:t>
      </w:r>
      <w:r w:rsidR="00D64136" w:rsidRPr="0045539C">
        <w:rPr>
          <w:szCs w:val="26"/>
        </w:rPr>
        <w:t xml:space="preserve"> (</w:t>
      </w:r>
      <w:r w:rsidR="006515C4">
        <w:rPr>
          <w:szCs w:val="26"/>
        </w:rPr>
        <w:t>cinco</w:t>
      </w:r>
      <w:r w:rsidR="00D64136" w:rsidRPr="0045539C">
        <w:rPr>
          <w:szCs w:val="26"/>
        </w:rPr>
        <w:t>) Dias Úteis contados da data do respectivo vencimento</w:t>
      </w:r>
      <w:r w:rsidRPr="0045539C">
        <w:rPr>
          <w:szCs w:val="26"/>
        </w:rPr>
        <w:t>;</w:t>
      </w:r>
      <w:bookmarkEnd w:id="118"/>
      <w:bookmarkEnd w:id="119"/>
      <w:bookmarkEnd w:id="120"/>
      <w:r w:rsidR="00C967EE">
        <w:rPr>
          <w:szCs w:val="26"/>
        </w:rPr>
        <w:t xml:space="preserve"> [2 dias úteis] </w:t>
      </w:r>
    </w:p>
    <w:p w14:paraId="57E559CD" w14:textId="5A273B5B" w:rsidR="00ED089F" w:rsidRPr="0045539C" w:rsidRDefault="00340198">
      <w:pPr>
        <w:pStyle w:val="Level4"/>
        <w:widowControl w:val="0"/>
        <w:numPr>
          <w:ilvl w:val="3"/>
          <w:numId w:val="213"/>
        </w:numPr>
        <w:tabs>
          <w:tab w:val="num" w:pos="2721"/>
        </w:tabs>
        <w:spacing w:before="140" w:after="0"/>
      </w:pPr>
      <w:bookmarkStart w:id="122" w:name="_Ref3890139"/>
      <w:bookmarkEnd w:id="121"/>
      <w:r>
        <w:t>[</w:t>
      </w:r>
      <w:r w:rsidR="00ED089F"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00ED089F" w:rsidRPr="0045539C">
        <w:t xml:space="preserve"> qualquer dos Fiadores e/ou pelos acionistas controladores </w:t>
      </w:r>
      <w:r w:rsidR="00ED089F" w:rsidRPr="0045539C">
        <w:rPr>
          <w:rFonts w:cs="Tahoma"/>
          <w:szCs w:val="20"/>
        </w:rPr>
        <w:t>(conforme definição de controle prevista no artigo 116 da Lei das Sociedades por Ações) direto</w:t>
      </w:r>
      <w:r w:rsidR="00A323F7">
        <w:rPr>
          <w:rFonts w:cs="Tahoma"/>
          <w:szCs w:val="20"/>
        </w:rPr>
        <w:t>s</w:t>
      </w:r>
      <w:r w:rsidR="00ED089F" w:rsidRPr="0045539C">
        <w:rPr>
          <w:rFonts w:cs="Tahoma"/>
          <w:szCs w:val="20"/>
        </w:rPr>
        <w:t xml:space="preserve"> </w:t>
      </w:r>
      <w:r w:rsidR="00ED089F" w:rsidRPr="00E908DB">
        <w:rPr>
          <w:rFonts w:cs="Tahoma"/>
          <w:szCs w:val="20"/>
        </w:rPr>
        <w:t>ou indireto</w:t>
      </w:r>
      <w:r w:rsidR="00B33FB7">
        <w:rPr>
          <w:rFonts w:cs="Tahoma"/>
          <w:szCs w:val="20"/>
        </w:rPr>
        <w:t>s (caso haja)</w:t>
      </w:r>
      <w:r w:rsidR="00B33FB7" w:rsidRPr="00E908DB">
        <w:rPr>
          <w:rFonts w:cs="Tahoma"/>
          <w:szCs w:val="20"/>
        </w:rPr>
        <w:t xml:space="preserve"> </w:t>
      </w:r>
      <w:r w:rsidR="00ED089F" w:rsidRPr="00E908DB">
        <w:rPr>
          <w:rFonts w:cs="Tahoma"/>
          <w:szCs w:val="20"/>
        </w:rPr>
        <w:t>da Emissora (“</w:t>
      </w:r>
      <w:r w:rsidR="00ED089F" w:rsidRPr="00E908DB">
        <w:rPr>
          <w:rFonts w:cs="Tahoma"/>
          <w:b/>
          <w:szCs w:val="20"/>
        </w:rPr>
        <w:t>Controladores</w:t>
      </w:r>
      <w:r w:rsidR="00ED089F" w:rsidRPr="00E908DB">
        <w:rPr>
          <w:rFonts w:cs="Tahoma"/>
          <w:szCs w:val="20"/>
        </w:rPr>
        <w:t>”)</w:t>
      </w:r>
      <w:r w:rsidR="00ED089F" w:rsidRPr="00E908DB">
        <w:t>;</w:t>
      </w:r>
      <w:bookmarkEnd w:id="122"/>
      <w:r>
        <w:t>]</w:t>
      </w:r>
      <w:r w:rsidR="00B73D4B">
        <w:t xml:space="preserve"> </w:t>
      </w:r>
      <w:r w:rsidR="00B73D4B" w:rsidRPr="00675FF8">
        <w:rPr>
          <w:b/>
          <w:highlight w:val="yellow"/>
        </w:rPr>
        <w:t>[</w:t>
      </w:r>
      <w:r w:rsidR="009A76BE" w:rsidRPr="00675FF8">
        <w:rPr>
          <w:b/>
          <w:highlight w:val="yellow"/>
        </w:rPr>
        <w:t xml:space="preserve">NOTA LEFOSSE: </w:t>
      </w:r>
      <w:r>
        <w:rPr>
          <w:b/>
          <w:highlight w:val="yellow"/>
        </w:rPr>
        <w:t>MANUTENÇÃO PENDENTE DE AVALIÇÃO PELA CIA.</w:t>
      </w:r>
      <w:r w:rsidR="00B73D4B" w:rsidRPr="00675FF8">
        <w:rPr>
          <w:b/>
          <w:highlight w:val="yellow"/>
        </w:rPr>
        <w:t>]</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3"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3"/>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F841D33"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(iii), (vi), (vii) e (viii)</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4B28FA">
        <w:t>3</w:t>
      </w:r>
      <w:r w:rsidR="00E9206A">
        <w:fldChar w:fldCharType="end"/>
      </w:r>
      <w:r w:rsidR="00E9206A">
        <w:t xml:space="preserve"> desta Escritura de Emissão, </w:t>
      </w:r>
      <w:r w:rsidRPr="0045539C">
        <w:t xml:space="preserve">e/ou agregar novos negócios que tenham </w:t>
      </w:r>
      <w:r w:rsidRPr="0045539C">
        <w:lastRenderedPageBreak/>
        <w:t xml:space="preserve">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47166A1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r w:rsidR="00D95A72">
        <w:t>Damrak</w:t>
      </w:r>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r w:rsidR="003156AA">
        <w:t xml:space="preserve"> </w:t>
      </w:r>
    </w:p>
    <w:p w14:paraId="1217DBF4" w14:textId="5774FA7F" w:rsidR="00936CCA" w:rsidRPr="00121FA8" w:rsidRDefault="00936CCA">
      <w:pPr>
        <w:pStyle w:val="Level4"/>
        <w:widowControl w:val="0"/>
        <w:numPr>
          <w:ilvl w:val="3"/>
          <w:numId w:val="213"/>
        </w:numPr>
        <w:spacing w:before="140" w:after="0"/>
      </w:pPr>
      <w:r w:rsidRPr="00121FA8">
        <w:t>cisão, fusão, incorporação (inclusive de ações) ou qualquer forma de reorganização envolvendo a Emissora</w:t>
      </w:r>
      <w:r w:rsidR="00CC7B02">
        <w:t xml:space="preserve"> ou a Damrak</w:t>
      </w:r>
      <w:r w:rsidRPr="00121FA8">
        <w:t xml:space="preserve">,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w:t>
      </w:r>
      <w:r w:rsidR="00CC7B02">
        <w:t xml:space="preserve"> ou da Damrak</w:t>
      </w:r>
      <w:r w:rsidRPr="00121FA8">
        <w:t>,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 xml:space="preserve">setenta e </w:t>
      </w:r>
      <w:r w:rsidR="00A4405F" w:rsidRPr="00121FA8">
        <w:lastRenderedPageBreak/>
        <w:t>cinco</w:t>
      </w:r>
      <w:r w:rsidRPr="00121FA8">
        <w:t xml:space="preserve"> por cento) das Debêntures em Circulação, reunidos em Assembleia Geral; </w:t>
      </w:r>
      <w:r w:rsidR="00CD37AB">
        <w:t xml:space="preserve"> </w:t>
      </w:r>
    </w:p>
    <w:p w14:paraId="4E03003E" w14:textId="7A610617" w:rsidR="00ED089F" w:rsidRPr="0045539C" w:rsidRDefault="00ED089F">
      <w:pPr>
        <w:pStyle w:val="Level4"/>
        <w:widowControl w:val="0"/>
        <w:numPr>
          <w:ilvl w:val="3"/>
          <w:numId w:val="213"/>
        </w:numPr>
        <w:tabs>
          <w:tab w:val="num" w:pos="2721"/>
        </w:tabs>
        <w:spacing w:before="140" w:after="0"/>
      </w:pPr>
      <w:r w:rsidRPr="0045539C">
        <w:t>provarem-se falsas</w:t>
      </w:r>
      <w:r w:rsidR="000E10C0" w:rsidRPr="0045539C">
        <w:t xml:space="preserve"> </w:t>
      </w:r>
      <w:r w:rsidR="00875E26">
        <w:t>[</w:t>
      </w:r>
      <w:r w:rsidR="000E10C0" w:rsidRPr="0045539C">
        <w:t>ou enganosas</w:t>
      </w:r>
      <w:r w:rsidR="00875E26">
        <w:t>]</w:t>
      </w:r>
      <w:r w:rsidRPr="0045539C">
        <w:t xml:space="preserve">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r w:rsidR="00875E26" w:rsidRPr="00C0194E">
        <w:rPr>
          <w:b/>
          <w:highlight w:val="yellow"/>
        </w:rPr>
        <w:t>[NOTA LEFOSSE: MUDANÇA DO “ENGANOSAS” DO VENCIMENTO NÃO AUTOMÁTICO PARA AUTOMÁTICO PENDENTE DE VALIDAÇÃO PELA CIA.</w:t>
      </w:r>
      <w:r w:rsidR="00C967EE" w:rsidRPr="00C0194E">
        <w:rPr>
          <w:b/>
          <w:highlight w:val="yellow"/>
        </w:rPr>
        <w:t>]</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7C447638" w:rsidR="005A44E0" w:rsidRPr="0045539C" w:rsidRDefault="005A44E0" w:rsidP="00DF5266">
      <w:pPr>
        <w:pStyle w:val="Level4"/>
        <w:numPr>
          <w:ilvl w:val="3"/>
          <w:numId w:val="213"/>
        </w:numPr>
        <w:tabs>
          <w:tab w:val="left" w:pos="2041"/>
        </w:tabs>
        <w:spacing w:before="140" w:after="0"/>
      </w:pPr>
      <w:bookmarkStart w:id="124" w:name="_Ref531280969"/>
      <w:bookmarkStart w:id="12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B28FA">
        <w:t>4</w:t>
      </w:r>
      <w:r w:rsidRPr="0045539C">
        <w:rPr>
          <w:highlight w:val="yellow"/>
        </w:rPr>
        <w:fldChar w:fldCharType="end"/>
      </w:r>
      <w:r w:rsidRPr="0045539C">
        <w:t xml:space="preserve"> acima;</w:t>
      </w:r>
      <w:bookmarkEnd w:id="124"/>
      <w:bookmarkEnd w:id="125"/>
    </w:p>
    <w:p w14:paraId="4D192BF7" w14:textId="242C884B" w:rsidR="00586AB7" w:rsidRPr="0045539C" w:rsidRDefault="0081369D" w:rsidP="00DF5266">
      <w:pPr>
        <w:pStyle w:val="Level3"/>
        <w:spacing w:before="140" w:after="0"/>
        <w:ind w:left="1360" w:hanging="680"/>
        <w:rPr>
          <w:b/>
        </w:rPr>
      </w:pPr>
      <w:bookmarkStart w:id="126" w:name="_Ref356481704"/>
      <w:bookmarkStart w:id="127" w:name="_Ref359943338"/>
      <w:bookmarkStart w:id="128" w:name="_Ref435660904"/>
      <w:bookmarkStart w:id="129" w:name="_Ref498608244"/>
      <w:bookmarkStart w:id="130" w:name="_Ref500784655"/>
      <w:bookmarkStart w:id="131"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B28FA">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6"/>
      <w:bookmarkEnd w:id="127"/>
      <w:bookmarkEnd w:id="128"/>
      <w:bookmarkEnd w:id="129"/>
      <w:bookmarkEnd w:id="130"/>
    </w:p>
    <w:bookmarkEnd w:id="131"/>
    <w:p w14:paraId="5ECE5E73" w14:textId="74116E1A"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875E26">
        <w:t>[</w:t>
      </w:r>
      <w:r w:rsidR="009D5B0A" w:rsidRPr="0015445B">
        <w:t>15 (quinze) Dias Úteis</w:t>
      </w:r>
      <w:r w:rsidR="00875E26">
        <w:t>]</w:t>
      </w:r>
      <w:r w:rsidR="009D5B0A" w:rsidRPr="0015445B">
        <w:t xml:space="preserve"> </w:t>
      </w:r>
      <w:r w:rsidRPr="0015445B">
        <w:t>contados da data do referido inadimplemento, sendo que o prazo previsto neste inciso não se aplica às obrigações para as quais tenha sido estipulado prazo de cura específico ou para qualquer dos demais Eventos de Vencimento Antecipado;</w:t>
      </w:r>
      <w:r w:rsidR="003156AA">
        <w:t xml:space="preserve"> </w:t>
      </w:r>
      <w:r w:rsidR="00096569" w:rsidRPr="00C0194E">
        <w:rPr>
          <w:b/>
          <w:highlight w:val="yellow"/>
        </w:rPr>
        <w:t>[</w:t>
      </w:r>
      <w:r w:rsidR="00875E26" w:rsidRPr="00C0194E">
        <w:rPr>
          <w:b/>
          <w:highlight w:val="yellow"/>
        </w:rPr>
        <w:t>NOTA LEFOSSE: ALTERAÇÃO DE 15 DIAS PARA 15 DIAS ÚTEIS PENDENTE DE AVALIAÇÃO PELO IBBA.</w:t>
      </w:r>
      <w:r w:rsidR="00096569" w:rsidRPr="00C0194E">
        <w:rPr>
          <w:b/>
          <w:highlight w:val="yellow"/>
        </w:rPr>
        <w:t>]</w:t>
      </w:r>
    </w:p>
    <w:p w14:paraId="5E6EEDB2" w14:textId="045B5FD7" w:rsidR="00732D01" w:rsidRPr="0045539C" w:rsidRDefault="00875E26">
      <w:pPr>
        <w:pStyle w:val="Level4"/>
        <w:numPr>
          <w:ilvl w:val="3"/>
          <w:numId w:val="241"/>
        </w:numPr>
        <w:spacing w:before="140" w:after="0"/>
      </w:pPr>
      <w:r>
        <w:t>[</w:t>
      </w:r>
      <w:r w:rsidR="00732D01" w:rsidRPr="0045539C">
        <w:t xml:space="preserve">revelarem-se incorretas na data em que foram dadas, quaisquer das declarações ou garantias prestadas pela Emissora e/ou pelos Fiadores nesta Escritura de Emissão e/ou nos </w:t>
      </w:r>
      <w:r w:rsidR="00732D01" w:rsidRPr="00984F72">
        <w:rPr>
          <w:highlight w:val="yellow"/>
        </w:rPr>
        <w:t>Contratos de Garantia</w:t>
      </w:r>
      <w:r w:rsidR="00732D01" w:rsidRPr="0045539C">
        <w:t>, conforme aplicável;</w:t>
      </w:r>
      <w:r>
        <w:t>]</w:t>
      </w:r>
      <w:r w:rsidR="00732D01" w:rsidRPr="0045539C">
        <w:t xml:space="preserve"> </w:t>
      </w:r>
      <w:r w:rsidRPr="006E3A71">
        <w:rPr>
          <w:b/>
          <w:highlight w:val="yellow"/>
        </w:rPr>
        <w:t xml:space="preserve">[NOTA LEFOSSE: </w:t>
      </w:r>
      <w:r>
        <w:rPr>
          <w:b/>
          <w:highlight w:val="yellow"/>
        </w:rPr>
        <w:t>MANUTENÇÃO DA CLÁUSULA</w:t>
      </w:r>
      <w:r w:rsidRPr="006E3A71">
        <w:rPr>
          <w:b/>
          <w:highlight w:val="yellow"/>
        </w:rPr>
        <w:t xml:space="preserve"> PENDENTE DE VALIDAÇÃO PELA CIA.]</w:t>
      </w:r>
      <w:r>
        <w:t xml:space="preserve"> </w:t>
      </w:r>
    </w:p>
    <w:p w14:paraId="511BF9AE" w14:textId="41299A95" w:rsidR="00732D01" w:rsidRPr="0045539C" w:rsidRDefault="00732D01">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lastRenderedPageBreak/>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51E87056"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r w:rsidR="00617923">
        <w:rPr>
          <w:b/>
          <w:bCs/>
        </w:rPr>
        <w:t xml:space="preserve"> </w:t>
      </w:r>
    </w:p>
    <w:p w14:paraId="44F9BBB4" w14:textId="3F71A583" w:rsidR="00732D01" w:rsidRPr="00835E82" w:rsidRDefault="00660EB3">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2959ACBA"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4B28FA">
        <w:t>(ii)</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4B28FA">
        <w:t>8.1.1</w:t>
      </w:r>
      <w:r w:rsidR="00727D9E" w:rsidRPr="00835E82">
        <w:fldChar w:fldCharType="end"/>
      </w:r>
      <w:r w:rsidR="00727D9E" w:rsidRPr="00835E82">
        <w:t xml:space="preserve"> acima;</w:t>
      </w:r>
    </w:p>
    <w:p w14:paraId="3BA2BC03" w14:textId="347C0C89" w:rsidR="00732D01" w:rsidRDefault="00732D01">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ativos, propriedades </w:t>
      </w:r>
      <w:r w:rsidR="000E10C0">
        <w:t xml:space="preserve">e/ou </w:t>
      </w:r>
      <w:r w:rsidRPr="0045539C">
        <w:t xml:space="preserve">das ações do capital social da </w:t>
      </w:r>
      <w:r w:rsidR="00552465" w:rsidRPr="0045539C">
        <w:t>Emissora</w:t>
      </w:r>
      <w:r w:rsidR="00A97F9B">
        <w:t xml:space="preserve"> e montante igual ou superior a </w:t>
      </w:r>
      <w:r w:rsidR="00096569">
        <w:t>20</w:t>
      </w:r>
      <w:r w:rsidR="00A97F9B" w:rsidRPr="0036084D">
        <w:t>% (</w:t>
      </w:r>
      <w:r w:rsidR="00096569">
        <w:t>vinte</w:t>
      </w:r>
      <w:r w:rsidR="00A97F9B" w:rsidRPr="0036084D">
        <w:t xml:space="preserve"> por cento) do ativo </w:t>
      </w:r>
      <w:r w:rsidR="00A97F9B">
        <w:t>imobilizado</w:t>
      </w:r>
      <w:r w:rsidR="00A97F9B" w:rsidRPr="0036084D">
        <w:t xml:space="preserve"> da Emissora</w:t>
      </w:r>
      <w:r w:rsidR="00A97F9B">
        <w:t xml:space="preserve"> </w:t>
      </w:r>
      <w:r w:rsidR="00A97F9B" w:rsidRPr="0036084D">
        <w:t>com base nas Demonstrações Financeiras Consolidadas Auditadas da Emissora (conforme abaixo definidas)</w:t>
      </w:r>
      <w:r w:rsidR="00A97F9B" w:rsidRPr="0036084D" w:rsidDel="00455787">
        <w:t xml:space="preserve"> </w:t>
      </w:r>
      <w:r w:rsidR="00A97F9B" w:rsidRPr="0036084D">
        <w:t>divulgadas regularmente pela Emissora</w:t>
      </w:r>
      <w:r w:rsidR="00620B7E">
        <w:t>;</w:t>
      </w:r>
      <w:r w:rsidR="00A74CBE">
        <w:t xml:space="preserve"> </w:t>
      </w:r>
      <w:r w:rsidR="00096569" w:rsidRPr="00C0194E">
        <w:rPr>
          <w:b/>
          <w:highlight w:val="yellow"/>
        </w:rPr>
        <w:t>[</w:t>
      </w:r>
      <w:r w:rsidR="00FC34E7" w:rsidRPr="00C0194E">
        <w:rPr>
          <w:b/>
          <w:highlight w:val="yellow"/>
        </w:rPr>
        <w:t>NOTA LEFOSSE: AJUSTE AO PERCENTUAL SOB AVALIAÇÃO DO IBBA E CIA</w:t>
      </w:r>
      <w:r w:rsidR="00096569" w:rsidRPr="00C0194E">
        <w:rPr>
          <w:b/>
          <w:highlight w:val="yellow"/>
        </w:rPr>
        <w:t>.]</w:t>
      </w:r>
      <w:r w:rsidR="00096569">
        <w:t xml:space="preserve"> </w:t>
      </w:r>
    </w:p>
    <w:p w14:paraId="1BF099F4" w14:textId="6C9E7071" w:rsidR="00B043F5" w:rsidRPr="00FD269F" w:rsidRDefault="00B043F5">
      <w:pPr>
        <w:pStyle w:val="Level4"/>
        <w:numPr>
          <w:ilvl w:val="3"/>
          <w:numId w:val="241"/>
        </w:numPr>
        <w:spacing w:before="140" w:after="0"/>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 xml:space="preserve">no prazo de </w:t>
      </w:r>
      <w:r>
        <w:rPr>
          <w:szCs w:val="26"/>
        </w:rPr>
        <w:t>30 dias</w:t>
      </w:r>
      <w:r w:rsidRPr="008E1C2E">
        <w:rPr>
          <w:szCs w:val="26"/>
        </w:rPr>
        <w:t xml:space="preserve"> contados da data do evento, seja substituído o Teobaldo e/ou o Gabriel, conforme o caso, por outro(s) fiador(es) aprovado(s) pelos Debenturistas, em Assembleia Geral</w:t>
      </w:r>
      <w:r>
        <w:rPr>
          <w:szCs w:val="26"/>
        </w:rPr>
        <w:t>;</w:t>
      </w:r>
    </w:p>
    <w:p w14:paraId="154C7FC9" w14:textId="7221D879" w:rsidR="00FD269F" w:rsidRPr="0045539C" w:rsidRDefault="00FD269F">
      <w:pPr>
        <w:pStyle w:val="Level4"/>
        <w:numPr>
          <w:ilvl w:val="3"/>
          <w:numId w:val="241"/>
        </w:numPr>
        <w:spacing w:before="140" w:after="0"/>
      </w:pPr>
      <w:r w:rsidRPr="0036084D">
        <w:lastRenderedPageBreak/>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w:t>
      </w:r>
      <w:r w:rsidR="00CC7B02">
        <w:t xml:space="preserve"> e/ou da Damrak</w:t>
      </w:r>
      <w:r w:rsidRPr="0036084D">
        <w:t xml:space="preserve">, </w:t>
      </w:r>
      <w:r w:rsidR="00CC7B02">
        <w:t xml:space="preserve">objeto dos Contratos de Garantia ou </w:t>
      </w:r>
      <w:r w:rsidRPr="0036084D">
        <w:t xml:space="preserve">que representem montante, individual ou agregado, superior a </w:t>
      </w:r>
      <w:r w:rsidR="00096569">
        <w:t>20</w:t>
      </w:r>
      <w:r w:rsidRPr="0036084D">
        <w:t>% (</w:t>
      </w:r>
      <w:r w:rsidR="00096569">
        <w:t>vinte</w:t>
      </w:r>
      <w:r w:rsidRPr="0036084D">
        <w:t xml:space="preserve"> por cento) do ativo </w:t>
      </w:r>
      <w:r>
        <w:t>imobilizado</w:t>
      </w:r>
      <w:r w:rsidRPr="0036084D">
        <w:t xml:space="preserve"> da Emissora</w:t>
      </w:r>
      <w:r>
        <w:t xml:space="preserve"> </w:t>
      </w:r>
      <w:r w:rsidRPr="0036084D">
        <w:t>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w:t>
      </w:r>
      <w:r>
        <w:t>[</w:t>
      </w:r>
      <w:r w:rsidRPr="0036084D">
        <w:t>pela Cessão Fiduciária de Recebíveis</w:t>
      </w:r>
      <w:r>
        <w:t xml:space="preserve"> e pela Alienação Fiduciária de Imóveis</w:t>
      </w:r>
      <w:r w:rsidRPr="0036084D">
        <w:t xml:space="preserve">, </w:t>
      </w:r>
      <w:r w:rsidRPr="002D2EEB">
        <w:t xml:space="preserve">a </w:t>
      </w:r>
      <w:r w:rsidRPr="0036084D">
        <w:t>ser</w:t>
      </w:r>
      <w:r>
        <w:t>em</w:t>
      </w:r>
      <w:r w:rsidRPr="0036084D">
        <w:t xml:space="preserve"> constituída</w:t>
      </w:r>
      <w:r>
        <w:t>s</w:t>
      </w:r>
      <w:r w:rsidRPr="0036084D">
        <w:t xml:space="preserve"> pela Emissora no âmbito da presente Emissão; e </w:t>
      </w:r>
      <w:r w:rsidRPr="0036084D">
        <w:rPr>
          <w:b/>
        </w:rPr>
        <w:t>(b)</w:t>
      </w:r>
      <w:r>
        <w:rPr>
          <w:b/>
        </w:rPr>
        <w:t>]</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(b.i) foi efetuado por erro ou má-fé</w:t>
      </w:r>
      <w:r w:rsidRPr="002D2EEB">
        <w:t>;</w:t>
      </w:r>
      <w:r w:rsidRPr="0036084D">
        <w:t xml:space="preserve"> (b.ii) foi cancelado</w:t>
      </w:r>
      <w:r w:rsidRPr="002D2EEB">
        <w:t>;</w:t>
      </w:r>
      <w:r w:rsidRPr="0036084D">
        <w:t xml:space="preserve"> ou (b.iii)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CC7B02">
        <w:t xml:space="preserve">; </w:t>
      </w:r>
      <w:r w:rsidR="00FC34E7" w:rsidRPr="006E3A71">
        <w:rPr>
          <w:b/>
          <w:highlight w:val="yellow"/>
        </w:rPr>
        <w:t>[NOTA LEFOSSE: AJUSTE AO PERCENTUAL SOB AVALIAÇÃO DO IBBA E CIA</w:t>
      </w:r>
      <w:r w:rsidR="00FC34E7">
        <w:rPr>
          <w:b/>
          <w:highlight w:val="yellow"/>
        </w:rPr>
        <w:t>, BEM COMO POSSIBILIDADE DE EXCLUSÃO DA DAMRAK</w:t>
      </w:r>
      <w:r w:rsidR="00FC34E7" w:rsidRPr="006E3A71">
        <w:rPr>
          <w:b/>
          <w:highlight w:val="yellow"/>
        </w:rPr>
        <w:t>.]</w:t>
      </w:r>
      <w:r w:rsidR="00FC34E7">
        <w:t xml:space="preserve"> </w:t>
      </w:r>
    </w:p>
    <w:p w14:paraId="7F12F8F9" w14:textId="23240DCA" w:rsidR="00006139" w:rsidRDefault="00732D01">
      <w:pPr>
        <w:pStyle w:val="Level4"/>
        <w:numPr>
          <w:ilvl w:val="3"/>
          <w:numId w:val="241"/>
        </w:numPr>
        <w:spacing w:before="140" w:after="0"/>
      </w:pPr>
      <w:bookmarkStart w:id="132"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3" w:name="_Hlk62765507"/>
      <w:r w:rsidR="001E1AE9" w:rsidRPr="007F652C">
        <w:t>Dívida L</w:t>
      </w:r>
      <w:r w:rsidR="001E1AE9">
        <w:t xml:space="preserve">íquida/EBITDA </w:t>
      </w:r>
      <w:bookmarkEnd w:id="133"/>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132"/>
      <w:r w:rsidR="00937FB2">
        <w:t xml:space="preserve"> </w:t>
      </w:r>
      <w:r w:rsidR="00937FB2" w:rsidRPr="00937FB2">
        <w:t>[</w:t>
      </w:r>
      <w:r w:rsidR="00937FB2" w:rsidRPr="00984F72">
        <w:rPr>
          <w:b/>
          <w:bCs/>
          <w:highlight w:val="yellow"/>
        </w:rPr>
        <w:t xml:space="preserve">NOTA LEFOSSE: </w:t>
      </w:r>
      <w:r w:rsidR="00FC34E7">
        <w:rPr>
          <w:b/>
          <w:bCs/>
          <w:highlight w:val="yellow"/>
        </w:rPr>
        <w:t xml:space="preserve">IBBA </w:t>
      </w:r>
      <w:r w:rsidR="005E5F96">
        <w:rPr>
          <w:b/>
          <w:bCs/>
          <w:highlight w:val="yellow"/>
        </w:rPr>
        <w:t>IRÁ PROPOR AJUSTES PARA COMPATIBILIZAR COM A QUESTÃO RELACIONADA AOS ALUGUÉIS INTRAGRUPO E IFRS 16.</w:t>
      </w:r>
      <w:r w:rsidR="00937FB2" w:rsidRPr="00984F72">
        <w:rPr>
          <w:b/>
          <w:bCs/>
          <w:highlight w:val="yellow"/>
        </w:rPr>
        <w:t>]</w:t>
      </w:r>
      <w:r w:rsidR="00937FB2">
        <w:rPr>
          <w:b/>
          <w:bCs/>
        </w:rPr>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w:t>
      </w:r>
      <w:r w:rsidRPr="00EB7C35">
        <w:rPr>
          <w:color w:val="000000" w:themeColor="text1"/>
        </w:rPr>
        <w:lastRenderedPageBreak/>
        <w:t xml:space="preserve">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28D4F47E"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4B28FA">
        <w:rPr>
          <w:rFonts w:cs="Tahoma"/>
        </w:rPr>
        <w:t>(xi)</w:t>
      </w:r>
      <w:r>
        <w:rPr>
          <w:rFonts w:cs="Tahoma"/>
        </w:rPr>
        <w:fldChar w:fldCharType="end"/>
      </w:r>
      <w:r>
        <w:rPr>
          <w:rFonts w:cs="Tahoma"/>
        </w:rPr>
        <w:t>.</w:t>
      </w:r>
      <w:r w:rsidR="00937FB2">
        <w:rPr>
          <w:rFonts w:cs="Tahoma"/>
        </w:rPr>
        <w:t>]</w:t>
      </w:r>
    </w:p>
    <w:p w14:paraId="72D117F5" w14:textId="4AC17293" w:rsidR="00CA2134" w:rsidRDefault="00CA2134">
      <w:pPr>
        <w:pStyle w:val="Level4"/>
        <w:numPr>
          <w:ilvl w:val="3"/>
          <w:numId w:val="241"/>
        </w:numPr>
        <w:spacing w:before="140" w:after="0"/>
      </w:pPr>
      <w:r w:rsidRPr="0045539C">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r w:rsidR="00D172A0">
        <w:rPr>
          <w:b/>
        </w:rPr>
        <w:t>[</w:t>
      </w:r>
      <w:r w:rsidR="00D172A0" w:rsidRPr="00D172A0">
        <w:rPr>
          <w:b/>
          <w:highlight w:val="yellow"/>
        </w:rPr>
        <w:t xml:space="preserve">NOTA LEFOSSE: </w:t>
      </w:r>
      <w:r w:rsidR="00D172A0" w:rsidRPr="00984F72">
        <w:rPr>
          <w:b/>
          <w:highlight w:val="yellow"/>
        </w:rPr>
        <w:t>TIME IBBA</w:t>
      </w:r>
      <w:r w:rsidR="00C0740F">
        <w:rPr>
          <w:b/>
          <w:highlight w:val="yellow"/>
        </w:rPr>
        <w:t xml:space="preserve"> E CIA</w:t>
      </w:r>
      <w:r w:rsidR="00D172A0" w:rsidRPr="00984F72">
        <w:rPr>
          <w:b/>
          <w:highlight w:val="yellow"/>
        </w:rPr>
        <w:t xml:space="preserve">, FAVOR </w:t>
      </w:r>
      <w:r w:rsidR="00937FB2">
        <w:rPr>
          <w:b/>
          <w:highlight w:val="yellow"/>
        </w:rPr>
        <w:t xml:space="preserve">INFORMAR AS DEFINIÇÕES </w:t>
      </w:r>
      <w:r w:rsidR="00D172A0" w:rsidRPr="00984F72">
        <w:rPr>
          <w:b/>
          <w:highlight w:val="yellow"/>
        </w:rPr>
        <w:t>ABAIXO</w:t>
      </w:r>
      <w:r w:rsidR="00D172A0">
        <w:rPr>
          <w:b/>
        </w:rPr>
        <w:t>]</w:t>
      </w:r>
    </w:p>
    <w:p w14:paraId="5A910039" w14:textId="77777777" w:rsidR="00CA2134" w:rsidRPr="0045539C" w:rsidRDefault="00CA2134" w:rsidP="00984F72">
      <w:pPr>
        <w:pStyle w:val="Level4"/>
        <w:numPr>
          <w:ilvl w:val="0"/>
          <w:numId w:val="0"/>
        </w:numPr>
        <w:spacing w:before="140" w:after="0"/>
        <w:ind w:left="2041"/>
      </w:pPr>
      <w:r w:rsidRPr="0045539C">
        <w:t>onde:</w:t>
      </w:r>
    </w:p>
    <w:p w14:paraId="7576AC38" w14:textId="409A0D64" w:rsidR="005E5F96" w:rsidRDefault="00CA2134">
      <w:pPr>
        <w:pStyle w:val="Level5"/>
        <w:widowControl w:val="0"/>
        <w:numPr>
          <w:ilvl w:val="0"/>
          <w:numId w:val="0"/>
        </w:numPr>
        <w:spacing w:before="140" w:after="0"/>
        <w:ind w:left="2127"/>
      </w:pPr>
      <w:r w:rsidRPr="003A5122">
        <w:t>“</w:t>
      </w:r>
      <w:r w:rsidR="003A5122" w:rsidRPr="00C0194E">
        <w:rPr>
          <w:b/>
        </w:rPr>
        <w:t>Índice Financeiro Liquidez Corrente</w:t>
      </w:r>
      <w:r w:rsidRPr="003A5122">
        <w:t xml:space="preserve">” </w:t>
      </w:r>
      <w:r w:rsidR="00C0740F" w:rsidRPr="003A5122">
        <w:t xml:space="preserve">significa </w:t>
      </w:r>
      <w:r w:rsidR="003A5122" w:rsidRPr="00675FF8">
        <w:t xml:space="preserve">a diferença entre </w:t>
      </w:r>
      <w:r w:rsidR="005E5F96" w:rsidRPr="00675FF8">
        <w:t xml:space="preserve">Ativo Circulante </w:t>
      </w:r>
      <w:r w:rsidR="003A5122" w:rsidRPr="00675FF8">
        <w:t xml:space="preserve">e </w:t>
      </w:r>
      <w:r w:rsidR="005E5F96" w:rsidRPr="00675FF8">
        <w:t>Passivo Circulante</w:t>
      </w:r>
      <w:r w:rsidR="005E5F96">
        <w:t xml:space="preserve"> da Emissora;</w:t>
      </w:r>
    </w:p>
    <w:p w14:paraId="07C26C0B" w14:textId="4C97E589" w:rsidR="00CA2134" w:rsidRPr="00DF5F4B" w:rsidRDefault="005E5F96">
      <w:pPr>
        <w:pStyle w:val="Level5"/>
        <w:widowControl w:val="0"/>
        <w:numPr>
          <w:ilvl w:val="0"/>
          <w:numId w:val="0"/>
        </w:numPr>
        <w:spacing w:before="140" w:after="0"/>
        <w:ind w:left="2127"/>
        <w:rPr>
          <w:b/>
        </w:rPr>
      </w:pPr>
      <w:r w:rsidRPr="003A5122">
        <w:t>“</w:t>
      </w:r>
      <w:r>
        <w:rPr>
          <w:b/>
        </w:rPr>
        <w:t>Ativo Circulante</w:t>
      </w:r>
      <w:r w:rsidRPr="003A5122">
        <w:t>”</w:t>
      </w:r>
      <w:r>
        <w:t xml:space="preserve"> significa </w:t>
      </w:r>
      <w:r w:rsidRPr="00984F72">
        <w:rPr>
          <w:highlight w:val="yellow"/>
        </w:rPr>
        <w:t>[</w:t>
      </w:r>
      <w:r w:rsidRPr="00984F72">
        <w:rPr>
          <w:highlight w:val="yellow"/>
        </w:rPr>
        <w:sym w:font="Symbol" w:char="F0B7"/>
      </w:r>
      <w:r w:rsidRPr="00984F72">
        <w:rPr>
          <w:highlight w:val="yellow"/>
        </w:rPr>
        <w:t>]</w:t>
      </w:r>
      <w:r>
        <w:t xml:space="preserve">; </w:t>
      </w:r>
      <w:r w:rsidR="00CA2134">
        <w:t>e</w:t>
      </w:r>
    </w:p>
    <w:p w14:paraId="48B79399" w14:textId="18B6E5E6" w:rsidR="00CA2134" w:rsidRPr="00EB7C35" w:rsidRDefault="005E5F96">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Pr>
          <w:b/>
          <w:color w:val="000000" w:themeColor="text1"/>
        </w:rPr>
        <w:t>Passivo Circulante</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2ABE3B63" w14:textId="330710A8" w:rsidR="00FF14CD" w:rsidRDefault="00C0740F" w:rsidP="00FF14CD">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 </w:t>
      </w:r>
      <w:r w:rsidRPr="00984F72">
        <w:rPr>
          <w:rFonts w:cs="Times New Roman"/>
          <w:szCs w:val="18"/>
        </w:rPr>
        <w:t>os ativos e passivos de arrendamento de curto prazo</w:t>
      </w:r>
      <w:r w:rsidR="00910524" w:rsidRPr="00984F72">
        <w:rPr>
          <w:rFonts w:cs="Times New Roman"/>
          <w:szCs w:val="18"/>
        </w:rPr>
        <w:t>.</w:t>
      </w:r>
      <w:r w:rsidR="00910524">
        <w:rPr>
          <w:rFonts w:cs="Tahoma"/>
        </w:rPr>
        <w:t xml:space="preserve"> </w:t>
      </w:r>
    </w:p>
    <w:p w14:paraId="283B51CF" w14:textId="525B1069" w:rsidR="00673E73" w:rsidRDefault="00673E73" w:rsidP="00673E73">
      <w:pPr>
        <w:pStyle w:val="Level4"/>
        <w:numPr>
          <w:ilvl w:val="3"/>
          <w:numId w:val="241"/>
        </w:numPr>
        <w:spacing w:before="140" w:after="0"/>
      </w:pPr>
      <w:r w:rsidRPr="00673E73">
        <w:t xml:space="preserve">deixar de realizar, até </w:t>
      </w:r>
      <w:r w:rsidR="00A24C04">
        <w:t>90</w:t>
      </w:r>
      <w:r w:rsidRPr="00673E73">
        <w:t xml:space="preserve"> (</w:t>
      </w:r>
      <w:r w:rsidR="00A24C04">
        <w:t>noventa</w:t>
      </w:r>
      <w:r w:rsidRPr="00673E73">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t>a</w:t>
      </w:r>
      <w:r w:rsidRPr="00673E73">
        <w:t xml:space="preserve">lizadas, obrigatoriamente, por uma das seguintes empresas: (a) Ernest &amp; Young; (b) PricewaterhouseCoopers (PwC); (c) KPMG; (d) Delloite; </w:t>
      </w:r>
      <w:r w:rsidR="00A97F9B">
        <w:t>ou</w:t>
      </w:r>
      <w:r>
        <w:t xml:space="preserve"> </w:t>
      </w:r>
      <w:r w:rsidRPr="00673E73">
        <w:t>(e) BDO;</w:t>
      </w:r>
    </w:p>
    <w:p w14:paraId="404E9C24" w14:textId="77777777" w:rsidR="005A6D22" w:rsidRDefault="005A6D22" w:rsidP="00675FF8"/>
    <w:p w14:paraId="4EDF7317" w14:textId="269C2324" w:rsidR="00673E73" w:rsidRDefault="00673E73" w:rsidP="00673E73">
      <w:pPr>
        <w:pStyle w:val="Level4"/>
        <w:numPr>
          <w:ilvl w:val="3"/>
          <w:numId w:val="241"/>
        </w:numPr>
        <w:tabs>
          <w:tab w:val="clear" w:pos="2041"/>
        </w:tabs>
      </w:pPr>
      <w:r w:rsidRPr="001F4290">
        <w:lastRenderedPageBreak/>
        <w:t>protestos de títulos contra a Emissora, cujo valor unitário ou agregado seja igual ou superior a</w:t>
      </w:r>
      <w:bookmarkStart w:id="134" w:name="_Hlk54907918"/>
      <w:r w:rsidR="00076C19">
        <w:t xml:space="preserve"> </w:t>
      </w:r>
      <w:r w:rsidRPr="001F4290">
        <w:t>R</w:t>
      </w:r>
      <w:r w:rsidR="00076C19">
        <w:t>$10</w:t>
      </w:r>
      <w:r w:rsidRPr="001F4290">
        <w:t>.000.000,00 (</w:t>
      </w:r>
      <w:r w:rsidR="00076C19">
        <w:t>dez</w:t>
      </w:r>
      <w:r w:rsidRPr="001F4290">
        <w:t xml:space="preserve"> milhões de reais), corrigido anualmente pelo IPCA, salvo se, em quaisquer dos casos</w:t>
      </w:r>
      <w:bookmarkEnd w:id="134"/>
      <w:r w:rsidRPr="001F4290">
        <w:t xml:space="preserve"> (</w:t>
      </w:r>
      <w:r w:rsidR="00A97F9B">
        <w:t>a</w:t>
      </w:r>
      <w:r w:rsidRPr="001F4290">
        <w:t>) o protesto tiver sido efetuado por erro ou má-fé de terceiros, desde que validamente comprovado pela Emissora ou (</w:t>
      </w:r>
      <w:r w:rsidR="00A97F9B">
        <w:t>b</w:t>
      </w:r>
      <w:r w:rsidRPr="001F4290">
        <w:t xml:space="preserve">) se for cancelado ou sustado, em qualquer hipótese, dentro de 90 dias; </w:t>
      </w:r>
      <w:r w:rsidR="00017EA4">
        <w:t>e</w:t>
      </w:r>
    </w:p>
    <w:p w14:paraId="6795B723" w14:textId="786463B2" w:rsidR="00673E73" w:rsidRDefault="00076C19" w:rsidP="00C0194E">
      <w:pPr>
        <w:pStyle w:val="Level4"/>
        <w:numPr>
          <w:ilvl w:val="3"/>
          <w:numId w:val="241"/>
        </w:numPr>
        <w:tabs>
          <w:tab w:val="clear" w:pos="2041"/>
        </w:tabs>
        <w:rPr>
          <w:rFonts w:cs="Tahoma"/>
        </w:rPr>
      </w:pPr>
      <w:r w:rsidRPr="00C0194E">
        <w:t>interrupção</w:t>
      </w:r>
      <w:r>
        <w:rPr>
          <w:rFonts w:cs="Tahoma"/>
        </w:rPr>
        <w:t xml:space="preserve"> das atividades da Emissora por mais de 30 (trinta) dias sem justa causa.</w:t>
      </w:r>
    </w:p>
    <w:p w14:paraId="799A714E" w14:textId="26B23DD8" w:rsidR="00012007" w:rsidRPr="0045539C" w:rsidRDefault="00012007" w:rsidP="00DF5266">
      <w:pPr>
        <w:pStyle w:val="Level2"/>
        <w:widowControl w:val="0"/>
        <w:spacing w:before="140" w:after="0"/>
      </w:pPr>
      <w:bookmarkStart w:id="135" w:name="_Ref130283217"/>
      <w:bookmarkStart w:id="136" w:name="_Ref169028300"/>
      <w:bookmarkStart w:id="137" w:name="_Ref278369126"/>
      <w:bookmarkStart w:id="138" w:name="_Ref474855533"/>
      <w:bookmarkEnd w:id="115"/>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B28FA">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5"/>
      <w:bookmarkEnd w:id="136"/>
      <w:bookmarkEnd w:id="137"/>
    </w:p>
    <w:p w14:paraId="34F9A350" w14:textId="281F5B6E" w:rsidR="00C767DA" w:rsidRPr="0045539C" w:rsidRDefault="00012007" w:rsidP="00DF5266">
      <w:pPr>
        <w:pStyle w:val="Level2"/>
        <w:widowControl w:val="0"/>
        <w:spacing w:before="140" w:after="0"/>
        <w:rPr>
          <w:rFonts w:cs="Arial"/>
          <w:b/>
          <w:szCs w:val="20"/>
        </w:rPr>
      </w:pPr>
      <w:bookmarkStart w:id="139" w:name="_Ref516847073"/>
      <w:bookmarkStart w:id="140" w:name="_Ref130283218"/>
      <w:bookmarkStart w:id="141"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B28FA">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5A9DE563" w:rsidR="00C767DA" w:rsidRPr="0045539C" w:rsidRDefault="00C767DA" w:rsidP="00DF5266">
      <w:pPr>
        <w:pStyle w:val="Level2"/>
        <w:widowControl w:val="0"/>
        <w:spacing w:before="140" w:after="0"/>
        <w:rPr>
          <w:rFonts w:cs="Arial"/>
          <w:b/>
          <w:szCs w:val="20"/>
        </w:rPr>
      </w:pPr>
      <w:bookmarkStart w:id="142" w:name="_Ref392008629"/>
      <w:bookmarkStart w:id="143" w:name="_Ref439944731"/>
      <w:bookmarkStart w:id="144"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B28FA">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2"/>
      <w:bookmarkEnd w:id="143"/>
      <w:r w:rsidRPr="0045539C">
        <w:rPr>
          <w:rFonts w:cs="Arial"/>
          <w:szCs w:val="20"/>
        </w:rPr>
        <w:t>.</w:t>
      </w:r>
      <w:bookmarkEnd w:id="144"/>
      <w:r w:rsidR="00EE5A4C" w:rsidRPr="0045539C">
        <w:rPr>
          <w:rFonts w:cs="Arial"/>
          <w:szCs w:val="20"/>
        </w:rPr>
        <w:t xml:space="preserve"> </w:t>
      </w:r>
    </w:p>
    <w:p w14:paraId="268D5A5E" w14:textId="2343D040" w:rsidR="00C767DA" w:rsidRPr="0045539C" w:rsidRDefault="00C767DA" w:rsidP="00DF5266">
      <w:pPr>
        <w:pStyle w:val="Level2"/>
        <w:widowControl w:val="0"/>
        <w:spacing w:before="140" w:after="0"/>
        <w:rPr>
          <w:rFonts w:cs="Arial"/>
          <w:szCs w:val="20"/>
        </w:rPr>
      </w:pPr>
      <w:bookmarkStart w:id="145" w:name="_Ref416258031"/>
      <w:bookmarkStart w:id="146"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B28FA">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5"/>
      <w:bookmarkEnd w:id="146"/>
    </w:p>
    <w:p w14:paraId="017C3649" w14:textId="367E3008" w:rsidR="00F019F2" w:rsidRPr="0045539C" w:rsidRDefault="00F019F2" w:rsidP="00DF5266">
      <w:pPr>
        <w:pStyle w:val="Level2"/>
        <w:widowControl w:val="0"/>
        <w:spacing w:before="140" w:after="0"/>
      </w:pPr>
      <w:bookmarkStart w:id="147" w:name="_Ref514689054"/>
      <w:bookmarkStart w:id="148" w:name="_Ref470625528"/>
      <w:bookmarkStart w:id="149" w:name="_Ref507429726"/>
      <w:bookmarkStart w:id="150" w:name="_Ref514359861"/>
      <w:bookmarkStart w:id="151" w:name="_Ref510432575"/>
      <w:r w:rsidRPr="0045539C">
        <w:t>N</w:t>
      </w:r>
      <w:bookmarkStart w:id="152"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4B28FA">
        <w:t>8.6</w:t>
      </w:r>
      <w:r w:rsidRPr="0045539C">
        <w:fldChar w:fldCharType="end"/>
      </w:r>
      <w:r w:rsidRPr="0045539C">
        <w:t xml:space="preserve"> abaixo.</w:t>
      </w:r>
      <w:bookmarkEnd w:id="147"/>
      <w:bookmarkEnd w:id="152"/>
      <w:r w:rsidRPr="0045539C">
        <w:t xml:space="preserve"> </w:t>
      </w:r>
      <w:bookmarkEnd w:id="148"/>
    </w:p>
    <w:bookmarkEnd w:id="149"/>
    <w:bookmarkEnd w:id="150"/>
    <w:bookmarkEnd w:id="151"/>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3" w:name="_Ref470204567"/>
      <w:r w:rsidRPr="0045539C">
        <w:t>o</w:t>
      </w:r>
      <w:bookmarkEnd w:id="153"/>
      <w:r w:rsidRPr="0045539C">
        <w:t xml:space="preserve"> das Debêntures</w:t>
      </w:r>
      <w:bookmarkStart w:id="154" w:name="_Ref474855556"/>
      <w:r w:rsidRPr="0045539C">
        <w:t>.</w:t>
      </w:r>
      <w:bookmarkEnd w:id="154"/>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5" w:name="_DV_C43"/>
      <w:bookmarkStart w:id="156" w:name="_Ref359943492"/>
      <w:bookmarkStart w:id="157" w:name="_Ref483833148"/>
      <w:bookmarkEnd w:id="139"/>
      <w:bookmarkEnd w:id="140"/>
      <w:bookmarkEnd w:id="141"/>
      <w:bookmarkEnd w:id="15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38"/>
      <w:bookmarkEnd w:id="156"/>
      <w:bookmarkEnd w:id="157"/>
    </w:p>
    <w:p w14:paraId="7E90A4CA" w14:textId="0A83B2F0" w:rsidR="00ED1701" w:rsidRPr="0045539C" w:rsidRDefault="00010A0A">
      <w:pPr>
        <w:pStyle w:val="Level1"/>
        <w:keepNext w:val="0"/>
        <w:keepLines w:val="0"/>
        <w:widowControl w:val="0"/>
        <w:spacing w:before="140" w:after="0"/>
        <w:jc w:val="center"/>
      </w:pPr>
      <w:bookmarkStart w:id="158" w:name="_DV_M446"/>
      <w:bookmarkStart w:id="159" w:name="_DV_M447"/>
      <w:bookmarkStart w:id="160" w:name="_DV_M448"/>
      <w:bookmarkStart w:id="161" w:name="_DV_M449"/>
      <w:bookmarkStart w:id="162" w:name="_DV_M450"/>
      <w:bookmarkStart w:id="163" w:name="_Ref2839556"/>
      <w:bookmarkEnd w:id="158"/>
      <w:bookmarkEnd w:id="159"/>
      <w:bookmarkEnd w:id="160"/>
      <w:bookmarkEnd w:id="161"/>
      <w:bookmarkEnd w:id="162"/>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3"/>
    </w:p>
    <w:p w14:paraId="0E0EE7E6" w14:textId="4A4440A3" w:rsidR="00ED1701" w:rsidRPr="0045539C" w:rsidRDefault="00ED1701">
      <w:pPr>
        <w:pStyle w:val="Level2"/>
        <w:widowControl w:val="0"/>
        <w:spacing w:before="140" w:after="0"/>
        <w:rPr>
          <w:rFonts w:cs="Arial"/>
          <w:szCs w:val="20"/>
        </w:rPr>
      </w:pPr>
      <w:bookmarkStart w:id="164"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4"/>
      <w:r w:rsidRPr="0045539C">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5" w:name="_Ref507429088"/>
      <w:bookmarkStart w:id="166" w:name="_Ref2839573"/>
      <w:bookmarkStart w:id="167" w:name="_Ref2885253"/>
      <w:bookmarkStart w:id="168" w:name="_Ref501635536"/>
      <w:r w:rsidRPr="0045539C">
        <w:t>fornecer ao Agente Fiduciário</w:t>
      </w:r>
      <w:bookmarkEnd w:id="165"/>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6"/>
      <w:bookmarkEnd w:id="167"/>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69" w:name="_Ref521064217"/>
      <w:r w:rsidRPr="0045539C">
        <w:t xml:space="preserve">fornecer ao Agente </w:t>
      </w:r>
      <w:r w:rsidR="008E75F8" w:rsidRPr="0045539C">
        <w:t>Fiduciário</w:t>
      </w:r>
      <w:r w:rsidRPr="0045539C">
        <w:t>:</w:t>
      </w:r>
    </w:p>
    <w:p w14:paraId="1A5E5BC9" w14:textId="446AA145"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0" w:name="_Ref521064225"/>
      <w:bookmarkEnd w:id="169"/>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4B28FA">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0"/>
      <w:r w:rsidR="005F0CAF" w:rsidRPr="00835E82">
        <w:t xml:space="preserve"> </w:t>
      </w:r>
    </w:p>
    <w:p w14:paraId="30F3FA86" w14:textId="73B32A8E" w:rsidR="00012007" w:rsidRPr="00793C6F"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B28FA">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w:t>
      </w:r>
      <w:r w:rsidRPr="00984F72">
        <w:rPr>
          <w:highlight w:val="yellow"/>
        </w:rPr>
        <w:t>Contratos de Garantia</w:t>
      </w:r>
      <w:r w:rsidRPr="0045539C">
        <w:t xml:space="preserve">, conforme aplicável; e/ou </w:t>
      </w:r>
      <w:r w:rsidRPr="007B5CA5">
        <w:rPr>
          <w:b/>
        </w:rPr>
        <w:t>(ii)</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68"/>
    <w:p w14:paraId="58751382" w14:textId="05349785" w:rsidR="003A4607" w:rsidRPr="00984F72" w:rsidRDefault="003A4607">
      <w:pPr>
        <w:pStyle w:val="Level4"/>
        <w:widowControl w:val="0"/>
        <w:tabs>
          <w:tab w:val="clear" w:pos="2041"/>
          <w:tab w:val="num" w:pos="1361"/>
        </w:tabs>
        <w:spacing w:before="140" w:after="0"/>
        <w:ind w:left="1360"/>
        <w:rPr>
          <w:w w:val="0"/>
        </w:rPr>
      </w:pPr>
      <w:r w:rsidRPr="003A4607">
        <w:rPr>
          <w:w w:val="0"/>
        </w:rPr>
        <w:t xml:space="preserve">manter regular, durante o prazo das Debêntures, </w:t>
      </w:r>
      <w:r w:rsidR="002661B3">
        <w:rPr>
          <w:w w:val="0"/>
        </w:rPr>
        <w:t xml:space="preserve">caso venha ser obtido, </w:t>
      </w:r>
      <w:r w:rsidRPr="003A4607">
        <w:rPr>
          <w:w w:val="0"/>
        </w:rPr>
        <w:t>seu registro de companhia aberta perante a CVM, cumprindo, tempestivamente, com todas as obrigações de companhia aberta estabelecidas na Instrução CVM nº 480, de 07 de dezembro de 2009, conforme em vigor (“</w:t>
      </w:r>
      <w:r w:rsidRPr="003A4607">
        <w:rPr>
          <w:b/>
          <w:w w:val="0"/>
        </w:rPr>
        <w:t>Instrução CVM 480</w:t>
      </w:r>
      <w:r w:rsidRPr="003A4607">
        <w:rPr>
          <w:w w:val="0"/>
        </w:rPr>
        <w:t xml:space="preserve">”) </w:t>
      </w:r>
      <w:r w:rsidRPr="00984F72">
        <w:t>necessárias</w:t>
      </w:r>
      <w:r w:rsidRPr="003A4607">
        <w:rPr>
          <w:w w:val="0"/>
        </w:rPr>
        <w:t xml:space="preserve"> para tanto;</w:t>
      </w:r>
    </w:p>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1"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55760BA2" w:rsidR="00012007" w:rsidRPr="003A4607" w:rsidRDefault="00197A8F">
      <w:pPr>
        <w:pStyle w:val="Level4"/>
        <w:widowControl w:val="0"/>
        <w:tabs>
          <w:tab w:val="clear" w:pos="2041"/>
          <w:tab w:val="num" w:pos="1361"/>
        </w:tabs>
        <w:spacing w:before="140" w:after="0"/>
        <w:ind w:left="1360"/>
        <w:rPr>
          <w:w w:val="0"/>
        </w:rPr>
      </w:pPr>
      <w:r>
        <w:rPr>
          <w:w w:val="0"/>
        </w:rPr>
        <w:t>[</w:t>
      </w:r>
      <w:r w:rsidR="00012007" w:rsidRPr="003A4607">
        <w:rPr>
          <w:w w:val="0"/>
        </w:rPr>
        <w:t xml:space="preserve">manter em adequado funcionamento serviço de atendimento aos </w:t>
      </w:r>
      <w:r w:rsidR="008E75F8" w:rsidRPr="003A4607">
        <w:rPr>
          <w:w w:val="0"/>
        </w:rPr>
        <w:t>Debenturistas</w:t>
      </w:r>
      <w:r w:rsidR="00012007" w:rsidRPr="003A4607">
        <w:rPr>
          <w:w w:val="0"/>
        </w:rPr>
        <w:t>, para assegurar-lhes tratamento eficiente;</w:t>
      </w:r>
      <w:r>
        <w:rPr>
          <w:w w:val="0"/>
        </w:rPr>
        <w:t>]</w:t>
      </w:r>
      <w:r w:rsidR="00012007" w:rsidRPr="003A4607">
        <w:rPr>
          <w:w w:val="0"/>
        </w:rPr>
        <w:t xml:space="preserve"> </w:t>
      </w:r>
      <w:r w:rsidRPr="00C0194E">
        <w:rPr>
          <w:b/>
          <w:w w:val="0"/>
          <w:highlight w:val="yellow"/>
        </w:rPr>
        <w:t>[</w:t>
      </w:r>
      <w:r w:rsidRPr="00197A8F">
        <w:rPr>
          <w:b/>
          <w:szCs w:val="20"/>
          <w:highlight w:val="yellow"/>
        </w:rPr>
        <w:t>NOTA LEFOSSE: FOI SOLICITADA A EXCLUSÃO PELA CIA</w:t>
      </w:r>
      <w:r>
        <w:rPr>
          <w:b/>
          <w:szCs w:val="20"/>
          <w:highlight w:val="yellow"/>
        </w:rPr>
        <w:t>.</w:t>
      </w:r>
      <w:r w:rsidRPr="00197A8F">
        <w:rPr>
          <w:b/>
          <w:szCs w:val="20"/>
          <w:highlight w:val="yellow"/>
        </w:rPr>
        <w:t xml:space="preserve"> </w:t>
      </w:r>
      <w:r>
        <w:rPr>
          <w:b/>
          <w:szCs w:val="20"/>
          <w:highlight w:val="yellow"/>
        </w:rPr>
        <w:t>PENDENTE APROVAÇÃO IBBA.</w:t>
      </w:r>
      <w:r w:rsidRPr="00C0194E">
        <w:rPr>
          <w:b/>
          <w:szCs w:val="20"/>
          <w:highlight w:val="yellow"/>
        </w:rPr>
        <w:t>]</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183A1A6"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B28FA">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B28FA">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851D054" w14:textId="63FBEBCE" w:rsidR="00012007" w:rsidRPr="003A4607" w:rsidRDefault="00197A8F">
      <w:pPr>
        <w:pStyle w:val="Level4"/>
        <w:widowControl w:val="0"/>
        <w:tabs>
          <w:tab w:val="clear" w:pos="2041"/>
          <w:tab w:val="num" w:pos="1361"/>
        </w:tabs>
        <w:spacing w:before="140" w:after="0"/>
        <w:ind w:left="1360"/>
        <w:rPr>
          <w:w w:val="0"/>
        </w:rPr>
      </w:pPr>
      <w:r>
        <w:rPr>
          <w:w w:val="0"/>
        </w:rPr>
        <w:t>[</w:t>
      </w:r>
      <w:r w:rsidR="00012007" w:rsidRPr="003A4607">
        <w:rPr>
          <w:w w:val="0"/>
        </w:rPr>
        <w:t xml:space="preserve">na hipótese da legalidade ou exequibilidade de qualquer das disposições </w:t>
      </w:r>
      <w:r w:rsidR="00A01AD9" w:rsidRPr="003A4607">
        <w:rPr>
          <w:w w:val="0"/>
        </w:rPr>
        <w:t>r</w:t>
      </w:r>
      <w:r w:rsidR="00A323F7" w:rsidRPr="003A4607">
        <w:rPr>
          <w:w w:val="0"/>
        </w:rPr>
        <w:t>elevantes</w:t>
      </w:r>
      <w:r w:rsidR="00012007" w:rsidRPr="003A4607">
        <w:rPr>
          <w:w w:val="0"/>
        </w:rPr>
        <w:t xml:space="preserve"> desta </w:t>
      </w:r>
      <w:r w:rsidR="008E75F8" w:rsidRPr="003A4607">
        <w:t>Escritura de Emissão</w:t>
      </w:r>
      <w:r w:rsidR="0018111F" w:rsidRPr="003A4607">
        <w:t xml:space="preserve"> e dos Contratos de Garantia</w:t>
      </w:r>
      <w:r w:rsidR="008E75F8" w:rsidRPr="003A4607">
        <w:rPr>
          <w:w w:val="0"/>
        </w:rPr>
        <w:t xml:space="preserve"> </w:t>
      </w:r>
      <w:r w:rsidR="00012007" w:rsidRPr="003A4607">
        <w:rPr>
          <w:w w:val="0"/>
        </w:rPr>
        <w:t xml:space="preserve">ser questionada judicialmente por qualquer pessoa, e tal questionamento judicial possa afetar a capacidade da Emissora em cumprir suas obrigações previstas nesta </w:t>
      </w:r>
      <w:r w:rsidR="008E75F8" w:rsidRPr="003A4607">
        <w:t>Escritura de Emissão</w:t>
      </w:r>
      <w:r w:rsidR="0018111F" w:rsidRPr="003A4607">
        <w:t xml:space="preserve"> e nos Contratos de Garantia</w:t>
      </w:r>
      <w:r w:rsidR="00012007" w:rsidRPr="003A4607">
        <w:rPr>
          <w:w w:val="0"/>
        </w:rPr>
        <w:t xml:space="preserve">, </w:t>
      </w:r>
      <w:r w:rsidR="000B1E2C" w:rsidRPr="003A4607">
        <w:rPr>
          <w:w w:val="0"/>
        </w:rPr>
        <w:t xml:space="preserve">deverão </w:t>
      </w:r>
      <w:r w:rsidR="00012007" w:rsidRPr="003A4607">
        <w:rPr>
          <w:w w:val="0"/>
        </w:rPr>
        <w:t>informar tal acontecimento</w:t>
      </w:r>
      <w:r w:rsidR="00F81E98" w:rsidRPr="003A4607">
        <w:rPr>
          <w:w w:val="0"/>
        </w:rPr>
        <w:t>, imediatamente,</w:t>
      </w:r>
      <w:r w:rsidR="00012007" w:rsidRPr="003A4607">
        <w:rPr>
          <w:w w:val="0"/>
        </w:rPr>
        <w:t xml:space="preserve"> ao Agente </w:t>
      </w:r>
      <w:r w:rsidR="008E75F8" w:rsidRPr="003A4607">
        <w:rPr>
          <w:w w:val="0"/>
        </w:rPr>
        <w:t>Fiduciário</w:t>
      </w:r>
      <w:r w:rsidR="00012007" w:rsidRPr="003A4607">
        <w:rPr>
          <w:w w:val="0"/>
        </w:rPr>
        <w:t>;</w:t>
      </w:r>
      <w:r>
        <w:rPr>
          <w:w w:val="0"/>
        </w:rPr>
        <w:t xml:space="preserve">] </w:t>
      </w:r>
      <w:r w:rsidRPr="006E3A71">
        <w:rPr>
          <w:b/>
          <w:w w:val="0"/>
          <w:highlight w:val="yellow"/>
        </w:rPr>
        <w:t>[</w:t>
      </w:r>
      <w:r w:rsidRPr="006E3A71">
        <w:rPr>
          <w:b/>
          <w:szCs w:val="20"/>
          <w:highlight w:val="yellow"/>
        </w:rPr>
        <w:t>NOTA LEFOSSE: FOI SOLICITADA A EXCLUSÃO PELA CIA</w:t>
      </w:r>
      <w:r>
        <w:rPr>
          <w:b/>
          <w:szCs w:val="20"/>
          <w:highlight w:val="yellow"/>
        </w:rPr>
        <w:t>.</w:t>
      </w:r>
      <w:r w:rsidRPr="006E3A71">
        <w:rPr>
          <w:b/>
          <w:szCs w:val="20"/>
          <w:highlight w:val="yellow"/>
        </w:rPr>
        <w:t xml:space="preserve"> </w:t>
      </w:r>
      <w:r>
        <w:rPr>
          <w:b/>
          <w:szCs w:val="20"/>
          <w:highlight w:val="yellow"/>
        </w:rPr>
        <w:t>PENDENTE APROVAÇÃO IBBA.</w:t>
      </w:r>
      <w:r w:rsidRPr="006E3A71">
        <w:rPr>
          <w:b/>
          <w:szCs w:val="20"/>
          <w:highlight w:val="yellow"/>
        </w:rPr>
        <w:t>]</w:t>
      </w:r>
    </w:p>
    <w:p w14:paraId="45B1E9CD" w14:textId="4F3D78FC" w:rsidR="00012007" w:rsidRPr="003A4607" w:rsidRDefault="00197A8F">
      <w:pPr>
        <w:pStyle w:val="Level4"/>
        <w:widowControl w:val="0"/>
        <w:tabs>
          <w:tab w:val="clear" w:pos="2041"/>
          <w:tab w:val="num" w:pos="1361"/>
        </w:tabs>
        <w:spacing w:before="140" w:after="0"/>
        <w:ind w:left="1360"/>
        <w:rPr>
          <w:w w:val="0"/>
        </w:rPr>
      </w:pPr>
      <w:r>
        <w:rPr>
          <w:w w:val="0"/>
        </w:rPr>
        <w:t>[</w:t>
      </w:r>
      <w:r w:rsidR="00012007" w:rsidRPr="003A4607">
        <w:rPr>
          <w:w w:val="0"/>
        </w:rPr>
        <w:t>caso a Emissora</w:t>
      </w:r>
      <w:r w:rsidR="000B1E2C" w:rsidRPr="003A4607">
        <w:rPr>
          <w:w w:val="0"/>
        </w:rPr>
        <w:t xml:space="preserve"> </w:t>
      </w:r>
      <w:r w:rsidR="00012007" w:rsidRPr="003A4607">
        <w:rPr>
          <w:w w:val="0"/>
        </w:rPr>
        <w:t xml:space="preserve">seja </w:t>
      </w:r>
      <w:r w:rsidR="000B1E2C" w:rsidRPr="003A4607">
        <w:rPr>
          <w:w w:val="0"/>
        </w:rPr>
        <w:t>citad</w:t>
      </w:r>
      <w:r w:rsidR="0079441C" w:rsidRPr="003A4607">
        <w:rPr>
          <w:w w:val="0"/>
        </w:rPr>
        <w:t>a</w:t>
      </w:r>
      <w:r w:rsidR="000B1E2C" w:rsidRPr="003A4607">
        <w:rPr>
          <w:w w:val="0"/>
        </w:rPr>
        <w:t xml:space="preserve"> </w:t>
      </w:r>
      <w:r w:rsidR="00012007" w:rsidRPr="003A4607">
        <w:rPr>
          <w:w w:val="0"/>
        </w:rPr>
        <w:t xml:space="preserve">no âmbito de uma ação que tenha como objetivo a declaração de invalidade ou ineficácia total ou parcial desta </w:t>
      </w:r>
      <w:r w:rsidR="008E75F8" w:rsidRPr="003A4607">
        <w:t>Escritura de Emissão</w:t>
      </w:r>
      <w:r w:rsidR="0018111F" w:rsidRPr="003A4607">
        <w:t xml:space="preserve"> ou dos Contratos de Garantia</w:t>
      </w:r>
      <w:r w:rsidR="00012007" w:rsidRPr="003A4607">
        <w:rPr>
          <w:w w:val="0"/>
        </w:rPr>
        <w:t>, a Emissora obriga-se a tomar todas as medidas necessárias para contestar tal ação no prazo legal;</w:t>
      </w:r>
      <w:r>
        <w:rPr>
          <w:w w:val="0"/>
        </w:rPr>
        <w:t xml:space="preserve">] </w:t>
      </w:r>
      <w:r w:rsidRPr="006E3A71">
        <w:rPr>
          <w:b/>
          <w:w w:val="0"/>
          <w:highlight w:val="yellow"/>
        </w:rPr>
        <w:t>[</w:t>
      </w:r>
      <w:r w:rsidRPr="006E3A71">
        <w:rPr>
          <w:b/>
          <w:szCs w:val="20"/>
          <w:highlight w:val="yellow"/>
        </w:rPr>
        <w:t>NOTA LEFOSSE: FOI SOLICITADA A EXCLUSÃO PELA CIA</w:t>
      </w:r>
      <w:r>
        <w:rPr>
          <w:b/>
          <w:szCs w:val="20"/>
          <w:highlight w:val="yellow"/>
        </w:rPr>
        <w:t>.</w:t>
      </w:r>
      <w:r w:rsidRPr="006E3A71">
        <w:rPr>
          <w:b/>
          <w:szCs w:val="20"/>
          <w:highlight w:val="yellow"/>
        </w:rPr>
        <w:t xml:space="preserve"> </w:t>
      </w:r>
      <w:r>
        <w:rPr>
          <w:b/>
          <w:szCs w:val="20"/>
          <w:highlight w:val="yellow"/>
        </w:rPr>
        <w:t>PENDENTE APROVAÇÃO IBBA.</w:t>
      </w:r>
      <w:r w:rsidRPr="006E3A71">
        <w:rPr>
          <w:b/>
          <w:szCs w:val="20"/>
          <w:highlight w:val="yellow"/>
        </w:rPr>
        <w:t>]</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1A77538" w:rsidR="00012007" w:rsidRPr="003A4607" w:rsidRDefault="00197A8F">
      <w:pPr>
        <w:pStyle w:val="Level4"/>
        <w:widowControl w:val="0"/>
        <w:tabs>
          <w:tab w:val="clear" w:pos="2041"/>
          <w:tab w:val="num" w:pos="1361"/>
        </w:tabs>
        <w:spacing w:before="140" w:after="0"/>
        <w:ind w:left="1360"/>
        <w:rPr>
          <w:w w:val="0"/>
        </w:rPr>
      </w:pPr>
      <w:r>
        <w:rPr>
          <w:w w:val="0"/>
        </w:rPr>
        <w:t>[</w:t>
      </w:r>
      <w:r w:rsidR="00012007" w:rsidRPr="003A4607">
        <w:rPr>
          <w:w w:val="0"/>
        </w:rPr>
        <w:t xml:space="preserve">não ceder (ou prometer ceder) ou de qualquer forma transferir (ou prometer transferir) a terceiros, no todo ou em parte, qualquer de suas obrigações nos termos desta </w:t>
      </w:r>
      <w:r w:rsidR="008E75F8" w:rsidRPr="003A4607">
        <w:t>Escritura de Emissão</w:t>
      </w:r>
      <w:r w:rsidR="0018111F" w:rsidRPr="003A4607">
        <w:t xml:space="preserve"> e dos Contratos de Garantia, conforme o caso</w:t>
      </w:r>
      <w:r w:rsidR="00012007" w:rsidRPr="003A4607">
        <w:rPr>
          <w:w w:val="0"/>
        </w:rPr>
        <w:t>; e</w:t>
      </w:r>
      <w:r>
        <w:rPr>
          <w:w w:val="0"/>
        </w:rPr>
        <w:t xml:space="preserve">] </w:t>
      </w:r>
      <w:r w:rsidRPr="006E3A71">
        <w:rPr>
          <w:b/>
          <w:w w:val="0"/>
          <w:highlight w:val="yellow"/>
        </w:rPr>
        <w:t>[</w:t>
      </w:r>
      <w:r w:rsidRPr="006E3A71">
        <w:rPr>
          <w:b/>
          <w:szCs w:val="20"/>
          <w:highlight w:val="yellow"/>
        </w:rPr>
        <w:t>NOTA LEFOSSE: FOI SOLICITADA A EXCLUSÃO PELA CIA</w:t>
      </w:r>
      <w:r>
        <w:rPr>
          <w:b/>
          <w:szCs w:val="20"/>
          <w:highlight w:val="yellow"/>
        </w:rPr>
        <w:t>.</w:t>
      </w:r>
      <w:r w:rsidRPr="006E3A71">
        <w:rPr>
          <w:b/>
          <w:szCs w:val="20"/>
          <w:highlight w:val="yellow"/>
        </w:rPr>
        <w:t xml:space="preserve"> </w:t>
      </w:r>
      <w:r>
        <w:rPr>
          <w:b/>
          <w:szCs w:val="20"/>
          <w:highlight w:val="yellow"/>
        </w:rPr>
        <w:t>PENDENTE APROVAÇÃO IBBA.</w:t>
      </w:r>
      <w:r w:rsidRPr="006E3A71">
        <w:rPr>
          <w:b/>
          <w:szCs w:val="20"/>
          <w:highlight w:val="yellow"/>
        </w:rPr>
        <w:t>]</w:t>
      </w:r>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172" w:name="_Ref62912185"/>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172"/>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173" w:name="_DV_C53"/>
      <w:r w:rsidRPr="000938AB">
        <w:t xml:space="preserve"> de encerramento de exercício</w:t>
      </w:r>
      <w:bookmarkStart w:id="174" w:name="_DV_M74"/>
      <w:bookmarkEnd w:id="173"/>
      <w:bookmarkEnd w:id="174"/>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5" w:name="_DV_M75"/>
      <w:bookmarkEnd w:id="175"/>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6"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6"/>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82EB352" w:rsidR="00AC631C" w:rsidRPr="000938AB" w:rsidRDefault="00AC631C" w:rsidP="00984F72">
      <w:pPr>
        <w:pStyle w:val="Level5"/>
        <w:tabs>
          <w:tab w:val="clear" w:pos="2721"/>
          <w:tab w:val="left" w:pos="2041"/>
        </w:tabs>
        <w:spacing w:before="140" w:after="0"/>
        <w:ind w:left="2041"/>
      </w:pPr>
      <w:bookmarkStart w:id="177"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4B28FA">
        <w:t>(xxxiv)</w:t>
      </w:r>
      <w:r w:rsidR="000F22EF">
        <w:fldChar w:fldCharType="end"/>
      </w:r>
      <w:r w:rsidRPr="000938AB">
        <w:t xml:space="preserve"> em sua página na rede mundial de computadores, por um prazo de 3 (três) anos, e (ii) em sistema disponibilizado pela B3;</w:t>
      </w:r>
      <w:bookmarkEnd w:id="177"/>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47899603"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4B28FA">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410C4047"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4B28FA">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4B28FA">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171"/>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178"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79" w:name="_Ref521622931"/>
      <w:r w:rsidRPr="0045539C">
        <w:rPr>
          <w:rFonts w:cs="Arial"/>
          <w:b/>
          <w:w w:val="0"/>
          <w:szCs w:val="20"/>
        </w:rPr>
        <w:t>Declarações</w:t>
      </w:r>
      <w:bookmarkEnd w:id="179"/>
    </w:p>
    <w:p w14:paraId="39E40864" w14:textId="77777777" w:rsidR="00C870C1" w:rsidRPr="0045539C" w:rsidRDefault="00C870C1">
      <w:pPr>
        <w:pStyle w:val="Level3"/>
        <w:widowControl w:val="0"/>
        <w:spacing w:before="140" w:after="0"/>
        <w:rPr>
          <w:szCs w:val="20"/>
        </w:rPr>
      </w:pPr>
      <w:bookmarkStart w:id="180" w:name="_DV_M303"/>
      <w:bookmarkStart w:id="181" w:name="_DV_M304"/>
      <w:bookmarkStart w:id="182" w:name="_DV_M305"/>
      <w:bookmarkStart w:id="183" w:name="_DV_M306"/>
      <w:bookmarkStart w:id="184" w:name="_DV_M307"/>
      <w:bookmarkStart w:id="185" w:name="_DV_M308"/>
      <w:bookmarkStart w:id="186" w:name="_DV_M309"/>
      <w:bookmarkStart w:id="187" w:name="_DV_M310"/>
      <w:bookmarkStart w:id="188" w:name="_DV_M313"/>
      <w:bookmarkStart w:id="189" w:name="_DV_M314"/>
      <w:bookmarkEnd w:id="180"/>
      <w:bookmarkEnd w:id="181"/>
      <w:bookmarkEnd w:id="182"/>
      <w:bookmarkEnd w:id="183"/>
      <w:bookmarkEnd w:id="184"/>
      <w:bookmarkEnd w:id="185"/>
      <w:bookmarkEnd w:id="186"/>
      <w:bookmarkEnd w:id="187"/>
      <w:bookmarkEnd w:id="188"/>
      <w:bookmarkEnd w:id="189"/>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190" w:name="_DV_X471"/>
      <w:bookmarkStart w:id="191"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192" w:name="_DV_C423"/>
      <w:bookmarkEnd w:id="190"/>
      <w:bookmarkEnd w:id="191"/>
      <w:r w:rsidRPr="0045539C">
        <w:rPr>
          <w:szCs w:val="20"/>
        </w:rPr>
        <w:t>está devidamente qualificado a exercer as atividades de agente fiduciário, nos termos da regulamentação aplicável vigente;</w:t>
      </w:r>
      <w:bookmarkEnd w:id="192"/>
    </w:p>
    <w:p w14:paraId="3506C8A4" w14:textId="77777777" w:rsidR="00C870C1" w:rsidRPr="0045539C" w:rsidRDefault="00C870C1">
      <w:pPr>
        <w:pStyle w:val="Level4"/>
        <w:widowControl w:val="0"/>
        <w:spacing w:before="140" w:after="0"/>
        <w:rPr>
          <w:w w:val="0"/>
          <w:szCs w:val="20"/>
        </w:rPr>
      </w:pPr>
      <w:bookmarkStart w:id="193" w:name="_DV_X465"/>
      <w:bookmarkStart w:id="194"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195" w:name="_DV_C426"/>
      <w:bookmarkEnd w:id="193"/>
      <w:bookmarkEnd w:id="194"/>
      <w:r w:rsidRPr="0045539C">
        <w:rPr>
          <w:szCs w:val="20"/>
        </w:rPr>
        <w:t>, vinculativa e eficaz</w:t>
      </w:r>
      <w:bookmarkStart w:id="196" w:name="_DV_X467"/>
      <w:bookmarkStart w:id="197" w:name="_DV_C427"/>
      <w:bookmarkEnd w:id="195"/>
      <w:r w:rsidRPr="0045539C">
        <w:rPr>
          <w:szCs w:val="20"/>
        </w:rPr>
        <w:t xml:space="preserve"> do Agente Fiduciário, exequível de acordo com os seus termos e condições;</w:t>
      </w:r>
      <w:bookmarkEnd w:id="196"/>
      <w:bookmarkEnd w:id="197"/>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4BEBEF1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B28FA">
        <w:rPr>
          <w:w w:val="0"/>
          <w:szCs w:val="20"/>
        </w:rPr>
        <w:t>(xviii)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198"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198"/>
    </w:p>
    <w:p w14:paraId="1D960B6C" w14:textId="0AC29A7A"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B28FA">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199" w:name="_Ref2884713"/>
      <w:r w:rsidRPr="0045539C">
        <w:rPr>
          <w:rFonts w:cs="Arial"/>
          <w:b/>
          <w:szCs w:val="20"/>
        </w:rPr>
        <w:t>Remuneração do Agente Fiduciário</w:t>
      </w:r>
      <w:bookmarkEnd w:id="199"/>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0"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0"/>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1" w:name="_Ref435693021"/>
      <w:r w:rsidR="00C870C1" w:rsidRPr="0045539C">
        <w:rPr>
          <w:rFonts w:cs="Arial"/>
          <w:b/>
          <w:szCs w:val="20"/>
        </w:rPr>
        <w:t>Substituição</w:t>
      </w:r>
      <w:bookmarkEnd w:id="201"/>
    </w:p>
    <w:p w14:paraId="76521749" w14:textId="40D555EB" w:rsidR="005B5A25" w:rsidRPr="0045539C" w:rsidRDefault="005B5A25">
      <w:pPr>
        <w:pStyle w:val="Level3"/>
        <w:widowControl w:val="0"/>
        <w:tabs>
          <w:tab w:val="left" w:pos="720"/>
          <w:tab w:val="left" w:pos="2366"/>
        </w:tabs>
        <w:spacing w:before="140" w:after="0"/>
        <w:rPr>
          <w:szCs w:val="20"/>
        </w:rPr>
      </w:pPr>
      <w:bookmarkStart w:id="20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2"/>
    </w:p>
    <w:p w14:paraId="465434F2" w14:textId="14BB0ACF"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B28FA">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AE8CCC5"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B28FA">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26443EDC"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4B28FA">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7048773"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3"/>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4"/>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72DB9784" w:rsidR="00C870C1" w:rsidRPr="0045539C" w:rsidRDefault="00471625" w:rsidP="00DF5266">
      <w:pPr>
        <w:pStyle w:val="Level4"/>
        <w:widowControl w:val="0"/>
        <w:spacing w:before="140" w:after="0"/>
        <w:rPr>
          <w:szCs w:val="20"/>
        </w:rPr>
      </w:pPr>
      <w:bookmarkStart w:id="20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B28FA">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5"/>
    </w:p>
    <w:p w14:paraId="5B1FF0D1" w14:textId="77777777" w:rsidR="00C870C1" w:rsidRPr="0045539C" w:rsidRDefault="00C870C1">
      <w:pPr>
        <w:pStyle w:val="Level4"/>
        <w:widowControl w:val="0"/>
        <w:spacing w:before="140" w:after="0"/>
        <w:rPr>
          <w:szCs w:val="20"/>
        </w:rPr>
      </w:pPr>
      <w:bookmarkStart w:id="206" w:name="_DV_M347"/>
      <w:bookmarkStart w:id="207" w:name="_DV_M348"/>
      <w:bookmarkStart w:id="208" w:name="_DV_M349"/>
      <w:bookmarkStart w:id="209" w:name="_DV_M350"/>
      <w:bookmarkEnd w:id="206"/>
      <w:bookmarkEnd w:id="207"/>
      <w:bookmarkEnd w:id="208"/>
      <w:bookmarkEnd w:id="209"/>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0" w:name="_Ref509481260"/>
      <w:bookmarkStart w:id="211" w:name="_Ref435692555"/>
      <w:r w:rsidRPr="0045539C">
        <w:rPr>
          <w:rFonts w:cs="Arial"/>
          <w:b/>
          <w:szCs w:val="20"/>
        </w:rPr>
        <w:t>Atribuições Específicas</w:t>
      </w:r>
      <w:bookmarkEnd w:id="210"/>
    </w:p>
    <w:p w14:paraId="74467B24" w14:textId="77777777" w:rsidR="00B47305" w:rsidRPr="0045539C" w:rsidRDefault="00B47305">
      <w:pPr>
        <w:pStyle w:val="Level3"/>
        <w:widowControl w:val="0"/>
        <w:spacing w:before="140" w:after="0"/>
      </w:pPr>
      <w:bookmarkStart w:id="21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3" w:name="_Ref497982741"/>
      <w:bookmarkEnd w:id="212"/>
      <w:r w:rsidRPr="0045539C">
        <w:rPr>
          <w:rFonts w:cs="Arial"/>
          <w:b/>
          <w:szCs w:val="20"/>
        </w:rPr>
        <w:t>Despesas</w:t>
      </w:r>
      <w:bookmarkEnd w:id="211"/>
      <w:bookmarkEnd w:id="213"/>
    </w:p>
    <w:p w14:paraId="40B3F053" w14:textId="56C6CA10" w:rsidR="00324CDB" w:rsidRPr="0045539C" w:rsidRDefault="00CB7100">
      <w:pPr>
        <w:pStyle w:val="Level3"/>
        <w:widowControl w:val="0"/>
        <w:spacing w:before="140" w:after="0"/>
        <w:rPr>
          <w:b/>
          <w:szCs w:val="20"/>
        </w:rPr>
      </w:pPr>
      <w:bookmarkStart w:id="21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5" w:name="_Ref479186175"/>
      <w:bookmarkEnd w:id="214"/>
      <w:r w:rsidRPr="0045539C">
        <w:t xml:space="preserve">CLÁUSULA ONZE - </w:t>
      </w:r>
      <w:r w:rsidR="00E87272" w:rsidRPr="0045539C">
        <w:t>ASSEMBLEIA GERAL</w:t>
      </w:r>
      <w:r w:rsidR="00CB7100" w:rsidRPr="0045539C">
        <w:t xml:space="preserve"> DE DEBENTURISTAS</w:t>
      </w:r>
      <w:bookmarkEnd w:id="178"/>
      <w:bookmarkEnd w:id="215"/>
    </w:p>
    <w:p w14:paraId="6B3F64F7" w14:textId="4E6B6AB3" w:rsidR="00883CD7" w:rsidRPr="0045539C" w:rsidRDefault="00CB7100">
      <w:pPr>
        <w:pStyle w:val="Level2"/>
        <w:widowControl w:val="0"/>
        <w:spacing w:before="140" w:after="0"/>
      </w:pPr>
      <w:bookmarkStart w:id="216" w:name="_Ref480905626"/>
      <w:bookmarkStart w:id="217"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6"/>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45F550D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B28FA">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18" w:name="_Ref501570468"/>
      <w:r w:rsidRPr="0045539C">
        <w:rPr>
          <w:b/>
        </w:rPr>
        <w:t>Forma de Convocação</w:t>
      </w:r>
    </w:p>
    <w:p w14:paraId="4EBD1169" w14:textId="6579BD8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18"/>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19"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0"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19"/>
      <w:bookmarkEnd w:id="220"/>
      <w:r w:rsidR="00EE5A4C" w:rsidRPr="0045539C">
        <w:t xml:space="preserve"> </w:t>
      </w:r>
    </w:p>
    <w:p w14:paraId="0FCCDDF6" w14:textId="3D15AAA8"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222" w:name="_DV_M404"/>
      <w:bookmarkStart w:id="223" w:name="_Ref439859919"/>
      <w:bookmarkStart w:id="224" w:name="_Ref4485889"/>
      <w:bookmarkEnd w:id="217"/>
      <w:bookmarkEnd w:id="222"/>
      <w:r w:rsidRPr="0045539C">
        <w:t xml:space="preserve">CLÁUSULA DOZE - </w:t>
      </w:r>
      <w:r w:rsidR="00E87272" w:rsidRPr="0045539C">
        <w:t>DECLARAÇÕES E GARANTIAS DA EMISSORA</w:t>
      </w:r>
      <w:bookmarkEnd w:id="223"/>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24"/>
    </w:p>
    <w:p w14:paraId="44654CAD" w14:textId="6F965A53" w:rsidR="003E5EF4" w:rsidRPr="0045539C" w:rsidRDefault="007723CB">
      <w:pPr>
        <w:pStyle w:val="Level2"/>
        <w:widowControl w:val="0"/>
        <w:spacing w:before="140" w:after="0"/>
        <w:rPr>
          <w:rFonts w:cs="Arial"/>
          <w:szCs w:val="20"/>
        </w:rPr>
      </w:pPr>
      <w:bookmarkStart w:id="225"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25"/>
      <w:r w:rsidR="003E5EF4" w:rsidRPr="0045539C">
        <w:rPr>
          <w:rFonts w:cs="Arial"/>
          <w:szCs w:val="20"/>
        </w:rPr>
        <w:t xml:space="preserve"> </w:t>
      </w:r>
    </w:p>
    <w:p w14:paraId="7D3B67A1" w14:textId="05C62AEA" w:rsidR="00385F1D" w:rsidRPr="0045539C" w:rsidRDefault="00F41613">
      <w:pPr>
        <w:pStyle w:val="Level4"/>
        <w:widowControl w:val="0"/>
        <w:tabs>
          <w:tab w:val="clear" w:pos="2041"/>
          <w:tab w:val="num" w:pos="1361"/>
        </w:tabs>
        <w:spacing w:before="140" w:after="0"/>
        <w:ind w:left="1360"/>
      </w:pPr>
      <w:r w:rsidRPr="0045539C">
        <w:t xml:space="preserve">é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566776FE"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B28FA">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1E691639"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4B28FA">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r w:rsidR="00D54869">
        <w:rPr>
          <w:b/>
          <w:bCs/>
          <w:highlight w:val="yellow"/>
        </w:rPr>
        <w:t>. VIDE NOTAS NO PREÂMBULO.</w:t>
      </w:r>
      <w:r w:rsidR="000204F4" w:rsidRPr="00984F72">
        <w:rPr>
          <w:b/>
          <w:bCs/>
          <w:highlight w:val="yellow"/>
        </w:rPr>
        <w:t>]</w:t>
      </w:r>
    </w:p>
    <w:p w14:paraId="208017C3" w14:textId="13DC42FE"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366A81A0" w:rsidR="00E12AFE" w:rsidRPr="0045539C" w:rsidRDefault="003303A8" w:rsidP="00DF5266">
      <w:pPr>
        <w:pStyle w:val="Level2"/>
        <w:widowControl w:val="0"/>
        <w:spacing w:before="140" w:after="0"/>
        <w:rPr>
          <w:rFonts w:cs="Arial"/>
          <w:szCs w:val="20"/>
        </w:rPr>
      </w:pPr>
      <w:bookmarkStart w:id="226" w:name="_DV_M357"/>
      <w:bookmarkStart w:id="227" w:name="_DV_M358"/>
      <w:bookmarkStart w:id="228" w:name="_DV_M359"/>
      <w:bookmarkStart w:id="229" w:name="_DV_M360"/>
      <w:bookmarkStart w:id="230" w:name="_DV_M361"/>
      <w:bookmarkStart w:id="231" w:name="_DV_M362"/>
      <w:bookmarkStart w:id="232" w:name="_DV_M363"/>
      <w:bookmarkStart w:id="233" w:name="_DV_M364"/>
      <w:bookmarkStart w:id="234" w:name="_DV_M365"/>
      <w:bookmarkStart w:id="235" w:name="_DV_M366"/>
      <w:bookmarkStart w:id="236" w:name="_DV_M367"/>
      <w:bookmarkStart w:id="237" w:name="_DV_M368"/>
      <w:bookmarkStart w:id="238" w:name="_DV_M369"/>
      <w:bookmarkStart w:id="239" w:name="_DV_M370"/>
      <w:bookmarkStart w:id="240" w:name="_DV_M371"/>
      <w:bookmarkStart w:id="241" w:name="_DV_M372"/>
      <w:bookmarkStart w:id="242" w:name="_DV_M373"/>
      <w:bookmarkStart w:id="243" w:name="_DV_M374"/>
      <w:bookmarkStart w:id="244" w:name="_DV_M161"/>
      <w:bookmarkStart w:id="245" w:name="_DV_M16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B28FA">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D8A3942"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5AC3687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58BDF73"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3207EB10"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6"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6"/>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74D185B3"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7" w:name="_DV_M133"/>
      <w:bookmarkStart w:id="248" w:name="_DV_M134"/>
      <w:bookmarkEnd w:id="247"/>
      <w:bookmarkEnd w:id="24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4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49"/>
    </w:p>
    <w:p w14:paraId="3D0D1A20" w14:textId="0556ECB9"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B28FA">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0" w:name="_DV_M428"/>
      <w:bookmarkEnd w:id="250"/>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1" w:name="_DV_M430"/>
      <w:bookmarkEnd w:id="251"/>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37C6BA1E"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B28FA">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4B28FA">
        <w:rPr>
          <w:szCs w:val="20"/>
        </w:rPr>
        <w:t>2.5</w:t>
      </w:r>
      <w:r w:rsidR="002510A0" w:rsidRPr="0045539C">
        <w:rPr>
          <w:szCs w:val="20"/>
        </w:rPr>
        <w:fldChar w:fldCharType="end"/>
      </w:r>
      <w:r w:rsidRPr="0045539C">
        <w:rPr>
          <w:szCs w:val="20"/>
        </w:rPr>
        <w:t>.</w:t>
      </w:r>
    </w:p>
    <w:p w14:paraId="6E2B49DF" w14:textId="6D8AA7E5"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(iii)</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pelo</w:t>
      </w:r>
      <w:r w:rsidR="00935657">
        <w:rPr>
          <w:szCs w:val="20"/>
        </w:rPr>
        <w:t>s</w:t>
      </w:r>
      <w:r w:rsidR="002510A0" w:rsidRPr="0045539C">
        <w:rPr>
          <w:szCs w:val="20"/>
        </w:rPr>
        <w:t xml:space="preserve"> Cartório</w:t>
      </w:r>
      <w:r w:rsidR="00935657">
        <w:rPr>
          <w:szCs w:val="20"/>
        </w:rPr>
        <w:t>s</w:t>
      </w:r>
      <w:r w:rsidR="002510A0" w:rsidRPr="0045539C">
        <w:rPr>
          <w:szCs w:val="20"/>
        </w:rPr>
        <w:t xml:space="preserve">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2"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2"/>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3" w:name="_DV_M783"/>
      <w:bookmarkStart w:id="254" w:name="_DV_M784"/>
      <w:bookmarkStart w:id="255" w:name="_DV_M785"/>
      <w:bookmarkStart w:id="256" w:name="_DV_M786"/>
      <w:bookmarkStart w:id="257" w:name="_DV_M787"/>
      <w:bookmarkStart w:id="258" w:name="_DV_M788"/>
      <w:bookmarkStart w:id="259" w:name="_DV_M789"/>
      <w:bookmarkStart w:id="260" w:name="_DV_M790"/>
      <w:bookmarkStart w:id="261" w:name="_DV_M791"/>
      <w:bookmarkStart w:id="262" w:name="_DV_M792"/>
      <w:bookmarkStart w:id="263" w:name="_DV_M793"/>
      <w:bookmarkStart w:id="264" w:name="_DV_M794"/>
      <w:bookmarkStart w:id="265" w:name="_DV_M795"/>
      <w:bookmarkStart w:id="266" w:name="_DV_M796"/>
      <w:bookmarkStart w:id="267" w:name="_DV_M797"/>
      <w:bookmarkStart w:id="268" w:name="_DV_M798"/>
      <w:bookmarkStart w:id="269" w:name="_DV_M799"/>
      <w:bookmarkStart w:id="270" w:name="_DV_M800"/>
      <w:bookmarkStart w:id="271" w:name="_DV_M801"/>
      <w:bookmarkStart w:id="272" w:name="_DV_M802"/>
      <w:bookmarkStart w:id="273" w:name="_DV_M803"/>
      <w:bookmarkStart w:id="274" w:name="_DV_M80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39D2C21F" w:rsidR="00E668D1" w:rsidRDefault="00E668D1" w:rsidP="00984F72">
      <w:pPr>
        <w:pStyle w:val="Recitals"/>
        <w:spacing w:before="140" w:after="0"/>
      </w:pPr>
      <w:r>
        <w:t xml:space="preserve">Em </w:t>
      </w:r>
      <w:r w:rsidR="00015CEA">
        <w:t>[</w:t>
      </w:r>
      <w:r w:rsidR="00015CEA" w:rsidRPr="00984F72">
        <w:rPr>
          <w:rFonts w:hint="eastAsia"/>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4814920B"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Damrak</w:t>
      </w:r>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r w:rsidR="00015CEA">
        <w:rPr>
          <w:szCs w:val="20"/>
        </w:rPr>
        <w:t>outorgaram][</w:t>
      </w:r>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4B28FA">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4DF094C2"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4B28FA">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607771F9"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4B28FA">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4B28FA">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0817BD9E"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00E71D91" w:rsidRPr="008E1C2E">
        <w:t>]</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1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2E489C2A" w:rsidR="008F0537" w:rsidRPr="00E21668" w:rsidRDefault="008F0537" w:rsidP="00DF5266">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4B28FA">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1CF3F1CD"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4B28FA">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12FA49AA"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4B28FA">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473E62A7"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4B28FA">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088D9" w14:textId="77777777" w:rsidR="009A2C0C" w:rsidRDefault="009A2C0C">
      <w:r>
        <w:separator/>
      </w:r>
    </w:p>
  </w:endnote>
  <w:endnote w:type="continuationSeparator" w:id="0">
    <w:p w14:paraId="5788E794" w14:textId="77777777" w:rsidR="009A2C0C" w:rsidRDefault="009A2C0C">
      <w:r>
        <w:continuationSeparator/>
      </w:r>
    </w:p>
  </w:endnote>
  <w:endnote w:type="continuationNotice" w:id="1">
    <w:p w14:paraId="50EA0ABA" w14:textId="77777777" w:rsidR="009A2C0C" w:rsidRDefault="009A2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0C1B76" w:rsidRDefault="000C1B76">
    <w:pPr>
      <w:pStyle w:val="Footer"/>
      <w:rPr>
        <w:rFonts w:ascii="Arial" w:hAnsi="Arial" w:cs="Arial"/>
        <w:color w:val="FFFFFF" w:themeColor="background1"/>
        <w:sz w:val="1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0C1B76" w:rsidRPr="00DF1F2D" w:rsidRDefault="000C1B76"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0C1B76" w:rsidRPr="00DF1F2D" w:rsidRDefault="000C1B76"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0C1B76" w:rsidRPr="00C40881" w:rsidRDefault="000C1B76">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0C1B76" w:rsidRPr="008B7041" w:rsidRDefault="000C1B76">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0C1B76" w:rsidRPr="008B7041" w:rsidRDefault="000C1B76"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0C1B76" w:rsidRPr="00965D27" w:rsidRDefault="000C1B76" w:rsidP="00965D27">
    <w:pPr>
      <w:pStyle w:val="Footer"/>
    </w:pPr>
    <w:r>
      <w:rPr>
        <w:noProof/>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0C1B76" w:rsidRPr="004D79E2" w:rsidRDefault="000C1B76"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0C1B76" w:rsidRPr="004D79E2" w:rsidRDefault="000C1B76"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9917" w14:textId="77777777" w:rsidR="009A2C0C" w:rsidRDefault="009A2C0C">
      <w:r>
        <w:separator/>
      </w:r>
    </w:p>
  </w:footnote>
  <w:footnote w:type="continuationSeparator" w:id="0">
    <w:p w14:paraId="506747DD" w14:textId="77777777" w:rsidR="009A2C0C" w:rsidRDefault="009A2C0C">
      <w:r>
        <w:continuationSeparator/>
      </w:r>
    </w:p>
  </w:footnote>
  <w:footnote w:type="continuationNotice" w:id="1">
    <w:p w14:paraId="299D3733" w14:textId="77777777" w:rsidR="009A2C0C" w:rsidRDefault="009A2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EFE1B7B" w:rsidR="000C1B76" w:rsidRDefault="000C1B76" w:rsidP="00F45901">
    <w:pPr>
      <w:pStyle w:val="Header"/>
      <w:jc w:val="right"/>
      <w:rPr>
        <w:rFonts w:ascii="Arial" w:hAnsi="Arial"/>
        <w:b/>
        <w:sz w:val="20"/>
        <w:lang w:val="pt-BR"/>
      </w:rPr>
    </w:pPr>
    <w:r w:rsidRPr="00BE139C">
      <w:rPr>
        <w:rFonts w:ascii="Arial" w:hAnsi="Arial" w:cs="Arial"/>
        <w:b/>
        <w:i/>
        <w:smallCaps/>
        <w:noProof/>
        <w:sz w:val="20"/>
        <w:szCs w:val="20"/>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698FB84B" w:rsidR="000C1B76" w:rsidRPr="00F45901" w:rsidRDefault="00211CF1" w:rsidP="00F45901">
    <w:pPr>
      <w:pStyle w:val="Header"/>
      <w:jc w:val="right"/>
      <w:rPr>
        <w:rFonts w:ascii="Arial" w:hAnsi="Arial"/>
        <w:b/>
        <w:sz w:val="20"/>
        <w:lang w:val="pt-BR"/>
      </w:rPr>
    </w:pPr>
    <w:r>
      <w:rPr>
        <w:rFonts w:ascii="Arial" w:hAnsi="Arial"/>
        <w:b/>
        <w:sz w:val="20"/>
        <w:lang w:val="pt-BR"/>
      </w:rPr>
      <w:t>1</w:t>
    </w:r>
    <w:r w:rsidR="000C1B76">
      <w:rPr>
        <w:rFonts w:ascii="Arial" w:hAnsi="Arial"/>
        <w:b/>
        <w:sz w:val="20"/>
        <w:lang w:val="pt-BR"/>
      </w:rPr>
      <w:t>0/02/21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9E2"/>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170"/>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4CB3"/>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2B57"/>
    <w:rsid w:val="00AC3689"/>
    <w:rsid w:val="00AC38CA"/>
    <w:rsid w:val="00AC3FFA"/>
    <w:rsid w:val="00AC4E0B"/>
    <w:rsid w:val="00AC5376"/>
    <w:rsid w:val="00AC5D22"/>
    <w:rsid w:val="00AC5FC2"/>
    <w:rsid w:val="00AC5FE8"/>
    <w:rsid w:val="00AC622F"/>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styleId="UnresolvedMention">
    <w:name w:val="Unresolved Mention"/>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A8A1956F-0D62-4EBC-8A64-CB0D2368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28874</Words>
  <Characters>172383</Characters>
  <Application>Microsoft Office Word</Application>
  <DocSecurity>0</DocSecurity>
  <Lines>6895</Lines>
  <Paragraphs>1916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 Officer</vt:lpstr>
    </vt:vector>
  </TitlesOfParts>
  <Company>Itaú BBA S.A</Company>
  <LinksUpToDate>false</LinksUpToDate>
  <CharactersWithSpaces>199341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2</cp:revision>
  <cp:lastPrinted>2019-04-30T13:14:00Z</cp:lastPrinted>
  <dcterms:created xsi:type="dcterms:W3CDTF">2021-02-10T23:15:00Z</dcterms:created>
  <dcterms:modified xsi:type="dcterms:W3CDTF">2021-02-10T23:15:00Z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