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366AA0A9"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9B4BFCD" w:rsidR="00BC4686" w:rsidRPr="0045539C" w:rsidRDefault="00BC6088">
      <w:pPr>
        <w:widowControl w:val="0"/>
        <w:tabs>
          <w:tab w:val="left" w:pos="2366"/>
        </w:tabs>
        <w:spacing w:before="140" w:line="290" w:lineRule="auto"/>
        <w:jc w:val="center"/>
        <w:rPr>
          <w:rFonts w:ascii="Arial" w:hAnsi="Arial" w:cs="Arial"/>
          <w:sz w:val="20"/>
        </w:rPr>
      </w:pPr>
      <w:r>
        <w:rPr>
          <w:rFonts w:ascii="Arial" w:hAnsi="Arial" w:cs="Arial"/>
          <w:sz w:val="20"/>
        </w:rPr>
        <w:t>26</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 xml:space="preserve">fevereiro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062EF8E9"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530FC98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p>
    <w:p w14:paraId="4EEC1D80" w14:textId="36FC461A"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w:t>
      </w:r>
      <w:r w:rsidR="006E58B9">
        <w:t xml:space="preserve"> total</w:t>
      </w:r>
      <w:r w:rsidR="00B436C6" w:rsidRPr="0045539C">
        <w:t xml:space="preserve">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1C3CCB15"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002A4548">
        <w:rPr>
          <w:rFonts w:cs="Arial"/>
        </w:rPr>
        <w:t xml:space="preserve"> </w:t>
      </w:r>
      <w:r w:rsidRPr="0045539C">
        <w:t xml:space="preserve">de </w:t>
      </w:r>
      <w:r w:rsidR="0046661E">
        <w:rPr>
          <w:rFonts w:cs="Arial"/>
        </w:rPr>
        <w:t>[</w:t>
      </w:r>
      <w:r w:rsidR="0046661E" w:rsidRPr="002213C7">
        <w:rPr>
          <w:rFonts w:cs="Arial"/>
          <w:highlight w:val="yellow"/>
        </w:rPr>
        <w:t>●</w:t>
      </w:r>
      <w:r w:rsidR="0046661E">
        <w:rPr>
          <w:rFonts w:cs="Arial"/>
        </w:rPr>
        <w:t>]</w:t>
      </w:r>
      <w:r w:rsidR="00B93DD9">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 w:name="_DV_M20"/>
      <w:bookmarkEnd w:id="2"/>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6B8C604E" w:rsidR="000A1C2B" w:rsidRPr="0096549F" w:rsidRDefault="0003420C">
      <w:pPr>
        <w:pStyle w:val="Level2"/>
        <w:widowControl w:val="0"/>
        <w:spacing w:before="140" w:after="0"/>
        <w:rPr>
          <w:rFonts w:cs="Arial"/>
          <w:szCs w:val="20"/>
        </w:rPr>
      </w:pPr>
      <w:bookmarkStart w:id="3" w:name="_Ref535163866"/>
      <w:bookmarkStart w:id="4"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256CDF">
        <w:rPr>
          <w:rFonts w:cs="Arial"/>
        </w:rPr>
        <w:t>[</w:t>
      </w:r>
      <w:r w:rsidR="00256CDF" w:rsidRPr="002213C7">
        <w:rPr>
          <w:rFonts w:cs="Arial"/>
          <w:highlight w:val="yellow"/>
        </w:rPr>
        <w:t>●</w:t>
      </w:r>
      <w:r w:rsidR="00256CDF">
        <w:rPr>
          <w:rFonts w:cs="Arial"/>
        </w:rPr>
        <w:t>]</w:t>
      </w:r>
      <w:r w:rsidR="00B93DD9">
        <w:rPr>
          <w:rFonts w:cs="Arial"/>
        </w:rPr>
        <w:t xml:space="preserve"> </w:t>
      </w:r>
      <w:r w:rsidRPr="0045539C">
        <w:t xml:space="preserve">de </w:t>
      </w:r>
      <w:r w:rsidR="00256CDF">
        <w:rPr>
          <w:rFonts w:cs="Arial"/>
        </w:rPr>
        <w:t>[</w:t>
      </w:r>
      <w:r w:rsidR="00256CDF" w:rsidRPr="002213C7">
        <w:rPr>
          <w:rFonts w:cs="Arial"/>
          <w:highlight w:val="yellow"/>
        </w:rPr>
        <w:t>●</w:t>
      </w:r>
      <w:r w:rsidR="00256CDF">
        <w:rPr>
          <w:rFonts w:cs="Arial"/>
        </w:rPr>
        <w:t>]</w:t>
      </w:r>
      <w:r w:rsidR="00BC6088">
        <w:rPr>
          <w:rFonts w:cs="Arial"/>
        </w:rPr>
        <w:t xml:space="preserve"> </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3"/>
      <w:r w:rsidR="000A1C2B" w:rsidRPr="0045539C">
        <w:t xml:space="preserve"> </w:t>
      </w:r>
      <w:bookmarkEnd w:id="4"/>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w:t>
      </w:r>
      <w:r w:rsidR="00A955FE">
        <w:rPr>
          <w:rFonts w:eastAsia="Arial"/>
          <w:szCs w:val="28"/>
          <w:lang w:eastAsia="en-GB"/>
        </w:rPr>
        <w:lastRenderedPageBreak/>
        <w:t>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0"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0"/>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019E4780"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1" w:name="_Ref440286795"/>
      <w:bookmarkStart w:id="22" w:name="_Ref435651343"/>
      <w:bookmarkStart w:id="23" w:name="_Ref508981152"/>
      <w:bookmarkStart w:id="2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
      <w:r w:rsidR="008466A8" w:rsidRPr="0045539C">
        <w:rPr>
          <w:rFonts w:cs="Arial"/>
          <w:b/>
          <w:szCs w:val="20"/>
        </w:rPr>
        <w:t xml:space="preserve"> </w:t>
      </w:r>
      <w:bookmarkEnd w:id="2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3"/>
      <w:bookmarkEnd w:id="24"/>
    </w:p>
    <w:p w14:paraId="6D0BCA4F" w14:textId="07374826" w:rsidR="00D50864" w:rsidRPr="0045539C" w:rsidRDefault="000C2DF6">
      <w:pPr>
        <w:pStyle w:val="Level3"/>
        <w:widowControl w:val="0"/>
        <w:spacing w:before="140" w:after="0"/>
        <w:rPr>
          <w:b/>
          <w:szCs w:val="20"/>
        </w:rPr>
      </w:pPr>
      <w:bookmarkStart w:id="25" w:name="_Ref498605952"/>
      <w:bookmarkStart w:id="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7" w:name="_Ref440286167"/>
      <w:bookmarkStart w:id="28" w:name="_Ref435644706"/>
      <w:bookmarkEnd w:id="2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784FF86"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w:t>
      </w:r>
      <w:r w:rsidRPr="000847F6">
        <w:lastRenderedPageBreak/>
        <w:t xml:space="preserve">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r>
        <w:t xml:space="preserve"> </w:t>
      </w:r>
    </w:p>
    <w:p w14:paraId="251E8686" w14:textId="77777777" w:rsidR="004D3A6B" w:rsidRPr="0045539C" w:rsidRDefault="004D3A6B">
      <w:pPr>
        <w:pStyle w:val="Level2"/>
        <w:widowControl w:val="0"/>
        <w:spacing w:before="140" w:after="0"/>
        <w:rPr>
          <w:rFonts w:cs="Arial"/>
          <w:b/>
          <w:szCs w:val="20"/>
        </w:rPr>
      </w:pPr>
      <w:bookmarkStart w:id="29" w:name="_Ref508981155"/>
      <w:bookmarkEnd w:id="27"/>
      <w:bookmarkEnd w:id="28"/>
      <w:proofErr w:type="gramStart"/>
      <w:r w:rsidRPr="0045539C">
        <w:rPr>
          <w:rFonts w:cs="Arial"/>
          <w:b/>
          <w:szCs w:val="20"/>
        </w:rPr>
        <w:t>Distribuição, Negociação e Custódia Eletrônica</w:t>
      </w:r>
      <w:bookmarkEnd w:id="29"/>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B3 S.A. – Brasil, Bolsa, Balcão – Segmento </w:t>
      </w:r>
      <w:r w:rsidR="004D69AB">
        <w:t>de Balcão</w:t>
      </w:r>
      <w:r w:rsidRPr="0045539C">
        <w:t xml:space="preserve">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0"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7AC9A208" w:rsidR="004D3A6B" w:rsidRPr="0045539C" w:rsidRDefault="00AA11F5" w:rsidP="00DF5266">
      <w:pPr>
        <w:pStyle w:val="Level3"/>
        <w:widowControl w:val="0"/>
        <w:spacing w:before="140" w:after="0"/>
        <w:rPr>
          <w:szCs w:val="20"/>
        </w:rPr>
      </w:pPr>
      <w:bookmarkStart w:id="31" w:name="_Ref2792611"/>
      <w:bookmarkStart w:id="32" w:name="_Ref2872145"/>
      <w:bookmarkEnd w:id="30"/>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D576D3">
        <w:t>2.4.1(</w:t>
      </w:r>
      <w:proofErr w:type="spellStart"/>
      <w:r w:rsidR="00D576D3">
        <w:t>ii</w:t>
      </w:r>
      <w:proofErr w:type="spellEnd"/>
      <w:r w:rsidR="00D576D3">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1"/>
      <w:bookmarkEnd w:id="32"/>
    </w:p>
    <w:p w14:paraId="133BBA6C" w14:textId="40026737" w:rsidR="00E4336C" w:rsidRPr="0045539C" w:rsidRDefault="00AA11F5">
      <w:pPr>
        <w:pStyle w:val="Level3"/>
        <w:widowControl w:val="0"/>
        <w:spacing w:before="140" w:after="0"/>
        <w:rPr>
          <w:szCs w:val="20"/>
        </w:rPr>
      </w:pPr>
      <w:bookmarkStart w:id="33" w:name="_Ref2872115"/>
      <w:bookmarkStart w:id="34" w:name="_Ref490155570"/>
      <w:bookmarkStart w:id="35"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3"/>
    </w:p>
    <w:p w14:paraId="756B70E3" w14:textId="77777777" w:rsidR="00946E83" w:rsidRPr="0045539C" w:rsidRDefault="00946E83">
      <w:pPr>
        <w:pStyle w:val="Level2"/>
        <w:widowControl w:val="0"/>
        <w:spacing w:before="140" w:after="0"/>
        <w:rPr>
          <w:rFonts w:cs="Arial"/>
          <w:b/>
          <w:szCs w:val="20"/>
        </w:rPr>
      </w:pPr>
      <w:bookmarkStart w:id="36" w:name="_Ref508981161"/>
      <w:r w:rsidRPr="0045539C">
        <w:rPr>
          <w:rFonts w:cs="Arial"/>
          <w:b/>
          <w:szCs w:val="20"/>
        </w:rPr>
        <w:t>Constituição da Fiança</w:t>
      </w:r>
      <w:bookmarkEnd w:id="34"/>
      <w:bookmarkEnd w:id="36"/>
    </w:p>
    <w:p w14:paraId="218EAA84" w14:textId="0CF90623" w:rsidR="00D13813" w:rsidRPr="0045539C" w:rsidRDefault="00946E83" w:rsidP="00DF5266">
      <w:pPr>
        <w:pStyle w:val="Level3"/>
        <w:widowControl w:val="0"/>
        <w:spacing w:before="140" w:after="0"/>
        <w:ind w:hanging="680"/>
      </w:pPr>
      <w:bookmarkStart w:id="37"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D576D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w:t>
      </w:r>
      <w:r w:rsidR="00D50864" w:rsidRPr="0045539C">
        <w:lastRenderedPageBreak/>
        <w:t>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38" w:name="_Ref508981172"/>
      <w:bookmarkStart w:id="39" w:name="_Ref2838312"/>
      <w:bookmarkStart w:id="40" w:name="_Ref479230964"/>
      <w:bookmarkStart w:id="41" w:name="_Ref508981176"/>
      <w:bookmarkStart w:id="42" w:name="_Ref516682477"/>
      <w:bookmarkStart w:id="43" w:name="_Ref522091376"/>
      <w:bookmarkEnd w:id="35"/>
      <w:bookmarkEnd w:id="37"/>
      <w:r w:rsidRPr="0045539C">
        <w:rPr>
          <w:b/>
        </w:rPr>
        <w:t>Constituição da Alienação Fiduciária</w:t>
      </w:r>
      <w:bookmarkEnd w:id="38"/>
      <w:r w:rsidRPr="0045539C">
        <w:rPr>
          <w:b/>
        </w:rPr>
        <w:t xml:space="preserve"> de </w:t>
      </w:r>
      <w:bookmarkEnd w:id="39"/>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C465861" w:rsidR="00DB7F8D" w:rsidRPr="0045539C" w:rsidRDefault="00DB7F8D">
      <w:pPr>
        <w:pStyle w:val="Level2"/>
        <w:widowControl w:val="0"/>
        <w:spacing w:before="140" w:after="0"/>
        <w:rPr>
          <w:rFonts w:cs="Arial"/>
          <w:b/>
          <w:szCs w:val="20"/>
        </w:rPr>
      </w:pPr>
      <w:bookmarkStart w:id="44" w:name="_Ref2346679"/>
      <w:r w:rsidRPr="0045539C">
        <w:rPr>
          <w:rFonts w:cs="Arial"/>
          <w:b/>
          <w:szCs w:val="20"/>
        </w:rPr>
        <w:t xml:space="preserve">Constituição da </w:t>
      </w:r>
      <w:bookmarkEnd w:id="40"/>
      <w:bookmarkEnd w:id="41"/>
      <w:bookmarkEnd w:id="42"/>
      <w:r w:rsidR="008347A7" w:rsidRPr="0045539C">
        <w:rPr>
          <w:rFonts w:cs="Arial"/>
          <w:b/>
          <w:szCs w:val="20"/>
        </w:rPr>
        <w:t>Cessão Fiduciária de Recebíveis</w:t>
      </w:r>
      <w:bookmarkEnd w:id="43"/>
      <w:bookmarkEnd w:id="44"/>
    </w:p>
    <w:p w14:paraId="50A7072D" w14:textId="1D31948A" w:rsidR="00690367" w:rsidRPr="0045539C" w:rsidRDefault="00690367">
      <w:pPr>
        <w:pStyle w:val="Level3"/>
        <w:spacing w:before="140" w:after="0"/>
      </w:pPr>
      <w:bookmarkStart w:id="45" w:name="_Ref490824048"/>
      <w:bookmarkStart w:id="46"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5"/>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47" w:name="_Ref509245377"/>
      <w:bookmarkStart w:id="48" w:name="_Toc327379523"/>
      <w:bookmarkEnd w:id="46"/>
      <w:r w:rsidRPr="0045539C">
        <w:t xml:space="preserve">CLÁUSULA TERCEIRA - </w:t>
      </w:r>
      <w:r w:rsidR="00825656" w:rsidRPr="0045539C">
        <w:t>OBJETO SOCIAL DA EMISSORA</w:t>
      </w:r>
      <w:bookmarkEnd w:id="47"/>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49" w:name="_Ref479194326"/>
      <w:r w:rsidRPr="0045539C">
        <w:lastRenderedPageBreak/>
        <w:t xml:space="preserve">CLÁUSULA QUARTA - </w:t>
      </w:r>
      <w:r w:rsidR="00825656" w:rsidRPr="0045539C">
        <w:t>DESTINAÇÃO DOS RECURSOS</w:t>
      </w:r>
      <w:bookmarkEnd w:id="49"/>
    </w:p>
    <w:p w14:paraId="708DB49C" w14:textId="2F860E5D" w:rsidR="00DF08A9" w:rsidRPr="0045539C" w:rsidRDefault="000E2DCC">
      <w:pPr>
        <w:pStyle w:val="Level2"/>
        <w:widowControl w:val="0"/>
        <w:spacing w:before="140" w:after="0"/>
        <w:rPr>
          <w:rFonts w:cs="Arial"/>
          <w:b/>
          <w:szCs w:val="20"/>
        </w:rPr>
      </w:pPr>
      <w:bookmarkStart w:id="50" w:name="_Ref264564155"/>
      <w:bookmarkStart w:id="51" w:name="_Ref502247064"/>
      <w:bookmarkStart w:id="52" w:name="_Ref435691066"/>
      <w:r w:rsidRPr="0045539C">
        <w:t>Os recursos</w:t>
      </w:r>
      <w:r w:rsidR="00316824" w:rsidRPr="0045539C">
        <w:t xml:space="preserve"> líquidos</w:t>
      </w:r>
      <w:r w:rsidRPr="0045539C">
        <w:t xml:space="preserve"> obtidos pela Emissora com a Emissão serão utilizados</w:t>
      </w:r>
      <w:bookmarkEnd w:id="50"/>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1"/>
    </w:p>
    <w:bookmarkEnd w:id="52"/>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8"/>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3"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3"/>
    </w:p>
    <w:p w14:paraId="1F71FEC7" w14:textId="77777777" w:rsidR="007C7503" w:rsidRPr="0045539C" w:rsidRDefault="007C7503">
      <w:pPr>
        <w:pStyle w:val="Level2"/>
        <w:widowControl w:val="0"/>
        <w:spacing w:before="140" w:after="0"/>
        <w:rPr>
          <w:rFonts w:cs="Arial"/>
          <w:b/>
          <w:szCs w:val="20"/>
        </w:rPr>
      </w:pPr>
      <w:bookmarkStart w:id="54" w:name="_Ref521692073"/>
      <w:r w:rsidRPr="0045539C">
        <w:rPr>
          <w:rFonts w:cs="Arial"/>
          <w:b/>
          <w:szCs w:val="20"/>
        </w:rPr>
        <w:t>Quantidade</w:t>
      </w:r>
      <w:r w:rsidR="00764A7B" w:rsidRPr="0045539C">
        <w:rPr>
          <w:rFonts w:cs="Arial"/>
          <w:b/>
          <w:szCs w:val="20"/>
        </w:rPr>
        <w:t xml:space="preserve"> de Debêntures</w:t>
      </w:r>
      <w:bookmarkEnd w:id="54"/>
    </w:p>
    <w:p w14:paraId="7347E8EA" w14:textId="1691A183" w:rsidR="007C7503" w:rsidRPr="0045539C" w:rsidRDefault="004506D2">
      <w:pPr>
        <w:pStyle w:val="Level3"/>
        <w:widowControl w:val="0"/>
        <w:spacing w:before="140" w:after="0"/>
        <w:rPr>
          <w:szCs w:val="20"/>
        </w:rPr>
      </w:pPr>
      <w:bookmarkStart w:id="55"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5"/>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6"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7405C8D3"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6"/>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22F185EC"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1F6B7D">
        <w:t xml:space="preserve">26 </w:t>
      </w:r>
      <w:r w:rsidRPr="0045539C">
        <w:rPr>
          <w:szCs w:val="20"/>
        </w:rPr>
        <w:t xml:space="preserve">de </w:t>
      </w:r>
      <w:r w:rsidR="001F6B7D">
        <w:t xml:space="preserve">fevereiro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62317F91" w:rsidR="0020296D" w:rsidRPr="00835E82" w:rsidRDefault="0020296D" w:rsidP="00DF5266">
      <w:pPr>
        <w:pStyle w:val="Level3"/>
        <w:widowControl w:val="0"/>
        <w:spacing w:before="140" w:after="0"/>
        <w:rPr>
          <w:b/>
        </w:rPr>
      </w:pPr>
      <w:bookmarkStart w:id="57" w:name="_Ref4483360"/>
      <w:bookmarkStart w:id="58"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pelas Garantias Reais</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D576D3" w:rsidRPr="00EC5FE4">
        <w:t>5.9</w:t>
      </w:r>
      <w:r w:rsidR="0022122B" w:rsidRPr="00EC5FE4">
        <w:fldChar w:fldCharType="end"/>
      </w:r>
      <w:r w:rsidR="0022122B" w:rsidRPr="00EC5FE4">
        <w:t xml:space="preserve"> abaixo</w:t>
      </w:r>
      <w:r w:rsidR="0022122B">
        <w:t>.</w:t>
      </w:r>
      <w:bookmarkEnd w:id="57"/>
      <w:bookmarkEnd w:id="58"/>
      <w:r w:rsidR="00800B31">
        <w:t xml:space="preserve"> </w:t>
      </w:r>
    </w:p>
    <w:p w14:paraId="5A353FE8" w14:textId="48CAE028" w:rsidR="0022122B" w:rsidRDefault="0022122B">
      <w:pPr>
        <w:pStyle w:val="Level2"/>
        <w:widowControl w:val="0"/>
        <w:spacing w:before="140" w:after="0"/>
        <w:rPr>
          <w:rFonts w:cs="Arial"/>
          <w:b/>
          <w:szCs w:val="20"/>
        </w:rPr>
      </w:pPr>
      <w:bookmarkStart w:id="59" w:name="_Ref4478588"/>
      <w:r>
        <w:rPr>
          <w:rFonts w:cs="Arial"/>
          <w:b/>
          <w:szCs w:val="20"/>
        </w:rPr>
        <w:lastRenderedPageBreak/>
        <w:t>Convolação em Debêntures da Espécie com Garantia Real</w:t>
      </w:r>
      <w:bookmarkEnd w:id="59"/>
    </w:p>
    <w:p w14:paraId="653B7A0A" w14:textId="2CDD4EA9" w:rsidR="0022122B" w:rsidRDefault="0022122B" w:rsidP="00984F72">
      <w:pPr>
        <w:pStyle w:val="Level3"/>
        <w:spacing w:before="140" w:after="0"/>
        <w:ind w:left="1360" w:hanging="680"/>
      </w:pPr>
      <w:r w:rsidRPr="00A612FB">
        <w:t xml:space="preserve">Uma vez </w:t>
      </w:r>
      <w:r w:rsidR="00800B31">
        <w:t>constitu</w:t>
      </w:r>
      <w:r w:rsidR="00A63E5E">
        <w:t>ídas</w:t>
      </w:r>
      <w:r w:rsidRPr="00EC5FE4">
        <w:t xml:space="preserve"> </w:t>
      </w:r>
      <w:r w:rsidR="00137DCA" w:rsidRPr="00384055">
        <w:t>as Garantias Reais</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02CA413"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D576D3">
        <w:t>2.3</w:t>
      </w:r>
      <w:r w:rsidR="0019245A">
        <w:fldChar w:fldCharType="end"/>
      </w:r>
      <w:r>
        <w:t xml:space="preserve"> e </w:t>
      </w:r>
      <w:r>
        <w:fldChar w:fldCharType="begin"/>
      </w:r>
      <w:r>
        <w:instrText xml:space="preserve"> REF _Ref508981161 \r \h </w:instrText>
      </w:r>
      <w:r>
        <w:fldChar w:fldCharType="separate"/>
      </w:r>
      <w:r w:rsidR="00D576D3">
        <w:t>2.5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349199C"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BC6088">
        <w:t xml:space="preserve">26 </w:t>
      </w:r>
      <w:r w:rsidR="000C09EB" w:rsidRPr="0045539C">
        <w:rPr>
          <w:szCs w:val="20"/>
        </w:rPr>
        <w:t xml:space="preserve">de </w:t>
      </w:r>
      <w:r w:rsidR="00BC6088">
        <w:t xml:space="preserve">fevereiro </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 xml:space="preserve">Data de </w:t>
      </w:r>
      <w:r w:rsidRPr="0045539C">
        <w:rPr>
          <w:b/>
        </w:rPr>
        <w:lastRenderedPageBreak/>
        <w:t>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0" w:name="_DV_M176"/>
      <w:bookmarkStart w:id="61" w:name="_DV_M182"/>
      <w:bookmarkStart w:id="62" w:name="_DV_M184"/>
      <w:bookmarkStart w:id="63" w:name="_Ref435688993"/>
      <w:bookmarkEnd w:id="60"/>
      <w:bookmarkEnd w:id="61"/>
      <w:bookmarkEnd w:id="6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lastRenderedPageBreak/>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3"/>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4" w:name="_Ref440269418"/>
      <w:bookmarkStart w:id="65" w:name="_DV_C96"/>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47EB1CFC" w:rsidR="008E202B" w:rsidRPr="0045539C" w:rsidRDefault="006F1C3D" w:rsidP="00DF5266">
      <w:pPr>
        <w:pStyle w:val="Level3"/>
        <w:widowControl w:val="0"/>
        <w:spacing w:before="140" w:after="0"/>
      </w:pPr>
      <w:bookmarkStart w:id="66" w:name="_Ref137107438"/>
      <w:bookmarkStart w:id="67" w:name="_Ref168843123"/>
      <w:bookmarkStart w:id="68" w:name="_Ref210749176"/>
      <w:bookmarkStart w:id="69"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6"/>
      <w:bookmarkEnd w:id="67"/>
      <w:bookmarkEnd w:id="68"/>
      <w:r w:rsidRPr="0045539C">
        <w:t>da Taxa Substitutiva.</w:t>
      </w:r>
      <w:bookmarkEnd w:id="69"/>
      <w:r w:rsidR="00F86252">
        <w:t xml:space="preserve"> </w:t>
      </w:r>
    </w:p>
    <w:p w14:paraId="1F3A2B87" w14:textId="432B78D2"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576D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D576D3">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4"/>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5"/>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7B9C5415"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4D7946">
        <w:t>fevereiro</w:t>
      </w:r>
      <w:r w:rsidR="00B57198">
        <w:t xml:space="preserve">, </w:t>
      </w:r>
      <w:r w:rsidR="004D7946">
        <w:t xml:space="preserve">maio, agosto </w:t>
      </w:r>
      <w:r w:rsidR="00B57198">
        <w:t xml:space="preserve">e </w:t>
      </w:r>
      <w:r w:rsidR="004D7946">
        <w:t xml:space="preserve">novembro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4D7946">
        <w:t xml:space="preserve">maio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 xml:space="preserve">último na Data </w:t>
      </w:r>
      <w:r w:rsidR="0068713D" w:rsidRPr="00984F72">
        <w:rPr>
          <w:szCs w:val="20"/>
        </w:rPr>
        <w:lastRenderedPageBreak/>
        <w:t>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0" w:name="_Ref440552532"/>
      <w:r w:rsidRPr="0045539C">
        <w:rPr>
          <w:rFonts w:cs="Arial"/>
          <w:b/>
          <w:szCs w:val="20"/>
        </w:rPr>
        <w:t>Pagamento do Valor Nominal Unitário</w:t>
      </w:r>
      <w:bookmarkEnd w:id="70"/>
    </w:p>
    <w:p w14:paraId="66F82259" w14:textId="3ED422CA"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7B0CE2">
        <w:t xml:space="preserve">fevereiro, maio, agosto e novembro </w:t>
      </w:r>
      <w:r w:rsidR="006842CD" w:rsidRPr="00B321DD">
        <w:rPr>
          <w:szCs w:val="20"/>
        </w:rPr>
        <w:t>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8F454F">
        <w:t xml:space="preserve">maio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1" w:name="_Ref481077719"/>
      <w:bookmarkStart w:id="72"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1"/>
      <w:r w:rsidR="00DC461E" w:rsidRPr="0045539C">
        <w:rPr>
          <w:snapToGrid w:val="0"/>
          <w:szCs w:val="20"/>
        </w:rPr>
        <w:t>nas Cláusulas abaixo</w:t>
      </w:r>
      <w:r w:rsidR="00D12FA6" w:rsidRPr="0045539C">
        <w:rPr>
          <w:snapToGrid w:val="0"/>
          <w:szCs w:val="20"/>
        </w:rPr>
        <w:t>:</w:t>
      </w:r>
      <w:bookmarkEnd w:id="72"/>
      <w:r w:rsidR="00916D20" w:rsidRPr="0045539C">
        <w:rPr>
          <w:snapToGrid w:val="0"/>
          <w:szCs w:val="20"/>
        </w:rPr>
        <w:t xml:space="preserve"> </w:t>
      </w:r>
    </w:p>
    <w:p w14:paraId="5F08313C" w14:textId="26E1D08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3320D9FE" w:rsidR="0087438D" w:rsidRPr="000136F7" w:rsidRDefault="00DC461E" w:rsidP="00DF5266">
      <w:pPr>
        <w:pStyle w:val="Level4"/>
        <w:widowControl w:val="0"/>
        <w:spacing w:before="140" w:after="0"/>
      </w:pPr>
      <w:bookmarkStart w:id="73"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lastRenderedPageBreak/>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3"/>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10C408F"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5124D034" w:rsidR="00086EF3" w:rsidRPr="0045539C" w:rsidRDefault="00086EF3" w:rsidP="00086EF3">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4B78CB">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t xml:space="preserve">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01BE15E9"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745B397F"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63CFDD61"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rsidDel="00E11DDC">
              <w:t xml:space="preserve"> </w:t>
            </w:r>
            <w:r w:rsidRPr="008328FA">
              <w:t>(</w:t>
            </w:r>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4" w:name="_Ref4157064"/>
      <w:bookmarkStart w:id="75"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76" w:name="_Ref6763201"/>
      <w:r>
        <w:t xml:space="preserve"> </w:t>
      </w:r>
      <w:bookmarkEnd w:id="74"/>
      <w:bookmarkEnd w:id="75"/>
      <w:bookmarkEnd w:id="76"/>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77" w:name="_Ref481076786"/>
      <w:r w:rsidRPr="0045539C">
        <w:t xml:space="preserve">A Emissora poderá, a qualquer tempo, a partir da Data de Emissão, e a seu exclusivo critério, promover a amortização extraordinária facultativa do Valor </w:t>
      </w:r>
      <w:r w:rsidRPr="0045539C">
        <w:lastRenderedPageBreak/>
        <w:t>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125EB91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5F6C4857" w:rsidR="000136F7" w:rsidRPr="009171BD" w:rsidRDefault="002703B3" w:rsidP="00DF5266">
      <w:pPr>
        <w:pStyle w:val="Level4"/>
        <w:spacing w:before="140" w:after="0"/>
      </w:pPr>
      <w:bookmarkStart w:id="78" w:name="_Ref4477053"/>
      <w:bookmarkStart w:id="79"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78"/>
      <w:bookmarkEnd w:id="79"/>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BA6C24" w:rsidRPr="0045539C" w14:paraId="3F61388F" w14:textId="28D28A3F" w:rsidTr="00C0194E">
        <w:tc>
          <w:tcPr>
            <w:tcW w:w="2809" w:type="dxa"/>
          </w:tcPr>
          <w:p w14:paraId="41B306BA" w14:textId="08B0EB7B" w:rsidR="00BA6C24" w:rsidRPr="0045539C" w:rsidRDefault="00BA6C24" w:rsidP="00BA6C24">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t xml:space="preserve"> </w:t>
            </w:r>
            <w:r w:rsidRPr="0045539C">
              <w:t>(inclusive)</w:t>
            </w:r>
          </w:p>
        </w:tc>
        <w:tc>
          <w:tcPr>
            <w:tcW w:w="3563" w:type="dxa"/>
            <w:vAlign w:val="center"/>
          </w:tcPr>
          <w:p w14:paraId="0C15E790" w14:textId="57746EFB" w:rsidR="00BA6C24" w:rsidRPr="0045539C" w:rsidRDefault="00BA6C24">
            <w:pPr>
              <w:pStyle w:val="Level3"/>
              <w:widowControl w:val="0"/>
              <w:numPr>
                <w:ilvl w:val="0"/>
                <w:numId w:val="0"/>
              </w:numPr>
              <w:spacing w:before="140" w:after="0"/>
              <w:jc w:val="center"/>
              <w:outlineLvl w:val="9"/>
            </w:pPr>
            <w:r w:rsidRPr="00DC4ADB">
              <w:t>0,85%</w:t>
            </w:r>
          </w:p>
        </w:tc>
      </w:tr>
      <w:tr w:rsidR="00BA6C24" w:rsidRPr="0045539C" w14:paraId="0690B707" w14:textId="2807B6A3" w:rsidTr="00C0194E">
        <w:tc>
          <w:tcPr>
            <w:tcW w:w="2809" w:type="dxa"/>
          </w:tcPr>
          <w:p w14:paraId="35899F98" w14:textId="10663F5D" w:rsidR="00BA6C24" w:rsidRPr="0045539C" w:rsidRDefault="00BA6C24" w:rsidP="00BA6C24">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(inclusive)</w:t>
            </w:r>
          </w:p>
        </w:tc>
        <w:tc>
          <w:tcPr>
            <w:tcW w:w="3563" w:type="dxa"/>
            <w:vAlign w:val="center"/>
          </w:tcPr>
          <w:p w14:paraId="7BBC6C39" w14:textId="45534EED" w:rsidR="00BA6C24" w:rsidRDefault="00BA6C24">
            <w:pPr>
              <w:pStyle w:val="Level3"/>
              <w:widowControl w:val="0"/>
              <w:numPr>
                <w:ilvl w:val="0"/>
                <w:numId w:val="0"/>
              </w:numPr>
              <w:spacing w:before="140" w:after="0"/>
              <w:jc w:val="center"/>
              <w:outlineLvl w:val="9"/>
            </w:pPr>
            <w:r w:rsidRPr="00DC4ADB">
              <w:t>0,80%</w:t>
            </w:r>
          </w:p>
        </w:tc>
      </w:tr>
      <w:tr w:rsidR="00BA6C24" w:rsidRPr="0045539C" w14:paraId="1743DE30" w14:textId="4292AFD8" w:rsidTr="00C0194E">
        <w:tc>
          <w:tcPr>
            <w:tcW w:w="2809" w:type="dxa"/>
          </w:tcPr>
          <w:p w14:paraId="6876B7B4" w14:textId="1140A841"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2D725C18" w14:textId="6855E72E" w:rsidR="00BA6C24" w:rsidRPr="004E3DBF" w:rsidRDefault="00BA6C24">
            <w:pPr>
              <w:pStyle w:val="Level3"/>
              <w:widowControl w:val="0"/>
              <w:numPr>
                <w:ilvl w:val="0"/>
                <w:numId w:val="0"/>
              </w:numPr>
              <w:spacing w:before="140" w:after="0"/>
              <w:jc w:val="center"/>
              <w:outlineLvl w:val="9"/>
            </w:pPr>
            <w:r w:rsidRPr="00DC4ADB">
              <w:t>0,70%</w:t>
            </w:r>
          </w:p>
        </w:tc>
      </w:tr>
      <w:tr w:rsidR="00BA6C24" w:rsidRPr="0045539C" w14:paraId="3E6C32B1" w14:textId="5CB43290" w:rsidTr="00C0194E">
        <w:tc>
          <w:tcPr>
            <w:tcW w:w="2809" w:type="dxa"/>
          </w:tcPr>
          <w:p w14:paraId="18B52ADC" w14:textId="41D44708"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xml:space="preserve">] </w:t>
            </w:r>
            <w:r w:rsidRPr="00E84FD7">
              <w:lastRenderedPageBreak/>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939EDFE" w14:textId="63B2C81F" w:rsidR="00BA6C24" w:rsidRPr="004E3DBF" w:rsidRDefault="00BA6C24">
            <w:pPr>
              <w:pStyle w:val="Level3"/>
              <w:widowControl w:val="0"/>
              <w:numPr>
                <w:ilvl w:val="0"/>
                <w:numId w:val="0"/>
              </w:numPr>
              <w:spacing w:before="140" w:after="0"/>
              <w:jc w:val="center"/>
              <w:outlineLvl w:val="9"/>
            </w:pPr>
            <w:r w:rsidRPr="00DC4ADB">
              <w:lastRenderedPageBreak/>
              <w:t>0,60%</w:t>
            </w:r>
          </w:p>
        </w:tc>
      </w:tr>
      <w:tr w:rsidR="00BA6C24" w:rsidRPr="0045539C" w14:paraId="23862535" w14:textId="532D7ED0" w:rsidTr="00C0194E">
        <w:tc>
          <w:tcPr>
            <w:tcW w:w="2809" w:type="dxa"/>
          </w:tcPr>
          <w:p w14:paraId="78CA45CE" w14:textId="282C958F" w:rsidR="00BA6C24" w:rsidRPr="0045539C" w:rsidRDefault="00BA6C24" w:rsidP="00BA6C24">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t>exclusive</w:t>
            </w:r>
            <w:r w:rsidRPr="00B321DD">
              <w:t>) até a Data de Vencimento (exclusive)</w:t>
            </w:r>
          </w:p>
        </w:tc>
        <w:tc>
          <w:tcPr>
            <w:tcW w:w="3563" w:type="dxa"/>
            <w:vAlign w:val="center"/>
          </w:tcPr>
          <w:p w14:paraId="02E4EDDF" w14:textId="2BCC2ED5" w:rsidR="00BA6C24" w:rsidRDefault="00BA6C24">
            <w:pPr>
              <w:pStyle w:val="Level3"/>
              <w:widowControl w:val="0"/>
              <w:numPr>
                <w:ilvl w:val="0"/>
                <w:numId w:val="0"/>
              </w:numPr>
              <w:spacing w:before="140" w:after="0"/>
              <w:jc w:val="center"/>
              <w:outlineLvl w:val="9"/>
            </w:pPr>
            <w:r w:rsidRPr="00DC4ADB">
              <w:t>0,50%</w:t>
            </w:r>
          </w:p>
        </w:tc>
      </w:tr>
    </w:tbl>
    <w:p w14:paraId="76B1D6B1" w14:textId="22F425C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w:t>
      </w:r>
      <w:proofErr w:type="spellStart"/>
      <w:r w:rsidR="004B28FA">
        <w:t>ii</w:t>
      </w:r>
      <w:proofErr w:type="spellEnd"/>
      <w:r w:rsidR="004B28FA">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77"/>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0"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80"/>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 xml:space="preserve">Debêntures de que </w:t>
      </w:r>
      <w:r w:rsidRPr="0017154C">
        <w:lastRenderedPageBreak/>
        <w:t>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403BB0C7"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D576D3">
        <w:t>(</w:t>
      </w:r>
      <w:proofErr w:type="spellStart"/>
      <w:r w:rsidR="00D576D3">
        <w:t>ii</w:t>
      </w:r>
      <w:proofErr w:type="spellEnd"/>
      <w:r w:rsidR="00D576D3">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1" w:name="_Ref285570958"/>
      <w:bookmarkStart w:id="82"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1"/>
      <w:r w:rsidRPr="0045539C">
        <w:t>;</w:t>
      </w:r>
      <w:bookmarkEnd w:id="82"/>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3" w:name="_Ref509243874"/>
      <w:r w:rsidRPr="0045539C">
        <w:rPr>
          <w:rFonts w:cs="Arial"/>
          <w:b/>
          <w:szCs w:val="20"/>
        </w:rPr>
        <w:t>Local de Pagamento</w:t>
      </w:r>
      <w:bookmarkEnd w:id="83"/>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lastRenderedPageBreak/>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4" w:name="_Ref508983538"/>
      <w:r w:rsidRPr="0045539C">
        <w:rPr>
          <w:rFonts w:cs="Arial"/>
          <w:b/>
          <w:szCs w:val="20"/>
        </w:rPr>
        <w:t>Encargos Moratórios</w:t>
      </w:r>
      <w:bookmarkEnd w:id="84"/>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5" w:name="_DV_M210"/>
      <w:bookmarkStart w:id="86" w:name="_Ref3276263"/>
      <w:bookmarkEnd w:id="85"/>
      <w:r w:rsidRPr="0045539C">
        <w:rPr>
          <w:rFonts w:cs="Arial"/>
          <w:b/>
          <w:szCs w:val="20"/>
        </w:rPr>
        <w:t>Decadência dos Direitos aos Acréscimos</w:t>
      </w:r>
      <w:bookmarkEnd w:id="86"/>
    </w:p>
    <w:p w14:paraId="34F1721A" w14:textId="4CF9980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87" w:name="_Ref435655112"/>
      <w:r w:rsidRPr="0045539C">
        <w:rPr>
          <w:rFonts w:cs="Arial"/>
          <w:b/>
          <w:szCs w:val="20"/>
        </w:rPr>
        <w:t>Publicidade</w:t>
      </w:r>
      <w:bookmarkEnd w:id="87"/>
    </w:p>
    <w:p w14:paraId="4D99E350" w14:textId="5662E2CF" w:rsidR="003D2982" w:rsidRPr="0045539C" w:rsidRDefault="001828E0">
      <w:pPr>
        <w:pStyle w:val="Level3"/>
        <w:widowControl w:val="0"/>
        <w:spacing w:before="140" w:after="0"/>
        <w:rPr>
          <w:b/>
          <w:szCs w:val="20"/>
        </w:rPr>
      </w:pPr>
      <w:bookmarkStart w:id="88" w:name="_Ref508572745"/>
      <w:bookmarkStart w:id="89"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w:t>
      </w:r>
      <w:r w:rsidRPr="0045539C">
        <w:rPr>
          <w:bCs/>
          <w:szCs w:val="18"/>
        </w:rPr>
        <w:lastRenderedPageBreak/>
        <w:t>realizadas por correio eletrônico serão consideradas recebidas na data de seu envio, desde que seu recebimento seja confirmado por meio de indicativo (recibo emitido pela máquina utilizada pelo remetente).</w:t>
      </w:r>
      <w:bookmarkEnd w:id="88"/>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9"/>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0"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0"/>
    </w:p>
    <w:p w14:paraId="5324A0C7" w14:textId="1E497D2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4527D96"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1" w:name="_DV_M232"/>
      <w:bookmarkEnd w:id="91"/>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2" w:name="_Ref516659883"/>
      <w:bookmarkStart w:id="93" w:name="_Ref479197610"/>
      <w:r w:rsidRPr="0045539C">
        <w:rPr>
          <w:rFonts w:cs="Arial"/>
          <w:b/>
          <w:szCs w:val="20"/>
        </w:rPr>
        <w:t>Garantias</w:t>
      </w:r>
      <w:r w:rsidR="001828E0" w:rsidRPr="0045539C">
        <w:rPr>
          <w:rFonts w:cs="Arial"/>
          <w:b/>
          <w:szCs w:val="20"/>
        </w:rPr>
        <w:t xml:space="preserve"> Reais</w:t>
      </w:r>
      <w:bookmarkEnd w:id="92"/>
    </w:p>
    <w:p w14:paraId="3ECBE8D3" w14:textId="5186EB63" w:rsidR="00295A29" w:rsidRPr="0045539C" w:rsidRDefault="00295A29">
      <w:pPr>
        <w:pStyle w:val="Level3"/>
        <w:widowControl w:val="0"/>
        <w:spacing w:before="140" w:after="0"/>
      </w:pPr>
      <w:bookmarkStart w:id="94" w:name="_Ref4485221"/>
      <w:bookmarkStart w:id="95" w:name="_Ref479324215"/>
      <w:bookmarkEnd w:id="9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w:t>
      </w:r>
      <w:r w:rsidR="00AB40FA" w:rsidRPr="0045539C">
        <w:lastRenderedPageBreak/>
        <w:t xml:space="preserve">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xml:space="preserve"> as obrigações relativas a quaisquer outras obrigações pecuniárias assumidas pela Emissora </w:t>
      </w:r>
      <w:r w:rsidR="00727D9E" w:rsidRPr="00E50984">
        <w:rPr>
          <w:szCs w:val="26"/>
        </w:rPr>
        <w:t xml:space="preserve">e pela </w:t>
      </w:r>
      <w:proofErr w:type="spellStart"/>
      <w:r w:rsidR="00727D9E" w:rsidRPr="00E50984">
        <w:rPr>
          <w:szCs w:val="26"/>
        </w:rPr>
        <w:t>Damrak</w:t>
      </w:r>
      <w:proofErr w:type="spellEnd"/>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Garantias</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4"/>
    </w:p>
    <w:p w14:paraId="2FAFBD0C" w14:textId="7B587DD9" w:rsidR="001443E7" w:rsidRPr="0045539C" w:rsidRDefault="00F0092D">
      <w:pPr>
        <w:pStyle w:val="Level4"/>
        <w:widowControl w:val="0"/>
        <w:spacing w:before="140" w:after="0"/>
        <w:ind w:hanging="682"/>
        <w:rPr>
          <w:szCs w:val="20"/>
        </w:rPr>
      </w:pPr>
      <w:bookmarkStart w:id="96" w:name="_Ref535169016"/>
      <w:bookmarkStart w:id="97" w:name="_Ref522017889"/>
      <w:bookmarkStart w:id="98" w:name="_Ref401068819"/>
      <w:r w:rsidRPr="0045539C">
        <w:t xml:space="preserve">Alienação fiduciária, em caráter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 xml:space="preserve">e determinados imóveis de propriedade da </w:t>
      </w:r>
      <w:proofErr w:type="spellStart"/>
      <w:r w:rsidR="00AB5F57">
        <w:t>Damrak</w:t>
      </w:r>
      <w:proofErr w:type="spellEnd"/>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96"/>
      <w:bookmarkEnd w:id="97"/>
      <w:r w:rsidR="008F036E" w:rsidRPr="0045539C">
        <w:rPr>
          <w:szCs w:val="20"/>
        </w:rPr>
        <w:t xml:space="preserve"> </w:t>
      </w:r>
      <w:r w:rsidR="00AB40FA" w:rsidRPr="0045539C">
        <w:rPr>
          <w:szCs w:val="20"/>
        </w:rPr>
        <w:t>e</w:t>
      </w:r>
      <w:r w:rsidR="00E327D2">
        <w:rPr>
          <w:szCs w:val="20"/>
        </w:rPr>
        <w:t xml:space="preserve"> </w:t>
      </w:r>
    </w:p>
    <w:p w14:paraId="03F43966" w14:textId="0ED26708" w:rsidR="009A1A8B" w:rsidRPr="005B4471" w:rsidRDefault="001445D9">
      <w:pPr>
        <w:pStyle w:val="Level4"/>
        <w:widowControl w:val="0"/>
        <w:spacing w:before="140" w:after="0"/>
        <w:ind w:hanging="682"/>
        <w:rPr>
          <w:szCs w:val="20"/>
        </w:rPr>
      </w:pPr>
      <w:bookmarkStart w:id="99"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lastRenderedPageBreak/>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B93DD9">
        <w:t>Itaú Unibanco S.A.</w:t>
      </w:r>
      <w:r w:rsidR="00B93DD9"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w:t>
      </w:r>
      <w:r w:rsidR="00D83AB7" w:rsidRPr="00E50984">
        <w:t>com o</w:t>
      </w:r>
      <w:r w:rsidR="00E327D2" w:rsidRPr="00E50984">
        <w:t>s</w:t>
      </w:r>
      <w:r w:rsidR="00D83AB7" w:rsidRPr="00E50984">
        <w:t xml:space="preserve"> Contrato</w:t>
      </w:r>
      <w:r w:rsidR="00E327D2" w:rsidRPr="00E50984">
        <w:t>s</w:t>
      </w:r>
      <w:r w:rsidR="00D83AB7" w:rsidRPr="00E50984">
        <w:t xml:space="preserve"> de Alienação Fiduciária de </w:t>
      </w:r>
      <w:r w:rsidR="00E71D91" w:rsidRPr="00384055">
        <w:t>Imóveis</w:t>
      </w:r>
      <w:r w:rsidR="00D83AB7" w:rsidRPr="00384055">
        <w:t>, denominados simplesmente de “</w:t>
      </w:r>
      <w:r w:rsidR="00D83AB7" w:rsidRPr="00384055">
        <w:rPr>
          <w:b/>
        </w:rPr>
        <w:t>Contratos de Garantia</w:t>
      </w:r>
      <w:r w:rsidR="00D83AB7" w:rsidRPr="00384055">
        <w:t>”</w:t>
      </w:r>
      <w:r w:rsidR="00B25CF5" w:rsidRPr="00384055">
        <w:t>)</w:t>
      </w:r>
      <w:r w:rsidRPr="00384055">
        <w:t>.</w:t>
      </w:r>
      <w:r w:rsidRPr="0045539C">
        <w:t xml:space="preserve"> Os demais termos e condições da Cessão Fiduciária de Recebíveis seguirão descritos no Contrato de Cessão Fiduciária de Recebíveis.</w:t>
      </w:r>
      <w:bookmarkEnd w:id="98"/>
      <w:bookmarkEnd w:id="99"/>
    </w:p>
    <w:p w14:paraId="0B2204BD" w14:textId="77777777" w:rsidR="00295A29" w:rsidRPr="0045539C" w:rsidRDefault="00295A29">
      <w:pPr>
        <w:pStyle w:val="Level2"/>
        <w:widowControl w:val="0"/>
        <w:spacing w:before="140" w:after="0"/>
        <w:rPr>
          <w:b/>
        </w:rPr>
      </w:pPr>
      <w:bookmarkStart w:id="100" w:name="_Ref431142386"/>
      <w:bookmarkStart w:id="101" w:name="_Ref2846313"/>
      <w:bookmarkStart w:id="102" w:name="_Ref491421794"/>
      <w:bookmarkStart w:id="103" w:name="_Ref491684125"/>
      <w:r w:rsidRPr="0045539C">
        <w:rPr>
          <w:b/>
        </w:rPr>
        <w:t>Garantia</w:t>
      </w:r>
      <w:bookmarkEnd w:id="100"/>
      <w:r w:rsidRPr="0045539C">
        <w:rPr>
          <w:b/>
        </w:rPr>
        <w:t xml:space="preserve"> Fidejussória</w:t>
      </w:r>
      <w:bookmarkEnd w:id="101"/>
      <w:bookmarkEnd w:id="102"/>
      <w:bookmarkEnd w:id="103"/>
    </w:p>
    <w:bookmarkEnd w:id="95"/>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BA89D1C" w:rsidR="00633ABC" w:rsidRPr="0045539C" w:rsidRDefault="005A3726">
      <w:pPr>
        <w:pStyle w:val="Level3"/>
        <w:widowControl w:val="0"/>
        <w:spacing w:before="140" w:after="0"/>
      </w:pPr>
      <w:bookmarkStart w:id="104" w:name="_Ref491420653"/>
      <w:bookmarkStart w:id="10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D576D3">
        <w:t>5.22</w:t>
      </w:r>
      <w:r w:rsidR="0081413B">
        <w:fldChar w:fldCharType="end"/>
      </w:r>
      <w:r w:rsidR="0081413B">
        <w:t xml:space="preserve"> </w:t>
      </w:r>
      <w:r w:rsidR="007875CF" w:rsidRPr="0045539C">
        <w:t>acima</w:t>
      </w:r>
      <w:r w:rsidR="00295A29" w:rsidRPr="0045539C">
        <w:t>.</w:t>
      </w:r>
      <w:bookmarkEnd w:id="105"/>
      <w:r w:rsidR="00094471" w:rsidRPr="0045539C">
        <w:t xml:space="preserve"> </w:t>
      </w:r>
    </w:p>
    <w:p w14:paraId="61979D8D" w14:textId="54EBDACF" w:rsidR="00633ABC" w:rsidRPr="0045539C" w:rsidRDefault="005E43F4">
      <w:pPr>
        <w:pStyle w:val="Level3"/>
        <w:widowControl w:val="0"/>
        <w:spacing w:before="140" w:after="0"/>
        <w:rPr>
          <w:b/>
        </w:rPr>
      </w:pPr>
      <w:r w:rsidRPr="0045539C">
        <w:lastRenderedPageBreak/>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384055"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7C01D1E"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w:t>
      </w:r>
      <w:r w:rsidRPr="0045539C">
        <w:lastRenderedPageBreak/>
        <w:t>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6" w:name="_Ref516666996"/>
      <w:bookmarkStart w:id="10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6"/>
    </w:p>
    <w:p w14:paraId="05E1A30D" w14:textId="19C3CE65"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576D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lastRenderedPageBreak/>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08" w:name="_Ref497842157"/>
      <w:r w:rsidRPr="0045539C">
        <w:t xml:space="preserve">CLÁUSULA OITAVA - </w:t>
      </w:r>
      <w:r w:rsidR="00E87272" w:rsidRPr="0045539C">
        <w:t>VENCIMENTO ANTECIPADO</w:t>
      </w:r>
      <w:bookmarkStart w:id="109" w:name="_Ref435666640"/>
      <w:bookmarkEnd w:id="107"/>
      <w:bookmarkEnd w:id="108"/>
    </w:p>
    <w:p w14:paraId="5012949F" w14:textId="74FB55A6" w:rsidR="0015036F" w:rsidRPr="00655E0E" w:rsidRDefault="0015036F">
      <w:pPr>
        <w:pStyle w:val="Level2"/>
        <w:widowControl w:val="0"/>
        <w:spacing w:before="140" w:after="0"/>
      </w:pPr>
      <w:bookmarkStart w:id="110" w:name="_Ref507427659"/>
      <w:bookmarkStart w:id="111" w:name="_Ref392008548"/>
      <w:bookmarkStart w:id="112" w:name="_Ref435654812"/>
      <w:bookmarkStart w:id="113" w:name="_Ref439944675"/>
      <w:bookmarkStart w:id="114" w:name="_Ref435693772"/>
      <w:bookmarkEnd w:id="10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576D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576D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0"/>
    </w:p>
    <w:p w14:paraId="73DC70B3" w14:textId="1314304B" w:rsidR="001064A5" w:rsidRPr="0045539C" w:rsidRDefault="0015036F" w:rsidP="00DF5266">
      <w:pPr>
        <w:pStyle w:val="Level3"/>
        <w:spacing w:before="140" w:after="0"/>
        <w:rPr>
          <w:szCs w:val="20"/>
        </w:rPr>
      </w:pPr>
      <w:bookmarkStart w:id="115" w:name="_Ref356481657"/>
      <w:bookmarkStart w:id="11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576D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1"/>
      <w:bookmarkEnd w:id="112"/>
      <w:bookmarkEnd w:id="113"/>
      <w:bookmarkEnd w:id="115"/>
      <w:r w:rsidR="00BB1D99" w:rsidRPr="0045539C">
        <w:t xml:space="preserve"> </w:t>
      </w:r>
      <w:bookmarkEnd w:id="116"/>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17" w:name="_Ref137475231"/>
      <w:bookmarkStart w:id="118" w:name="_Ref149033996"/>
      <w:bookmarkStart w:id="119" w:name="_Ref164238998"/>
      <w:bookmarkStart w:id="120"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17"/>
      <w:bookmarkEnd w:id="118"/>
      <w:bookmarkEnd w:id="119"/>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1" w:name="_Ref3890139"/>
      <w:bookmarkEnd w:id="120"/>
      <w:r w:rsidRPr="00E50984">
        <w:t>questionamento judicial desta Escritura de Emissão</w:t>
      </w:r>
      <w:r w:rsidR="00384F0F" w:rsidRPr="00E50984">
        <w:t xml:space="preserve"> </w:t>
      </w:r>
      <w:r w:rsidR="00384F0F" w:rsidRPr="00384055">
        <w:t>e/ou dos Contratos de Garantias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1"/>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xml:space="preserve">, independentemente do deferimento ou homologação do </w:t>
      </w:r>
      <w:r w:rsidRPr="0045539C">
        <w:lastRenderedPageBreak/>
        <w:t>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2"/>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663FAC5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D576D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nos Contratos de Garantia</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 xml:space="preserve">da </w:t>
      </w:r>
      <w:r w:rsidRPr="00E963E5">
        <w:lastRenderedPageBreak/>
        <w:t>decisão que determinou a referida invalidade, nulidade, ineficácia, inexequibilidade ou insuficiênc</w:t>
      </w:r>
      <w:r w:rsidRPr="00A32024">
        <w:t>ia;</w:t>
      </w:r>
    </w:p>
    <w:p w14:paraId="10054144" w14:textId="708A6858"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e/ou os Contratos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Cessão Fiduciária de Recebíveis e da Alienação Fiduciária de </w:t>
      </w:r>
      <w:r w:rsidR="00E71D91" w:rsidRPr="00E50984">
        <w:t>Imóveis</w:t>
      </w:r>
      <w:r w:rsidRPr="00E50984">
        <w:t xml:space="preserve">, não tenham sido substituídas pela Emissora e/ou pela </w:t>
      </w:r>
      <w:proofErr w:type="spellStart"/>
      <w:r w:rsidR="00D95A72" w:rsidRPr="00E50984">
        <w:t>Damrak</w:t>
      </w:r>
      <w:proofErr w:type="spellEnd"/>
      <w:r w:rsidR="00D95A72" w:rsidRPr="00E50984">
        <w:t xml:space="preserve">, conforme o caso, </w:t>
      </w:r>
      <w:r w:rsidRPr="00E50984">
        <w:t xml:space="preserve">nos termos previstos </w:t>
      </w:r>
      <w:r w:rsidRPr="00384055">
        <w:t>nos respectivos Contratos de Garantia</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20 (vinte) dias contados da decisão que determinou a referida invalidade, nulidade, ineficácia, inexequibilidade ou insuficiência</w:t>
      </w:r>
      <w:r w:rsidRPr="00F52CD9">
        <w:t>;</w:t>
      </w:r>
      <w:r w:rsidR="003156AA" w:rsidRPr="00F52CD9">
        <w:t xml:space="preserve"> </w:t>
      </w:r>
    </w:p>
    <w:p w14:paraId="1217DBF4" w14:textId="1029CE42" w:rsidR="00936CCA" w:rsidRPr="00384055" w:rsidRDefault="00936CCA">
      <w:pPr>
        <w:pStyle w:val="Level4"/>
        <w:widowControl w:val="0"/>
        <w:numPr>
          <w:ilvl w:val="3"/>
          <w:numId w:val="213"/>
        </w:numPr>
        <w:spacing w:before="140" w:after="0"/>
      </w:pPr>
      <w:r w:rsidRPr="00384055">
        <w:t>cisão, fusão, incorporação (inclusive de ações) ou qualquer forma de reorganização envolvendo a Emissora</w:t>
      </w:r>
      <w:r w:rsidR="00CC7B02" w:rsidRPr="00384055">
        <w:t xml:space="preserve"> ou a </w:t>
      </w:r>
      <w:proofErr w:type="spellStart"/>
      <w:r w:rsidR="00CC7B02" w:rsidRPr="00384055">
        <w:t>Damrak</w:t>
      </w:r>
      <w:proofErr w:type="spellEnd"/>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w:t>
      </w:r>
      <w:proofErr w:type="spellStart"/>
      <w:r w:rsidR="00CC7B02" w:rsidRPr="00384055">
        <w:t>Damrak</w:t>
      </w:r>
      <w:proofErr w:type="spellEnd"/>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20C13009"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pelos Fiadores nesta Escritura de Emissão e/ou nos </w:t>
      </w:r>
      <w:r w:rsidR="00936CCA" w:rsidRPr="00384055">
        <w:t>Contratos de Garantia</w:t>
      </w:r>
      <w:r w:rsidR="00755C4F" w:rsidRPr="00E50984">
        <w:t>, conforme aplicável</w:t>
      </w:r>
      <w:r w:rsidRPr="00E50984">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4B676130" w:rsidR="005A44E0" w:rsidRPr="0045539C" w:rsidRDefault="005A44E0" w:rsidP="00DF5266">
      <w:pPr>
        <w:pStyle w:val="Level4"/>
        <w:numPr>
          <w:ilvl w:val="3"/>
          <w:numId w:val="213"/>
        </w:numPr>
        <w:tabs>
          <w:tab w:val="left" w:pos="2041"/>
        </w:tabs>
        <w:spacing w:before="140" w:after="0"/>
      </w:pPr>
      <w:bookmarkStart w:id="123" w:name="_Ref531280969"/>
      <w:bookmarkStart w:id="12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576D3">
        <w:t>4</w:t>
      </w:r>
      <w:r w:rsidRPr="0045539C">
        <w:rPr>
          <w:highlight w:val="yellow"/>
        </w:rPr>
        <w:fldChar w:fldCharType="end"/>
      </w:r>
      <w:r w:rsidRPr="0045539C">
        <w:t xml:space="preserve"> acima;</w:t>
      </w:r>
      <w:bookmarkEnd w:id="123"/>
      <w:bookmarkEnd w:id="124"/>
    </w:p>
    <w:p w14:paraId="4D192BF7" w14:textId="14DB9142" w:rsidR="00586AB7" w:rsidRPr="0045539C" w:rsidRDefault="0081369D" w:rsidP="00DF5266">
      <w:pPr>
        <w:pStyle w:val="Level3"/>
        <w:spacing w:before="140" w:after="0"/>
        <w:ind w:left="1360" w:hanging="680"/>
        <w:rPr>
          <w:b/>
        </w:rPr>
      </w:pPr>
      <w:bookmarkStart w:id="125" w:name="_Ref356481704"/>
      <w:bookmarkStart w:id="126" w:name="_Ref359943338"/>
      <w:bookmarkStart w:id="127" w:name="_Ref435660904"/>
      <w:bookmarkStart w:id="128" w:name="_Ref498608244"/>
      <w:bookmarkStart w:id="129" w:name="_Ref500784655"/>
      <w:bookmarkStart w:id="13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576D3">
        <w:t>8.3 abaixo</w:t>
      </w:r>
      <w:r w:rsidRPr="0045539C">
        <w:fldChar w:fldCharType="end"/>
      </w:r>
      <w:r w:rsidRPr="0045539C">
        <w:t xml:space="preserve">, qualquer dos eventos previstos em lei e/ou qualquer dos </w:t>
      </w:r>
      <w:r w:rsidRPr="0045539C">
        <w:lastRenderedPageBreak/>
        <w:t xml:space="preserve">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5"/>
      <w:bookmarkEnd w:id="126"/>
      <w:bookmarkEnd w:id="127"/>
      <w:bookmarkEnd w:id="128"/>
      <w:bookmarkEnd w:id="129"/>
    </w:p>
    <w:bookmarkEnd w:id="130"/>
    <w:p w14:paraId="5ECE5E73" w14:textId="38937B78" w:rsidR="00732D01" w:rsidRPr="00E50984" w:rsidRDefault="00732D01">
      <w:pPr>
        <w:pStyle w:val="Level4"/>
        <w:numPr>
          <w:ilvl w:val="3"/>
          <w:numId w:val="241"/>
        </w:numPr>
        <w:spacing w:before="140" w:after="0"/>
      </w:pPr>
      <w:r w:rsidRPr="00E50984">
        <w:t xml:space="preserve">inadimplemento, pela Emissora e/ou pelos Fiadores, de qualquer obrigação não pecuniária prevista nesta Escritura de Emissão e/ou nos </w:t>
      </w:r>
      <w:r w:rsidRPr="00384055">
        <w:t>Contratos de Garantia</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25DD7E0F"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732D01" w:rsidRPr="00384055">
        <w:t>Contratos de Garantia</w:t>
      </w:r>
      <w:r w:rsidR="000763BB">
        <w:t>,</w:t>
      </w:r>
      <w:r w:rsidRPr="00E50984">
        <w:t xml:space="preserve"> </w:t>
      </w:r>
      <w:r w:rsidR="000763BB">
        <w:t>que possam causar um</w:t>
      </w:r>
      <w:r w:rsidR="00D16FEB">
        <w:t xml:space="preserve"> Efeito Adverso Relevante</w:t>
      </w:r>
      <w:r w:rsidR="000763BB">
        <w:t>,</w:t>
      </w:r>
      <w:r w:rsidR="00D16FEB" w:rsidRPr="00E50984">
        <w:t xml:space="preserve"> </w:t>
      </w:r>
      <w:r w:rsidRPr="00E50984">
        <w:t>revelarem-se incorretas na data em que foram dadas</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3D39BDDF"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aditamentos, nos prazos previstos nesta Escritura de Emissão e</w:t>
      </w:r>
      <w:r w:rsidR="00E254BF" w:rsidRPr="00E50984">
        <w:t>/ou</w:t>
      </w:r>
      <w:r w:rsidRPr="00E50984">
        <w:t xml:space="preserve"> nos </w:t>
      </w:r>
      <w:r w:rsidRPr="00384055">
        <w:t>Contratos de Garantia</w:t>
      </w:r>
      <w:r w:rsidRPr="00E50984">
        <w:t>;</w:t>
      </w:r>
      <w:r w:rsidR="00617923">
        <w:rPr>
          <w:b/>
          <w:bCs/>
        </w:rPr>
        <w:t xml:space="preserve"> </w:t>
      </w:r>
    </w:p>
    <w:p w14:paraId="44F9BBB4" w14:textId="61690BB9"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490BAAC2"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lastRenderedPageBreak/>
        <w:t xml:space="preserve">Emissão e/ou dos </w:t>
      </w:r>
      <w:r w:rsidR="00727D9E" w:rsidRPr="00B42278">
        <w:t>Contratos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5777E4">
        <w:fldChar w:fldCharType="separate"/>
      </w:r>
      <w:r w:rsidR="00D576D3" w:rsidRPr="00B42278">
        <w:t>(</w:t>
      </w:r>
      <w:proofErr w:type="spellStart"/>
      <w:r w:rsidR="00D576D3" w:rsidRPr="00B42278">
        <w:t>ii</w:t>
      </w:r>
      <w:proofErr w:type="spellEnd"/>
      <w:r w:rsidR="00D576D3" w:rsidRPr="00B42278">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5777E4">
        <w:fldChar w:fldCharType="separate"/>
      </w:r>
      <w:r w:rsidR="00D576D3" w:rsidRPr="00B42278">
        <w:t>8.1.1</w:t>
      </w:r>
      <w:r w:rsidR="00727D9E" w:rsidRPr="00B42278">
        <w:fldChar w:fldCharType="end"/>
      </w:r>
      <w:r w:rsidR="00727D9E" w:rsidRPr="00300118">
        <w:t xml:space="preserve"> acima;</w:t>
      </w:r>
    </w:p>
    <w:p w14:paraId="3BA2BC03" w14:textId="6B35E53B"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20% </w:t>
      </w:r>
      <w:r w:rsidR="00F158F3" w:rsidRPr="001F6B7D">
        <w:t xml:space="preserve">das ações do capital social da Emissora </w:t>
      </w:r>
      <w:r w:rsidR="00275F3E" w:rsidRPr="001F6B7D">
        <w:t>e/ou</w:t>
      </w:r>
      <w:r w:rsidR="00F158F3" w:rsidRPr="001F6B7D">
        <w:t xml:space="preserve"> da </w:t>
      </w:r>
      <w:proofErr w:type="spellStart"/>
      <w:r w:rsidR="00F158F3" w:rsidRPr="001F6B7D">
        <w:t>Damrak</w:t>
      </w:r>
      <w:proofErr w:type="spellEnd"/>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w:t>
      </w:r>
      <w:proofErr w:type="spellStart"/>
      <w:r w:rsidR="00275F3E" w:rsidRPr="001F6B7D">
        <w:t>Damrak</w:t>
      </w:r>
      <w:proofErr w:type="spellEnd"/>
      <w:r w:rsidR="00A97F9B" w:rsidRPr="001F6B7D">
        <w:t xml:space="preserve"> com base </w:t>
      </w:r>
      <w:bookmarkStart w:id="131" w:name="_Hlk64281647"/>
      <w:r w:rsidR="00A97F9B" w:rsidRPr="001F6B7D">
        <w:t xml:space="preserve">nas Demonstrações Financeiras Auditadas </w:t>
      </w:r>
      <w:bookmarkEnd w:id="131"/>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620B7E" w:rsidRPr="001F6B7D">
        <w:t>;</w:t>
      </w:r>
      <w:r w:rsidR="00A74CBE" w:rsidRPr="001F6B7D">
        <w:t xml:space="preserve"> </w:t>
      </w:r>
    </w:p>
    <w:p w14:paraId="1BF099F4" w14:textId="6C9E7071" w:rsidR="00B043F5" w:rsidRPr="001F6B7D" w:rsidRDefault="00B043F5">
      <w:pPr>
        <w:pStyle w:val="Level4"/>
        <w:numPr>
          <w:ilvl w:val="3"/>
          <w:numId w:val="241"/>
        </w:numPr>
        <w:spacing w:before="140" w:after="0"/>
      </w:pPr>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7F12F8F9" w14:textId="45E0AE31" w:rsidR="00006139" w:rsidRPr="001F6B7D" w:rsidRDefault="00732D01">
      <w:pPr>
        <w:pStyle w:val="Level4"/>
        <w:numPr>
          <w:ilvl w:val="3"/>
          <w:numId w:val="241"/>
        </w:numPr>
        <w:spacing w:before="140" w:after="0"/>
      </w:pPr>
      <w:bookmarkStart w:id="132"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33" w:name="_Hlk62765507"/>
      <w:r w:rsidR="001E1AE9" w:rsidRPr="001F6B7D">
        <w:t xml:space="preserve">Dívida Líquida/EBITDA </w:t>
      </w:r>
      <w:bookmarkEnd w:id="133"/>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o estorno das </w:t>
      </w:r>
      <w:r w:rsidR="004F3F05" w:rsidRPr="001F6B7D">
        <w:t xml:space="preserve">transações </w:t>
      </w:r>
      <w:r w:rsidR="006431AD">
        <w:t>realizadas</w:t>
      </w:r>
      <w:bookmarkStart w:id="134" w:name="_GoBack"/>
      <w:bookmarkEnd w:id="134"/>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32"/>
      <w:r w:rsidR="00937FB2" w:rsidRPr="001F6B7D">
        <w:t xml:space="preserve"> </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w:t>
      </w:r>
      <w:proofErr w:type="spellStart"/>
      <w:r w:rsidRPr="00CE7852">
        <w:t>ii</w:t>
      </w:r>
      <w:proofErr w:type="spellEnd"/>
      <w:r w:rsidRPr="00CE7852">
        <w:t>)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132AA6A0" w:rsidR="00732D01" w:rsidRPr="001F6B7D" w:rsidRDefault="00E5067B" w:rsidP="00DF5266">
      <w:pPr>
        <w:pStyle w:val="Level5"/>
        <w:widowControl w:val="0"/>
        <w:numPr>
          <w:ilvl w:val="0"/>
          <w:numId w:val="0"/>
        </w:numPr>
        <w:spacing w:before="140" w:after="0"/>
        <w:ind w:left="2127"/>
        <w:rPr>
          <w:rFonts w:cs="Tahoma"/>
        </w:rPr>
      </w:pPr>
      <w:r w:rsidRPr="00300118">
        <w:rPr>
          <w:rFonts w:cs="Tahoma"/>
        </w:rPr>
        <w:lastRenderedPageBreak/>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5777E4">
        <w:rPr>
          <w:rFonts w:cs="Tahoma"/>
        </w:rPr>
        <w:fldChar w:fldCharType="separate"/>
      </w:r>
      <w:r w:rsidR="00D576D3" w:rsidRPr="00B42278">
        <w:rPr>
          <w:rFonts w:cs="Tahoma"/>
        </w:rPr>
        <w:t>(xi)</w:t>
      </w:r>
      <w:r w:rsidRPr="00B42278">
        <w:rPr>
          <w:rFonts w:cs="Tahoma"/>
        </w:rPr>
        <w:fldChar w:fldCharType="end"/>
      </w:r>
      <w:r w:rsidRPr="00300118">
        <w:rPr>
          <w:rFonts w:cs="Tahoma"/>
        </w:rPr>
        <w:t>.</w:t>
      </w:r>
      <w:r w:rsidR="00412008" w:rsidRPr="00B42278">
        <w:rPr>
          <w:rFonts w:cs="Tahoma"/>
        </w:rPr>
        <w:t xml:space="preserve"> </w:t>
      </w:r>
    </w:p>
    <w:p w14:paraId="72D117F5" w14:textId="5124BA65" w:rsidR="00CA2134" w:rsidRPr="001F6B7D" w:rsidRDefault="00CA2134">
      <w:pPr>
        <w:pStyle w:val="Level4"/>
        <w:numPr>
          <w:ilvl w:val="3"/>
          <w:numId w:val="241"/>
        </w:numPr>
        <w:spacing w:before="140" w:after="0"/>
      </w:pPr>
      <w:bookmarkStart w:id="135"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primeiro verificação pelo Agente Fiduciário ocorrerá com relação à apuração relativa ao exercício social encerrado em 202</w:t>
      </w:r>
      <w:r w:rsidR="00070688" w:rsidRPr="001F6B7D">
        <w:t>1</w:t>
      </w:r>
      <w:r w:rsidRPr="001F6B7D">
        <w:t xml:space="preserve"> e deverá ser acompanhado até a Data de Vencimento.</w:t>
      </w:r>
      <w:r w:rsidR="00D172A0" w:rsidRPr="001F6B7D">
        <w:t xml:space="preserve"> </w:t>
      </w:r>
      <w:bookmarkEnd w:id="135"/>
    </w:p>
    <w:p w14:paraId="5A910039" w14:textId="77777777" w:rsidR="00CA2134" w:rsidRPr="001F6B7D" w:rsidRDefault="00CA2134" w:rsidP="00984F72">
      <w:pPr>
        <w:pStyle w:val="Level4"/>
        <w:numPr>
          <w:ilvl w:val="0"/>
          <w:numId w:val="0"/>
        </w:numPr>
        <w:spacing w:before="140" w:after="0"/>
        <w:ind w:left="2041"/>
      </w:pPr>
      <w:r w:rsidRPr="001F6B7D">
        <w:t>onde:</w:t>
      </w:r>
    </w:p>
    <w:p w14:paraId="7576AC38" w14:textId="409A0D64"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diferença 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6C52B344" w:rsidR="00FF14CD" w:rsidRPr="001F6B7D"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Índice Financeiro</w:t>
      </w:r>
      <w:r w:rsidR="0054413B" w:rsidRPr="001F6B7D">
        <w:t xml:space="preserve"> </w:t>
      </w:r>
      <w:r w:rsidR="0054413B" w:rsidRPr="001F6B7D">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B42278">
        <w:rPr>
          <w:rFonts w:cs="Tahoma"/>
        </w:rPr>
        <w:fldChar w:fldCharType="begin"/>
      </w:r>
      <w:r w:rsidR="0054413B" w:rsidRPr="001F6B7D">
        <w:rPr>
          <w:rFonts w:cs="Tahoma"/>
        </w:rPr>
        <w:instrText xml:space="preserve"> REF _Ref64281972 \r \h </w:instrText>
      </w:r>
      <w:r w:rsidR="0054413B" w:rsidRPr="00B42278">
        <w:rPr>
          <w:rFonts w:cs="Tahoma"/>
        </w:rPr>
      </w:r>
      <w:r w:rsidR="0054413B" w:rsidRPr="005777E4">
        <w:rPr>
          <w:rFonts w:cs="Tahoma"/>
        </w:rPr>
        <w:fldChar w:fldCharType="separate"/>
      </w:r>
      <w:r w:rsidR="00D576D3" w:rsidRPr="00B42278">
        <w:rPr>
          <w:rFonts w:cs="Tahoma"/>
        </w:rPr>
        <w:t>(</w:t>
      </w:r>
      <w:proofErr w:type="spellStart"/>
      <w:r w:rsidR="00D576D3" w:rsidRPr="00B42278">
        <w:rPr>
          <w:rFonts w:cs="Tahoma"/>
        </w:rPr>
        <w:t>xii</w:t>
      </w:r>
      <w:proofErr w:type="spellEnd"/>
      <w:r w:rsidR="00D576D3" w:rsidRPr="00B42278">
        <w:rPr>
          <w:rFonts w:cs="Tahoma"/>
        </w:rPr>
        <w:t>)</w:t>
      </w:r>
      <w:r w:rsidR="0054413B" w:rsidRPr="00B42278">
        <w:rPr>
          <w:rFonts w:cs="Tahoma"/>
        </w:rPr>
        <w:fldChar w:fldCharType="end"/>
      </w:r>
      <w:r w:rsidR="00910524" w:rsidRPr="00300118">
        <w:rPr>
          <w:rFonts w:cs="Times New Roman"/>
          <w:szCs w:val="18"/>
        </w:rPr>
        <w:t>.</w:t>
      </w:r>
      <w:r w:rsidR="00910524" w:rsidRPr="00B42278">
        <w:rPr>
          <w:rFonts w:cs="Tahoma"/>
        </w:rPr>
        <w:t xml:space="preserve"> </w:t>
      </w:r>
    </w:p>
    <w:p w14:paraId="283B51CF" w14:textId="525B1069" w:rsidR="00673E73" w:rsidRPr="001F6B7D" w:rsidRDefault="00673E73" w:rsidP="00673E73">
      <w:pPr>
        <w:pStyle w:val="Level4"/>
        <w:numPr>
          <w:ilvl w:val="3"/>
          <w:numId w:val="241"/>
        </w:numPr>
        <w:spacing w:before="140" w:after="0"/>
      </w:pPr>
      <w:r w:rsidRPr="001F6B7D">
        <w:t xml:space="preserve">deixar de realizar, até </w:t>
      </w:r>
      <w:r w:rsidR="00A24C04" w:rsidRPr="001F6B7D">
        <w:t>90</w:t>
      </w:r>
      <w:r w:rsidRPr="001F6B7D">
        <w:t xml:space="preserve"> (</w:t>
      </w:r>
      <w:r w:rsidR="00A24C04" w:rsidRPr="001F6B7D">
        <w:t>noventa</w:t>
      </w:r>
      <w:r w:rsidRPr="001F6B7D">
        <w:t xml:space="preserve">) dias após o encerramento do exercício fiscal de cada ano, Assembleia de Debenturistas, com a presença de </w:t>
      </w:r>
      <w:r w:rsidRPr="001F6B7D">
        <w:lastRenderedPageBreak/>
        <w:t>auditores contratados para análise e discussão das demonstrações financeiras, sendo certo que a auditoria das demonstrações financeiras deverão ser re</w:t>
      </w:r>
      <w:r w:rsidR="00A97F9B" w:rsidRPr="001F6B7D">
        <w:t>a</w:t>
      </w:r>
      <w:r w:rsidRPr="001F6B7D">
        <w:t xml:space="preserve">lizadas, obrigatoriamente, por uma das seguintes empresas: (a) Ernest &amp; Young; (b) </w:t>
      </w:r>
      <w:proofErr w:type="spellStart"/>
      <w:r w:rsidRPr="001F6B7D">
        <w:t>PricewaterhouseCoopers</w:t>
      </w:r>
      <w:proofErr w:type="spellEnd"/>
      <w:r w:rsidRPr="001F6B7D">
        <w:t xml:space="preserve"> (</w:t>
      </w:r>
      <w:proofErr w:type="spellStart"/>
      <w:r w:rsidRPr="001F6B7D">
        <w:t>PwC</w:t>
      </w:r>
      <w:proofErr w:type="spellEnd"/>
      <w:r w:rsidRPr="001F6B7D">
        <w:t xml:space="preserve">); (c) KPMG; (d) </w:t>
      </w:r>
      <w:proofErr w:type="spellStart"/>
      <w:r w:rsidRPr="001F6B7D">
        <w:t>Delloite</w:t>
      </w:r>
      <w:proofErr w:type="spellEnd"/>
      <w:r w:rsidRPr="001F6B7D">
        <w:t xml:space="preserve">; </w:t>
      </w:r>
      <w:r w:rsidR="00A97F9B" w:rsidRPr="001F6B7D">
        <w:t>ou</w:t>
      </w:r>
      <w:r w:rsidRPr="001F6B7D">
        <w:t xml:space="preserve"> (e) BDO;</w:t>
      </w:r>
    </w:p>
    <w:p w14:paraId="404E9C24" w14:textId="77777777" w:rsidR="005A6D22" w:rsidRPr="001F6B7D" w:rsidRDefault="005A6D22" w:rsidP="00675FF8"/>
    <w:p w14:paraId="4EDF7317" w14:textId="269C2324"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36"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36"/>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r w:rsidR="00017EA4" w:rsidRPr="001F6B7D">
        <w:t>e</w:t>
      </w:r>
    </w:p>
    <w:p w14:paraId="6795B723" w14:textId="786463B2" w:rsidR="00673E73" w:rsidRDefault="00076C19" w:rsidP="00C0194E">
      <w:pPr>
        <w:pStyle w:val="Level4"/>
        <w:numPr>
          <w:ilvl w:val="3"/>
          <w:numId w:val="241"/>
        </w:numPr>
        <w:tabs>
          <w:tab w:val="clear" w:pos="2041"/>
        </w:tabs>
        <w:rPr>
          <w:rFonts w:cs="Tahoma"/>
        </w:rPr>
      </w:pPr>
      <w:r w:rsidRPr="001F6B7D">
        <w:t>interrupção</w:t>
      </w:r>
      <w:r w:rsidRPr="001F6B7D">
        <w:rPr>
          <w:rFonts w:cs="Tahoma"/>
        </w:rPr>
        <w:t xml:space="preserve"> das atividades da </w:t>
      </w:r>
      <w:r>
        <w:rPr>
          <w:rFonts w:cs="Tahoma"/>
        </w:rPr>
        <w:t>Emissora por mais de 30 (trinta) dias sem justa causa.</w:t>
      </w:r>
    </w:p>
    <w:p w14:paraId="799A714E" w14:textId="067BD1E6" w:rsidR="00012007" w:rsidRPr="0045539C" w:rsidRDefault="00012007" w:rsidP="00DF5266">
      <w:pPr>
        <w:pStyle w:val="Level2"/>
        <w:widowControl w:val="0"/>
        <w:spacing w:before="140" w:after="0"/>
      </w:pPr>
      <w:bookmarkStart w:id="137" w:name="_Ref130283217"/>
      <w:bookmarkStart w:id="138" w:name="_Ref169028300"/>
      <w:bookmarkStart w:id="139" w:name="_Ref278369126"/>
      <w:bookmarkStart w:id="140" w:name="_Ref474855533"/>
      <w:bookmarkEnd w:id="114"/>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576D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7"/>
      <w:bookmarkEnd w:id="138"/>
      <w:bookmarkEnd w:id="139"/>
    </w:p>
    <w:p w14:paraId="34F9A350" w14:textId="6CA36ABB" w:rsidR="00C767DA" w:rsidRPr="0045539C" w:rsidRDefault="00012007" w:rsidP="00DF5266">
      <w:pPr>
        <w:pStyle w:val="Level2"/>
        <w:widowControl w:val="0"/>
        <w:spacing w:before="140" w:after="0"/>
        <w:rPr>
          <w:rFonts w:cs="Arial"/>
          <w:b/>
          <w:szCs w:val="20"/>
        </w:rPr>
      </w:pPr>
      <w:bookmarkStart w:id="141" w:name="_Ref516847073"/>
      <w:bookmarkStart w:id="142" w:name="_Ref130283218"/>
      <w:bookmarkStart w:id="14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576D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29F2FD1" w:rsidR="00C767DA" w:rsidRPr="0045539C" w:rsidRDefault="00C767DA" w:rsidP="00DF5266">
      <w:pPr>
        <w:pStyle w:val="Level2"/>
        <w:widowControl w:val="0"/>
        <w:spacing w:before="140" w:after="0"/>
        <w:rPr>
          <w:rFonts w:cs="Arial"/>
          <w:b/>
          <w:szCs w:val="20"/>
        </w:rPr>
      </w:pPr>
      <w:bookmarkStart w:id="144" w:name="_Ref392008629"/>
      <w:bookmarkStart w:id="145" w:name="_Ref439944731"/>
      <w:bookmarkStart w:id="14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4"/>
      <w:bookmarkEnd w:id="145"/>
      <w:r w:rsidRPr="0045539C">
        <w:rPr>
          <w:rFonts w:cs="Arial"/>
          <w:szCs w:val="20"/>
        </w:rPr>
        <w:t>.</w:t>
      </w:r>
      <w:bookmarkEnd w:id="146"/>
      <w:r w:rsidR="00EE5A4C" w:rsidRPr="0045539C">
        <w:rPr>
          <w:rFonts w:cs="Arial"/>
          <w:szCs w:val="20"/>
        </w:rPr>
        <w:t xml:space="preserve"> </w:t>
      </w:r>
    </w:p>
    <w:p w14:paraId="268D5A5E" w14:textId="395E8F64" w:rsidR="00C767DA" w:rsidRPr="0045539C" w:rsidRDefault="00C767DA" w:rsidP="00DF5266">
      <w:pPr>
        <w:pStyle w:val="Level2"/>
        <w:widowControl w:val="0"/>
        <w:spacing w:before="140" w:after="0"/>
        <w:rPr>
          <w:rFonts w:cs="Arial"/>
          <w:szCs w:val="20"/>
        </w:rPr>
      </w:pPr>
      <w:bookmarkStart w:id="147" w:name="_Ref416258031"/>
      <w:bookmarkStart w:id="148"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7"/>
      <w:bookmarkEnd w:id="148"/>
    </w:p>
    <w:p w14:paraId="017C3649" w14:textId="21638CB1" w:rsidR="00F019F2" w:rsidRPr="0045539C" w:rsidRDefault="00F019F2" w:rsidP="00DF5266">
      <w:pPr>
        <w:pStyle w:val="Level2"/>
        <w:widowControl w:val="0"/>
        <w:spacing w:before="140" w:after="0"/>
      </w:pPr>
      <w:bookmarkStart w:id="149" w:name="_Ref514689054"/>
      <w:bookmarkStart w:id="150" w:name="_Ref470625528"/>
      <w:bookmarkStart w:id="151" w:name="_Ref507429726"/>
      <w:bookmarkStart w:id="152" w:name="_Ref514359861"/>
      <w:bookmarkStart w:id="153" w:name="_Ref510432575"/>
      <w:r w:rsidRPr="0045539C">
        <w:t>N</w:t>
      </w:r>
      <w:bookmarkStart w:id="154"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D576D3">
        <w:t>8.6</w:t>
      </w:r>
      <w:r w:rsidRPr="0045539C">
        <w:fldChar w:fldCharType="end"/>
      </w:r>
      <w:r w:rsidRPr="0045539C">
        <w:t xml:space="preserve"> abaixo.</w:t>
      </w:r>
      <w:bookmarkEnd w:id="149"/>
      <w:bookmarkEnd w:id="154"/>
      <w:r w:rsidRPr="0045539C">
        <w:t xml:space="preserve"> </w:t>
      </w:r>
      <w:bookmarkEnd w:id="150"/>
    </w:p>
    <w:bookmarkEnd w:id="151"/>
    <w:bookmarkEnd w:id="152"/>
    <w:bookmarkEnd w:id="15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5" w:name="_Ref470204567"/>
      <w:r w:rsidRPr="0045539C">
        <w:t>o</w:t>
      </w:r>
      <w:bookmarkEnd w:id="155"/>
      <w:r w:rsidRPr="0045539C">
        <w:t xml:space="preserve"> das </w:t>
      </w:r>
      <w:r w:rsidRPr="0045539C">
        <w:lastRenderedPageBreak/>
        <w:t>Debêntures</w:t>
      </w:r>
      <w:bookmarkStart w:id="156" w:name="_Ref474855556"/>
      <w:r w:rsidRPr="0045539C">
        <w:t>.</w:t>
      </w:r>
      <w:bookmarkEnd w:id="156"/>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7" w:name="_DV_C43"/>
      <w:bookmarkStart w:id="158" w:name="_Ref359943492"/>
      <w:bookmarkStart w:id="159" w:name="_Ref483833148"/>
      <w:bookmarkEnd w:id="141"/>
      <w:bookmarkEnd w:id="142"/>
      <w:bookmarkEnd w:id="143"/>
      <w:bookmarkEnd w:id="15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0"/>
      <w:bookmarkEnd w:id="158"/>
      <w:bookmarkEnd w:id="159"/>
    </w:p>
    <w:p w14:paraId="7E90A4CA" w14:textId="0A83B2F0" w:rsidR="00ED1701" w:rsidRPr="0045539C" w:rsidRDefault="00010A0A">
      <w:pPr>
        <w:pStyle w:val="Level1"/>
        <w:keepNext w:val="0"/>
        <w:keepLines w:val="0"/>
        <w:widowControl w:val="0"/>
        <w:spacing w:before="140" w:after="0"/>
        <w:jc w:val="center"/>
      </w:pPr>
      <w:bookmarkStart w:id="160" w:name="_DV_M446"/>
      <w:bookmarkStart w:id="161" w:name="_DV_M447"/>
      <w:bookmarkStart w:id="162" w:name="_DV_M448"/>
      <w:bookmarkStart w:id="163" w:name="_DV_M449"/>
      <w:bookmarkStart w:id="164" w:name="_DV_M450"/>
      <w:bookmarkStart w:id="165" w:name="_Ref2839556"/>
      <w:bookmarkEnd w:id="160"/>
      <w:bookmarkEnd w:id="161"/>
      <w:bookmarkEnd w:id="162"/>
      <w:bookmarkEnd w:id="163"/>
      <w:bookmarkEnd w:id="164"/>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5"/>
    </w:p>
    <w:p w14:paraId="0E0EE7E6" w14:textId="4A4440A3" w:rsidR="00ED1701" w:rsidRPr="00E50984" w:rsidRDefault="00ED1701">
      <w:pPr>
        <w:pStyle w:val="Level2"/>
        <w:widowControl w:val="0"/>
        <w:spacing w:before="140" w:after="0"/>
        <w:rPr>
          <w:rFonts w:cs="Arial"/>
          <w:szCs w:val="20"/>
        </w:rPr>
      </w:pPr>
      <w:bookmarkStart w:id="16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66"/>
      <w:r w:rsidRPr="00E50984">
        <w:rPr>
          <w:rFonts w:cs="Arial"/>
          <w:szCs w:val="20"/>
        </w:rPr>
        <w:t xml:space="preserve"> </w:t>
      </w:r>
    </w:p>
    <w:p w14:paraId="6CE3289C" w14:textId="79FF31FA" w:rsidR="00012007" w:rsidRPr="0045539C" w:rsidRDefault="00012007">
      <w:pPr>
        <w:pStyle w:val="Level4"/>
        <w:widowControl w:val="0"/>
        <w:tabs>
          <w:tab w:val="clear" w:pos="2041"/>
          <w:tab w:val="num" w:pos="1361"/>
        </w:tabs>
        <w:spacing w:before="140" w:after="0"/>
        <w:ind w:left="1360"/>
      </w:pPr>
      <w:bookmarkStart w:id="167" w:name="_Ref507429088"/>
      <w:bookmarkStart w:id="168" w:name="_Ref2839573"/>
      <w:bookmarkStart w:id="169" w:name="_Ref2885253"/>
      <w:bookmarkStart w:id="170" w:name="_Ref501635536"/>
      <w:r w:rsidRPr="00384055">
        <w:t>fornecer ao Agente Fiduciário</w:t>
      </w:r>
      <w:bookmarkEnd w:id="16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68"/>
      <w:bookmarkEnd w:id="169"/>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1" w:name="_Ref521064217"/>
      <w:r w:rsidRPr="0045539C">
        <w:t xml:space="preserve">fornecer ao Agente </w:t>
      </w:r>
      <w:r w:rsidR="008E75F8" w:rsidRPr="0045539C">
        <w:t>Fiduciário</w:t>
      </w:r>
      <w:r w:rsidRPr="0045539C">
        <w:t>:</w:t>
      </w:r>
    </w:p>
    <w:p w14:paraId="1A5E5BC9" w14:textId="605D82A9"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2" w:name="_Ref521064225"/>
      <w:bookmarkEnd w:id="171"/>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D576D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2"/>
      <w:r w:rsidR="005F0CAF" w:rsidRPr="00835E82">
        <w:t xml:space="preserve"> </w:t>
      </w:r>
    </w:p>
    <w:p w14:paraId="30F3FA86" w14:textId="6C948E2C"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576D3">
        <w:t>(i)</w:t>
      </w:r>
      <w:r w:rsidR="00012007" w:rsidRPr="00793C6F">
        <w:fldChar w:fldCharType="end"/>
      </w:r>
      <w:r w:rsidR="00012007" w:rsidRPr="00793C6F">
        <w:t xml:space="preserve"> acima, declaração </w:t>
      </w:r>
      <w:r w:rsidR="00012007" w:rsidRPr="00793C6F">
        <w:lastRenderedPageBreak/>
        <w:t>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Contratos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nos Contratos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1ED32879"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nos Contratos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xml:space="preserve">”), que venham a ser </w:t>
      </w:r>
      <w:r w:rsidR="000E69CE" w:rsidRPr="0045539C">
        <w:lastRenderedPageBreak/>
        <w:t>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0"/>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3"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xml:space="preserve">, exceto por aquelas que, comprovadamente, estejam em processo tempestivo de renovação, nos termos da legislação aplicável, e cuja </w:t>
      </w:r>
      <w:r w:rsidR="000E69CE" w:rsidRPr="0045539C">
        <w:lastRenderedPageBreak/>
        <w:t>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B42278"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dos </w:t>
      </w:r>
      <w:r w:rsidR="0018111F" w:rsidRPr="00CE7852">
        <w:t>Contratos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2135F6F9" w:rsidR="00F019F2" w:rsidRPr="00E50984" w:rsidRDefault="00F019F2">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nos </w:t>
      </w:r>
      <w:r w:rsidRPr="00384055">
        <w:t>Contratos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6BC08B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576D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576D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18111F" w:rsidRPr="00384055">
        <w:t>Contratos de Garantia</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w:t>
      </w:r>
      <w:r w:rsidRPr="0045539C">
        <w:rPr>
          <w:w w:val="0"/>
        </w:rPr>
        <w:lastRenderedPageBreak/>
        <w:t xml:space="preserve">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77777777"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nos </w:t>
      </w:r>
      <w:r w:rsidR="0018111F" w:rsidRPr="00384055">
        <w:t>Contratos de Garantia</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57C56072"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dos </w:t>
      </w:r>
      <w:r w:rsidR="0018111F" w:rsidRPr="00384055">
        <w:t>Contratos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nos </w:t>
      </w:r>
      <w:r w:rsidR="0018111F" w:rsidRPr="00384055">
        <w:t>Contratos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D824746"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dos Contratos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nos Contratos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95CAE35"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dos Contratos de Garantia</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lastRenderedPageBreak/>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84055"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dos Contratos de Garantia, conforme o caso</w:t>
      </w:r>
      <w:r w:rsidRPr="00384055">
        <w:rPr>
          <w:w w:val="0"/>
        </w:rPr>
        <w:t>; e</w:t>
      </w:r>
      <w:r w:rsidR="00197A8F" w:rsidRPr="00384055">
        <w:rPr>
          <w:w w:val="0"/>
        </w:rPr>
        <w:t xml:space="preserve"> </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74"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74"/>
    </w:p>
    <w:p w14:paraId="2F01750B" w14:textId="77777777" w:rsidR="00AC631C" w:rsidRPr="00384055" w:rsidRDefault="00AC631C" w:rsidP="00984F72">
      <w:pPr>
        <w:pStyle w:val="Level5"/>
        <w:tabs>
          <w:tab w:val="clear" w:pos="2721"/>
          <w:tab w:val="left" w:pos="2041"/>
        </w:tabs>
        <w:spacing w:before="140" w:after="0"/>
        <w:ind w:left="2041"/>
      </w:pPr>
      <w:r w:rsidRPr="00384055">
        <w:t>preparar suas demonstrações financeiras</w:t>
      </w:r>
      <w:bookmarkStart w:id="175" w:name="_DV_C53"/>
      <w:r w:rsidRPr="00384055">
        <w:t xml:space="preserve"> de encerramento de exercício</w:t>
      </w:r>
      <w:bookmarkStart w:id="176" w:name="_DV_M74"/>
      <w:bookmarkEnd w:id="175"/>
      <w:bookmarkEnd w:id="176"/>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7" w:name="_DV_M75"/>
      <w:bookmarkEnd w:id="177"/>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78"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8"/>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784F87E" w:rsidR="00AC631C" w:rsidRPr="000938AB" w:rsidRDefault="00AC631C" w:rsidP="00984F72">
      <w:pPr>
        <w:pStyle w:val="Level5"/>
        <w:tabs>
          <w:tab w:val="clear" w:pos="2721"/>
          <w:tab w:val="left" w:pos="2041"/>
        </w:tabs>
        <w:spacing w:before="140" w:after="0"/>
        <w:ind w:left="2041"/>
      </w:pPr>
      <w:bookmarkStart w:id="179"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576D3">
        <w:t>(</w:t>
      </w:r>
      <w:proofErr w:type="spellStart"/>
      <w:r w:rsidR="00D576D3">
        <w:t>xxxiii</w:t>
      </w:r>
      <w:proofErr w:type="spellEnd"/>
      <w:r w:rsidR="00D576D3">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79"/>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6F4128" w:rsidR="00AC631C" w:rsidRDefault="00AC631C" w:rsidP="00984F72">
      <w:pPr>
        <w:pStyle w:val="Level5"/>
        <w:tabs>
          <w:tab w:val="clear" w:pos="2721"/>
          <w:tab w:val="left" w:pos="2041"/>
        </w:tabs>
        <w:spacing w:before="140" w:after="0"/>
        <w:ind w:left="2041"/>
      </w:pPr>
      <w:r w:rsidRPr="000938AB">
        <w:lastRenderedPageBreak/>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576D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3F1CB6E"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D576D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D576D3">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11C3126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 xml:space="preserve">Legislação </w:t>
      </w:r>
      <w:r w:rsidRPr="00835E82">
        <w:rPr>
          <w:iCs/>
          <w:w w:val="0"/>
        </w:rPr>
        <w:lastRenderedPageBreak/>
        <w:t>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 xml:space="preserve">Escritura de Emissão e dos </w:t>
      </w:r>
      <w:r w:rsidRPr="00384055">
        <w:t>Contratos de Garantia</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xml:space="preserve">) abster-se de praticar atos de corrupção e de agir de forma lesiva à administração pública, nacional e </w:t>
      </w:r>
      <w:r w:rsidR="008422E2" w:rsidRPr="00A4774A">
        <w:lastRenderedPageBreak/>
        <w:t>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Escriturador e/ou pelo Banco Liquidante;</w:t>
      </w:r>
    </w:p>
    <w:p w14:paraId="1835FD5E" w14:textId="6CF3F7F6"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703CAB" w:rsidRPr="00384055">
        <w:t>Contratos de Garantia</w:t>
      </w:r>
      <w:r w:rsidR="00703CAB" w:rsidRPr="00E50984">
        <w:t>, conforme aplicável</w:t>
      </w:r>
      <w:r w:rsidRPr="00E50984">
        <w:rPr>
          <w:w w:val="0"/>
        </w:rPr>
        <w:t>;</w:t>
      </w:r>
    </w:p>
    <w:p w14:paraId="0292F80C" w14:textId="0B6BCC46"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proofErr w:type="spellStart"/>
      <w:r w:rsidR="00E06AF4" w:rsidRPr="00384055">
        <w:t>Damr</w:t>
      </w:r>
      <w:r w:rsidR="00E06AF4">
        <w:t>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E50984" w:rsidRDefault="008422E2">
      <w:pPr>
        <w:pStyle w:val="Level2"/>
        <w:widowControl w:val="0"/>
        <w:spacing w:before="140" w:after="0"/>
        <w:rPr>
          <w:w w:val="0"/>
        </w:rPr>
      </w:pPr>
      <w:r w:rsidRPr="0045539C">
        <w:rPr>
          <w:w w:val="0"/>
        </w:rPr>
        <w:lastRenderedPageBreak/>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173"/>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180" w:name="_Ref436147917"/>
      <w:r w:rsidRPr="00384055">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1" w:name="_Ref521622931"/>
      <w:r w:rsidRPr="0045539C">
        <w:rPr>
          <w:rFonts w:cs="Arial"/>
          <w:b/>
          <w:w w:val="0"/>
          <w:szCs w:val="20"/>
        </w:rPr>
        <w:t>Declarações</w:t>
      </w:r>
      <w:bookmarkEnd w:id="181"/>
    </w:p>
    <w:p w14:paraId="39E40864" w14:textId="77777777" w:rsidR="00C870C1" w:rsidRPr="0045539C" w:rsidRDefault="00C870C1">
      <w:pPr>
        <w:pStyle w:val="Level3"/>
        <w:widowControl w:val="0"/>
        <w:spacing w:before="140" w:after="0"/>
        <w:rPr>
          <w:szCs w:val="20"/>
        </w:rPr>
      </w:pPr>
      <w:bookmarkStart w:id="182" w:name="_DV_M303"/>
      <w:bookmarkStart w:id="183" w:name="_DV_M304"/>
      <w:bookmarkStart w:id="184" w:name="_DV_M305"/>
      <w:bookmarkStart w:id="185" w:name="_DV_M306"/>
      <w:bookmarkStart w:id="186" w:name="_DV_M307"/>
      <w:bookmarkStart w:id="187" w:name="_DV_M308"/>
      <w:bookmarkStart w:id="188" w:name="_DV_M309"/>
      <w:bookmarkStart w:id="189" w:name="_DV_M310"/>
      <w:bookmarkStart w:id="190" w:name="_DV_M313"/>
      <w:bookmarkStart w:id="191" w:name="_DV_M314"/>
      <w:bookmarkEnd w:id="182"/>
      <w:bookmarkEnd w:id="183"/>
      <w:bookmarkEnd w:id="184"/>
      <w:bookmarkEnd w:id="185"/>
      <w:bookmarkEnd w:id="186"/>
      <w:bookmarkEnd w:id="187"/>
      <w:bookmarkEnd w:id="188"/>
      <w:bookmarkEnd w:id="189"/>
      <w:bookmarkEnd w:id="190"/>
      <w:bookmarkEnd w:id="19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w:t>
      </w:r>
      <w:r w:rsidRPr="0045539C">
        <w:rPr>
          <w:w w:val="0"/>
          <w:szCs w:val="20"/>
        </w:rPr>
        <w:lastRenderedPageBreak/>
        <w:t>Ações, e o artigo 5º da Instrução CVM 583 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E50984">
        <w:rPr>
          <w:w w:val="0"/>
          <w:szCs w:val="20"/>
        </w:rPr>
        <w:t>autorreguladoras</w:t>
      </w:r>
      <w:proofErr w:type="spellEnd"/>
      <w:r w:rsidRPr="00E50984">
        <w:rPr>
          <w:w w:val="0"/>
          <w:szCs w:val="20"/>
        </w:rPr>
        <w:t>;</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77777777" w:rsidR="007730F4" w:rsidRPr="00384055" w:rsidRDefault="007730F4">
      <w:pPr>
        <w:pStyle w:val="Level4"/>
        <w:widowControl w:val="0"/>
        <w:spacing w:before="140" w:after="0"/>
        <w:rPr>
          <w:szCs w:val="20"/>
        </w:rPr>
      </w:pPr>
      <w:bookmarkStart w:id="192" w:name="_DV_X471"/>
      <w:bookmarkStart w:id="193" w:name="_DV_C422"/>
      <w:r w:rsidRPr="00384055">
        <w:rPr>
          <w:szCs w:val="20"/>
        </w:rPr>
        <w:t>não se encontra em nenhuma das situações de conflito de interesse previstas no artigo 5º da Instrução CVM 583;</w:t>
      </w:r>
    </w:p>
    <w:p w14:paraId="35450CBF" w14:textId="77777777" w:rsidR="00C870C1" w:rsidRPr="00384055" w:rsidRDefault="00C870C1">
      <w:pPr>
        <w:pStyle w:val="Level4"/>
        <w:widowControl w:val="0"/>
        <w:spacing w:before="140" w:after="0"/>
        <w:rPr>
          <w:w w:val="0"/>
          <w:szCs w:val="20"/>
        </w:rPr>
      </w:pPr>
      <w:bookmarkStart w:id="194" w:name="_DV_C423"/>
      <w:bookmarkEnd w:id="192"/>
      <w:bookmarkEnd w:id="193"/>
      <w:r w:rsidRPr="00384055">
        <w:rPr>
          <w:szCs w:val="20"/>
        </w:rPr>
        <w:t>está devidamente qualificado a exercer as atividades de agente fiduciário, nos termos da regulamentação aplicável vigente;</w:t>
      </w:r>
      <w:bookmarkEnd w:id="194"/>
    </w:p>
    <w:p w14:paraId="3506C8A4" w14:textId="77777777" w:rsidR="00C870C1" w:rsidRPr="00E50984" w:rsidRDefault="00C870C1">
      <w:pPr>
        <w:pStyle w:val="Level4"/>
        <w:widowControl w:val="0"/>
        <w:spacing w:before="140" w:after="0"/>
        <w:rPr>
          <w:w w:val="0"/>
          <w:szCs w:val="20"/>
        </w:rPr>
      </w:pPr>
      <w:bookmarkStart w:id="195" w:name="_DV_X465"/>
      <w:bookmarkStart w:id="196"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197" w:name="_DV_C426"/>
      <w:bookmarkEnd w:id="195"/>
      <w:bookmarkEnd w:id="196"/>
      <w:r w:rsidRPr="00E50984">
        <w:rPr>
          <w:szCs w:val="20"/>
        </w:rPr>
        <w:t>, vinculativa e eficaz</w:t>
      </w:r>
      <w:bookmarkStart w:id="198" w:name="_DV_X467"/>
      <w:bookmarkStart w:id="199" w:name="_DV_C427"/>
      <w:bookmarkEnd w:id="197"/>
      <w:r w:rsidRPr="00E50984">
        <w:rPr>
          <w:szCs w:val="20"/>
        </w:rPr>
        <w:t xml:space="preserve"> do Agente Fiduciário, exequível de acordo com os seus termos e condições;</w:t>
      </w:r>
      <w:bookmarkEnd w:id="198"/>
      <w:bookmarkEnd w:id="199"/>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54841C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D576D3">
        <w:rPr>
          <w:w w:val="0"/>
          <w:szCs w:val="20"/>
        </w:rPr>
        <w:t>(</w:t>
      </w:r>
      <w:proofErr w:type="spellStart"/>
      <w:r w:rsidR="00D576D3">
        <w:rPr>
          <w:w w:val="0"/>
          <w:szCs w:val="20"/>
        </w:rPr>
        <w:t>xviii</w:t>
      </w:r>
      <w:proofErr w:type="spellEnd"/>
      <w:r w:rsidR="00D576D3">
        <w:rPr>
          <w:w w:val="0"/>
          <w:szCs w:val="20"/>
        </w:rPr>
        <w:t>)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200"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lastRenderedPageBreak/>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00"/>
    </w:p>
    <w:p w14:paraId="1D960B6C" w14:textId="5BC2C42B"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576D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1" w:name="_Ref2884713"/>
      <w:r w:rsidRPr="0045539C">
        <w:rPr>
          <w:rFonts w:cs="Arial"/>
          <w:b/>
          <w:szCs w:val="20"/>
        </w:rPr>
        <w:t>Remuneração do Agente Fiduciário</w:t>
      </w:r>
      <w:bookmarkEnd w:id="201"/>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2"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w:t>
      </w:r>
      <w:r w:rsidRPr="00311FF1">
        <w:rPr>
          <w:szCs w:val="20"/>
        </w:rPr>
        <w:lastRenderedPageBreak/>
        <w:t xml:space="preserve">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2"/>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w:t>
      </w:r>
      <w:r w:rsidRPr="007B35FA">
        <w:rPr>
          <w:szCs w:val="20"/>
        </w:rPr>
        <w:lastRenderedPageBreak/>
        <w:t>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3" w:name="_Ref435693021"/>
      <w:r w:rsidR="00C870C1" w:rsidRPr="0045539C">
        <w:rPr>
          <w:rFonts w:cs="Arial"/>
          <w:b/>
          <w:szCs w:val="20"/>
        </w:rPr>
        <w:t>Substituição</w:t>
      </w:r>
      <w:bookmarkEnd w:id="203"/>
    </w:p>
    <w:p w14:paraId="76521749" w14:textId="40D555EB" w:rsidR="005B5A25" w:rsidRPr="0045539C" w:rsidRDefault="005B5A25">
      <w:pPr>
        <w:pStyle w:val="Level3"/>
        <w:widowControl w:val="0"/>
        <w:tabs>
          <w:tab w:val="left" w:pos="720"/>
          <w:tab w:val="left" w:pos="2366"/>
        </w:tabs>
        <w:spacing w:before="140" w:after="0"/>
        <w:rPr>
          <w:szCs w:val="20"/>
        </w:rPr>
      </w:pPr>
      <w:bookmarkStart w:id="204"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4"/>
    </w:p>
    <w:p w14:paraId="465434F2" w14:textId="610AE1BA"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576D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FCE4BBF"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D576D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lastRenderedPageBreak/>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1342ED62"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D576D3" w:rsidRPr="00E50984">
        <w:rPr>
          <w:szCs w:val="20"/>
        </w:rPr>
        <w:t>(</w:t>
      </w:r>
      <w:proofErr w:type="spellStart"/>
      <w:r w:rsidR="00D576D3" w:rsidRPr="00E50984">
        <w:rPr>
          <w:szCs w:val="20"/>
        </w:rPr>
        <w:t>xix</w:t>
      </w:r>
      <w:proofErr w:type="spellEnd"/>
      <w:r w:rsidR="00D576D3" w:rsidRPr="00E50984">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lastRenderedPageBreak/>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677BDE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5"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5"/>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lastRenderedPageBreak/>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6"/>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1AA55D6" w:rsidR="00C870C1" w:rsidRPr="0045539C" w:rsidRDefault="00471625" w:rsidP="00DF5266">
      <w:pPr>
        <w:pStyle w:val="Level4"/>
        <w:widowControl w:val="0"/>
        <w:spacing w:before="140" w:after="0"/>
        <w:rPr>
          <w:szCs w:val="20"/>
        </w:rPr>
      </w:pPr>
      <w:bookmarkStart w:id="20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576D3">
        <w:rPr>
          <w:szCs w:val="20"/>
        </w:rPr>
        <w:t>(</w:t>
      </w:r>
      <w:proofErr w:type="spellStart"/>
      <w:r w:rsidR="00D576D3">
        <w:rPr>
          <w:szCs w:val="20"/>
        </w:rPr>
        <w:t>xix</w:t>
      </w:r>
      <w:proofErr w:type="spellEnd"/>
      <w:r w:rsidR="00D576D3">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07"/>
    </w:p>
    <w:p w14:paraId="5B1FF0D1" w14:textId="77777777" w:rsidR="00C870C1" w:rsidRPr="0045539C" w:rsidRDefault="00C870C1">
      <w:pPr>
        <w:pStyle w:val="Level4"/>
        <w:widowControl w:val="0"/>
        <w:spacing w:before="140" w:after="0"/>
        <w:rPr>
          <w:szCs w:val="20"/>
        </w:rPr>
      </w:pPr>
      <w:bookmarkStart w:id="208" w:name="_DV_M347"/>
      <w:bookmarkStart w:id="209" w:name="_DV_M348"/>
      <w:bookmarkStart w:id="210" w:name="_DV_M349"/>
      <w:bookmarkStart w:id="211" w:name="_DV_M350"/>
      <w:bookmarkEnd w:id="208"/>
      <w:bookmarkEnd w:id="209"/>
      <w:bookmarkEnd w:id="210"/>
      <w:bookmarkEnd w:id="211"/>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w:t>
      </w:r>
      <w:r w:rsidRPr="0045539C">
        <w:rPr>
          <w:szCs w:val="20"/>
        </w:rPr>
        <w:lastRenderedPageBreak/>
        <w:t>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2" w:name="_Ref509481260"/>
      <w:bookmarkStart w:id="213" w:name="_Ref435692555"/>
      <w:r w:rsidRPr="0045539C">
        <w:rPr>
          <w:rFonts w:cs="Arial"/>
          <w:b/>
          <w:szCs w:val="20"/>
        </w:rPr>
        <w:t>Atribuições Específicas</w:t>
      </w:r>
      <w:bookmarkEnd w:id="212"/>
    </w:p>
    <w:p w14:paraId="74467B24" w14:textId="77777777" w:rsidR="00B47305" w:rsidRPr="0045539C" w:rsidRDefault="00B47305">
      <w:pPr>
        <w:pStyle w:val="Level3"/>
        <w:widowControl w:val="0"/>
        <w:spacing w:before="140" w:after="0"/>
      </w:pPr>
      <w:bookmarkStart w:id="214"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5" w:name="_Ref497982741"/>
      <w:bookmarkEnd w:id="214"/>
      <w:r w:rsidRPr="0045539C">
        <w:rPr>
          <w:rFonts w:cs="Arial"/>
          <w:b/>
          <w:szCs w:val="20"/>
        </w:rPr>
        <w:t>Despesas</w:t>
      </w:r>
      <w:bookmarkEnd w:id="213"/>
      <w:bookmarkEnd w:id="215"/>
    </w:p>
    <w:p w14:paraId="40B3F053" w14:textId="56C6CA10" w:rsidR="00324CDB" w:rsidRPr="0045539C" w:rsidRDefault="00CB7100">
      <w:pPr>
        <w:pStyle w:val="Level3"/>
        <w:widowControl w:val="0"/>
        <w:spacing w:before="140" w:after="0"/>
        <w:rPr>
          <w:b/>
          <w:szCs w:val="20"/>
        </w:rPr>
      </w:pPr>
      <w:bookmarkStart w:id="21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lastRenderedPageBreak/>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17" w:name="_Ref479186175"/>
      <w:bookmarkEnd w:id="216"/>
      <w:r w:rsidRPr="0045539C">
        <w:t xml:space="preserve">CLÁUSULA ONZE - </w:t>
      </w:r>
      <w:r w:rsidR="00E87272" w:rsidRPr="0045539C">
        <w:t>ASSEMBLEIA GERAL</w:t>
      </w:r>
      <w:r w:rsidR="00CB7100" w:rsidRPr="0045539C">
        <w:t xml:space="preserve"> DE DEBENTURISTAS</w:t>
      </w:r>
      <w:bookmarkEnd w:id="180"/>
      <w:bookmarkEnd w:id="217"/>
    </w:p>
    <w:p w14:paraId="6B3F64F7" w14:textId="4E6B6AB3" w:rsidR="00883CD7" w:rsidRPr="0045539C" w:rsidRDefault="00CB7100">
      <w:pPr>
        <w:pStyle w:val="Level2"/>
        <w:widowControl w:val="0"/>
        <w:spacing w:before="140" w:after="0"/>
      </w:pPr>
      <w:bookmarkStart w:id="218" w:name="_Ref480905626"/>
      <w:bookmarkStart w:id="219"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18"/>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0B7579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576D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20" w:name="_Ref501570468"/>
      <w:r w:rsidRPr="0045539C">
        <w:rPr>
          <w:b/>
        </w:rPr>
        <w:t>Forma de Convocação</w:t>
      </w:r>
    </w:p>
    <w:p w14:paraId="4EBD1169" w14:textId="6B4345B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20"/>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lastRenderedPageBreak/>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1"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1"/>
      <w:bookmarkEnd w:id="222"/>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3"/>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lastRenderedPageBreak/>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224" w:name="_DV_M404"/>
      <w:bookmarkStart w:id="225" w:name="_Ref439859919"/>
      <w:bookmarkStart w:id="226" w:name="_Ref4485889"/>
      <w:bookmarkEnd w:id="219"/>
      <w:bookmarkEnd w:id="224"/>
      <w:r w:rsidRPr="0045539C">
        <w:t xml:space="preserve">CLÁUSULA DOZE - </w:t>
      </w:r>
      <w:r w:rsidR="00E87272" w:rsidRPr="0045539C">
        <w:t>DECLARAÇÕES E GARANTIAS DA EMISSORA</w:t>
      </w:r>
      <w:bookmarkEnd w:id="225"/>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26"/>
    </w:p>
    <w:p w14:paraId="44654CAD" w14:textId="6F965A53" w:rsidR="003E5EF4" w:rsidRPr="00E50984" w:rsidRDefault="007723CB">
      <w:pPr>
        <w:pStyle w:val="Level2"/>
        <w:widowControl w:val="0"/>
        <w:spacing w:before="140" w:after="0"/>
        <w:rPr>
          <w:rFonts w:cs="Arial"/>
          <w:szCs w:val="20"/>
        </w:rPr>
      </w:pPr>
      <w:bookmarkStart w:id="227"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27"/>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46BCD7AF"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dos Contratos de Garantia</w:t>
      </w:r>
      <w:r w:rsidR="00385F1D" w:rsidRPr="00E50984">
        <w:t>, conforme o caso, e ao cumprimento de todas as obrigações aqui e ali previstas e, conforme o caso, à realização da Emissão e da Oferta e à constituição das Garantias</w:t>
      </w:r>
      <w:r w:rsidRPr="00E50984">
        <w:t xml:space="preserve"> Reais</w:t>
      </w:r>
      <w:r w:rsidR="002E5CB7" w:rsidRPr="00E50984">
        <w:t>, conforme o caso</w:t>
      </w:r>
      <w:r w:rsidR="00385F1D" w:rsidRPr="00E50984">
        <w:t>, tendo sido plenamente satisfeitos todos os requisitos legais, societários, regulatórios e de terceiros necessários para tanto;</w:t>
      </w:r>
    </w:p>
    <w:p w14:paraId="00C845D9" w14:textId="68504E66"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e os </w:t>
      </w:r>
      <w:r w:rsidRPr="00384055">
        <w:t>Contratos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Pr="00384055">
        <w:t>Contratos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E58651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dos </w:t>
      </w:r>
      <w:r w:rsidRPr="00384055">
        <w:t>Contratos de Garantia</w:t>
      </w:r>
      <w:r w:rsidRPr="00E50984">
        <w:t xml:space="preserve"> e, conforme o caso, à realização da Emissão e da Oferta e à constituição das Garantias</w:t>
      </w:r>
      <w:r w:rsidR="002E5CB7" w:rsidRPr="00E50984">
        <w:t>, conforme o caso</w:t>
      </w:r>
      <w:r w:rsidRPr="00E50984">
        <w:t xml:space="preserve">, observado o disposto nesta Escritura de Emissão e nos </w:t>
      </w:r>
      <w:r w:rsidRPr="00384055">
        <w:t>Contratos de Garantia</w:t>
      </w:r>
      <w:r w:rsidRPr="00E50984">
        <w:t>;</w:t>
      </w:r>
      <w:r w:rsidR="007C49D6">
        <w:t xml:space="preserve"> </w:t>
      </w:r>
    </w:p>
    <w:p w14:paraId="46134729" w14:textId="302BB778"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dos </w:t>
      </w:r>
      <w:r w:rsidR="006858EF" w:rsidRPr="00384055">
        <w:t>Contratos de Garantia</w:t>
      </w:r>
      <w:r w:rsidRPr="00E50984">
        <w:t xml:space="preserve"> e o cumprimento das obrigações aqui </w:t>
      </w:r>
      <w:r w:rsidR="006858EF" w:rsidRPr="00E50984">
        <w:t xml:space="preserve">e ali </w:t>
      </w:r>
      <w:r w:rsidRPr="00E50984">
        <w:t xml:space="preserve">previstas e, conforme o </w:t>
      </w:r>
      <w:r w:rsidRPr="00E50984">
        <w:lastRenderedPageBreak/>
        <w:t>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14C070E9"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dos </w:t>
      </w:r>
      <w:r w:rsidR="006858EF" w:rsidRPr="00384055">
        <w:t>Contratos de Garantia</w:t>
      </w:r>
      <w:r w:rsidR="006858EF" w:rsidRPr="00E50984">
        <w:t>, conforme o caso</w:t>
      </w:r>
      <w:r w:rsidR="00385F1D" w:rsidRPr="00E50984">
        <w:t>;</w:t>
      </w:r>
    </w:p>
    <w:p w14:paraId="7B278050" w14:textId="404A41A8"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nos </w:t>
      </w:r>
      <w:r w:rsidR="006858EF" w:rsidRPr="00384055">
        <w:t>Contratos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77777777"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6858EF" w:rsidRPr="00384055">
        <w:t>Contratos de Garantia</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lastRenderedPageBreak/>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182A3756"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lastRenderedPageBreak/>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E50984"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 xml:space="preserve">Escritura de Emissão e os </w:t>
      </w:r>
      <w:r w:rsidR="006858EF" w:rsidRPr="00384055">
        <w:t>Contratos de Garantia</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Pr="00384055">
        <w:rPr>
          <w:rFonts w:cs="Arial"/>
          <w:szCs w:val="20"/>
        </w:rPr>
        <w:t>Contratos de Garantia</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lastRenderedPageBreak/>
        <w:t xml:space="preserve">em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0C7791D8"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6222CDC7"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 xml:space="preserve">encargo, gravame ou ônus, arresto, sequestro ou penhora, judicial ou </w:t>
      </w:r>
      <w:r w:rsidRPr="00D16DFC">
        <w:rPr>
          <w:szCs w:val="26"/>
        </w:rPr>
        <w:lastRenderedPageBreak/>
        <w:t>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 xml:space="preserve">para a tomada de decisão de investimento </w:t>
      </w:r>
      <w:r w:rsidRPr="0045539C">
        <w:lastRenderedPageBreak/>
        <w:t>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 xml:space="preserve">as normas aplicáveis que versam sobre atos de corrupção e atos lesivos contra a administração pública, na forma </w:t>
      </w:r>
      <w:r w:rsidR="008E5A9C" w:rsidRPr="0045539C">
        <w:lastRenderedPageBreak/>
        <w:t>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6842A52D" w:rsidR="00E12AFE" w:rsidRPr="0045539C" w:rsidRDefault="003303A8" w:rsidP="00DF5266">
      <w:pPr>
        <w:pStyle w:val="Level2"/>
        <w:widowControl w:val="0"/>
        <w:spacing w:before="140" w:after="0"/>
        <w:rPr>
          <w:rFonts w:cs="Arial"/>
          <w:szCs w:val="20"/>
        </w:rPr>
      </w:pPr>
      <w:bookmarkStart w:id="228" w:name="_DV_M357"/>
      <w:bookmarkStart w:id="229" w:name="_DV_M358"/>
      <w:bookmarkStart w:id="230" w:name="_DV_M359"/>
      <w:bookmarkStart w:id="231" w:name="_DV_M360"/>
      <w:bookmarkStart w:id="232" w:name="_DV_M361"/>
      <w:bookmarkStart w:id="233" w:name="_DV_M362"/>
      <w:bookmarkStart w:id="234" w:name="_DV_M363"/>
      <w:bookmarkStart w:id="235" w:name="_DV_M364"/>
      <w:bookmarkStart w:id="236" w:name="_DV_M365"/>
      <w:bookmarkStart w:id="237" w:name="_DV_M366"/>
      <w:bookmarkStart w:id="238" w:name="_DV_M367"/>
      <w:bookmarkStart w:id="239" w:name="_DV_M368"/>
      <w:bookmarkStart w:id="240" w:name="_DV_M369"/>
      <w:bookmarkStart w:id="241" w:name="_DV_M370"/>
      <w:bookmarkStart w:id="242" w:name="_DV_M371"/>
      <w:bookmarkStart w:id="243" w:name="_DV_M372"/>
      <w:bookmarkStart w:id="244" w:name="_DV_M373"/>
      <w:bookmarkStart w:id="245" w:name="_DV_M374"/>
      <w:bookmarkStart w:id="246" w:name="_DV_M161"/>
      <w:bookmarkStart w:id="247" w:name="_DV_M16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576D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2298F0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lastRenderedPageBreak/>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1F62225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12CB5E89"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1EF670D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4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4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6F5364A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49" w:name="_DV_M133"/>
      <w:bookmarkStart w:id="250" w:name="_DV_M134"/>
      <w:bookmarkEnd w:id="249"/>
      <w:bookmarkEnd w:id="25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w:t>
      </w:r>
      <w:r w:rsidRPr="0045539C">
        <w:rPr>
          <w:rFonts w:cs="Arial"/>
          <w:szCs w:val="20"/>
        </w:rPr>
        <w:lastRenderedPageBreak/>
        <w:t xml:space="preserve">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1"/>
    </w:p>
    <w:p w14:paraId="3D0D1A20" w14:textId="0798A913"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576D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2" w:name="_DV_M428"/>
      <w:bookmarkEnd w:id="25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3" w:name="_DV_M430"/>
      <w:bookmarkEnd w:id="25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w:t>
      </w:r>
      <w:r w:rsidRPr="0045539C">
        <w:rPr>
          <w:szCs w:val="20"/>
        </w:rPr>
        <w:lastRenderedPageBreak/>
        <w:t>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053EFF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576D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D576D3">
        <w:rPr>
          <w:szCs w:val="20"/>
        </w:rPr>
        <w:t>2.5</w:t>
      </w:r>
      <w:r w:rsidR="002510A0" w:rsidRPr="0045539C">
        <w:rPr>
          <w:szCs w:val="20"/>
        </w:rPr>
        <w:fldChar w:fldCharType="end"/>
      </w:r>
      <w:r w:rsidRPr="0045539C">
        <w:rPr>
          <w:szCs w:val="20"/>
        </w:rPr>
        <w:t>.</w:t>
      </w:r>
    </w:p>
    <w:p w14:paraId="6E2B49DF" w14:textId="387A1C31"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7A2588A2" w:rsidR="000204F4" w:rsidRPr="000204F4" w:rsidRDefault="000204F4">
      <w:pPr>
        <w:pStyle w:val="Level3"/>
        <w:widowControl w:val="0"/>
        <w:spacing w:before="140" w:after="0"/>
        <w:rPr>
          <w:szCs w:val="20"/>
        </w:rPr>
      </w:pPr>
      <w:bookmarkStart w:id="254"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10518">
        <w:rPr>
          <w:rFonts w:eastAsia="Arial"/>
          <w:szCs w:val="28"/>
          <w:lang w:eastAsia="en-GB"/>
        </w:rPr>
        <w:t xml:space="preserve"> primeiro</w:t>
      </w:r>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4"/>
      <w:r w:rsidR="00794103">
        <w:rPr>
          <w:rFonts w:eastAsia="Arial"/>
          <w:szCs w:val="28"/>
          <w:lang w:eastAsia="en-GB"/>
        </w:rPr>
        <w:t xml:space="preserve"> </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xml:space="preserve">, para dirimir quaisquer </w:t>
      </w:r>
      <w:r w:rsidRPr="0045539C">
        <w:rPr>
          <w:szCs w:val="20"/>
        </w:rPr>
        <w:lastRenderedPageBreak/>
        <w:t>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4763097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03A58">
        <w:rPr>
          <w:rFonts w:ascii="Arial" w:hAnsi="Arial" w:cs="Arial"/>
          <w:sz w:val="20"/>
          <w:szCs w:val="20"/>
        </w:rPr>
        <w:t>26</w:t>
      </w:r>
      <w:r w:rsidR="00103A58"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103A58">
        <w:rPr>
          <w:rFonts w:ascii="Arial" w:hAnsi="Arial" w:cs="Arial"/>
          <w:sz w:val="20"/>
          <w:szCs w:val="20"/>
        </w:rPr>
        <w:t>fevereiro</w:t>
      </w:r>
      <w:r w:rsidR="00103A58"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F4960BB"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D108F4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F56144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454AE1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FA6F74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369399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5" w:name="_DV_M783"/>
      <w:bookmarkStart w:id="256" w:name="_DV_M784"/>
      <w:bookmarkStart w:id="257" w:name="_DV_M785"/>
      <w:bookmarkStart w:id="258" w:name="_DV_M786"/>
      <w:bookmarkStart w:id="259" w:name="_DV_M787"/>
      <w:bookmarkStart w:id="260" w:name="_DV_M788"/>
      <w:bookmarkStart w:id="261" w:name="_DV_M789"/>
      <w:bookmarkStart w:id="262" w:name="_DV_M790"/>
      <w:bookmarkStart w:id="263" w:name="_DV_M791"/>
      <w:bookmarkStart w:id="264" w:name="_DV_M792"/>
      <w:bookmarkStart w:id="265" w:name="_DV_M793"/>
      <w:bookmarkStart w:id="266" w:name="_DV_M794"/>
      <w:bookmarkStart w:id="267" w:name="_DV_M795"/>
      <w:bookmarkStart w:id="268" w:name="_DV_M796"/>
      <w:bookmarkStart w:id="269" w:name="_DV_M797"/>
      <w:bookmarkStart w:id="270" w:name="_DV_M798"/>
      <w:bookmarkStart w:id="271" w:name="_DV_M799"/>
      <w:bookmarkStart w:id="272" w:name="_DV_M800"/>
      <w:bookmarkStart w:id="273" w:name="_DV_M801"/>
      <w:bookmarkStart w:id="274" w:name="_DV_M802"/>
      <w:bookmarkStart w:id="275" w:name="_DV_M803"/>
      <w:bookmarkStart w:id="276" w:name="_DV_M80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66D3CED7"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6B2FEA5"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2D9F3A41" w:rsidR="00E668D1" w:rsidRDefault="00E668D1" w:rsidP="00984F72">
      <w:pPr>
        <w:pStyle w:val="Recitals"/>
        <w:spacing w:before="140" w:after="0"/>
      </w:pPr>
      <w:r>
        <w:t xml:space="preserve">Em </w:t>
      </w:r>
      <w:r w:rsidR="00103A58">
        <w:t xml:space="preserve">26 </w:t>
      </w:r>
      <w:r>
        <w:t xml:space="preserve">de </w:t>
      </w:r>
      <w:r w:rsidR="00E656F7">
        <w:t xml:space="preserve">fevereiro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7ABB4737" w:rsidR="00E668D1" w:rsidRPr="00E50984" w:rsidRDefault="00E668D1" w:rsidP="00DF5266">
      <w:pPr>
        <w:pStyle w:val="Recitals"/>
        <w:spacing w:before="140" w:after="0"/>
      </w:pPr>
      <w:r>
        <w:rPr>
          <w:szCs w:val="20"/>
        </w:rPr>
        <w:t xml:space="preserve">a Emissora e a </w:t>
      </w:r>
      <w:proofErr w:type="spellStart"/>
      <w:r>
        <w:rPr>
          <w:szCs w:val="20"/>
        </w:rPr>
        <w:t>Damrak</w:t>
      </w:r>
      <w:proofErr w:type="spellEnd"/>
      <w:r w:rsidRPr="00E8235F">
        <w:rPr>
          <w:szCs w:val="20"/>
        </w:rPr>
        <w:t xml:space="preserve"> </w:t>
      </w:r>
      <w:r w:rsidR="00015CEA">
        <w:rPr>
          <w:szCs w:val="20"/>
        </w:rPr>
        <w:t>outorgaram</w:t>
      </w:r>
      <w:r>
        <w:rPr>
          <w:szCs w:val="20"/>
        </w:rPr>
        <w:t xml:space="preserve">, respectivamente, Cessão Fiduciária de Recebíveis e Alienação Fiduciária de </w:t>
      </w:r>
      <w:r w:rsidR="00E71D91">
        <w:rPr>
          <w:szCs w:val="20"/>
        </w:rPr>
        <w:t>Imóveis</w:t>
      </w:r>
      <w:r>
        <w:rPr>
          <w:szCs w:val="20"/>
        </w:rPr>
        <w:t xml:space="preserve">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D576D3" w:rsidRPr="00E50984">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D3839D4"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D576D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17EE711"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D576D3">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D576D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508A9A17"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DA80E20"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94C3970"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D576D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707ABA4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D576D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69AEA1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D576D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606C459"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D576D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70465352"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54F7715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3C4F14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569DBC2"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920719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E6F9F" w14:textId="77777777" w:rsidR="00E41CAA" w:rsidRDefault="00E41CAA">
      <w:r>
        <w:separator/>
      </w:r>
    </w:p>
  </w:endnote>
  <w:endnote w:type="continuationSeparator" w:id="0">
    <w:p w14:paraId="6A158B61" w14:textId="77777777" w:rsidR="00E41CAA" w:rsidRDefault="00E41CAA">
      <w:r>
        <w:continuationSeparator/>
      </w:r>
    </w:p>
  </w:endnote>
  <w:endnote w:type="continuationNotice" w:id="1">
    <w:p w14:paraId="6E491366" w14:textId="77777777" w:rsidR="00E41CAA" w:rsidRDefault="00E41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CE7852" w:rsidRDefault="00CE7852">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CE7852" w:rsidRPr="00DF1F2D" w:rsidRDefault="00CE7852"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CE7852" w:rsidRPr="00DF1F2D" w:rsidRDefault="00CE7852"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CE7852" w:rsidRPr="00C40881" w:rsidRDefault="00CE7852">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CE7852" w:rsidRPr="008B7041" w:rsidRDefault="00CE7852">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E7852" w:rsidRPr="008B7041" w:rsidRDefault="00CE7852"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CE7852" w:rsidRPr="00965D27" w:rsidRDefault="00CE7852"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CE7852" w:rsidRPr="004D79E2" w:rsidRDefault="00CE7852"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CE7852" w:rsidRPr="004D79E2" w:rsidRDefault="00CE7852"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B88B" w14:textId="77777777" w:rsidR="00E41CAA" w:rsidRDefault="00E41CAA">
      <w:r>
        <w:separator/>
      </w:r>
    </w:p>
  </w:footnote>
  <w:footnote w:type="continuationSeparator" w:id="0">
    <w:p w14:paraId="6988C7B3" w14:textId="77777777" w:rsidR="00E41CAA" w:rsidRDefault="00E41CAA">
      <w:r>
        <w:continuationSeparator/>
      </w:r>
    </w:p>
  </w:footnote>
  <w:footnote w:type="continuationNotice" w:id="1">
    <w:p w14:paraId="32738C01" w14:textId="77777777" w:rsidR="00E41CAA" w:rsidRDefault="00E41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1CB1F4EA" w:rsidR="00CE7852" w:rsidRDefault="00CE7852"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CE7852" w:rsidRPr="00F45901" w:rsidRDefault="00CE7852"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1A0"/>
    <w:rsid w:val="00CB3229"/>
    <w:rsid w:val="00CB42DA"/>
    <w:rsid w:val="00CB43EF"/>
    <w:rsid w:val="00CB458E"/>
    <w:rsid w:val="00CB4FC2"/>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EFA6BCCD-F3D0-4200-A466-2B0C7169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77</Pages>
  <Words>30934</Words>
  <Characters>167046</Characters>
  <Application>Microsoft Office Word</Application>
  <DocSecurity>0</DocSecurity>
  <Lines>1392</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197585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4</cp:revision>
  <cp:lastPrinted>2019-04-30T13:14:00Z</cp:lastPrinted>
  <dcterms:created xsi:type="dcterms:W3CDTF">2021-02-26T00:49:00Z</dcterms:created>
  <dcterms:modified xsi:type="dcterms:W3CDTF">2021-02-26T01:06:00Z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