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33F32E35" w:rsidR="00722D4B" w:rsidRDefault="00DA7A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V EMPREENDIMENTOS E PARTICIPAÇÕES S/A</w:t>
      </w:r>
      <w:r w:rsidRPr="00DA7A45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03, Itaim Bibi, CEP 04534-000, inscrita no CNPJ sob o nº 35.917.935/0001-11 e com seus atos constitutivos registrados perante a Junta Comercial do Estado de São Paulo (“</w:t>
      </w:r>
      <w:r w:rsidRPr="00DA7A45">
        <w:rPr>
          <w:rFonts w:ascii="Tahoma" w:hAnsi="Tahoma" w:cs="Tahoma"/>
          <w:b w:val="0"/>
          <w:bCs/>
          <w:sz w:val="21"/>
          <w:szCs w:val="21"/>
          <w:u w:val="single"/>
        </w:rPr>
        <w:t>JUCESP</w:t>
      </w:r>
      <w:r w:rsidRPr="00DA7A45">
        <w:rPr>
          <w:rFonts w:ascii="Tahoma" w:hAnsi="Tahoma" w:cs="Tahoma"/>
          <w:b w:val="0"/>
          <w:bCs/>
          <w:sz w:val="21"/>
          <w:szCs w:val="21"/>
        </w:rPr>
        <w:t>”) sob o NIRE nº 35.300.551.567, neste ato representada na forma de seu Estatuto Social, por seus representantes infra identificados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 (“</w:t>
      </w:r>
      <w:r w:rsidR="004D4081"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);</w:t>
      </w:r>
      <w:r w:rsidR="004D4081"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17F75821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</w:t>
      </w:r>
      <w:r w:rsidR="00FB7E15">
        <w:rPr>
          <w:rFonts w:ascii="Tahoma" w:hAnsi="Tahoma" w:cs="Tahoma"/>
          <w:bCs/>
          <w:color w:val="000000"/>
          <w:sz w:val="21"/>
          <w:szCs w:val="21"/>
        </w:rPr>
        <w:t>3.201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(</w:t>
      </w:r>
      <w:r w:rsidR="00FB7E15">
        <w:rPr>
          <w:rFonts w:ascii="Tahoma" w:hAnsi="Tahoma" w:cs="Tahoma"/>
          <w:bCs/>
          <w:color w:val="000000"/>
          <w:sz w:val="21"/>
          <w:szCs w:val="21"/>
        </w:rPr>
        <w:t xml:space="preserve">treze mil duzentas e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DA7A45">
        <w:rPr>
          <w:rFonts w:ascii="Tahoma" w:hAnsi="Tahoma" w:cs="Tahoma"/>
          <w:color w:val="000000"/>
          <w:sz w:val="21"/>
          <w:szCs w:val="21"/>
        </w:rPr>
        <w:t>R$ 13.201.000,00 (treze milhões duzentos e um mil reais)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>todas as apólices deverão incluir cobertura contra dano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1D09E56" w14:textId="77777777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DA51AE">
        <w:rPr>
          <w:rFonts w:ascii="Tahoma" w:hAnsi="Tahoma" w:cs="Tahoma"/>
          <w:color w:val="000000"/>
          <w:sz w:val="21"/>
          <w:szCs w:val="21"/>
        </w:rPr>
        <w:t>13.201.000,00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treze milhões duzentos e um mil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2B5705A3" w14:textId="42A2CE13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="0013763D">
        <w:rPr>
          <w:rFonts w:ascii="Tahoma" w:hAnsi="Tahoma" w:cs="Tahoma"/>
          <w:color w:val="000000"/>
          <w:sz w:val="21"/>
          <w:szCs w:val="21"/>
        </w:rPr>
        <w:t>27</w:t>
      </w:r>
      <w:r>
        <w:rPr>
          <w:rFonts w:ascii="Tahoma" w:hAnsi="Tahoma" w:cs="Tahoma"/>
          <w:color w:val="000000"/>
          <w:sz w:val="21"/>
          <w:szCs w:val="21"/>
        </w:rPr>
        <w:t xml:space="preserve"> de julho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44800120" w14:textId="1F207F17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="0013763D">
        <w:rPr>
          <w:rFonts w:ascii="Tahoma" w:hAnsi="Tahoma" w:cs="Tahoma"/>
          <w:color w:val="000000"/>
          <w:sz w:val="21"/>
          <w:szCs w:val="21"/>
        </w:rPr>
        <w:t>4.</w:t>
      </w:r>
      <w:r w:rsidR="00A837A0">
        <w:rPr>
          <w:rFonts w:ascii="Tahoma" w:hAnsi="Tahoma" w:cs="Tahoma"/>
          <w:color w:val="000000"/>
          <w:sz w:val="21"/>
          <w:szCs w:val="21"/>
        </w:rPr>
        <w:t>280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13763D">
        <w:rPr>
          <w:rFonts w:ascii="Tahoma" w:hAnsi="Tahoma" w:cs="Tahoma"/>
          <w:color w:val="000000"/>
          <w:sz w:val="21"/>
          <w:szCs w:val="21"/>
        </w:rPr>
        <w:t xml:space="preserve">quatro mil </w:t>
      </w:r>
      <w:r w:rsidR="00A837A0">
        <w:rPr>
          <w:rFonts w:ascii="Tahoma" w:hAnsi="Tahoma" w:cs="Tahoma"/>
          <w:color w:val="000000"/>
          <w:sz w:val="21"/>
          <w:szCs w:val="21"/>
        </w:rPr>
        <w:t>duzentos e oitanta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7DB80A54" w14:textId="4F344274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 xml:space="preserve">15 de </w:t>
      </w:r>
      <w:r w:rsidR="00A837A0">
        <w:rPr>
          <w:rFonts w:ascii="Tahoma" w:hAnsi="Tahoma" w:cs="Tahoma"/>
          <w:color w:val="000000"/>
          <w:sz w:val="21"/>
          <w:szCs w:val="21"/>
        </w:rPr>
        <w:t>abril</w:t>
      </w:r>
      <w:r>
        <w:rPr>
          <w:rFonts w:ascii="Tahoma" w:hAnsi="Tahoma" w:cs="Tahoma"/>
          <w:color w:val="000000"/>
          <w:sz w:val="21"/>
          <w:szCs w:val="21"/>
        </w:rPr>
        <w:t xml:space="preserve">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18713353" w14:textId="77777777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49CAC5E7" w14:textId="77777777" w:rsidR="00DA7A45" w:rsidRPr="00587A47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lastRenderedPageBreak/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6A91C9AA" w14:textId="77777777" w:rsidR="003B526D" w:rsidRPr="00521952" w:rsidRDefault="003B526D" w:rsidP="003B526D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52AF27D" w14:textId="4E453637" w:rsidR="00DA7A45" w:rsidRPr="004D3712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>O pagamento dos juros remuneratórios, conforme definidos no Anexo I da Escritur</w:t>
      </w:r>
      <w:r w:rsidRPr="003B526D">
        <w:rPr>
          <w:rFonts w:ascii="Tahoma" w:hAnsi="Tahoma" w:cs="Tahoma"/>
          <w:sz w:val="21"/>
          <w:szCs w:val="21"/>
        </w:rPr>
        <w:t>a de Emissão, será realizado mensalmente, sendo a primeira parcela devida no dia 15 de janeiro de</w:t>
      </w:r>
      <w:r>
        <w:rPr>
          <w:rFonts w:ascii="Tahoma" w:hAnsi="Tahoma" w:cs="Tahoma"/>
          <w:sz w:val="21"/>
          <w:szCs w:val="21"/>
        </w:rPr>
        <w:t xml:space="preserve"> 2021; e</w:t>
      </w:r>
    </w:p>
    <w:p w14:paraId="7BA5628D" w14:textId="0E78E55B" w:rsidR="00DA7A45" w:rsidRPr="00521952" w:rsidRDefault="00DA7A45" w:rsidP="00DA7A45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8435DDA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594D6E">
        <w:rPr>
          <w:rFonts w:ascii="Tahoma" w:hAnsi="Tahoma" w:cs="Tahoma"/>
          <w:sz w:val="21"/>
          <w:szCs w:val="21"/>
        </w:rPr>
        <w:t xml:space="preserve"> o valor correspondente aos constante das Notas Fiscais de compra dos equipamentos emitidas pelos respectivos fornecedores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7955A742" w14:textId="77777777" w:rsidR="00594D6E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</w:t>
      </w:r>
      <w:r w:rsidR="00594D6E">
        <w:rPr>
          <w:rFonts w:ascii="Tahoma" w:hAnsi="Tahoma" w:cs="Tahoma"/>
          <w:sz w:val="21"/>
          <w:szCs w:val="21"/>
        </w:rPr>
        <w:t>a Fiduciante obriga-se a encaminhar à Fiduciária as competentes notas fiscais em até 2 (dois) Dias Úteis do recebimento das mesmas.</w:t>
      </w:r>
    </w:p>
    <w:p w14:paraId="72320498" w14:textId="77777777" w:rsidR="00594D6E" w:rsidRDefault="00594D6E" w:rsidP="00594D6E">
      <w:pPr>
        <w:pStyle w:val="PargrafodaLista"/>
        <w:tabs>
          <w:tab w:val="left" w:pos="1560"/>
        </w:tabs>
        <w:adjustRightInd/>
        <w:spacing w:line="300" w:lineRule="exact"/>
        <w:ind w:left="709"/>
        <w:textAlignment w:val="auto"/>
        <w:rPr>
          <w:rFonts w:ascii="Tahoma" w:hAnsi="Tahoma" w:cs="Tahoma"/>
          <w:sz w:val="21"/>
          <w:szCs w:val="21"/>
        </w:rPr>
      </w:pPr>
    </w:p>
    <w:p w14:paraId="20F4DFE4" w14:textId="7D719912" w:rsidR="002466AB" w:rsidRPr="00DE057B" w:rsidRDefault="00594D6E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Sem prejuízo, o Fiduciário poderá</w:t>
      </w:r>
      <w:r w:rsidR="00D774D8">
        <w:rPr>
          <w:rFonts w:ascii="Tahoma" w:hAnsi="Tahoma" w:cs="Tahoma"/>
          <w:sz w:val="21"/>
          <w:szCs w:val="21"/>
        </w:rPr>
        <w:t>,</w:t>
      </w:r>
      <w:r w:rsidR="009872A5" w:rsidRPr="00DE057B">
        <w:rPr>
          <w:rFonts w:ascii="Tahoma" w:hAnsi="Tahoma" w:cs="Tahoma"/>
          <w:sz w:val="21"/>
          <w:szCs w:val="21"/>
        </w:rPr>
        <w:t xml:space="preserve">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>
        <w:rPr>
          <w:rFonts w:ascii="Tahoma" w:hAnsi="Tahoma" w:cs="Tahoma"/>
          <w:sz w:val="21"/>
          <w:szCs w:val="21"/>
        </w:rPr>
        <w:t>,</w:t>
      </w:r>
      <w:r w:rsidRPr="00594D6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contratar a avaliação por terceiros competentes e especializados, sendo certo que, neste caso, as Partes deverão aditar o presente instrumento para prever expressamente o valor dos Equipamentos para fins e efeitos do Valor da Garantia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DA7A45">
        <w:rPr>
          <w:rStyle w:val="DeltaViewInsertion"/>
          <w:rFonts w:ascii="Tahoma" w:hAnsi="Tahoma" w:cs="Tahoma"/>
          <w:color w:val="000000"/>
          <w:sz w:val="21"/>
          <w:szCs w:val="21"/>
          <w:u w:val="none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lastRenderedPageBreak/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5" w:name="_DV_M384"/>
      <w:bookmarkEnd w:id="5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6" w:name="_DV_M385"/>
      <w:bookmarkStart w:id="7" w:name="_DV_M386"/>
      <w:bookmarkEnd w:id="6"/>
      <w:bookmarkEnd w:id="7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A890E0C" w14:textId="77777777" w:rsidR="00791C75" w:rsidRPr="00DE057B" w:rsidRDefault="00791C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de qualquer ato, inclusive a instauração de ações judiciais para a </w:t>
      </w:r>
      <w:r w:rsidR="00296775" w:rsidRPr="00DE057B">
        <w:rPr>
          <w:rFonts w:ascii="Tahoma" w:hAnsi="Tahoma" w:cs="Tahoma"/>
          <w:sz w:val="21"/>
          <w:szCs w:val="21"/>
        </w:rPr>
        <w:lastRenderedPageBreak/>
        <w:t>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D069737" w14:textId="77777777" w:rsidR="00791C75" w:rsidRDefault="00791C75" w:rsidP="00791C75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05A095F8" w14:textId="5332C042" w:rsidR="00296775" w:rsidRPr="00791C75" w:rsidRDefault="0049511B" w:rsidP="00791C75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Rua Joaquim Floriano 466, Bloco B, Conj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00D8D0C2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V EMPREENDIMENTOS E PARTICIPAÇÕES S/A</w:t>
      </w:r>
    </w:p>
    <w:p w14:paraId="22B82D66" w14:textId="175C9D16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</w:t>
      </w:r>
      <w:r w:rsidR="00375E58">
        <w:rPr>
          <w:rFonts w:ascii="Tahoma" w:hAnsi="Tahoma" w:cs="Tahoma"/>
          <w:color w:val="000000"/>
          <w:sz w:val="21"/>
          <w:szCs w:val="21"/>
        </w:rPr>
        <w:t>3</w:t>
      </w:r>
      <w:r w:rsidRPr="00587A47">
        <w:rPr>
          <w:rFonts w:ascii="Tahoma" w:hAnsi="Tahoma" w:cs="Tahoma"/>
          <w:color w:val="000000"/>
          <w:sz w:val="21"/>
          <w:szCs w:val="21"/>
        </w:rPr>
        <w:t>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C4F467D" w14:textId="16EA2D6C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8" w:name="_DV_M202"/>
      <w:bookmarkStart w:id="9" w:name="_DV_M203"/>
      <w:bookmarkStart w:id="10" w:name="_DV_M204"/>
      <w:bookmarkStart w:id="11" w:name="_DV_M205"/>
      <w:bookmarkStart w:id="12" w:name="_DV_M206"/>
      <w:bookmarkStart w:id="13" w:name="_DV_M207"/>
      <w:bookmarkStart w:id="14" w:name="_DV_M208"/>
      <w:bookmarkStart w:id="15" w:name="_DV_M209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1F8C58B" w14:textId="4B10F21A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791C75">
        <w:rPr>
          <w:rFonts w:ascii="Tahoma" w:hAnsi="Tahoma" w:cs="Tahoma"/>
          <w:b w:val="0"/>
          <w:sz w:val="21"/>
          <w:szCs w:val="21"/>
        </w:rPr>
        <w:t>uma única via digital</w:t>
      </w:r>
      <w:r w:rsidRPr="00DE057B">
        <w:rPr>
          <w:rFonts w:ascii="Tahoma" w:hAnsi="Tahoma" w:cs="Tahoma"/>
          <w:b w:val="0"/>
          <w:sz w:val="21"/>
          <w:szCs w:val="21"/>
        </w:rPr>
        <w:t xml:space="preserve">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339963F0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13763D">
        <w:rPr>
          <w:rFonts w:ascii="Tahoma" w:hAnsi="Tahoma" w:cs="Tahoma"/>
          <w:b w:val="0"/>
          <w:spacing w:val="2"/>
          <w:sz w:val="21"/>
          <w:szCs w:val="21"/>
        </w:rPr>
        <w:t>27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ju</w:t>
      </w:r>
      <w:r w:rsidR="00DA7A45">
        <w:rPr>
          <w:rFonts w:ascii="Tahoma" w:hAnsi="Tahoma" w:cs="Tahoma"/>
          <w:b w:val="0"/>
          <w:spacing w:val="2"/>
          <w:sz w:val="21"/>
          <w:szCs w:val="21"/>
        </w:rPr>
        <w:t>l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>ho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3B56192E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27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</w:t>
      </w:r>
      <w:r w:rsidR="00DA7A45">
        <w:rPr>
          <w:rFonts w:ascii="Tahoma" w:hAnsi="Tahoma" w:cs="Tahoma"/>
          <w:i/>
          <w:color w:val="000000" w:themeColor="text1"/>
          <w:sz w:val="21"/>
          <w:szCs w:val="21"/>
        </w:rPr>
        <w:t>l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6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2C3F77A4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6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4B170DAA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27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</w:t>
      </w:r>
      <w:r w:rsidR="00DA7A45">
        <w:rPr>
          <w:rFonts w:ascii="Tahoma" w:hAnsi="Tahoma" w:cs="Tahoma"/>
          <w:i/>
          <w:color w:val="000000" w:themeColor="text1"/>
          <w:sz w:val="21"/>
          <w:szCs w:val="21"/>
        </w:rPr>
        <w:t>l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55F47A2" w14:textId="092A2A0B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DA7A45">
        <w:rPr>
          <w:rFonts w:ascii="Tahoma" w:hAnsi="Tahoma" w:cs="Tahoma"/>
          <w:b/>
          <w:sz w:val="21"/>
          <w:szCs w:val="21"/>
        </w:rPr>
        <w:t xml:space="preserve">UFV AXIS RJ III </w:t>
      </w:r>
    </w:p>
    <w:p w14:paraId="3CB8FF53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034BC4BB" w14:textId="319BAFEE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A UFV Axis RJ III, localizada em Paraíba do Sul/RJ, possuirá potência total de 856,8 kWp, sendo 2.520 módulos fotovoltaicos modelo RSM144-6-340P da fabricante Risen Energy, e potência nominal de 700 kVA, através de 7 inversores fotovoltaicos modelo SUN2000-100KTL-H1 da fabricante Huawei. As estruturas de fixação são do tipo fixa, modelos ESP-G2 pela fabricante Politec e há 1 transformador de 1.100 kVA, da fabricante WEG Transformadores, realizando a conversão da energia gerada em baixa tensão para média tensão, em 13,8 kV, conectando à rede da LIGHT.</w:t>
      </w:r>
    </w:p>
    <w:p w14:paraId="0CC6FA3A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487A30B4" w14:textId="1B37B255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DA7A45">
        <w:rPr>
          <w:rFonts w:ascii="Tahoma" w:hAnsi="Tahoma" w:cs="Tahoma"/>
          <w:b/>
          <w:sz w:val="21"/>
          <w:szCs w:val="21"/>
        </w:rPr>
        <w:t xml:space="preserve">UFV AXIS RJ IV </w:t>
      </w:r>
    </w:p>
    <w:p w14:paraId="06A3D525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12AB4B9E" w14:textId="42C1248C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A UFV Axis RJ IV, localizada em Paraíba do Sul/RJ, possuirá potência total de 1.305,6 kWp, sendo 3.840 módulos fotovoltaicos modelo RSM144-6-340P da fabricante Risen Energy, e potência nominal de 1.000 kVA, através de 10 inversores fotovoltaicos modelo SUN2000-100KTL-H1 da fabricante Huawei. As estruturas de fixação são do tipo tracker, modelo STI H250 pela fabricante STi Norland e há 1 transformador de 1.100 kVA, da fabricante WEG Transformadores, realizando a conversão da energia gerada em baixa tensão para média tensão, em 13,8 kV, conectando à rede da LIGHT.</w:t>
      </w:r>
    </w:p>
    <w:p w14:paraId="5080959C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6FF857C3" w14:textId="124245A9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DA7A45">
        <w:rPr>
          <w:rFonts w:ascii="Tahoma" w:hAnsi="Tahoma" w:cs="Tahoma"/>
          <w:b/>
          <w:sz w:val="21"/>
          <w:szCs w:val="21"/>
        </w:rPr>
        <w:t>UFV AXIS CE III</w:t>
      </w:r>
    </w:p>
    <w:p w14:paraId="5A519DE4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254BC8BB" w14:textId="1377144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A UFV Axis CE III RD, localizada em Barreira/CE, possuirá potência total de 798 kWp, sendo 2.280 módulos fotovoltaicos modelo RSM144-6-350P da fabricante Risen Energy, e potência nominal de 600 kVA, através de 6 inversores fotovoltaicos modelo SUN2000-100KTL-H1 da fabricante Huawei. As estruturas de fixação são do tipo tracker, modelo STI H250 pela fabricante STi Norland e há 1 transformador de 780 kVA, da fabricante WEG Transformadores, realizando a conversão da energia gerada em baixa tensão para média tensão, em 13,8 kV, conectando à rede da ENEL CE.</w:t>
      </w:r>
    </w:p>
    <w:p w14:paraId="67606F32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7996B304" w14:textId="6430D95F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DA7A45">
        <w:rPr>
          <w:rFonts w:ascii="Tahoma" w:hAnsi="Tahoma" w:cs="Tahoma"/>
          <w:b/>
          <w:sz w:val="21"/>
          <w:szCs w:val="21"/>
        </w:rPr>
        <w:t>RT AXIS LOC I</w:t>
      </w:r>
    </w:p>
    <w:p w14:paraId="1FEC1202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255EA933" w14:textId="41100DBE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O empreendimento possuirá 17 agências com sistemas fotovoltaicos de microgeração, com potência total prevista de 662 kWp, sendo 1.891 módulos fotovoltaicos modelo TSM-PE15H 350Wp da fabricante Trina Solar, e potência nominal total de aproximadamente 540 kVA, através de inversores fotovoltaicos família SUN2000 da fabricante Huawei, de modelos com potências variando de 12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</w:p>
    <w:p w14:paraId="2F43BFE4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5525481F" w14:textId="186171FD" w:rsidR="00DA7A45" w:rsidRPr="00FB7E1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 w:rsidRPr="00FB7E15">
        <w:rPr>
          <w:rFonts w:ascii="Tahoma" w:hAnsi="Tahoma" w:cs="Tahoma"/>
          <w:b/>
          <w:sz w:val="21"/>
          <w:szCs w:val="21"/>
        </w:rPr>
        <w:t>V - RT AXIS LOC II</w:t>
      </w:r>
    </w:p>
    <w:p w14:paraId="642B8497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124CB33E" w14:textId="6D5EAD4E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O empreendimento possuirá 14 agências com sistemas fotovoltaicos de microgeração, com potência total prevista de 675 kWp, sendo 1.928 módulos fotovoltaicos modelo TSM-PE15H 350Wp da fabricante Trina Solar, e potência nominal total de aproximadamente 550 kVA, através de inversores fotovoltaicos família SUN2000 da fabricante Huawei, de modelos com potências variando de 12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</w:p>
    <w:p w14:paraId="23850D2B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4256F493" w14:textId="3F6F3377" w:rsidR="00DA7A45" w:rsidRPr="00FB7E1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 w:rsidRPr="00FB7E15">
        <w:rPr>
          <w:rFonts w:ascii="Tahoma" w:hAnsi="Tahoma" w:cs="Tahoma"/>
          <w:b/>
          <w:sz w:val="21"/>
          <w:szCs w:val="21"/>
        </w:rPr>
        <w:t>VI - RT AXIS LOC III</w:t>
      </w:r>
    </w:p>
    <w:p w14:paraId="76534BA6" w14:textId="77777777" w:rsid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1CF18FF5" w14:textId="2816309A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>O empreendimento possuirá 14 agências com sistemas fotovoltaicos de microgeração, com potência total prevista de 675 kWp, sendo 1.928 módulos fotovoltaicos modelo TSM-PE15H 350Wp da fabricante Trina Solar, e potência nominal total de aproximadamente 550 kVA, através de inversores fotovoltaicos família SUN2000 da fabricante Huawei, de modelos com potências variando de 12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</w:p>
    <w:p w14:paraId="7A2C7AB3" w14:textId="77777777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</w:p>
    <w:p w14:paraId="176C16EC" w14:textId="453E0AF7" w:rsidR="00DA7A45" w:rsidRPr="00FB7E15" w:rsidRDefault="00DA7A45" w:rsidP="00DA7A45">
      <w:pPr>
        <w:spacing w:line="300" w:lineRule="exact"/>
        <w:contextualSpacing/>
        <w:rPr>
          <w:rFonts w:ascii="Tahoma" w:hAnsi="Tahoma" w:cs="Tahoma"/>
          <w:b/>
          <w:sz w:val="21"/>
          <w:szCs w:val="21"/>
        </w:rPr>
      </w:pPr>
      <w:r w:rsidRPr="00FB7E15">
        <w:rPr>
          <w:rFonts w:ascii="Tahoma" w:hAnsi="Tahoma" w:cs="Tahoma"/>
          <w:b/>
          <w:sz w:val="21"/>
          <w:szCs w:val="21"/>
        </w:rPr>
        <w:t>VII - RT AXIS LOC IV</w:t>
      </w:r>
    </w:p>
    <w:p w14:paraId="3BD2FBAE" w14:textId="77777777" w:rsidR="00DA7A45" w:rsidRPr="00FB7E1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</w:p>
    <w:p w14:paraId="3C9FD57F" w14:textId="51AB8325" w:rsidR="00DA7A45" w:rsidRPr="00DA7A45" w:rsidRDefault="00DA7A45" w:rsidP="00DA7A45">
      <w:pPr>
        <w:spacing w:line="300" w:lineRule="exact"/>
        <w:contextualSpacing/>
        <w:rPr>
          <w:rFonts w:ascii="Tahoma" w:hAnsi="Tahoma" w:cs="Tahoma"/>
          <w:bCs/>
          <w:sz w:val="21"/>
          <w:szCs w:val="21"/>
        </w:rPr>
      </w:pPr>
      <w:r w:rsidRPr="00DA7A45">
        <w:rPr>
          <w:rFonts w:ascii="Tahoma" w:hAnsi="Tahoma" w:cs="Tahoma"/>
          <w:bCs/>
          <w:sz w:val="21"/>
          <w:szCs w:val="21"/>
        </w:rPr>
        <w:t xml:space="preserve">O empreendimento possuirá 6 agências com sistemas fotovoltaicos de microgeração, com potência total prevista de 343 kWp, sendo 638 módulos fotovoltaicos modelo KuMax-CS3U-355P da fabricante Canadian Solar e 360 módulos fotovoltaicos modelo JAP6(K)-72-325/4BB da fabricante JA Solar, e potência nominal total de aproximadamente 280 kVA, através de inversores fotovoltaicos família CSI-KTL-GI da fabricante Canadian Solar, de modelos com potências variando de 15 a 30 kVA cada. As estruturas de fixação são do tipo fixas, para telhas metálicas trapezoidais e para telhas de fibrocimento pela fabricante SPIN Estruturas. As conexões elétricas serão nas instalações existentes de cada agência, localizadas em 2 distribuidoras de energia distintas no Estado de São Paulo. </w:t>
      </w:r>
    </w:p>
    <w:p w14:paraId="351A6BEF" w14:textId="069E3943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7F078099" w14:textId="717370FE" w:rsidR="00DA7A45" w:rsidRPr="00DA7A45" w:rsidRDefault="00DA7A45" w:rsidP="00DA7A45">
      <w:pPr>
        <w:widowControl/>
        <w:adjustRightInd/>
        <w:spacing w:line="240" w:lineRule="auto"/>
        <w:jc w:val="center"/>
        <w:textAlignment w:val="auto"/>
        <w:rPr>
          <w:rFonts w:ascii="Tahoma" w:hAnsi="Tahoma" w:cs="Tahoma"/>
          <w:b/>
          <w:sz w:val="21"/>
          <w:szCs w:val="21"/>
        </w:rPr>
      </w:pPr>
      <w:r w:rsidRPr="00DA7A45">
        <w:rPr>
          <w:rFonts w:ascii="Tahoma" w:hAnsi="Tahoma" w:cs="Tahoma"/>
          <w:b/>
          <w:sz w:val="21"/>
          <w:szCs w:val="21"/>
        </w:rPr>
        <w:t>* * * * *</w:t>
      </w:r>
    </w:p>
    <w:p w14:paraId="13FD1C02" w14:textId="77777777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b/>
          <w:sz w:val="21"/>
          <w:szCs w:val="21"/>
        </w:rPr>
      </w:pPr>
    </w:p>
    <w:p w14:paraId="6D454A23" w14:textId="77777777" w:rsidR="00DA7A45" w:rsidRDefault="00DA7A45">
      <w:pPr>
        <w:widowControl/>
        <w:adjustRightInd/>
        <w:spacing w:line="240" w:lineRule="auto"/>
        <w:jc w:val="left"/>
        <w:textAlignment w:val="auto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br w:type="page"/>
      </w:r>
    </w:p>
    <w:p w14:paraId="7C83A281" w14:textId="3E53D6DD" w:rsidR="00283762" w:rsidRPr="00587A47" w:rsidRDefault="00283762" w:rsidP="00DA7A45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="00DA7A45">
        <w:rPr>
          <w:rFonts w:ascii="Tahoma" w:hAnsi="Tahoma" w:cs="Tahoma"/>
          <w:bCs/>
          <w:i/>
          <w:sz w:val="21"/>
          <w:szCs w:val="21"/>
        </w:rPr>
        <w:t xml:space="preserve"> </w:t>
      </w:r>
      <w:r w:rsidR="0013763D">
        <w:rPr>
          <w:rFonts w:ascii="Tahoma" w:hAnsi="Tahoma" w:cs="Tahoma"/>
          <w:i/>
          <w:color w:val="000000" w:themeColor="text1"/>
          <w:sz w:val="21"/>
          <w:szCs w:val="21"/>
        </w:rPr>
        <w:t>27</w:t>
      </w:r>
      <w:r w:rsidR="00DA7A4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</w:t>
      </w:r>
      <w:r w:rsidR="00DA7A45">
        <w:rPr>
          <w:rFonts w:ascii="Tahoma" w:hAnsi="Tahoma" w:cs="Tahoma"/>
          <w:i/>
          <w:color w:val="000000" w:themeColor="text1"/>
          <w:sz w:val="21"/>
          <w:szCs w:val="21"/>
        </w:rPr>
        <w:t>l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B592FE7" w:rsidR="00283762" w:rsidRDefault="00DA7A45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V EMPREENDIMENTOS E PARTICIPAÇÕES S/A</w:t>
            </w:r>
            <w:r w:rsidRPr="00DA7A45">
              <w:rPr>
                <w:rFonts w:ascii="Tahoma" w:hAnsi="Tahoma" w:cs="Tahoma"/>
                <w:b w:val="0"/>
                <w:bCs/>
                <w:sz w:val="21"/>
                <w:szCs w:val="21"/>
              </w:rPr>
              <w:t>, sociedade anônima de capital fechado, com sede na Cidade de São Paulo, Estado de São Paulo, na Rua Joaquim Floriano, nº 72, Cj. 177, Sala 03, Itaim Bibi, CEP 04534-000, inscrita no CNPJ sob o nº 35.917.935/0001-11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, neste ato representada na forma de seu Estatuto Social, por seus representantes infra identificados (“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="00283762"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 w:rsidR="00283762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6BD04340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13763D">
              <w:rPr>
                <w:rFonts w:ascii="Tahoma" w:hAnsi="Tahoma" w:cs="Tahoma"/>
                <w:sz w:val="21"/>
                <w:szCs w:val="21"/>
              </w:rPr>
              <w:t>27</w:t>
            </w:r>
            <w:r w:rsidR="009B551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B6A30">
              <w:rPr>
                <w:rFonts w:ascii="Tahoma" w:hAnsi="Tahoma" w:cs="Tahoma"/>
                <w:sz w:val="21"/>
                <w:szCs w:val="21"/>
              </w:rPr>
              <w:t>de ju</w:t>
            </w:r>
            <w:r w:rsidR="00DA7A45">
              <w:rPr>
                <w:rFonts w:ascii="Tahoma" w:hAnsi="Tahoma" w:cs="Tahoma"/>
                <w:sz w:val="21"/>
                <w:szCs w:val="21"/>
              </w:rPr>
              <w:t>l</w:t>
            </w:r>
            <w:r w:rsidR="007B6A30">
              <w:rPr>
                <w:rFonts w:ascii="Tahoma" w:hAnsi="Tahoma" w:cs="Tahoma"/>
                <w:sz w:val="21"/>
                <w:szCs w:val="21"/>
              </w:rPr>
              <w:t>ho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4835" w14:textId="77777777" w:rsidR="00B66F20" w:rsidRDefault="00B66F20">
      <w:r>
        <w:separator/>
      </w:r>
    </w:p>
    <w:p w14:paraId="39ECEED3" w14:textId="77777777" w:rsidR="00B66F20" w:rsidRDefault="00B66F20"/>
  </w:endnote>
  <w:endnote w:type="continuationSeparator" w:id="0">
    <w:p w14:paraId="09928EF4" w14:textId="77777777" w:rsidR="00B66F20" w:rsidRDefault="00B66F20">
      <w:r>
        <w:continuationSeparator/>
      </w:r>
    </w:p>
    <w:p w14:paraId="5682DF83" w14:textId="77777777" w:rsidR="00B66F20" w:rsidRDefault="00B66F20"/>
  </w:endnote>
  <w:endnote w:type="continuationNotice" w:id="1">
    <w:p w14:paraId="33C9BC8F" w14:textId="77777777" w:rsidR="00B66F20" w:rsidRDefault="00B66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594B57" w:rsidRDefault="00594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594B57" w:rsidRDefault="00594B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594B57" w:rsidRPr="005E7E41" w:rsidRDefault="00594B57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594B57" w:rsidRPr="00BA6193" w:rsidRDefault="00594B57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3B30" w14:textId="77777777" w:rsidR="00B66F20" w:rsidRDefault="00B66F20">
      <w:r>
        <w:separator/>
      </w:r>
    </w:p>
    <w:p w14:paraId="27EA8EA9" w14:textId="77777777" w:rsidR="00B66F20" w:rsidRDefault="00B66F20"/>
  </w:footnote>
  <w:footnote w:type="continuationSeparator" w:id="0">
    <w:p w14:paraId="12015BC1" w14:textId="77777777" w:rsidR="00B66F20" w:rsidRDefault="00B66F20">
      <w:r>
        <w:continuationSeparator/>
      </w:r>
    </w:p>
    <w:p w14:paraId="5929B82E" w14:textId="77777777" w:rsidR="00B66F20" w:rsidRDefault="00B66F20"/>
  </w:footnote>
  <w:footnote w:type="continuationNotice" w:id="1">
    <w:p w14:paraId="76520E6F" w14:textId="77777777" w:rsidR="00B66F20" w:rsidRDefault="00B66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594B57" w:rsidRDefault="00594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242B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3763D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58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526D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B57"/>
    <w:rsid w:val="00594C39"/>
    <w:rsid w:val="00594D6E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32A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1C75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515"/>
    <w:rsid w:val="009B5EAD"/>
    <w:rsid w:val="009B5F92"/>
    <w:rsid w:val="009B6019"/>
    <w:rsid w:val="009C2B8B"/>
    <w:rsid w:val="009C4166"/>
    <w:rsid w:val="009C5112"/>
    <w:rsid w:val="009C5E8F"/>
    <w:rsid w:val="009D1207"/>
    <w:rsid w:val="009D1DF9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37A0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66F20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0256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A7A45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B7E15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5155</Words>
  <Characters>29953</Characters>
  <Application>Microsoft Office Word</Application>
  <DocSecurity>0</DocSecurity>
  <Lines>249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9</cp:revision>
  <cp:lastPrinted>2011-07-04T15:41:00Z</cp:lastPrinted>
  <dcterms:created xsi:type="dcterms:W3CDTF">2020-06-25T00:44:00Z</dcterms:created>
  <dcterms:modified xsi:type="dcterms:W3CDTF">2020-07-21T15:22:00Z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