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5BAE7" w14:textId="77777777" w:rsidR="000102D6" w:rsidRDefault="000102D6" w:rsidP="0040473F">
      <w:pPr>
        <w:widowControl w:val="0"/>
        <w:spacing w:after="0"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1A1318BB" w14:textId="1E7058E5" w:rsidR="00F36D80" w:rsidRPr="0040473F" w:rsidRDefault="00F36D80" w:rsidP="0040473F">
      <w:pPr>
        <w:widowControl w:val="0"/>
        <w:spacing w:after="0"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40473F">
        <w:rPr>
          <w:rFonts w:ascii="Tahoma" w:hAnsi="Tahoma" w:cs="Tahoma"/>
          <w:b/>
          <w:sz w:val="21"/>
          <w:szCs w:val="21"/>
        </w:rPr>
        <w:t xml:space="preserve">AXIS SOLAR V EMPREENDIMENTOS E PARTICIPAÇÕES </w:t>
      </w:r>
      <w:r w:rsidR="00890C32" w:rsidRPr="0040473F">
        <w:rPr>
          <w:rFonts w:ascii="Tahoma" w:hAnsi="Tahoma" w:cs="Tahoma"/>
          <w:b/>
          <w:sz w:val="21"/>
          <w:szCs w:val="21"/>
        </w:rPr>
        <w:t>S.A</w:t>
      </w:r>
      <w:r w:rsidRPr="0040473F">
        <w:rPr>
          <w:rFonts w:ascii="Tahoma" w:hAnsi="Tahoma" w:cs="Tahoma"/>
          <w:b/>
          <w:sz w:val="21"/>
          <w:szCs w:val="21"/>
        </w:rPr>
        <w:t xml:space="preserve">. </w:t>
      </w:r>
    </w:p>
    <w:p w14:paraId="69A87A66" w14:textId="21BC2B3E" w:rsidR="00F36D80" w:rsidRPr="0040473F" w:rsidRDefault="00F36D80" w:rsidP="0040473F">
      <w:pPr>
        <w:widowControl w:val="0"/>
        <w:spacing w:after="0" w:line="300" w:lineRule="exact"/>
        <w:jc w:val="center"/>
        <w:rPr>
          <w:rFonts w:ascii="Tahoma" w:hAnsi="Tahoma" w:cs="Tahoma"/>
          <w:bCs/>
          <w:sz w:val="21"/>
          <w:szCs w:val="21"/>
        </w:rPr>
      </w:pPr>
      <w:r w:rsidRPr="0040473F">
        <w:rPr>
          <w:rFonts w:ascii="Tahoma" w:hAnsi="Tahoma" w:cs="Tahoma"/>
          <w:bCs/>
          <w:sz w:val="21"/>
          <w:szCs w:val="21"/>
        </w:rPr>
        <w:t xml:space="preserve">CNPJ/MF nº </w:t>
      </w:r>
      <w:r w:rsidR="003245ED" w:rsidRPr="002959ED">
        <w:rPr>
          <w:rFonts w:ascii="Tahoma" w:hAnsi="Tahoma" w:cs="Tahoma"/>
          <w:color w:val="000000"/>
          <w:sz w:val="21"/>
          <w:szCs w:val="21"/>
        </w:rPr>
        <w:t>35.917.935/0001-11</w:t>
      </w:r>
    </w:p>
    <w:p w14:paraId="137DF7C9" w14:textId="5EE11368" w:rsidR="005A75C0" w:rsidRPr="0040473F" w:rsidRDefault="00F36D80" w:rsidP="0040473F">
      <w:pPr>
        <w:widowControl w:val="0"/>
        <w:spacing w:after="0" w:line="300" w:lineRule="exact"/>
        <w:jc w:val="center"/>
        <w:rPr>
          <w:rFonts w:ascii="Tahoma" w:hAnsi="Tahoma" w:cs="Tahoma"/>
          <w:bCs/>
          <w:sz w:val="21"/>
          <w:szCs w:val="21"/>
        </w:rPr>
      </w:pPr>
      <w:r w:rsidRPr="0040473F">
        <w:rPr>
          <w:rFonts w:ascii="Tahoma" w:hAnsi="Tahoma" w:cs="Tahoma"/>
          <w:bCs/>
          <w:sz w:val="21"/>
          <w:szCs w:val="21"/>
        </w:rPr>
        <w:t xml:space="preserve">NIRE nº </w:t>
      </w:r>
      <w:r w:rsidR="003245ED" w:rsidRPr="00D57BB1">
        <w:rPr>
          <w:rFonts w:ascii="Tahoma" w:hAnsi="Tahoma" w:cs="Tahoma"/>
          <w:color w:val="000000"/>
          <w:sz w:val="21"/>
          <w:szCs w:val="21"/>
        </w:rPr>
        <w:t>35</w:t>
      </w:r>
      <w:r w:rsidR="003245ED">
        <w:rPr>
          <w:rFonts w:ascii="Tahoma" w:hAnsi="Tahoma" w:cs="Tahoma"/>
          <w:color w:val="000000"/>
          <w:sz w:val="21"/>
          <w:szCs w:val="21"/>
        </w:rPr>
        <w:t>.</w:t>
      </w:r>
      <w:r w:rsidR="003245ED" w:rsidRPr="00D57BB1">
        <w:rPr>
          <w:rFonts w:ascii="Tahoma" w:hAnsi="Tahoma" w:cs="Tahoma"/>
          <w:color w:val="000000"/>
          <w:sz w:val="21"/>
          <w:szCs w:val="21"/>
        </w:rPr>
        <w:t>300</w:t>
      </w:r>
      <w:r w:rsidR="003245ED">
        <w:rPr>
          <w:rFonts w:ascii="Tahoma" w:hAnsi="Tahoma" w:cs="Tahoma"/>
          <w:color w:val="000000"/>
          <w:sz w:val="21"/>
          <w:szCs w:val="21"/>
        </w:rPr>
        <w:t>.</w:t>
      </w:r>
      <w:r w:rsidR="003245ED" w:rsidRPr="00D57BB1">
        <w:rPr>
          <w:rFonts w:ascii="Tahoma" w:hAnsi="Tahoma" w:cs="Tahoma"/>
          <w:color w:val="000000"/>
          <w:sz w:val="21"/>
          <w:szCs w:val="21"/>
        </w:rPr>
        <w:t>551</w:t>
      </w:r>
      <w:r w:rsidR="003245ED">
        <w:rPr>
          <w:rFonts w:ascii="Tahoma" w:hAnsi="Tahoma" w:cs="Tahoma"/>
          <w:color w:val="000000"/>
          <w:sz w:val="21"/>
          <w:szCs w:val="21"/>
        </w:rPr>
        <w:t>.</w:t>
      </w:r>
      <w:r w:rsidR="003245ED" w:rsidRPr="00D57BB1">
        <w:rPr>
          <w:rFonts w:ascii="Tahoma" w:hAnsi="Tahoma" w:cs="Tahoma"/>
          <w:color w:val="000000"/>
          <w:sz w:val="21"/>
          <w:szCs w:val="21"/>
        </w:rPr>
        <w:t>567</w:t>
      </w:r>
    </w:p>
    <w:p w14:paraId="61BBFD29" w14:textId="15F3C626" w:rsidR="00F36D80" w:rsidRDefault="00F36D80" w:rsidP="0040473F">
      <w:pPr>
        <w:widowControl w:val="0"/>
        <w:spacing w:after="0"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440551A2" w14:textId="77777777" w:rsidR="000102D6" w:rsidRPr="0040473F" w:rsidRDefault="000102D6" w:rsidP="0040473F">
      <w:pPr>
        <w:widowControl w:val="0"/>
        <w:spacing w:after="0"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62978720" w14:textId="4570906A" w:rsidR="00037EB5" w:rsidRPr="0040473F" w:rsidRDefault="005A75C0" w:rsidP="0040473F">
      <w:pPr>
        <w:widowControl w:val="0"/>
        <w:spacing w:after="0"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40473F">
        <w:rPr>
          <w:rFonts w:ascii="Tahoma" w:hAnsi="Tahoma" w:cs="Tahoma"/>
          <w:b/>
          <w:sz w:val="21"/>
          <w:szCs w:val="21"/>
        </w:rPr>
        <w:t xml:space="preserve">ATA DE ASSEMBLEIA GERAL </w:t>
      </w:r>
      <w:r w:rsidR="00225902" w:rsidRPr="0040473F">
        <w:rPr>
          <w:rFonts w:ascii="Tahoma" w:hAnsi="Tahoma" w:cs="Tahoma"/>
          <w:b/>
          <w:sz w:val="21"/>
          <w:szCs w:val="21"/>
        </w:rPr>
        <w:t>EXTRAORDINÁRIA</w:t>
      </w:r>
      <w:r w:rsidRPr="0040473F">
        <w:rPr>
          <w:rFonts w:ascii="Tahoma" w:hAnsi="Tahoma" w:cs="Tahoma"/>
          <w:b/>
          <w:sz w:val="21"/>
          <w:szCs w:val="21"/>
        </w:rPr>
        <w:t>,</w:t>
      </w:r>
    </w:p>
    <w:p w14:paraId="6A27BDCD" w14:textId="5A91345B" w:rsidR="005A75C0" w:rsidRPr="0040473F" w:rsidRDefault="005A75C0" w:rsidP="0040473F">
      <w:pPr>
        <w:widowControl w:val="0"/>
        <w:spacing w:after="0"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40473F">
        <w:rPr>
          <w:rFonts w:ascii="Tahoma" w:hAnsi="Tahoma" w:cs="Tahoma"/>
          <w:b/>
          <w:sz w:val="21"/>
          <w:szCs w:val="21"/>
        </w:rPr>
        <w:t xml:space="preserve">REALIZADA EM </w:t>
      </w:r>
      <w:r w:rsidR="00622F22">
        <w:rPr>
          <w:rFonts w:ascii="Tahoma" w:hAnsi="Tahoma" w:cs="Tahoma"/>
          <w:b/>
          <w:sz w:val="21"/>
          <w:szCs w:val="21"/>
        </w:rPr>
        <w:t>22</w:t>
      </w:r>
      <w:r w:rsidR="00FA2DE2" w:rsidRPr="0040473F">
        <w:rPr>
          <w:rFonts w:ascii="Tahoma" w:hAnsi="Tahoma" w:cs="Tahoma"/>
          <w:b/>
          <w:sz w:val="21"/>
          <w:szCs w:val="21"/>
        </w:rPr>
        <w:t xml:space="preserve"> </w:t>
      </w:r>
      <w:r w:rsidRPr="0040473F">
        <w:rPr>
          <w:rFonts w:ascii="Tahoma" w:hAnsi="Tahoma" w:cs="Tahoma"/>
          <w:b/>
          <w:sz w:val="21"/>
          <w:szCs w:val="21"/>
        </w:rPr>
        <w:t xml:space="preserve">DE </w:t>
      </w:r>
      <w:r w:rsidR="00E94811">
        <w:rPr>
          <w:rFonts w:ascii="Tahoma" w:hAnsi="Tahoma" w:cs="Tahoma"/>
          <w:b/>
          <w:sz w:val="21"/>
          <w:szCs w:val="21"/>
        </w:rPr>
        <w:t>JU</w:t>
      </w:r>
      <w:r w:rsidR="003245ED">
        <w:rPr>
          <w:rFonts w:ascii="Tahoma" w:hAnsi="Tahoma" w:cs="Tahoma"/>
          <w:b/>
          <w:sz w:val="21"/>
          <w:szCs w:val="21"/>
        </w:rPr>
        <w:t>L</w:t>
      </w:r>
      <w:r w:rsidR="00E94811">
        <w:rPr>
          <w:rFonts w:ascii="Tahoma" w:hAnsi="Tahoma" w:cs="Tahoma"/>
          <w:b/>
          <w:sz w:val="21"/>
          <w:szCs w:val="21"/>
        </w:rPr>
        <w:t>HO</w:t>
      </w:r>
      <w:r w:rsidR="00762390" w:rsidRPr="0040473F">
        <w:rPr>
          <w:rFonts w:ascii="Tahoma" w:hAnsi="Tahoma" w:cs="Tahoma"/>
          <w:b/>
          <w:sz w:val="21"/>
          <w:szCs w:val="21"/>
        </w:rPr>
        <w:t xml:space="preserve"> </w:t>
      </w:r>
      <w:r w:rsidR="008D66C9" w:rsidRPr="0040473F">
        <w:rPr>
          <w:rFonts w:ascii="Tahoma" w:hAnsi="Tahoma" w:cs="Tahoma"/>
          <w:b/>
          <w:sz w:val="21"/>
          <w:szCs w:val="21"/>
        </w:rPr>
        <w:t>DE</w:t>
      </w:r>
      <w:r w:rsidRPr="0040473F">
        <w:rPr>
          <w:rFonts w:ascii="Tahoma" w:hAnsi="Tahoma" w:cs="Tahoma"/>
          <w:b/>
          <w:sz w:val="21"/>
          <w:szCs w:val="21"/>
        </w:rPr>
        <w:t xml:space="preserve"> 20</w:t>
      </w:r>
      <w:r w:rsidR="00F36D80" w:rsidRPr="0040473F">
        <w:rPr>
          <w:rFonts w:ascii="Tahoma" w:hAnsi="Tahoma" w:cs="Tahoma"/>
          <w:b/>
          <w:sz w:val="21"/>
          <w:szCs w:val="21"/>
        </w:rPr>
        <w:t>20</w:t>
      </w:r>
    </w:p>
    <w:p w14:paraId="11A93FE3" w14:textId="37482C0A" w:rsidR="00037EB5" w:rsidRDefault="00037EB5" w:rsidP="0040473F">
      <w:pPr>
        <w:widowControl w:val="0"/>
        <w:spacing w:after="0" w:line="300" w:lineRule="exact"/>
        <w:jc w:val="both"/>
        <w:rPr>
          <w:rFonts w:ascii="Tahoma" w:hAnsi="Tahoma" w:cs="Tahoma"/>
          <w:sz w:val="21"/>
          <w:szCs w:val="21"/>
        </w:rPr>
      </w:pPr>
    </w:p>
    <w:p w14:paraId="66CE5DDD" w14:textId="77777777" w:rsidR="000102D6" w:rsidRPr="0040473F" w:rsidRDefault="000102D6" w:rsidP="0040473F">
      <w:pPr>
        <w:widowControl w:val="0"/>
        <w:spacing w:after="0" w:line="300" w:lineRule="exact"/>
        <w:jc w:val="both"/>
        <w:rPr>
          <w:rFonts w:ascii="Tahoma" w:hAnsi="Tahoma" w:cs="Tahoma"/>
          <w:sz w:val="21"/>
          <w:szCs w:val="21"/>
        </w:rPr>
      </w:pPr>
    </w:p>
    <w:p w14:paraId="250495D9" w14:textId="531EF550" w:rsidR="005A75C0" w:rsidRPr="0040473F" w:rsidRDefault="005A75C0" w:rsidP="0040473F">
      <w:pPr>
        <w:pStyle w:val="PargrafodaLista"/>
        <w:widowControl w:val="0"/>
        <w:numPr>
          <w:ilvl w:val="0"/>
          <w:numId w:val="1"/>
        </w:numPr>
        <w:spacing w:after="0" w:line="300" w:lineRule="exact"/>
        <w:jc w:val="both"/>
        <w:rPr>
          <w:rFonts w:ascii="Tahoma" w:hAnsi="Tahoma" w:cs="Tahoma"/>
          <w:sz w:val="21"/>
          <w:szCs w:val="21"/>
        </w:rPr>
      </w:pPr>
      <w:r w:rsidRPr="0040473F">
        <w:rPr>
          <w:rFonts w:ascii="Tahoma" w:hAnsi="Tahoma" w:cs="Tahoma"/>
          <w:b/>
          <w:sz w:val="21"/>
          <w:szCs w:val="21"/>
        </w:rPr>
        <w:t>Data, Hora e Local</w:t>
      </w:r>
      <w:r w:rsidRPr="0040473F">
        <w:rPr>
          <w:rFonts w:ascii="Tahoma" w:hAnsi="Tahoma" w:cs="Tahoma"/>
          <w:sz w:val="21"/>
          <w:szCs w:val="21"/>
        </w:rPr>
        <w:t xml:space="preserve">: Aos </w:t>
      </w:r>
      <w:r w:rsidR="00622F22">
        <w:rPr>
          <w:rFonts w:ascii="Tahoma" w:hAnsi="Tahoma" w:cs="Tahoma"/>
          <w:sz w:val="21"/>
          <w:szCs w:val="21"/>
        </w:rPr>
        <w:t>22</w:t>
      </w:r>
      <w:r w:rsidR="00762390" w:rsidRPr="0040473F">
        <w:rPr>
          <w:rFonts w:ascii="Tahoma" w:hAnsi="Tahoma" w:cs="Tahoma"/>
          <w:sz w:val="21"/>
          <w:szCs w:val="21"/>
        </w:rPr>
        <w:t xml:space="preserve"> </w:t>
      </w:r>
      <w:r w:rsidRPr="0040473F">
        <w:rPr>
          <w:rFonts w:ascii="Tahoma" w:hAnsi="Tahoma" w:cs="Tahoma"/>
          <w:sz w:val="21"/>
          <w:szCs w:val="21"/>
        </w:rPr>
        <w:t>(</w:t>
      </w:r>
      <w:r w:rsidR="00622F22">
        <w:rPr>
          <w:rFonts w:ascii="Tahoma" w:hAnsi="Tahoma" w:cs="Tahoma"/>
          <w:sz w:val="21"/>
          <w:szCs w:val="21"/>
        </w:rPr>
        <w:t>vinte e dois</w:t>
      </w:r>
      <w:r w:rsidRPr="0040473F">
        <w:rPr>
          <w:rFonts w:ascii="Tahoma" w:hAnsi="Tahoma" w:cs="Tahoma"/>
          <w:sz w:val="21"/>
          <w:szCs w:val="21"/>
        </w:rPr>
        <w:t xml:space="preserve">) dias do mês de </w:t>
      </w:r>
      <w:r w:rsidR="00E94811">
        <w:rPr>
          <w:rFonts w:ascii="Tahoma" w:hAnsi="Tahoma" w:cs="Tahoma"/>
          <w:sz w:val="21"/>
          <w:szCs w:val="21"/>
        </w:rPr>
        <w:t>ju</w:t>
      </w:r>
      <w:r w:rsidR="003245ED">
        <w:rPr>
          <w:rFonts w:ascii="Tahoma" w:hAnsi="Tahoma" w:cs="Tahoma"/>
          <w:sz w:val="21"/>
          <w:szCs w:val="21"/>
        </w:rPr>
        <w:t>l</w:t>
      </w:r>
      <w:r w:rsidR="00E94811">
        <w:rPr>
          <w:rFonts w:ascii="Tahoma" w:hAnsi="Tahoma" w:cs="Tahoma"/>
          <w:sz w:val="21"/>
          <w:szCs w:val="21"/>
        </w:rPr>
        <w:t>ho</w:t>
      </w:r>
      <w:r w:rsidR="00890C32" w:rsidRPr="0040473F">
        <w:rPr>
          <w:rFonts w:ascii="Tahoma" w:hAnsi="Tahoma" w:cs="Tahoma"/>
          <w:sz w:val="21"/>
          <w:szCs w:val="21"/>
        </w:rPr>
        <w:t xml:space="preserve"> </w:t>
      </w:r>
      <w:r w:rsidRPr="0040473F">
        <w:rPr>
          <w:rFonts w:ascii="Tahoma" w:hAnsi="Tahoma" w:cs="Tahoma"/>
          <w:sz w:val="21"/>
          <w:szCs w:val="21"/>
        </w:rPr>
        <w:t>de 20</w:t>
      </w:r>
      <w:r w:rsidR="00890C32" w:rsidRPr="0040473F">
        <w:rPr>
          <w:rFonts w:ascii="Tahoma" w:hAnsi="Tahoma" w:cs="Tahoma"/>
          <w:sz w:val="21"/>
          <w:szCs w:val="21"/>
        </w:rPr>
        <w:t>20</w:t>
      </w:r>
      <w:r w:rsidRPr="0040473F">
        <w:rPr>
          <w:rFonts w:ascii="Tahoma" w:hAnsi="Tahoma" w:cs="Tahoma"/>
          <w:sz w:val="21"/>
          <w:szCs w:val="21"/>
        </w:rPr>
        <w:t xml:space="preserve">, às </w:t>
      </w:r>
      <w:r w:rsidR="00673B3D" w:rsidRPr="0040473F">
        <w:rPr>
          <w:rFonts w:ascii="Tahoma" w:hAnsi="Tahoma" w:cs="Tahoma"/>
          <w:sz w:val="21"/>
          <w:szCs w:val="21"/>
        </w:rPr>
        <w:t>10</w:t>
      </w:r>
      <w:r w:rsidRPr="0040473F">
        <w:rPr>
          <w:rFonts w:ascii="Tahoma" w:hAnsi="Tahoma" w:cs="Tahoma"/>
          <w:sz w:val="21"/>
          <w:szCs w:val="21"/>
        </w:rPr>
        <w:t xml:space="preserve">h, no endereço da sede social da </w:t>
      </w:r>
      <w:r w:rsidR="00890C32" w:rsidRPr="0040473F">
        <w:rPr>
          <w:rFonts w:ascii="Tahoma" w:hAnsi="Tahoma" w:cs="Tahoma"/>
          <w:sz w:val="21"/>
          <w:szCs w:val="21"/>
        </w:rPr>
        <w:t xml:space="preserve">Axis Solar V Empreendimentos e Participações </w:t>
      </w:r>
      <w:r w:rsidR="00F50FFA" w:rsidRPr="0040473F">
        <w:rPr>
          <w:rFonts w:ascii="Tahoma" w:hAnsi="Tahoma" w:cs="Tahoma"/>
          <w:sz w:val="21"/>
          <w:szCs w:val="21"/>
        </w:rPr>
        <w:t>S.A.</w:t>
      </w:r>
      <w:r w:rsidRPr="0040473F">
        <w:rPr>
          <w:rFonts w:ascii="Tahoma" w:hAnsi="Tahoma" w:cs="Tahoma"/>
          <w:sz w:val="21"/>
          <w:szCs w:val="21"/>
        </w:rPr>
        <w:t xml:space="preserve">, localizada </w:t>
      </w:r>
      <w:r w:rsidR="00890C32" w:rsidRPr="0040473F">
        <w:rPr>
          <w:rFonts w:ascii="Tahoma" w:hAnsi="Tahoma" w:cs="Tahoma"/>
          <w:sz w:val="21"/>
          <w:szCs w:val="21"/>
        </w:rPr>
        <w:t>na Cidade de São Paulo, Estado de São Paulo, na Rua Joaquim Floriano, nº 72, Edifício São Paulo Head Office, conjunto 177, sala 0</w:t>
      </w:r>
      <w:r w:rsidR="003245ED">
        <w:rPr>
          <w:rFonts w:ascii="Tahoma" w:hAnsi="Tahoma" w:cs="Tahoma"/>
          <w:sz w:val="21"/>
          <w:szCs w:val="21"/>
        </w:rPr>
        <w:t>3</w:t>
      </w:r>
      <w:r w:rsidR="00890C32" w:rsidRPr="0040473F">
        <w:rPr>
          <w:rFonts w:ascii="Tahoma" w:hAnsi="Tahoma" w:cs="Tahoma"/>
          <w:sz w:val="21"/>
          <w:szCs w:val="21"/>
        </w:rPr>
        <w:t xml:space="preserve">, Itaim Bibi, CEP 04534-000 </w:t>
      </w:r>
      <w:r w:rsidR="00F50FFA" w:rsidRPr="0040473F">
        <w:rPr>
          <w:rFonts w:ascii="Tahoma" w:hAnsi="Tahoma" w:cs="Tahoma"/>
          <w:sz w:val="21"/>
          <w:szCs w:val="21"/>
        </w:rPr>
        <w:t>("</w:t>
      </w:r>
      <w:r w:rsidR="00F50FFA" w:rsidRPr="0040473F">
        <w:rPr>
          <w:rFonts w:ascii="Tahoma" w:hAnsi="Tahoma" w:cs="Tahoma"/>
          <w:sz w:val="21"/>
          <w:szCs w:val="21"/>
          <w:u w:val="single"/>
        </w:rPr>
        <w:t>Companhia</w:t>
      </w:r>
      <w:r w:rsidR="00F50FFA" w:rsidRPr="0040473F">
        <w:rPr>
          <w:rFonts w:ascii="Tahoma" w:hAnsi="Tahoma" w:cs="Tahoma"/>
          <w:sz w:val="21"/>
          <w:szCs w:val="21"/>
        </w:rPr>
        <w:t>")</w:t>
      </w:r>
      <w:r w:rsidR="00037EB5" w:rsidRPr="0040473F">
        <w:rPr>
          <w:rFonts w:ascii="Tahoma" w:hAnsi="Tahoma" w:cs="Tahoma"/>
          <w:sz w:val="21"/>
          <w:szCs w:val="21"/>
        </w:rPr>
        <w:t>.</w:t>
      </w:r>
    </w:p>
    <w:p w14:paraId="3BF56A04" w14:textId="77777777" w:rsidR="00037EB5" w:rsidRPr="0040473F" w:rsidRDefault="00037EB5" w:rsidP="0040473F">
      <w:pPr>
        <w:pStyle w:val="PargrafodaLista"/>
        <w:widowControl w:val="0"/>
        <w:spacing w:after="0" w:line="300" w:lineRule="exact"/>
        <w:ind w:left="708"/>
        <w:jc w:val="both"/>
        <w:rPr>
          <w:rFonts w:ascii="Tahoma" w:hAnsi="Tahoma" w:cs="Tahoma"/>
          <w:sz w:val="21"/>
          <w:szCs w:val="21"/>
        </w:rPr>
      </w:pPr>
    </w:p>
    <w:p w14:paraId="50F10088" w14:textId="244D35DB" w:rsidR="00037EB5" w:rsidRPr="0040473F" w:rsidRDefault="00037EB5" w:rsidP="0040473F">
      <w:pPr>
        <w:pStyle w:val="PargrafodaLista"/>
        <w:widowControl w:val="0"/>
        <w:numPr>
          <w:ilvl w:val="0"/>
          <w:numId w:val="1"/>
        </w:numPr>
        <w:spacing w:after="0" w:line="300" w:lineRule="exact"/>
        <w:jc w:val="both"/>
        <w:rPr>
          <w:rFonts w:ascii="Tahoma" w:hAnsi="Tahoma" w:cs="Tahoma"/>
          <w:sz w:val="21"/>
          <w:szCs w:val="21"/>
        </w:rPr>
      </w:pPr>
      <w:r w:rsidRPr="0040473F">
        <w:rPr>
          <w:rFonts w:ascii="Tahoma" w:hAnsi="Tahoma" w:cs="Tahoma"/>
          <w:b/>
          <w:sz w:val="21"/>
          <w:szCs w:val="21"/>
        </w:rPr>
        <w:t>Convocação e Presença</w:t>
      </w:r>
      <w:r w:rsidRPr="0040473F">
        <w:rPr>
          <w:rFonts w:ascii="Tahoma" w:hAnsi="Tahoma" w:cs="Tahoma"/>
          <w:sz w:val="21"/>
          <w:szCs w:val="21"/>
        </w:rPr>
        <w:t>: Dispensada a convocação em virtude da presença de acionista</w:t>
      </w:r>
      <w:r w:rsidR="00A05893" w:rsidRPr="0040473F">
        <w:rPr>
          <w:rFonts w:ascii="Tahoma" w:hAnsi="Tahoma" w:cs="Tahoma"/>
          <w:sz w:val="21"/>
          <w:szCs w:val="21"/>
        </w:rPr>
        <w:t>s</w:t>
      </w:r>
      <w:r w:rsidRPr="0040473F">
        <w:rPr>
          <w:rFonts w:ascii="Tahoma" w:hAnsi="Tahoma" w:cs="Tahoma"/>
          <w:sz w:val="21"/>
          <w:szCs w:val="21"/>
        </w:rPr>
        <w:t xml:space="preserve"> representando 100% (cem por cento) do capital social da </w:t>
      </w:r>
      <w:r w:rsidR="00F50FFA" w:rsidRPr="0040473F">
        <w:rPr>
          <w:rFonts w:ascii="Tahoma" w:hAnsi="Tahoma" w:cs="Tahoma"/>
          <w:sz w:val="21"/>
          <w:szCs w:val="21"/>
        </w:rPr>
        <w:t>Companhia</w:t>
      </w:r>
      <w:r w:rsidRPr="0040473F">
        <w:rPr>
          <w:rFonts w:ascii="Tahoma" w:hAnsi="Tahoma" w:cs="Tahoma"/>
          <w:sz w:val="21"/>
          <w:szCs w:val="21"/>
        </w:rPr>
        <w:t>, nos termos do artigo 124, parágrafo 4º da Lei nº 6.404/76, conforme alterada ("</w:t>
      </w:r>
      <w:r w:rsidRPr="0040473F">
        <w:rPr>
          <w:rFonts w:ascii="Tahoma" w:hAnsi="Tahoma" w:cs="Tahoma"/>
          <w:sz w:val="21"/>
          <w:szCs w:val="21"/>
          <w:u w:val="single"/>
        </w:rPr>
        <w:t>Lei das S.A.</w:t>
      </w:r>
      <w:r w:rsidRPr="0040473F">
        <w:rPr>
          <w:rFonts w:ascii="Tahoma" w:hAnsi="Tahoma" w:cs="Tahoma"/>
          <w:sz w:val="21"/>
          <w:szCs w:val="21"/>
        </w:rPr>
        <w:t>"), conforme assinatura constante no Livro de Presença de Acionistas.</w:t>
      </w:r>
    </w:p>
    <w:p w14:paraId="48AE3C85" w14:textId="77777777" w:rsidR="00037EB5" w:rsidRPr="0040473F" w:rsidRDefault="00037EB5" w:rsidP="0040473F">
      <w:pPr>
        <w:pStyle w:val="PargrafodaLista"/>
        <w:widowControl w:val="0"/>
        <w:spacing w:after="0" w:line="300" w:lineRule="exact"/>
        <w:jc w:val="both"/>
        <w:rPr>
          <w:rFonts w:ascii="Tahoma" w:hAnsi="Tahoma" w:cs="Tahoma"/>
          <w:sz w:val="21"/>
          <w:szCs w:val="21"/>
        </w:rPr>
      </w:pPr>
    </w:p>
    <w:p w14:paraId="7F5F801E" w14:textId="77777777" w:rsidR="00622F22" w:rsidRPr="0040473F" w:rsidRDefault="00B64433" w:rsidP="00622F22">
      <w:pPr>
        <w:pStyle w:val="PargrafodaLista"/>
        <w:widowControl w:val="0"/>
        <w:numPr>
          <w:ilvl w:val="0"/>
          <w:numId w:val="1"/>
        </w:numPr>
        <w:spacing w:after="0" w:line="300" w:lineRule="exact"/>
        <w:jc w:val="both"/>
        <w:rPr>
          <w:rFonts w:ascii="Tahoma" w:hAnsi="Tahoma" w:cs="Tahoma"/>
          <w:sz w:val="21"/>
          <w:szCs w:val="21"/>
        </w:rPr>
      </w:pPr>
      <w:r w:rsidRPr="0040473F">
        <w:rPr>
          <w:rFonts w:ascii="Tahoma" w:hAnsi="Tahoma" w:cs="Tahoma"/>
          <w:b/>
          <w:sz w:val="21"/>
          <w:szCs w:val="21"/>
        </w:rPr>
        <w:t>Mesa</w:t>
      </w:r>
      <w:r w:rsidRPr="0040473F">
        <w:rPr>
          <w:rFonts w:ascii="Tahoma" w:hAnsi="Tahoma" w:cs="Tahoma"/>
          <w:sz w:val="21"/>
          <w:szCs w:val="21"/>
        </w:rPr>
        <w:t>:</w:t>
      </w:r>
      <w:r w:rsidRPr="0040473F">
        <w:rPr>
          <w:rFonts w:ascii="Tahoma" w:hAnsi="Tahoma" w:cs="Tahoma"/>
          <w:sz w:val="21"/>
          <w:szCs w:val="21"/>
        </w:rPr>
        <w:tab/>
      </w:r>
      <w:r w:rsidR="00622F22" w:rsidRPr="0040473F">
        <w:rPr>
          <w:rFonts w:ascii="Tahoma" w:hAnsi="Tahoma" w:cs="Tahoma"/>
          <w:b/>
          <w:sz w:val="21"/>
          <w:szCs w:val="21"/>
        </w:rPr>
        <w:t>Presidente</w:t>
      </w:r>
      <w:r w:rsidR="00622F22" w:rsidRPr="0040473F">
        <w:rPr>
          <w:rFonts w:ascii="Tahoma" w:hAnsi="Tahoma" w:cs="Tahoma"/>
          <w:sz w:val="21"/>
          <w:szCs w:val="21"/>
        </w:rPr>
        <w:t xml:space="preserve">: </w:t>
      </w:r>
      <w:r w:rsidR="00622F22">
        <w:rPr>
          <w:rFonts w:ascii="Tahoma" w:hAnsi="Tahoma" w:cs="Tahoma"/>
          <w:sz w:val="21"/>
          <w:szCs w:val="21"/>
        </w:rPr>
        <w:t>Sr(a). Rodrigo Teixeira Marcolino</w:t>
      </w:r>
    </w:p>
    <w:p w14:paraId="0DC2FF07" w14:textId="77777777" w:rsidR="00622F22" w:rsidRPr="0040473F" w:rsidRDefault="00622F22" w:rsidP="00622F22">
      <w:pPr>
        <w:pStyle w:val="PargrafodaLista"/>
        <w:widowControl w:val="0"/>
        <w:spacing w:after="0" w:line="300" w:lineRule="exact"/>
        <w:ind w:left="1416"/>
        <w:jc w:val="both"/>
        <w:rPr>
          <w:rFonts w:ascii="Tahoma" w:hAnsi="Tahoma" w:cs="Tahoma"/>
          <w:sz w:val="21"/>
          <w:szCs w:val="21"/>
        </w:rPr>
      </w:pPr>
      <w:r w:rsidRPr="0040473F">
        <w:rPr>
          <w:rFonts w:ascii="Tahoma" w:hAnsi="Tahoma" w:cs="Tahoma"/>
          <w:b/>
          <w:sz w:val="21"/>
          <w:szCs w:val="21"/>
        </w:rPr>
        <w:t>Secretário</w:t>
      </w:r>
      <w:r w:rsidRPr="0040473F">
        <w:rPr>
          <w:rFonts w:ascii="Tahoma" w:hAnsi="Tahoma" w:cs="Tahoma"/>
          <w:sz w:val="21"/>
          <w:szCs w:val="21"/>
        </w:rPr>
        <w:t xml:space="preserve">: </w:t>
      </w:r>
      <w:r>
        <w:rPr>
          <w:rFonts w:ascii="Tahoma" w:hAnsi="Tahoma" w:cs="Tahoma"/>
          <w:sz w:val="21"/>
          <w:szCs w:val="21"/>
        </w:rPr>
        <w:t>Sr(a). Luiz Augusto Pacheco e Silva</w:t>
      </w:r>
    </w:p>
    <w:p w14:paraId="60DBEF47" w14:textId="0CBE7A66" w:rsidR="00B64433" w:rsidRPr="0040473F" w:rsidRDefault="00B64433" w:rsidP="00622F22">
      <w:pPr>
        <w:pStyle w:val="PargrafodaLista"/>
        <w:widowControl w:val="0"/>
        <w:spacing w:after="0" w:line="300" w:lineRule="exact"/>
        <w:ind w:left="360"/>
        <w:jc w:val="both"/>
        <w:rPr>
          <w:rFonts w:ascii="Tahoma" w:hAnsi="Tahoma" w:cs="Tahoma"/>
          <w:sz w:val="21"/>
          <w:szCs w:val="21"/>
        </w:rPr>
      </w:pPr>
    </w:p>
    <w:p w14:paraId="2CC783BD" w14:textId="22A57F2D" w:rsidR="00314225" w:rsidRPr="0040473F" w:rsidRDefault="00037EB5" w:rsidP="0040473F">
      <w:pPr>
        <w:pStyle w:val="PargrafodaLista"/>
        <w:widowControl w:val="0"/>
        <w:numPr>
          <w:ilvl w:val="0"/>
          <w:numId w:val="1"/>
        </w:numPr>
        <w:spacing w:after="0" w:line="300" w:lineRule="exact"/>
        <w:jc w:val="both"/>
        <w:rPr>
          <w:rFonts w:ascii="Tahoma" w:hAnsi="Tahoma" w:cs="Tahoma"/>
          <w:sz w:val="21"/>
          <w:szCs w:val="21"/>
        </w:rPr>
      </w:pPr>
      <w:r w:rsidRPr="0040473F">
        <w:rPr>
          <w:rFonts w:ascii="Tahoma" w:hAnsi="Tahoma" w:cs="Tahoma"/>
          <w:b/>
          <w:sz w:val="21"/>
          <w:szCs w:val="21"/>
        </w:rPr>
        <w:t>Ordem do Dia</w:t>
      </w:r>
      <w:r w:rsidRPr="0040473F">
        <w:rPr>
          <w:rFonts w:ascii="Tahoma" w:hAnsi="Tahoma" w:cs="Tahoma"/>
          <w:sz w:val="21"/>
          <w:szCs w:val="21"/>
        </w:rPr>
        <w:t>:</w:t>
      </w:r>
      <w:r w:rsidR="00AF5A0C" w:rsidRPr="0040473F">
        <w:rPr>
          <w:rFonts w:ascii="Tahoma" w:hAnsi="Tahoma" w:cs="Tahoma"/>
          <w:sz w:val="21"/>
          <w:szCs w:val="21"/>
        </w:rPr>
        <w:t xml:space="preserve"> </w:t>
      </w:r>
      <w:bookmarkStart w:id="0" w:name="_Hlk18558855"/>
      <w:r w:rsidR="00673B3D" w:rsidRPr="0040473F">
        <w:rPr>
          <w:rFonts w:ascii="Tahoma" w:hAnsi="Tahoma" w:cs="Tahoma"/>
          <w:sz w:val="21"/>
          <w:szCs w:val="21"/>
        </w:rPr>
        <w:t xml:space="preserve">Deliberar sobre: A aprovação da </w:t>
      </w:r>
      <w:r w:rsidR="00890C32" w:rsidRPr="0040473F">
        <w:rPr>
          <w:rFonts w:ascii="Tahoma" w:hAnsi="Tahoma" w:cs="Tahoma"/>
          <w:sz w:val="21"/>
          <w:szCs w:val="21"/>
        </w:rPr>
        <w:t>1</w:t>
      </w:r>
      <w:r w:rsidR="00673B3D" w:rsidRPr="0040473F">
        <w:rPr>
          <w:rFonts w:ascii="Tahoma" w:hAnsi="Tahoma" w:cs="Tahoma"/>
          <w:sz w:val="21"/>
          <w:szCs w:val="21"/>
        </w:rPr>
        <w:t>ª (</w:t>
      </w:r>
      <w:r w:rsidR="00890C32" w:rsidRPr="0040473F">
        <w:rPr>
          <w:rFonts w:ascii="Tahoma" w:hAnsi="Tahoma" w:cs="Tahoma"/>
          <w:sz w:val="21"/>
          <w:szCs w:val="21"/>
        </w:rPr>
        <w:t>primeira</w:t>
      </w:r>
      <w:r w:rsidR="00673B3D" w:rsidRPr="0040473F">
        <w:rPr>
          <w:rFonts w:ascii="Tahoma" w:hAnsi="Tahoma" w:cs="Tahoma"/>
          <w:sz w:val="21"/>
          <w:szCs w:val="21"/>
        </w:rPr>
        <w:t xml:space="preserve">) emissão de debêntures simples não conversíveis da Companhia a serem objeto de oferta privada, visando a captação de recursos para </w:t>
      </w:r>
      <w:r w:rsidR="00890C32" w:rsidRPr="0040473F">
        <w:rPr>
          <w:rFonts w:ascii="Tahoma" w:hAnsi="Tahoma" w:cs="Tahoma"/>
          <w:color w:val="000000"/>
          <w:sz w:val="21"/>
          <w:szCs w:val="21"/>
        </w:rPr>
        <w:t>o desenvolvimento de projetos de construção, aquisição de equipamentos fotovoltaicos, comercialização, locação, gerenciamento, operação e manutenção de unidades de microgeração e minigeração distribuída, prioritariamente, de energia elétrica fotovoltaica.</w:t>
      </w:r>
    </w:p>
    <w:bookmarkEnd w:id="0"/>
    <w:p w14:paraId="479A50C9" w14:textId="061A166D" w:rsidR="00D46678" w:rsidRPr="0040473F" w:rsidRDefault="00D46678" w:rsidP="0040473F">
      <w:pPr>
        <w:widowControl w:val="0"/>
        <w:spacing w:after="0" w:line="300" w:lineRule="exact"/>
        <w:jc w:val="both"/>
        <w:rPr>
          <w:rFonts w:ascii="Tahoma" w:hAnsi="Tahoma" w:cs="Tahoma"/>
          <w:sz w:val="21"/>
          <w:szCs w:val="21"/>
        </w:rPr>
      </w:pPr>
    </w:p>
    <w:p w14:paraId="6348F60B" w14:textId="709F4B6D" w:rsidR="00F73980" w:rsidRPr="0040473F" w:rsidRDefault="00793334" w:rsidP="0040473F">
      <w:pPr>
        <w:pStyle w:val="PargrafodaLista"/>
        <w:widowControl w:val="0"/>
        <w:numPr>
          <w:ilvl w:val="0"/>
          <w:numId w:val="1"/>
        </w:numPr>
        <w:spacing w:after="0"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0473F">
        <w:rPr>
          <w:rFonts w:ascii="Tahoma" w:hAnsi="Tahoma" w:cs="Tahoma"/>
          <w:b/>
          <w:sz w:val="21"/>
          <w:szCs w:val="21"/>
        </w:rPr>
        <w:t>Deliberações</w:t>
      </w:r>
      <w:r w:rsidRPr="0040473F">
        <w:rPr>
          <w:rFonts w:ascii="Tahoma" w:hAnsi="Tahoma" w:cs="Tahoma"/>
          <w:sz w:val="21"/>
          <w:szCs w:val="21"/>
        </w:rPr>
        <w:t xml:space="preserve">: </w:t>
      </w:r>
      <w:bookmarkStart w:id="1" w:name="_Hlk18559461"/>
      <w:r w:rsidR="00CD4BB4" w:rsidRPr="0040473F">
        <w:rPr>
          <w:rFonts w:ascii="Tahoma" w:hAnsi="Tahoma" w:cs="Tahoma"/>
          <w:sz w:val="21"/>
          <w:szCs w:val="21"/>
        </w:rPr>
        <w:t xml:space="preserve">Dando início aos trabalhos, o Presidente da Mesa esclareceu que a ata da presente assembleia seria lavrada em forma sumária, contendo apenas a transcrição das deliberações tomadas, conforme faculta o artigo 130, § 1°, da Lei das S.A. Em seguida, </w:t>
      </w:r>
      <w:r w:rsidR="003657F7" w:rsidRPr="0040473F">
        <w:rPr>
          <w:rFonts w:ascii="Tahoma" w:hAnsi="Tahoma" w:cs="Tahoma"/>
          <w:sz w:val="21"/>
          <w:szCs w:val="21"/>
        </w:rPr>
        <w:t>de forma unânime pel</w:t>
      </w:r>
      <w:r w:rsidR="00173799" w:rsidRPr="0040473F">
        <w:rPr>
          <w:rFonts w:ascii="Tahoma" w:hAnsi="Tahoma" w:cs="Tahoma"/>
          <w:sz w:val="21"/>
          <w:szCs w:val="21"/>
        </w:rPr>
        <w:t>os acionistas</w:t>
      </w:r>
      <w:r w:rsidRPr="0040473F">
        <w:rPr>
          <w:rFonts w:ascii="Tahoma" w:hAnsi="Tahoma" w:cs="Tahoma"/>
          <w:sz w:val="21"/>
          <w:szCs w:val="21"/>
        </w:rPr>
        <w:t xml:space="preserve">, foi deliberado sobre as matérias constantes da ordem do dia, sem quaisquer restrições e/ou ressalvas, </w:t>
      </w:r>
      <w:r w:rsidR="00491777" w:rsidRPr="0040473F">
        <w:rPr>
          <w:rFonts w:ascii="Tahoma" w:hAnsi="Tahoma" w:cs="Tahoma"/>
          <w:sz w:val="21"/>
          <w:szCs w:val="21"/>
        </w:rPr>
        <w:t>aprovar</w:t>
      </w:r>
      <w:r w:rsidRPr="0040473F">
        <w:rPr>
          <w:rFonts w:ascii="Tahoma" w:hAnsi="Tahoma" w:cs="Tahoma"/>
          <w:sz w:val="21"/>
          <w:szCs w:val="21"/>
        </w:rPr>
        <w:t>:</w:t>
      </w:r>
      <w:r w:rsidR="00D46678" w:rsidRPr="0040473F">
        <w:rPr>
          <w:rFonts w:ascii="Tahoma" w:hAnsi="Tahoma" w:cs="Tahoma"/>
          <w:sz w:val="21"/>
          <w:szCs w:val="21"/>
        </w:rPr>
        <w:t xml:space="preserve"> </w:t>
      </w:r>
      <w:bookmarkEnd w:id="1"/>
    </w:p>
    <w:p w14:paraId="75570833" w14:textId="1C598980" w:rsidR="00F73980" w:rsidRPr="0040473F" w:rsidRDefault="00F73980" w:rsidP="0040473F">
      <w:pPr>
        <w:pStyle w:val="PargrafodaLista"/>
        <w:widowControl w:val="0"/>
        <w:spacing w:after="0" w:line="300" w:lineRule="exact"/>
        <w:ind w:left="360"/>
        <w:jc w:val="both"/>
        <w:rPr>
          <w:rFonts w:ascii="Tahoma" w:hAnsi="Tahoma" w:cs="Tahoma"/>
          <w:b/>
          <w:sz w:val="21"/>
          <w:szCs w:val="21"/>
        </w:rPr>
      </w:pPr>
    </w:p>
    <w:p w14:paraId="07D17B25" w14:textId="77777777" w:rsidR="00673B3D" w:rsidRPr="0040473F" w:rsidRDefault="00673B3D" w:rsidP="0040473F">
      <w:pPr>
        <w:pStyle w:val="Level5"/>
        <w:widowControl w:val="0"/>
        <w:numPr>
          <w:ilvl w:val="4"/>
          <w:numId w:val="25"/>
        </w:numPr>
        <w:tabs>
          <w:tab w:val="left" w:pos="567"/>
        </w:tabs>
        <w:spacing w:after="0" w:line="300" w:lineRule="exact"/>
        <w:ind w:left="567" w:hanging="567"/>
        <w:rPr>
          <w:rFonts w:cs="Tahoma"/>
          <w:sz w:val="21"/>
          <w:szCs w:val="21"/>
        </w:rPr>
      </w:pPr>
      <w:r w:rsidRPr="0040473F">
        <w:rPr>
          <w:rFonts w:cs="Tahoma"/>
          <w:sz w:val="21"/>
          <w:szCs w:val="21"/>
        </w:rPr>
        <w:t>Foi aprovada a emissão das Debêntures pela Companhia, com as seguintes características principais, nos termos do Art. 59 da Lei das S/A:</w:t>
      </w:r>
    </w:p>
    <w:p w14:paraId="3D29FED0" w14:textId="1E675E75" w:rsidR="000102D6" w:rsidRDefault="000102D6" w:rsidP="0040473F">
      <w:pPr>
        <w:pStyle w:val="Body2"/>
        <w:widowControl w:val="0"/>
        <w:spacing w:after="0" w:line="300" w:lineRule="exact"/>
        <w:rPr>
          <w:rFonts w:cs="Tahoma"/>
          <w:i/>
          <w:sz w:val="21"/>
          <w:szCs w:val="21"/>
        </w:rPr>
      </w:pPr>
    </w:p>
    <w:p w14:paraId="7E9F6BB8" w14:textId="77777777" w:rsidR="003245ED" w:rsidRPr="0040473F" w:rsidRDefault="003245ED" w:rsidP="0040473F">
      <w:pPr>
        <w:pStyle w:val="Body2"/>
        <w:widowControl w:val="0"/>
        <w:spacing w:after="0" w:line="300" w:lineRule="exact"/>
        <w:rPr>
          <w:rFonts w:cs="Tahoma"/>
          <w:i/>
          <w:sz w:val="21"/>
          <w:szCs w:val="2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673B3D" w:rsidRPr="0040473F" w14:paraId="042B59DD" w14:textId="77777777" w:rsidTr="005B3BCB">
        <w:tc>
          <w:tcPr>
            <w:tcW w:w="2835" w:type="dxa"/>
          </w:tcPr>
          <w:p w14:paraId="3721D879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Montante da Emissão:</w:t>
            </w:r>
          </w:p>
        </w:tc>
        <w:tc>
          <w:tcPr>
            <w:tcW w:w="5954" w:type="dxa"/>
          </w:tcPr>
          <w:p w14:paraId="287A754C" w14:textId="61A7C6BE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  <w:r w:rsidRPr="0040473F">
              <w:rPr>
                <w:rFonts w:cs="Tahoma"/>
                <w:iCs/>
                <w:sz w:val="21"/>
                <w:szCs w:val="21"/>
              </w:rPr>
              <w:t xml:space="preserve">R$ </w:t>
            </w:r>
            <w:r w:rsidR="003245ED">
              <w:rPr>
                <w:rFonts w:cs="Tahoma"/>
                <w:iCs/>
                <w:sz w:val="21"/>
                <w:szCs w:val="21"/>
              </w:rPr>
              <w:t>13.201.000,00</w:t>
            </w:r>
            <w:r w:rsidRPr="0040473F">
              <w:rPr>
                <w:rFonts w:cs="Tahoma"/>
                <w:iCs/>
                <w:sz w:val="21"/>
                <w:szCs w:val="21"/>
              </w:rPr>
              <w:t xml:space="preserve"> (</w:t>
            </w:r>
            <w:r w:rsidR="00B660F1">
              <w:rPr>
                <w:rFonts w:cs="Tahoma"/>
                <w:iCs/>
                <w:sz w:val="21"/>
                <w:szCs w:val="21"/>
              </w:rPr>
              <w:t>tr</w:t>
            </w:r>
            <w:r w:rsidR="003245ED">
              <w:rPr>
                <w:rFonts w:cs="Tahoma"/>
                <w:iCs/>
                <w:sz w:val="21"/>
                <w:szCs w:val="21"/>
              </w:rPr>
              <w:t>eze milhões duzentos e um mil reais</w:t>
            </w:r>
            <w:r w:rsidRPr="0040473F">
              <w:rPr>
                <w:rFonts w:cs="Tahoma"/>
                <w:iCs/>
                <w:sz w:val="21"/>
                <w:szCs w:val="21"/>
              </w:rPr>
              <w:t>);</w:t>
            </w:r>
          </w:p>
          <w:p w14:paraId="7CF2A831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77C56A88" w14:textId="77777777" w:rsidTr="005B3BCB">
        <w:tc>
          <w:tcPr>
            <w:tcW w:w="2835" w:type="dxa"/>
          </w:tcPr>
          <w:p w14:paraId="0E2322B8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Quantidade e Séries:</w:t>
            </w:r>
          </w:p>
        </w:tc>
        <w:tc>
          <w:tcPr>
            <w:tcW w:w="5954" w:type="dxa"/>
          </w:tcPr>
          <w:p w14:paraId="74F79F7E" w14:textId="32DE5273" w:rsidR="00673B3D" w:rsidRPr="0040473F" w:rsidRDefault="00E94811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  <w:r>
              <w:rPr>
                <w:rFonts w:cs="Tahoma"/>
                <w:iCs/>
                <w:sz w:val="21"/>
                <w:szCs w:val="21"/>
              </w:rPr>
              <w:t>1</w:t>
            </w:r>
            <w:r w:rsidR="003245ED">
              <w:rPr>
                <w:rFonts w:cs="Tahoma"/>
                <w:iCs/>
                <w:sz w:val="21"/>
                <w:szCs w:val="21"/>
              </w:rPr>
              <w:t>3.201</w:t>
            </w:r>
            <w:r w:rsidR="00CF4987" w:rsidRPr="0040473F">
              <w:rPr>
                <w:rFonts w:cs="Tahoma"/>
                <w:iCs/>
                <w:sz w:val="21"/>
                <w:szCs w:val="21"/>
              </w:rPr>
              <w:t xml:space="preserve"> (</w:t>
            </w:r>
            <w:r w:rsidR="003245ED">
              <w:rPr>
                <w:rFonts w:cs="Tahoma"/>
                <w:iCs/>
                <w:sz w:val="21"/>
                <w:szCs w:val="21"/>
              </w:rPr>
              <w:t xml:space="preserve">treze mil duzentas e </w:t>
            </w:r>
            <w:r>
              <w:rPr>
                <w:rFonts w:cs="Tahoma"/>
                <w:iCs/>
                <w:sz w:val="21"/>
                <w:szCs w:val="21"/>
              </w:rPr>
              <w:t>uma</w:t>
            </w:r>
            <w:r w:rsidR="00CF4987" w:rsidRPr="0040473F">
              <w:rPr>
                <w:rFonts w:cs="Tahoma"/>
                <w:iCs/>
                <w:sz w:val="21"/>
                <w:szCs w:val="21"/>
              </w:rPr>
              <w:t>)</w:t>
            </w:r>
            <w:r w:rsidR="00673B3D" w:rsidRPr="0040473F">
              <w:rPr>
                <w:rFonts w:cs="Tahoma"/>
                <w:iCs/>
                <w:sz w:val="21"/>
                <w:szCs w:val="21"/>
              </w:rPr>
              <w:t xml:space="preserve"> debênture</w:t>
            </w:r>
            <w:r w:rsidR="003245ED">
              <w:rPr>
                <w:rFonts w:cs="Tahoma"/>
                <w:iCs/>
                <w:sz w:val="21"/>
                <w:szCs w:val="21"/>
              </w:rPr>
              <w:t>s</w:t>
            </w:r>
            <w:r w:rsidR="00673B3D" w:rsidRPr="0040473F">
              <w:rPr>
                <w:rFonts w:cs="Tahoma"/>
                <w:iCs/>
                <w:sz w:val="21"/>
                <w:szCs w:val="21"/>
              </w:rPr>
              <w:t xml:space="preserve"> de série única;</w:t>
            </w:r>
          </w:p>
          <w:p w14:paraId="5AAE9CE2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062A9994" w14:textId="77777777" w:rsidTr="005B3BCB">
        <w:tc>
          <w:tcPr>
            <w:tcW w:w="2835" w:type="dxa"/>
          </w:tcPr>
          <w:p w14:paraId="6B94DAD7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Valor Nominal Unitário:</w:t>
            </w:r>
          </w:p>
        </w:tc>
        <w:tc>
          <w:tcPr>
            <w:tcW w:w="5954" w:type="dxa"/>
          </w:tcPr>
          <w:p w14:paraId="489C58A0" w14:textId="06375D5F" w:rsidR="00673B3D" w:rsidRPr="0040473F" w:rsidRDefault="00B660F1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  <w:r w:rsidRPr="0040473F">
              <w:rPr>
                <w:rFonts w:cs="Tahoma"/>
                <w:iCs/>
                <w:sz w:val="21"/>
                <w:szCs w:val="21"/>
              </w:rPr>
              <w:t xml:space="preserve">R$ </w:t>
            </w:r>
            <w:r w:rsidR="003245ED">
              <w:rPr>
                <w:rFonts w:cs="Tahoma"/>
                <w:iCs/>
                <w:sz w:val="21"/>
                <w:szCs w:val="21"/>
              </w:rPr>
              <w:t>1.000,00</w:t>
            </w:r>
            <w:r w:rsidRPr="0040473F">
              <w:rPr>
                <w:rFonts w:cs="Tahoma"/>
                <w:iCs/>
                <w:sz w:val="21"/>
                <w:szCs w:val="21"/>
              </w:rPr>
              <w:t xml:space="preserve"> (</w:t>
            </w:r>
            <w:r w:rsidR="003245ED">
              <w:rPr>
                <w:rFonts w:cs="Tahoma"/>
                <w:iCs/>
                <w:sz w:val="21"/>
                <w:szCs w:val="21"/>
              </w:rPr>
              <w:t>um mil reais</w:t>
            </w:r>
            <w:r w:rsidRPr="0040473F">
              <w:rPr>
                <w:rFonts w:cs="Tahoma"/>
                <w:iCs/>
                <w:sz w:val="21"/>
                <w:szCs w:val="21"/>
              </w:rPr>
              <w:t>)</w:t>
            </w:r>
            <w:r w:rsidR="00673B3D" w:rsidRPr="0040473F">
              <w:rPr>
                <w:rFonts w:cs="Tahoma"/>
                <w:iCs/>
                <w:sz w:val="21"/>
                <w:szCs w:val="21"/>
              </w:rPr>
              <w:t xml:space="preserve"> por debênture;</w:t>
            </w:r>
          </w:p>
          <w:p w14:paraId="3100C8F8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59C9B86A" w14:textId="77777777" w:rsidTr="005B3BCB">
        <w:tc>
          <w:tcPr>
            <w:tcW w:w="2835" w:type="dxa"/>
          </w:tcPr>
          <w:p w14:paraId="2B52812F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lastRenderedPageBreak/>
              <w:t>Forma de Emissão:</w:t>
            </w:r>
          </w:p>
        </w:tc>
        <w:tc>
          <w:tcPr>
            <w:tcW w:w="5954" w:type="dxa"/>
          </w:tcPr>
          <w:p w14:paraId="1732A751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  <w:r w:rsidRPr="0040473F">
              <w:rPr>
                <w:rFonts w:cs="Tahoma"/>
                <w:sz w:val="21"/>
                <w:szCs w:val="21"/>
              </w:rPr>
              <w:t>As Debêntures serão emitidas sob a forma nominativa e escritural, sem a emissão de certificados representativos das Debêntures</w:t>
            </w:r>
            <w:r w:rsidRPr="0040473F">
              <w:rPr>
                <w:rFonts w:cs="Tahoma"/>
                <w:iCs/>
                <w:sz w:val="21"/>
                <w:szCs w:val="21"/>
              </w:rPr>
              <w:t>;</w:t>
            </w:r>
          </w:p>
          <w:p w14:paraId="0D498D98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3621A157" w14:textId="77777777" w:rsidTr="005B3BCB">
        <w:tc>
          <w:tcPr>
            <w:tcW w:w="2835" w:type="dxa"/>
          </w:tcPr>
          <w:p w14:paraId="2AB49D31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Colocação:</w:t>
            </w:r>
          </w:p>
        </w:tc>
        <w:tc>
          <w:tcPr>
            <w:tcW w:w="5954" w:type="dxa"/>
          </w:tcPr>
          <w:p w14:paraId="6DFF1CBE" w14:textId="4210D12D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  <w:r w:rsidRPr="0040473F">
              <w:rPr>
                <w:rFonts w:cs="Tahoma"/>
                <w:iCs/>
                <w:sz w:val="21"/>
                <w:szCs w:val="21"/>
              </w:rPr>
              <w:t>Oferta privada;</w:t>
            </w:r>
          </w:p>
          <w:p w14:paraId="6EFE8AD9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0A912ED2" w14:textId="77777777" w:rsidTr="005B3BCB">
        <w:tc>
          <w:tcPr>
            <w:tcW w:w="2835" w:type="dxa"/>
          </w:tcPr>
          <w:p w14:paraId="43375FD8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Subscrição e</w:t>
            </w:r>
          </w:p>
          <w:p w14:paraId="3E64C81F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Integralização:</w:t>
            </w:r>
          </w:p>
        </w:tc>
        <w:tc>
          <w:tcPr>
            <w:tcW w:w="5954" w:type="dxa"/>
          </w:tcPr>
          <w:p w14:paraId="3B5E2142" w14:textId="61963499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  <w:r w:rsidRPr="0040473F">
              <w:rPr>
                <w:rFonts w:cs="Tahoma"/>
                <w:iCs/>
                <w:sz w:val="21"/>
                <w:szCs w:val="21"/>
              </w:rPr>
              <w:t xml:space="preserve">As Debêntures </w:t>
            </w:r>
            <w:r w:rsidRPr="0040473F">
              <w:rPr>
                <w:rFonts w:cs="Tahoma"/>
                <w:sz w:val="21"/>
                <w:szCs w:val="21"/>
              </w:rPr>
              <w:t xml:space="preserve">poderão ser subscritas a qualquer tempo, a partir da data de registro da Escritura na Junta Comercial do Estado de </w:t>
            </w:r>
            <w:r w:rsidR="002E6F86" w:rsidRPr="0040473F">
              <w:rPr>
                <w:rFonts w:cs="Tahoma"/>
                <w:sz w:val="21"/>
                <w:szCs w:val="21"/>
              </w:rPr>
              <w:t>São Paulo</w:t>
            </w:r>
            <w:r w:rsidRPr="0040473F">
              <w:rPr>
                <w:rFonts w:cs="Tahoma"/>
                <w:sz w:val="21"/>
                <w:szCs w:val="21"/>
              </w:rPr>
              <w:t xml:space="preserve"> – </w:t>
            </w:r>
            <w:r w:rsidRPr="0040473F">
              <w:rPr>
                <w:rFonts w:cs="Tahoma"/>
                <w:bCs/>
                <w:sz w:val="21"/>
                <w:szCs w:val="21"/>
              </w:rPr>
              <w:t>JUCE</w:t>
            </w:r>
            <w:r w:rsidR="002E6F86" w:rsidRPr="0040473F">
              <w:rPr>
                <w:rFonts w:cs="Tahoma"/>
                <w:bCs/>
                <w:sz w:val="21"/>
                <w:szCs w:val="21"/>
              </w:rPr>
              <w:t>SP</w:t>
            </w:r>
            <w:r w:rsidRPr="0040473F">
              <w:rPr>
                <w:rFonts w:cs="Tahoma"/>
                <w:bCs/>
                <w:sz w:val="21"/>
                <w:szCs w:val="21"/>
              </w:rPr>
              <w:t>, somente podendo ser integralizadas em moeda corrente nacional</w:t>
            </w:r>
            <w:r w:rsidRPr="0040473F">
              <w:rPr>
                <w:rFonts w:cs="Tahoma"/>
                <w:iCs/>
                <w:sz w:val="21"/>
                <w:szCs w:val="21"/>
              </w:rPr>
              <w:t>;</w:t>
            </w:r>
          </w:p>
          <w:p w14:paraId="252EAC35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7FFC4D9B" w14:textId="77777777" w:rsidTr="005B3BCB">
        <w:tc>
          <w:tcPr>
            <w:tcW w:w="2835" w:type="dxa"/>
          </w:tcPr>
          <w:p w14:paraId="7EBDDF4A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Prazo:</w:t>
            </w:r>
          </w:p>
        </w:tc>
        <w:tc>
          <w:tcPr>
            <w:tcW w:w="5954" w:type="dxa"/>
          </w:tcPr>
          <w:p w14:paraId="552C1224" w14:textId="7DEBE2F5" w:rsidR="00673B3D" w:rsidRPr="0040473F" w:rsidRDefault="00622F22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4.</w:t>
            </w:r>
            <w:r w:rsidR="00112293">
              <w:rPr>
                <w:rFonts w:cs="Tahoma"/>
                <w:color w:val="000000"/>
                <w:sz w:val="21"/>
                <w:szCs w:val="21"/>
              </w:rPr>
              <w:t>280</w:t>
            </w:r>
            <w:r w:rsidR="00B660F1" w:rsidRPr="009033F2">
              <w:rPr>
                <w:rFonts w:cs="Tahoma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ahoma"/>
                <w:color w:val="000000"/>
                <w:sz w:val="21"/>
                <w:szCs w:val="21"/>
              </w:rPr>
              <w:t xml:space="preserve">(quatro mil </w:t>
            </w:r>
            <w:r w:rsidR="00112293">
              <w:rPr>
                <w:rFonts w:cs="Tahoma"/>
                <w:color w:val="000000"/>
                <w:sz w:val="21"/>
                <w:szCs w:val="21"/>
              </w:rPr>
              <w:t>duzentos e oitenta</w:t>
            </w:r>
            <w:r w:rsidR="00B660F1" w:rsidRPr="009033F2">
              <w:rPr>
                <w:rFonts w:cs="Tahoma"/>
                <w:color w:val="000000"/>
                <w:sz w:val="21"/>
                <w:szCs w:val="21"/>
              </w:rPr>
              <w:t>)</w:t>
            </w:r>
            <w:r w:rsidR="00B660F1">
              <w:rPr>
                <w:rFonts w:cs="Tahoma"/>
                <w:color w:val="000000"/>
                <w:sz w:val="21"/>
                <w:szCs w:val="21"/>
              </w:rPr>
              <w:t xml:space="preserve"> </w:t>
            </w:r>
            <w:r w:rsidR="00E94811">
              <w:rPr>
                <w:rFonts w:cs="Tahoma"/>
                <w:iCs/>
                <w:sz w:val="21"/>
                <w:szCs w:val="21"/>
              </w:rPr>
              <w:t>dias</w:t>
            </w:r>
            <w:r w:rsidR="00CF4987" w:rsidRPr="0040473F">
              <w:rPr>
                <w:rFonts w:cs="Tahoma"/>
                <w:iCs/>
                <w:sz w:val="21"/>
                <w:szCs w:val="21"/>
              </w:rPr>
              <w:t xml:space="preserve"> </w:t>
            </w:r>
            <w:r w:rsidR="00673B3D" w:rsidRPr="0040473F">
              <w:rPr>
                <w:rFonts w:cs="Tahoma"/>
                <w:iCs/>
                <w:sz w:val="21"/>
                <w:szCs w:val="21"/>
              </w:rPr>
              <w:t xml:space="preserve">contados da data </w:t>
            </w:r>
            <w:r w:rsidR="00673B3D" w:rsidRPr="00622F22">
              <w:rPr>
                <w:rFonts w:cs="Tahoma"/>
                <w:iCs/>
                <w:sz w:val="21"/>
                <w:szCs w:val="21"/>
              </w:rPr>
              <w:t>de emissão das Debêntures</w:t>
            </w:r>
            <w:r w:rsidR="00B660F1" w:rsidRPr="00622F22">
              <w:rPr>
                <w:rFonts w:cs="Tahoma"/>
                <w:iCs/>
                <w:sz w:val="21"/>
                <w:szCs w:val="21"/>
              </w:rPr>
              <w:t xml:space="preserve">, com vencimento em </w:t>
            </w:r>
            <w:r w:rsidR="001653D8" w:rsidRPr="00622F22">
              <w:rPr>
                <w:rFonts w:cs="Tahoma"/>
                <w:iCs/>
                <w:sz w:val="21"/>
                <w:szCs w:val="21"/>
              </w:rPr>
              <w:t>15</w:t>
            </w:r>
            <w:r w:rsidR="00B660F1" w:rsidRPr="00622F22">
              <w:rPr>
                <w:rFonts w:cs="Tahoma"/>
                <w:iCs/>
                <w:sz w:val="21"/>
                <w:szCs w:val="21"/>
              </w:rPr>
              <w:t xml:space="preserve"> de </w:t>
            </w:r>
            <w:r w:rsidR="00112293">
              <w:rPr>
                <w:rFonts w:cs="Tahoma"/>
                <w:iCs/>
                <w:sz w:val="21"/>
                <w:szCs w:val="21"/>
              </w:rPr>
              <w:t>abril</w:t>
            </w:r>
            <w:r w:rsidR="00B660F1" w:rsidRPr="00622F22">
              <w:rPr>
                <w:rFonts w:cs="Tahoma"/>
                <w:iCs/>
                <w:sz w:val="21"/>
                <w:szCs w:val="21"/>
              </w:rPr>
              <w:t xml:space="preserve"> de 2032</w:t>
            </w:r>
            <w:r w:rsidR="00673B3D" w:rsidRPr="00622F22">
              <w:rPr>
                <w:rFonts w:cs="Tahoma"/>
                <w:iCs/>
                <w:sz w:val="21"/>
                <w:szCs w:val="21"/>
              </w:rPr>
              <w:t>;</w:t>
            </w:r>
          </w:p>
          <w:p w14:paraId="16C0DD73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27D690D2" w14:textId="77777777" w:rsidTr="005B3BCB">
        <w:tc>
          <w:tcPr>
            <w:tcW w:w="2835" w:type="dxa"/>
          </w:tcPr>
          <w:p w14:paraId="0D3A226E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Juros Remuneratórios:</w:t>
            </w:r>
          </w:p>
        </w:tc>
        <w:tc>
          <w:tcPr>
            <w:tcW w:w="5954" w:type="dxa"/>
          </w:tcPr>
          <w:p w14:paraId="10E0C744" w14:textId="77D86C33" w:rsidR="00673B3D" w:rsidRDefault="008911D6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color w:val="000000"/>
                <w:sz w:val="21"/>
                <w:szCs w:val="21"/>
              </w:rPr>
            </w:pPr>
            <w:r w:rsidRPr="009033F2">
              <w:rPr>
                <w:rFonts w:cs="Tahoma"/>
                <w:sz w:val="21"/>
                <w:szCs w:val="21"/>
              </w:rPr>
              <w:t xml:space="preserve">juros remuneratórios </w:t>
            </w:r>
            <w:r>
              <w:rPr>
                <w:rFonts w:cs="Tahoma"/>
                <w:sz w:val="21"/>
                <w:szCs w:val="21"/>
              </w:rPr>
              <w:t xml:space="preserve">mensal </w:t>
            </w:r>
            <w:r w:rsidRPr="009033F2">
              <w:rPr>
                <w:rFonts w:cs="Tahoma"/>
                <w:sz w:val="21"/>
                <w:szCs w:val="21"/>
              </w:rPr>
              <w:t>correspondentes a</w:t>
            </w:r>
            <w:r w:rsidRPr="009033F2">
              <w:rPr>
                <w:rFonts w:cs="Tahoma"/>
                <w:color w:val="000000"/>
                <w:sz w:val="21"/>
                <w:szCs w:val="21"/>
              </w:rPr>
              <w:t xml:space="preserve"> </w:t>
            </w:r>
            <w:r w:rsidR="000734F9" w:rsidRPr="003A2131">
              <w:rPr>
                <w:rFonts w:cs="Tahoma"/>
                <w:b/>
                <w:bCs/>
                <w:color w:val="000000"/>
                <w:sz w:val="21"/>
                <w:szCs w:val="21"/>
              </w:rPr>
              <w:t>8,0657%</w:t>
            </w:r>
            <w:r w:rsidR="000734F9">
              <w:rPr>
                <w:rFonts w:cs="Tahoma"/>
                <w:color w:val="000000"/>
                <w:sz w:val="21"/>
                <w:szCs w:val="21"/>
              </w:rPr>
              <w:t xml:space="preserve"> (oito inteiros e seiscentos e cinquenta e sete décimos milésimos por cento) ao ano</w:t>
            </w:r>
            <w:r w:rsidRPr="003A2131">
              <w:rPr>
                <w:rFonts w:cs="Tahoma"/>
                <w:color w:val="000000"/>
                <w:sz w:val="21"/>
                <w:szCs w:val="21"/>
              </w:rPr>
              <w:t>, com base em um ano de 252 (duzentos e cinquenta e dois) Dias Úteis</w:t>
            </w:r>
            <w:r w:rsidR="000102D6">
              <w:rPr>
                <w:rFonts w:cs="Tahoma"/>
                <w:color w:val="000000"/>
                <w:sz w:val="21"/>
                <w:szCs w:val="21"/>
              </w:rPr>
              <w:t>;</w:t>
            </w:r>
          </w:p>
          <w:p w14:paraId="77984687" w14:textId="7C9590CB" w:rsidR="000102D6" w:rsidRPr="0040473F" w:rsidRDefault="000102D6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4686E20B" w14:textId="77777777" w:rsidTr="005B3BCB">
        <w:tc>
          <w:tcPr>
            <w:tcW w:w="2835" w:type="dxa"/>
          </w:tcPr>
          <w:p w14:paraId="6D7E91CB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Atualização Monetária:</w:t>
            </w:r>
          </w:p>
        </w:tc>
        <w:tc>
          <w:tcPr>
            <w:tcW w:w="5954" w:type="dxa"/>
          </w:tcPr>
          <w:p w14:paraId="2BABF9DB" w14:textId="787D4B1A" w:rsidR="00673B3D" w:rsidRPr="0040473F" w:rsidRDefault="002E6F86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  <w:bookmarkStart w:id="2" w:name="_Hlk20923592"/>
            <w:r w:rsidRPr="0040473F">
              <w:rPr>
                <w:rFonts w:cs="Tahoma"/>
                <w:color w:val="000000"/>
                <w:sz w:val="21"/>
                <w:szCs w:val="21"/>
              </w:rPr>
              <w:t>Índice de Preços ao Consumidor Amplo, divulgado pelo Instituto brasileiro de Geografia e Estatísticas</w:t>
            </w:r>
            <w:bookmarkEnd w:id="2"/>
            <w:r w:rsidRPr="0040473F">
              <w:rPr>
                <w:rFonts w:cs="Tahoma"/>
                <w:color w:val="000000"/>
                <w:sz w:val="21"/>
                <w:szCs w:val="21"/>
              </w:rPr>
              <w:t xml:space="preserve"> – IPCA/IBGE</w:t>
            </w:r>
            <w:r w:rsidR="00673B3D" w:rsidRPr="0040473F">
              <w:rPr>
                <w:rFonts w:cs="Tahoma"/>
                <w:iCs/>
                <w:sz w:val="21"/>
                <w:szCs w:val="21"/>
              </w:rPr>
              <w:t>, desde a data de emissão até a data de vencimento das Debêntures;</w:t>
            </w:r>
          </w:p>
          <w:p w14:paraId="7F9D099E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5E1B0848" w14:textId="77777777" w:rsidTr="005B3BCB">
        <w:tc>
          <w:tcPr>
            <w:tcW w:w="2835" w:type="dxa"/>
          </w:tcPr>
          <w:p w14:paraId="3F9A8C59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Amortização:</w:t>
            </w:r>
          </w:p>
        </w:tc>
        <w:tc>
          <w:tcPr>
            <w:tcW w:w="5954" w:type="dxa"/>
          </w:tcPr>
          <w:p w14:paraId="27070FB2" w14:textId="00A59DE5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  <w:r w:rsidRPr="0040473F">
              <w:rPr>
                <w:rFonts w:cs="Tahoma"/>
                <w:iCs/>
                <w:sz w:val="21"/>
                <w:szCs w:val="21"/>
              </w:rPr>
              <w:t>Parcela</w:t>
            </w:r>
            <w:r w:rsidR="00CF4987" w:rsidRPr="0040473F">
              <w:rPr>
                <w:rFonts w:cs="Tahoma"/>
                <w:iCs/>
                <w:sz w:val="21"/>
                <w:szCs w:val="21"/>
              </w:rPr>
              <w:t xml:space="preserve">s mensais fixas, </w:t>
            </w:r>
            <w:r w:rsidR="0055792E" w:rsidRPr="0040473F">
              <w:rPr>
                <w:rFonts w:cs="Tahoma"/>
                <w:iCs/>
                <w:sz w:val="21"/>
                <w:szCs w:val="21"/>
              </w:rPr>
              <w:t>com uma</w:t>
            </w:r>
            <w:r w:rsidR="00CF4987" w:rsidRPr="0040473F">
              <w:rPr>
                <w:rFonts w:cs="Tahoma"/>
                <w:iCs/>
                <w:sz w:val="21"/>
                <w:szCs w:val="21"/>
              </w:rPr>
              <w:t xml:space="preserve"> carência</w:t>
            </w:r>
            <w:r w:rsidR="0055792E" w:rsidRPr="0040473F">
              <w:rPr>
                <w:rFonts w:cs="Tahoma"/>
                <w:iCs/>
                <w:sz w:val="21"/>
                <w:szCs w:val="21"/>
              </w:rPr>
              <w:t xml:space="preserve"> </w:t>
            </w:r>
            <w:r w:rsidR="00B660F1">
              <w:rPr>
                <w:rFonts w:cs="Tahoma"/>
                <w:iCs/>
                <w:sz w:val="21"/>
                <w:szCs w:val="21"/>
              </w:rPr>
              <w:t xml:space="preserve">de principal (sendo o primeiro pagamento em </w:t>
            </w:r>
            <w:r w:rsidR="001653D8">
              <w:rPr>
                <w:rFonts w:cs="Tahoma"/>
                <w:iCs/>
                <w:sz w:val="21"/>
                <w:szCs w:val="21"/>
              </w:rPr>
              <w:t>15</w:t>
            </w:r>
            <w:r w:rsidR="00B660F1">
              <w:rPr>
                <w:rFonts w:cs="Tahoma"/>
                <w:iCs/>
                <w:sz w:val="21"/>
                <w:szCs w:val="21"/>
              </w:rPr>
              <w:t xml:space="preserve"> </w:t>
            </w:r>
            <w:r w:rsidR="00B660F1" w:rsidRPr="000734F9">
              <w:rPr>
                <w:rFonts w:cs="Tahoma"/>
                <w:iCs/>
                <w:sz w:val="21"/>
                <w:szCs w:val="21"/>
              </w:rPr>
              <w:t>de janeiro de</w:t>
            </w:r>
            <w:r w:rsidR="00B660F1">
              <w:rPr>
                <w:rFonts w:cs="Tahoma"/>
                <w:iCs/>
                <w:sz w:val="21"/>
                <w:szCs w:val="21"/>
              </w:rPr>
              <w:t xml:space="preserve"> 2021) e sem carência da Remuneração</w:t>
            </w:r>
            <w:r w:rsidR="00CF4987" w:rsidRPr="0040473F">
              <w:rPr>
                <w:rFonts w:cs="Tahoma"/>
                <w:iCs/>
                <w:sz w:val="21"/>
                <w:szCs w:val="21"/>
              </w:rPr>
              <w:t>.</w:t>
            </w:r>
          </w:p>
          <w:p w14:paraId="54F1DF94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31123FCE" w14:textId="77777777" w:rsidTr="005B3BCB">
        <w:tc>
          <w:tcPr>
            <w:tcW w:w="2835" w:type="dxa"/>
          </w:tcPr>
          <w:p w14:paraId="4E1991FD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Encargos Moratórios:</w:t>
            </w:r>
          </w:p>
        </w:tc>
        <w:tc>
          <w:tcPr>
            <w:tcW w:w="5954" w:type="dxa"/>
          </w:tcPr>
          <w:p w14:paraId="46027CF6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  <w:r w:rsidRPr="0040473F">
              <w:rPr>
                <w:rFonts w:cs="Tahoma"/>
                <w:iCs/>
                <w:sz w:val="21"/>
                <w:szCs w:val="21"/>
              </w:rPr>
              <w:t xml:space="preserve">Multa moratória de 2% (dois por cento) e Juros de mora de 1% a.m. (um por cento ao mês) </w:t>
            </w:r>
            <w:r w:rsidRPr="0040473F">
              <w:rPr>
                <w:rFonts w:cs="Tahoma"/>
                <w:i/>
                <w:sz w:val="21"/>
                <w:szCs w:val="21"/>
              </w:rPr>
              <w:t>pro rata die</w:t>
            </w:r>
            <w:r w:rsidRPr="0040473F">
              <w:rPr>
                <w:rFonts w:cs="Tahoma"/>
                <w:iCs/>
                <w:sz w:val="21"/>
                <w:szCs w:val="21"/>
              </w:rPr>
              <w:t>, sem prejuízo dos Juros Remuneratórios e da Atualização Monetária;</w:t>
            </w:r>
          </w:p>
          <w:p w14:paraId="6880D257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6FA2643F" w14:textId="77777777" w:rsidTr="005B3BCB">
        <w:tc>
          <w:tcPr>
            <w:tcW w:w="2835" w:type="dxa"/>
          </w:tcPr>
          <w:p w14:paraId="24268067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Tipo e Espécie:</w:t>
            </w:r>
          </w:p>
        </w:tc>
        <w:tc>
          <w:tcPr>
            <w:tcW w:w="5954" w:type="dxa"/>
          </w:tcPr>
          <w:p w14:paraId="7418BC97" w14:textId="073C8A7A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  <w:r w:rsidRPr="0040473F">
              <w:rPr>
                <w:rFonts w:cs="Tahoma"/>
                <w:iCs/>
                <w:sz w:val="21"/>
                <w:szCs w:val="21"/>
              </w:rPr>
              <w:t xml:space="preserve">Debêntures Simples </w:t>
            </w:r>
            <w:r w:rsidR="006814E0" w:rsidRPr="0040473F">
              <w:rPr>
                <w:rFonts w:cs="Tahoma"/>
                <w:iCs/>
                <w:sz w:val="21"/>
                <w:szCs w:val="21"/>
              </w:rPr>
              <w:t>com</w:t>
            </w:r>
            <w:r w:rsidRPr="0040473F">
              <w:rPr>
                <w:rFonts w:cs="Tahoma"/>
                <w:iCs/>
                <w:sz w:val="21"/>
                <w:szCs w:val="21"/>
              </w:rPr>
              <w:t xml:space="preserve"> garantia real </w:t>
            </w:r>
            <w:r w:rsidR="006814E0" w:rsidRPr="0040473F">
              <w:rPr>
                <w:rFonts w:cs="Tahoma"/>
                <w:iCs/>
                <w:sz w:val="21"/>
                <w:szCs w:val="21"/>
              </w:rPr>
              <w:t>e sem</w:t>
            </w:r>
            <w:r w:rsidRPr="0040473F">
              <w:rPr>
                <w:rFonts w:cs="Tahoma"/>
                <w:iCs/>
                <w:sz w:val="21"/>
                <w:szCs w:val="21"/>
              </w:rPr>
              <w:t xml:space="preserve"> subordinação entre si;</w:t>
            </w:r>
          </w:p>
          <w:p w14:paraId="7407F080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048F070E" w14:textId="77777777" w:rsidTr="005B3BCB">
        <w:tc>
          <w:tcPr>
            <w:tcW w:w="2835" w:type="dxa"/>
          </w:tcPr>
          <w:p w14:paraId="43ECA791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Conversibilidade:</w:t>
            </w:r>
          </w:p>
        </w:tc>
        <w:tc>
          <w:tcPr>
            <w:tcW w:w="5954" w:type="dxa"/>
          </w:tcPr>
          <w:p w14:paraId="68E5480E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  <w:r w:rsidRPr="0040473F">
              <w:rPr>
                <w:rFonts w:cs="Tahoma"/>
                <w:iCs/>
                <w:sz w:val="21"/>
                <w:szCs w:val="21"/>
              </w:rPr>
              <w:t>Debêntures Simples, não conversíveis em ações da Companhia e não permutáveis em ações de emissão da Companhia ou de terceiros;</w:t>
            </w:r>
          </w:p>
          <w:p w14:paraId="3F0A2DE2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74998A5B" w14:textId="77777777" w:rsidTr="005B3BCB">
        <w:tc>
          <w:tcPr>
            <w:tcW w:w="2835" w:type="dxa"/>
          </w:tcPr>
          <w:p w14:paraId="7E0E504A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Pré-Pagamento e</w:t>
            </w:r>
          </w:p>
          <w:p w14:paraId="062B2D88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Resgate:</w:t>
            </w:r>
          </w:p>
        </w:tc>
        <w:tc>
          <w:tcPr>
            <w:tcW w:w="5954" w:type="dxa"/>
          </w:tcPr>
          <w:p w14:paraId="417E7D9E" w14:textId="6CA70593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Cs/>
                <w:color w:val="000000"/>
                <w:sz w:val="21"/>
                <w:szCs w:val="21"/>
              </w:rPr>
            </w:pPr>
            <w:r w:rsidRPr="0040473F">
              <w:rPr>
                <w:rFonts w:cs="Tahoma"/>
                <w:iCs/>
                <w:sz w:val="21"/>
                <w:szCs w:val="21"/>
              </w:rPr>
              <w:t>Permitido a</w:t>
            </w:r>
            <w:r w:rsidR="006814E0" w:rsidRPr="0040473F">
              <w:rPr>
                <w:rFonts w:cs="Tahoma"/>
                <w:iCs/>
                <w:sz w:val="21"/>
                <w:szCs w:val="21"/>
              </w:rPr>
              <w:t xml:space="preserve"> partir do </w:t>
            </w:r>
            <w:r w:rsidR="006814E0" w:rsidRPr="0040473F">
              <w:rPr>
                <w:rFonts w:cs="Tahoma"/>
                <w:bCs/>
                <w:color w:val="000000"/>
                <w:sz w:val="21"/>
                <w:szCs w:val="21"/>
              </w:rPr>
              <w:t xml:space="preserve">25º (vigésimo quinto) mediante pagamento de </w:t>
            </w:r>
            <w:r w:rsidR="00FC26DA" w:rsidRPr="0040473F">
              <w:rPr>
                <w:rFonts w:cs="Tahoma"/>
                <w:bCs/>
                <w:color w:val="000000"/>
                <w:sz w:val="21"/>
                <w:szCs w:val="21"/>
              </w:rPr>
              <w:t>prêmio</w:t>
            </w:r>
            <w:r w:rsidR="006814E0" w:rsidRPr="0040473F">
              <w:rPr>
                <w:rFonts w:cs="Tahoma"/>
                <w:bCs/>
                <w:color w:val="000000"/>
                <w:sz w:val="21"/>
                <w:szCs w:val="21"/>
              </w:rPr>
              <w:t xml:space="preserve"> conforme abaixo:</w:t>
            </w:r>
          </w:p>
          <w:p w14:paraId="633E6E62" w14:textId="6D1D8B34" w:rsidR="006814E0" w:rsidRPr="0040473F" w:rsidRDefault="006814E0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98"/>
              <w:gridCol w:w="2830"/>
            </w:tblGrid>
            <w:tr w:rsidR="006814E0" w:rsidRPr="0040473F" w14:paraId="459614C2" w14:textId="77777777" w:rsidTr="006F6486">
              <w:trPr>
                <w:jc w:val="center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6922B7BB" w14:textId="77777777" w:rsidR="006814E0" w:rsidRPr="0040473F" w:rsidRDefault="006814E0" w:rsidP="0040473F">
                  <w:pPr>
                    <w:widowControl w:val="0"/>
                    <w:suppressAutoHyphens/>
                    <w:spacing w:line="300" w:lineRule="exact"/>
                    <w:contextualSpacing/>
                    <w:jc w:val="center"/>
                    <w:rPr>
                      <w:rFonts w:ascii="Tahoma" w:hAnsi="Tahoma" w:cs="Tahoma"/>
                      <w:b/>
                      <w:smallCaps/>
                      <w:color w:val="000000"/>
                      <w:sz w:val="21"/>
                      <w:szCs w:val="21"/>
                    </w:rPr>
                  </w:pPr>
                  <w:r w:rsidRPr="0040473F">
                    <w:rPr>
                      <w:rFonts w:ascii="Tahoma" w:hAnsi="Tahoma" w:cs="Tahoma"/>
                      <w:b/>
                      <w:smallCaps/>
                      <w:color w:val="000000"/>
                      <w:sz w:val="21"/>
                      <w:szCs w:val="21"/>
                    </w:rPr>
                    <w:t>Período do Resgate Antecipado Facultativo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73EF7CDD" w14:textId="6D47E512" w:rsidR="006814E0" w:rsidRPr="0040473F" w:rsidRDefault="006814E0" w:rsidP="0040473F">
                  <w:pPr>
                    <w:widowControl w:val="0"/>
                    <w:suppressAutoHyphens/>
                    <w:spacing w:line="300" w:lineRule="exact"/>
                    <w:contextualSpacing/>
                    <w:jc w:val="center"/>
                    <w:rPr>
                      <w:rFonts w:ascii="Tahoma" w:hAnsi="Tahoma" w:cs="Tahoma"/>
                      <w:b/>
                      <w:smallCaps/>
                      <w:color w:val="000000"/>
                      <w:sz w:val="21"/>
                      <w:szCs w:val="21"/>
                    </w:rPr>
                  </w:pPr>
                  <w:r w:rsidRPr="0040473F">
                    <w:rPr>
                      <w:rFonts w:ascii="Tahoma" w:hAnsi="Tahoma" w:cs="Tahoma"/>
                      <w:b/>
                      <w:smallCaps/>
                      <w:color w:val="000000"/>
                      <w:sz w:val="21"/>
                      <w:szCs w:val="21"/>
                    </w:rPr>
                    <w:t>Prêmio de Pré Pagamento</w:t>
                  </w:r>
                  <w:r w:rsidR="000102D6">
                    <w:rPr>
                      <w:rFonts w:ascii="Tahoma" w:hAnsi="Tahoma" w:cs="Tahoma"/>
                      <w:b/>
                      <w:smallCaps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6814E0" w:rsidRPr="0040473F" w14:paraId="3154233B" w14:textId="77777777" w:rsidTr="006F6486">
              <w:trPr>
                <w:jc w:val="center"/>
              </w:trPr>
              <w:tc>
                <w:tcPr>
                  <w:tcW w:w="2898" w:type="dxa"/>
                  <w:vAlign w:val="center"/>
                </w:tcPr>
                <w:p w14:paraId="29A734AA" w14:textId="77777777" w:rsidR="006814E0" w:rsidRPr="0040473F" w:rsidRDefault="006814E0" w:rsidP="0040473F">
                  <w:pPr>
                    <w:widowControl w:val="0"/>
                    <w:suppressAutoHyphens/>
                    <w:spacing w:line="300" w:lineRule="exact"/>
                    <w:contextualSpacing/>
                    <w:jc w:val="center"/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</w:pPr>
                  <w:r w:rsidRPr="0040473F"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  <w:lastRenderedPageBreak/>
                    <w:t>Entre o 25º (vigésimo quinto) e 48º (quadragésimo oitavo) meses (inclusive)</w:t>
                  </w:r>
                </w:p>
              </w:tc>
              <w:tc>
                <w:tcPr>
                  <w:tcW w:w="2830" w:type="dxa"/>
                  <w:vAlign w:val="center"/>
                </w:tcPr>
                <w:p w14:paraId="223DA0F2" w14:textId="5BA10F96" w:rsidR="006814E0" w:rsidRPr="0040473F" w:rsidRDefault="006F6486" w:rsidP="0040473F">
                  <w:pPr>
                    <w:widowControl w:val="0"/>
                    <w:suppressAutoHyphens/>
                    <w:spacing w:line="300" w:lineRule="exact"/>
                    <w:contextualSpacing/>
                    <w:jc w:val="center"/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</w:pPr>
                  <w:r w:rsidRPr="003F714A"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 xml:space="preserve">o menor entre: </w:t>
                  </w:r>
                  <w:r w:rsidRPr="006F6486">
                    <w:rPr>
                      <w:rFonts w:ascii="Tahoma" w:hAnsi="Tahoma" w:cs="Tahoma"/>
                      <w:b/>
                      <w:bCs/>
                      <w:i/>
                      <w:iCs/>
                      <w:color w:val="333333"/>
                      <w:sz w:val="21"/>
                      <w:szCs w:val="21"/>
                    </w:rPr>
                    <w:t>(i)</w:t>
                  </w:r>
                  <w:r w:rsidRPr="003F714A"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 xml:space="preserve"> taxa interna de retorno da NTN-B de</w:t>
                  </w:r>
                  <w:r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 xml:space="preserve"> mesma</w:t>
                  </w:r>
                  <w:r w:rsidRPr="003F714A"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> </w:t>
                  </w:r>
                  <w:r w:rsidRPr="003F714A">
                    <w:rPr>
                      <w:rFonts w:ascii="Tahoma" w:hAnsi="Tahoma" w:cs="Tahoma"/>
                      <w:i/>
                      <w:iCs/>
                      <w:color w:val="333333"/>
                      <w:sz w:val="21"/>
                      <w:szCs w:val="21"/>
                    </w:rPr>
                    <w:t>duration</w:t>
                  </w:r>
                  <w:r w:rsidRPr="003F714A"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>da</w:t>
                  </w:r>
                  <w:r w:rsidRPr="003F714A"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 xml:space="preserve"> Debênture acrescida de 3,5% a.a e </w:t>
                  </w:r>
                  <w:r w:rsidRPr="006F6486">
                    <w:rPr>
                      <w:rFonts w:ascii="Tahoma" w:hAnsi="Tahoma" w:cs="Tahoma"/>
                      <w:b/>
                      <w:bCs/>
                      <w:i/>
                      <w:iCs/>
                      <w:color w:val="333333"/>
                      <w:sz w:val="21"/>
                      <w:szCs w:val="21"/>
                    </w:rPr>
                    <w:t>(ii)</w:t>
                  </w:r>
                  <w:r w:rsidRPr="003F714A"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 xml:space="preserve">variação positiva do IPCA acrescida de </w:t>
                  </w:r>
                  <w:r w:rsidRPr="003F714A"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>6,5% a.a.</w:t>
                  </w:r>
                </w:p>
              </w:tc>
            </w:tr>
            <w:tr w:rsidR="006814E0" w:rsidRPr="0040473F" w14:paraId="427857E0" w14:textId="77777777" w:rsidTr="006F6486">
              <w:trPr>
                <w:jc w:val="center"/>
              </w:trPr>
              <w:tc>
                <w:tcPr>
                  <w:tcW w:w="2898" w:type="dxa"/>
                  <w:vAlign w:val="center"/>
                </w:tcPr>
                <w:p w14:paraId="03D85492" w14:textId="77777777" w:rsidR="006814E0" w:rsidRPr="0040473F" w:rsidRDefault="006814E0" w:rsidP="0040473F">
                  <w:pPr>
                    <w:widowControl w:val="0"/>
                    <w:suppressAutoHyphens/>
                    <w:spacing w:line="300" w:lineRule="exact"/>
                    <w:contextualSpacing/>
                    <w:jc w:val="center"/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</w:pPr>
                  <w:r w:rsidRPr="0040473F"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  <w:t>Entre o 49º (quadragésimo nono) e 72º (septuagésimo segundo) meses (inclusive)</w:t>
                  </w:r>
                </w:p>
              </w:tc>
              <w:tc>
                <w:tcPr>
                  <w:tcW w:w="2830" w:type="dxa"/>
                  <w:vAlign w:val="center"/>
                </w:tcPr>
                <w:p w14:paraId="51298FA4" w14:textId="46007BCD" w:rsidR="006814E0" w:rsidRPr="0040473F" w:rsidRDefault="006F6486" w:rsidP="0040473F">
                  <w:pPr>
                    <w:widowControl w:val="0"/>
                    <w:suppressAutoHyphens/>
                    <w:spacing w:line="300" w:lineRule="exact"/>
                    <w:contextualSpacing/>
                    <w:jc w:val="center"/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</w:pPr>
                  <w:r w:rsidRPr="003F714A"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 xml:space="preserve">o menor entre: </w:t>
                  </w:r>
                  <w:r w:rsidRPr="006F6486">
                    <w:rPr>
                      <w:rFonts w:ascii="Tahoma" w:hAnsi="Tahoma" w:cs="Tahoma"/>
                      <w:b/>
                      <w:bCs/>
                      <w:i/>
                      <w:iCs/>
                      <w:color w:val="333333"/>
                      <w:sz w:val="21"/>
                      <w:szCs w:val="21"/>
                    </w:rPr>
                    <w:t>(i)</w:t>
                  </w:r>
                  <w:r w:rsidRPr="003F714A"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 xml:space="preserve"> taxa interna de retorno da NTN-B de</w:t>
                  </w:r>
                  <w:r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 xml:space="preserve"> mesma</w:t>
                  </w:r>
                  <w:r w:rsidRPr="003F714A"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> </w:t>
                  </w:r>
                  <w:r w:rsidRPr="003F714A">
                    <w:rPr>
                      <w:rFonts w:ascii="Tahoma" w:hAnsi="Tahoma" w:cs="Tahoma"/>
                      <w:i/>
                      <w:iCs/>
                      <w:color w:val="333333"/>
                      <w:sz w:val="21"/>
                      <w:szCs w:val="21"/>
                    </w:rPr>
                    <w:t>duration</w:t>
                  </w:r>
                  <w:r w:rsidRPr="003F714A"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>da</w:t>
                  </w:r>
                  <w:r w:rsidRPr="003F714A"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 xml:space="preserve"> Debênture acrescida de 4,0% a.a; e </w:t>
                  </w:r>
                  <w:r w:rsidRPr="006F6486">
                    <w:rPr>
                      <w:rFonts w:ascii="Tahoma" w:hAnsi="Tahoma" w:cs="Tahoma"/>
                      <w:b/>
                      <w:bCs/>
                      <w:i/>
                      <w:iCs/>
                      <w:color w:val="333333"/>
                      <w:sz w:val="21"/>
                      <w:szCs w:val="21"/>
                    </w:rPr>
                    <w:t>(ii)</w:t>
                  </w:r>
                  <w:r w:rsidRPr="003F714A"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 xml:space="preserve">variação positiva do IPCA acrescida de </w:t>
                  </w:r>
                  <w:r w:rsidRPr="003F714A"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>7% a.a.</w:t>
                  </w:r>
                </w:p>
              </w:tc>
            </w:tr>
            <w:tr w:rsidR="006814E0" w:rsidRPr="0040473F" w14:paraId="320FFE93" w14:textId="77777777" w:rsidTr="006F6486">
              <w:trPr>
                <w:jc w:val="center"/>
              </w:trPr>
              <w:tc>
                <w:tcPr>
                  <w:tcW w:w="2898" w:type="dxa"/>
                  <w:vAlign w:val="center"/>
                </w:tcPr>
                <w:p w14:paraId="1DD0094A" w14:textId="77777777" w:rsidR="006814E0" w:rsidRPr="0040473F" w:rsidRDefault="006814E0" w:rsidP="0040473F">
                  <w:pPr>
                    <w:widowControl w:val="0"/>
                    <w:suppressAutoHyphens/>
                    <w:spacing w:line="300" w:lineRule="exact"/>
                    <w:contextualSpacing/>
                    <w:jc w:val="center"/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</w:pPr>
                  <w:r w:rsidRPr="0040473F"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  <w:t>A partir do 73º (septuagésimo terceiro) mês</w:t>
                  </w:r>
                </w:p>
              </w:tc>
              <w:tc>
                <w:tcPr>
                  <w:tcW w:w="2830" w:type="dxa"/>
                  <w:vAlign w:val="center"/>
                </w:tcPr>
                <w:p w14:paraId="51011859" w14:textId="7B7BA001" w:rsidR="006814E0" w:rsidRPr="0040473F" w:rsidRDefault="000102D6" w:rsidP="0040473F">
                  <w:pPr>
                    <w:widowControl w:val="0"/>
                    <w:suppressAutoHyphens/>
                    <w:spacing w:line="300" w:lineRule="exact"/>
                    <w:contextualSpacing/>
                    <w:jc w:val="center"/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  <w:t xml:space="preserve">Igual a </w:t>
                  </w:r>
                  <w:r w:rsidR="006814E0" w:rsidRPr="0040473F"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  <w:t>0,25%</w:t>
                  </w:r>
                </w:p>
              </w:tc>
            </w:tr>
          </w:tbl>
          <w:p w14:paraId="2CA5ED9E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4C6FD788" w14:textId="77777777" w:rsidTr="005B3BCB">
        <w:tc>
          <w:tcPr>
            <w:tcW w:w="2835" w:type="dxa"/>
          </w:tcPr>
          <w:p w14:paraId="415DBB98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lastRenderedPageBreak/>
              <w:t>Vencimento Antecipado:</w:t>
            </w:r>
          </w:p>
        </w:tc>
        <w:tc>
          <w:tcPr>
            <w:tcW w:w="5954" w:type="dxa"/>
          </w:tcPr>
          <w:p w14:paraId="43F29DD8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  <w:r w:rsidRPr="0040473F">
              <w:rPr>
                <w:rFonts w:cs="Tahoma"/>
                <w:sz w:val="21"/>
                <w:szCs w:val="21"/>
              </w:rPr>
              <w:t>As Debêntures e todas as obrigações assumidas pela Companhia poderão ser consideradas antecipadamente vencidas, independentemente de qualquer notificação judicial ou extrajudicial, na ocorrência das hipóteses a serem previstas na competente escritura de emissão as Debêntures;</w:t>
            </w:r>
          </w:p>
          <w:p w14:paraId="4D9E4953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26474601" w14:textId="77777777" w:rsidTr="005B3BCB">
        <w:tc>
          <w:tcPr>
            <w:tcW w:w="2835" w:type="dxa"/>
          </w:tcPr>
          <w:p w14:paraId="79AC6933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Participação nos lucros e Prêmios de Reembolso:</w:t>
            </w:r>
          </w:p>
        </w:tc>
        <w:tc>
          <w:tcPr>
            <w:tcW w:w="5954" w:type="dxa"/>
          </w:tcPr>
          <w:p w14:paraId="664CBFD6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  <w:r w:rsidRPr="0040473F">
              <w:rPr>
                <w:rFonts w:cs="Tahoma"/>
                <w:iCs/>
                <w:sz w:val="21"/>
                <w:szCs w:val="21"/>
              </w:rPr>
              <w:t>As Debêntures não darão direito a qualquer participação nos lucros da Companhia ou prêmios de reembolso aos seus titulares;</w:t>
            </w:r>
          </w:p>
          <w:p w14:paraId="29686DC1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07FD050E" w14:textId="77777777" w:rsidTr="005B3BCB">
        <w:tc>
          <w:tcPr>
            <w:tcW w:w="2835" w:type="dxa"/>
          </w:tcPr>
          <w:p w14:paraId="17555361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Destinação dos</w:t>
            </w:r>
          </w:p>
          <w:p w14:paraId="3F6C80DD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Recursos:</w:t>
            </w:r>
          </w:p>
        </w:tc>
        <w:tc>
          <w:tcPr>
            <w:tcW w:w="5954" w:type="dxa"/>
          </w:tcPr>
          <w:p w14:paraId="34A226E1" w14:textId="77777777" w:rsidR="00673B3D" w:rsidRDefault="0055792E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color w:val="000000"/>
                <w:sz w:val="21"/>
                <w:szCs w:val="21"/>
              </w:rPr>
            </w:pPr>
            <w:r w:rsidRPr="0040473F">
              <w:rPr>
                <w:rFonts w:cs="Tahoma"/>
                <w:sz w:val="21"/>
                <w:szCs w:val="21"/>
              </w:rPr>
              <w:t xml:space="preserve">captação de recursos para </w:t>
            </w:r>
            <w:r w:rsidRPr="0040473F">
              <w:rPr>
                <w:rFonts w:cs="Tahoma"/>
                <w:color w:val="000000"/>
                <w:sz w:val="21"/>
                <w:szCs w:val="21"/>
              </w:rPr>
              <w:t>o desenvolvimento de projetos de construção, aquisição de equipamentos fotovoltaicos, comercialização, locação, gerenciamento, operação e manutenção de unidades de microgeração e minigeração distribuída, prioritariamente, de energia elétrica fotovoltaica</w:t>
            </w:r>
            <w:r w:rsidR="000102D6">
              <w:rPr>
                <w:rFonts w:cs="Tahoma"/>
                <w:color w:val="000000"/>
                <w:sz w:val="21"/>
                <w:szCs w:val="21"/>
              </w:rPr>
              <w:t>;</w:t>
            </w:r>
          </w:p>
          <w:p w14:paraId="3114DA07" w14:textId="69992EB8" w:rsidR="000102D6" w:rsidRPr="0040473F" w:rsidRDefault="000102D6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  <w:tr w:rsidR="00673B3D" w:rsidRPr="0040473F" w14:paraId="39EB97A8" w14:textId="77777777" w:rsidTr="005B3BCB">
        <w:tc>
          <w:tcPr>
            <w:tcW w:w="2835" w:type="dxa"/>
          </w:tcPr>
          <w:p w14:paraId="10B79AA5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b/>
                <w:bCs/>
                <w:iCs/>
                <w:smallCaps/>
                <w:sz w:val="21"/>
                <w:szCs w:val="21"/>
              </w:rPr>
            </w:pPr>
            <w:r w:rsidRPr="0040473F">
              <w:rPr>
                <w:rFonts w:cs="Tahoma"/>
                <w:b/>
                <w:bCs/>
                <w:iCs/>
                <w:smallCaps/>
                <w:sz w:val="21"/>
                <w:szCs w:val="21"/>
              </w:rPr>
              <w:t>Garantias:</w:t>
            </w:r>
          </w:p>
        </w:tc>
        <w:tc>
          <w:tcPr>
            <w:tcW w:w="5954" w:type="dxa"/>
          </w:tcPr>
          <w:p w14:paraId="5BED8027" w14:textId="7F8E220B" w:rsidR="0055792E" w:rsidRPr="0040473F" w:rsidRDefault="0055792E" w:rsidP="0040473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00" w:lineRule="exact"/>
              <w:contextualSpacing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0473F">
              <w:rPr>
                <w:rFonts w:ascii="Tahoma" w:hAnsi="Tahoma" w:cs="Tahoma"/>
                <w:b/>
                <w:bCs/>
                <w:sz w:val="21"/>
                <w:szCs w:val="21"/>
                <w:u w:val="single"/>
              </w:rPr>
              <w:t>Alienação Fiduciária de Equipamento</w:t>
            </w:r>
            <w:r w:rsidRPr="0040473F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  <w:r w:rsidRPr="0040473F">
              <w:rPr>
                <w:rFonts w:ascii="Tahoma" w:hAnsi="Tahoma" w:cs="Tahoma"/>
                <w:sz w:val="21"/>
                <w:szCs w:val="21"/>
              </w:rPr>
              <w:t xml:space="preserve"> garantia real de alienação fiduciária dos equipamentos de geração fotovoltaica, a serem instalados nos </w:t>
            </w:r>
            <w:bookmarkStart w:id="3" w:name="_Hlk20925828"/>
            <w:r w:rsidRPr="0040473F">
              <w:rPr>
                <w:rFonts w:ascii="Tahoma" w:hAnsi="Tahoma" w:cs="Tahoma"/>
                <w:sz w:val="21"/>
                <w:szCs w:val="21"/>
              </w:rPr>
              <w:t>imóveis objeto dos projetos (respectivamente, “</w:t>
            </w:r>
            <w:r w:rsidRPr="0040473F">
              <w:rPr>
                <w:rFonts w:ascii="Tahoma" w:hAnsi="Tahoma" w:cs="Tahoma"/>
                <w:sz w:val="21"/>
                <w:szCs w:val="21"/>
                <w:u w:val="single"/>
              </w:rPr>
              <w:t>Equipamentos</w:t>
            </w:r>
            <w:r w:rsidRPr="0040473F">
              <w:rPr>
                <w:rFonts w:ascii="Tahoma" w:hAnsi="Tahoma" w:cs="Tahoma"/>
                <w:sz w:val="21"/>
                <w:szCs w:val="21"/>
              </w:rPr>
              <w:t>” e “</w:t>
            </w:r>
            <w:r w:rsidRPr="0040473F">
              <w:rPr>
                <w:rFonts w:ascii="Tahoma" w:hAnsi="Tahoma" w:cs="Tahoma"/>
                <w:sz w:val="21"/>
                <w:szCs w:val="21"/>
                <w:u w:val="single"/>
              </w:rPr>
              <w:t>Imóveis</w:t>
            </w:r>
            <w:r w:rsidRPr="0040473F">
              <w:rPr>
                <w:rFonts w:ascii="Tahoma" w:hAnsi="Tahoma" w:cs="Tahoma"/>
                <w:sz w:val="21"/>
                <w:szCs w:val="21"/>
              </w:rPr>
              <w:t>”)</w:t>
            </w:r>
            <w:bookmarkEnd w:id="3"/>
            <w:r w:rsidRPr="0040473F">
              <w:rPr>
                <w:rFonts w:ascii="Tahoma" w:hAnsi="Tahoma" w:cs="Tahoma"/>
                <w:sz w:val="21"/>
                <w:szCs w:val="21"/>
              </w:rPr>
              <w:t>, outorgada pela Companhia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</w:rPr>
              <w:t>, nos termos do competente Contrato de Promessa de Alienação Fiduciária de Equipamentos (“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  <w:u w:val="single"/>
              </w:rPr>
              <w:t>Equipamentos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</w:rPr>
              <w:t>”).</w:t>
            </w:r>
          </w:p>
          <w:p w14:paraId="415A3B00" w14:textId="77777777" w:rsidR="0055792E" w:rsidRPr="0040473F" w:rsidRDefault="0055792E" w:rsidP="0040473F">
            <w:pPr>
              <w:widowControl w:val="0"/>
              <w:spacing w:line="300" w:lineRule="exact"/>
              <w:contextualSpacing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3D9638E1" w14:textId="0D4F9A9B" w:rsidR="0055792E" w:rsidRPr="0040473F" w:rsidRDefault="0055792E" w:rsidP="0040473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00" w:lineRule="exact"/>
              <w:contextualSpacing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40473F">
              <w:rPr>
                <w:rFonts w:ascii="Tahoma" w:hAnsi="Tahoma" w:cs="Tahoma"/>
                <w:b/>
                <w:bCs/>
                <w:sz w:val="21"/>
                <w:szCs w:val="21"/>
                <w:u w:val="single"/>
              </w:rPr>
              <w:t>Cessão Fiduciária de Recebíveis</w:t>
            </w:r>
            <w:r w:rsidRPr="0040473F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</w:rPr>
              <w:t xml:space="preserve"> garantia de cessão fiduciária, a ser outorgada pela Companhia, nos termos do Contrato de Cessão Fiduciária de Recebíveis, tendo por objeto 100% (cem por cento) dos recebíveis decorrentes dos </w:t>
            </w:r>
            <w:r w:rsidR="00E94811" w:rsidRPr="007074C8"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Contrato</w:t>
            </w:r>
            <w:r w:rsidR="00E94811"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s</w:t>
            </w:r>
            <w:r w:rsidR="00E94811" w:rsidRPr="007074C8"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 xml:space="preserve"> de Locação </w:t>
            </w:r>
            <w:r w:rsidR="00E94811" w:rsidRPr="007074C8"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lastRenderedPageBreak/>
              <w:t>de Unidade de Geração Fotovoltaica e Outras Avenças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</w:rPr>
              <w:t xml:space="preserve"> (“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  <w:u w:val="single"/>
              </w:rPr>
              <w:t>Contratos de Locação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</w:rPr>
              <w:t>”), conforme melhor descritos no Contrato de Cessão Fiduciária de Recebíveis (“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  <w:u w:val="single"/>
              </w:rPr>
              <w:t>Recebíveis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</w:rPr>
              <w:t>”).</w:t>
            </w:r>
          </w:p>
          <w:p w14:paraId="51BAE49C" w14:textId="77777777" w:rsidR="0055792E" w:rsidRPr="0040473F" w:rsidRDefault="0055792E" w:rsidP="0040473F">
            <w:pPr>
              <w:pStyle w:val="PargrafodaLista"/>
              <w:widowControl w:val="0"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09E115B5" w14:textId="7D333038" w:rsidR="0055792E" w:rsidRPr="0040473F" w:rsidRDefault="0055792E" w:rsidP="0040473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00" w:lineRule="exact"/>
              <w:contextualSpacing/>
              <w:jc w:val="both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u w:val="single"/>
              </w:rPr>
            </w:pPr>
            <w:r w:rsidRPr="0040473F">
              <w:rPr>
                <w:rFonts w:ascii="Tahoma" w:hAnsi="Tahoma" w:cs="Tahoma"/>
                <w:b/>
                <w:bCs/>
                <w:sz w:val="21"/>
                <w:szCs w:val="21"/>
                <w:u w:val="single"/>
              </w:rPr>
              <w:t>Alienação Fiduciária das Ações</w:t>
            </w:r>
            <w:r w:rsidRPr="0040473F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  <w:r w:rsidRPr="0040473F">
              <w:rPr>
                <w:rFonts w:ascii="Tahoma" w:hAnsi="Tahoma" w:cs="Tahoma"/>
                <w:sz w:val="21"/>
                <w:szCs w:val="21"/>
              </w:rPr>
              <w:t xml:space="preserve"> garantia de alienação fiduciária </w:t>
            </w:r>
            <w:bookmarkStart w:id="4" w:name="_Hlk20929746"/>
            <w:r w:rsidRPr="0040473F">
              <w:rPr>
                <w:rFonts w:ascii="Tahoma" w:hAnsi="Tahoma" w:cs="Tahoma"/>
                <w:sz w:val="21"/>
                <w:szCs w:val="21"/>
              </w:rPr>
              <w:t>da totalidade das ações de emissão da Companhia, nos termos do Contrato de Alienação Fiduciária de Ações, tendo por objeto todas as ações e seus direitos econômicos</w:t>
            </w:r>
            <w:bookmarkEnd w:id="4"/>
            <w:r w:rsidRPr="0040473F">
              <w:rPr>
                <w:rFonts w:ascii="Tahoma" w:hAnsi="Tahoma" w:cs="Tahoma"/>
                <w:sz w:val="21"/>
                <w:szCs w:val="21"/>
              </w:rPr>
              <w:t xml:space="preserve"> (“</w:t>
            </w:r>
            <w:r w:rsidRPr="0040473F">
              <w:rPr>
                <w:rFonts w:ascii="Tahoma" w:hAnsi="Tahoma" w:cs="Tahoma"/>
                <w:sz w:val="21"/>
                <w:szCs w:val="21"/>
                <w:u w:val="single"/>
              </w:rPr>
              <w:t>Ações</w:t>
            </w:r>
            <w:r w:rsidRPr="0040473F">
              <w:rPr>
                <w:rFonts w:ascii="Tahoma" w:hAnsi="Tahoma" w:cs="Tahoma"/>
                <w:sz w:val="21"/>
                <w:szCs w:val="21"/>
              </w:rPr>
              <w:t>”).</w:t>
            </w:r>
          </w:p>
          <w:p w14:paraId="1B0A7CD9" w14:textId="77777777" w:rsidR="0055792E" w:rsidRPr="0040473F" w:rsidRDefault="0055792E" w:rsidP="0040473F">
            <w:pPr>
              <w:pStyle w:val="PargrafodaLista"/>
              <w:widowControl w:val="0"/>
              <w:spacing w:line="300" w:lineRule="exact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u w:val="single"/>
              </w:rPr>
            </w:pPr>
          </w:p>
          <w:p w14:paraId="7C645E3B" w14:textId="5F9F40B3" w:rsidR="0055792E" w:rsidRPr="0040473F" w:rsidRDefault="0055792E" w:rsidP="0040473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00" w:lineRule="exact"/>
              <w:contextualSpacing/>
              <w:jc w:val="both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u w:val="single"/>
              </w:rPr>
            </w:pPr>
            <w:r w:rsidRPr="0040473F">
              <w:rPr>
                <w:rFonts w:ascii="Tahoma" w:hAnsi="Tahoma" w:cs="Tahoma"/>
                <w:b/>
                <w:bCs/>
                <w:sz w:val="21"/>
                <w:szCs w:val="21"/>
                <w:u w:val="single"/>
              </w:rPr>
              <w:t>Fundo de Reserva</w:t>
            </w:r>
            <w:r w:rsidRPr="0040473F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</w:rPr>
              <w:t xml:space="preserve"> fundo de reserva em montante correspondente, a todo e qualquer momento, a no mínimo as 2 (duas) próximas parcelas de amortização e Remuneração das Debêntures (“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  <w:u w:val="single"/>
              </w:rPr>
              <w:t>Montante Mínimo do Fundo de Reserva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</w:rPr>
              <w:t>”); a ser constituído pela Companhia em até 12 (doze) meses contados após o término da Carência (“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  <w:u w:val="single"/>
              </w:rPr>
              <w:t>Fundo de Reserva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</w:rPr>
              <w:t>”, e, em conjunto com a Promessa de Alienação Fiduciária de Equipamentos, a Cessão Fiduciária de Recebíveis</w:t>
            </w:r>
            <w:r w:rsidR="00E94811">
              <w:rPr>
                <w:rFonts w:ascii="Tahoma" w:hAnsi="Tahoma" w:cs="Tahoma"/>
                <w:color w:val="000000"/>
                <w:sz w:val="21"/>
                <w:szCs w:val="21"/>
              </w:rPr>
              <w:t xml:space="preserve"> e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</w:rPr>
              <w:t xml:space="preserve"> a </w:t>
            </w:r>
            <w:r w:rsidRPr="0040473F">
              <w:rPr>
                <w:rFonts w:ascii="Tahoma" w:hAnsi="Tahoma" w:cs="Tahoma"/>
                <w:sz w:val="21"/>
                <w:szCs w:val="21"/>
              </w:rPr>
              <w:t>Alienação Fiduciária das Ações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</w:rPr>
              <w:t>, as “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  <w:u w:val="single"/>
              </w:rPr>
              <w:t>Garantias</w:t>
            </w:r>
            <w:r w:rsidRPr="0040473F">
              <w:rPr>
                <w:rFonts w:ascii="Tahoma" w:hAnsi="Tahoma" w:cs="Tahoma"/>
                <w:color w:val="000000"/>
                <w:sz w:val="21"/>
                <w:szCs w:val="21"/>
              </w:rPr>
              <w:t>”).</w:t>
            </w:r>
          </w:p>
          <w:p w14:paraId="17087134" w14:textId="77777777" w:rsidR="00673B3D" w:rsidRPr="0040473F" w:rsidRDefault="00673B3D" w:rsidP="0040473F">
            <w:pPr>
              <w:pStyle w:val="Body2"/>
              <w:widowControl w:val="0"/>
              <w:spacing w:after="0" w:line="300" w:lineRule="exact"/>
              <w:ind w:left="0"/>
              <w:rPr>
                <w:rFonts w:cs="Tahoma"/>
                <w:iCs/>
                <w:sz w:val="21"/>
                <w:szCs w:val="21"/>
              </w:rPr>
            </w:pPr>
          </w:p>
        </w:tc>
      </w:tr>
    </w:tbl>
    <w:p w14:paraId="1E25D19D" w14:textId="77777777" w:rsidR="00673B3D" w:rsidRPr="0040473F" w:rsidRDefault="00673B3D" w:rsidP="0040473F">
      <w:pPr>
        <w:pStyle w:val="Body2"/>
        <w:widowControl w:val="0"/>
        <w:spacing w:after="0" w:line="300" w:lineRule="exact"/>
        <w:rPr>
          <w:rFonts w:cs="Tahoma"/>
          <w:i/>
          <w:sz w:val="21"/>
          <w:szCs w:val="21"/>
        </w:rPr>
      </w:pPr>
    </w:p>
    <w:p w14:paraId="5AE5462C" w14:textId="77777777" w:rsidR="0028606F" w:rsidRPr="0040473F" w:rsidRDefault="0028606F" w:rsidP="0040473F">
      <w:pPr>
        <w:widowControl w:val="0"/>
        <w:spacing w:after="0" w:line="300" w:lineRule="exact"/>
        <w:jc w:val="both"/>
        <w:rPr>
          <w:rFonts w:ascii="Tahoma" w:hAnsi="Tahoma" w:cs="Tahoma"/>
          <w:sz w:val="21"/>
          <w:szCs w:val="21"/>
        </w:rPr>
      </w:pPr>
    </w:p>
    <w:p w14:paraId="7F34DE79" w14:textId="77777777" w:rsidR="00565BB0" w:rsidRPr="0040473F" w:rsidRDefault="00565BB0" w:rsidP="0040473F">
      <w:pPr>
        <w:pStyle w:val="PargrafodaLista"/>
        <w:widowControl w:val="0"/>
        <w:numPr>
          <w:ilvl w:val="0"/>
          <w:numId w:val="1"/>
        </w:numPr>
        <w:spacing w:after="0" w:line="300" w:lineRule="exact"/>
        <w:jc w:val="both"/>
        <w:rPr>
          <w:rFonts w:ascii="Tahoma" w:hAnsi="Tahoma" w:cs="Tahoma"/>
          <w:sz w:val="21"/>
          <w:szCs w:val="21"/>
        </w:rPr>
      </w:pPr>
      <w:r w:rsidRPr="0040473F">
        <w:rPr>
          <w:rFonts w:ascii="Tahoma" w:hAnsi="Tahoma" w:cs="Tahoma"/>
          <w:b/>
          <w:sz w:val="21"/>
          <w:szCs w:val="21"/>
        </w:rPr>
        <w:t>Encerramento, Lavratura e Aprovação da Ata</w:t>
      </w:r>
      <w:r w:rsidRPr="0040473F">
        <w:rPr>
          <w:rFonts w:ascii="Tahoma" w:hAnsi="Tahoma" w:cs="Tahoma"/>
          <w:sz w:val="21"/>
          <w:szCs w:val="21"/>
        </w:rPr>
        <w:t>: Nada mais havendo a tratar, e como nenhum dos presentes quisesse fazer uso da palavra, foram encerrados os trabalhos, lavrando-se a presente ata, a qual foi lida, achada conforme e assinada por todos os presentes.</w:t>
      </w:r>
    </w:p>
    <w:p w14:paraId="2A47B44E" w14:textId="32DEF15C" w:rsidR="00565BB0" w:rsidRPr="0040473F" w:rsidRDefault="00565BB0" w:rsidP="0040473F">
      <w:pPr>
        <w:widowControl w:val="0"/>
        <w:spacing w:after="0" w:line="300" w:lineRule="exact"/>
        <w:jc w:val="both"/>
        <w:rPr>
          <w:rFonts w:ascii="Tahoma" w:hAnsi="Tahoma" w:cs="Tahoma"/>
          <w:sz w:val="21"/>
          <w:szCs w:val="21"/>
        </w:rPr>
      </w:pPr>
    </w:p>
    <w:p w14:paraId="2DDE30DD" w14:textId="1F0B655A" w:rsidR="00796EDF" w:rsidRPr="0040473F" w:rsidRDefault="00796EDF" w:rsidP="0040473F">
      <w:pPr>
        <w:widowControl w:val="0"/>
        <w:spacing w:after="0" w:line="300" w:lineRule="exact"/>
        <w:jc w:val="center"/>
        <w:rPr>
          <w:rFonts w:ascii="Tahoma" w:hAnsi="Tahoma" w:cs="Tahoma"/>
          <w:sz w:val="21"/>
          <w:szCs w:val="21"/>
        </w:rPr>
      </w:pPr>
      <w:r w:rsidRPr="0040473F">
        <w:rPr>
          <w:rFonts w:ascii="Tahoma" w:hAnsi="Tahoma" w:cs="Tahoma"/>
          <w:sz w:val="21"/>
          <w:szCs w:val="21"/>
        </w:rPr>
        <w:t>A presente ata é cópia fiel da via original lavrada em livro próprio.</w:t>
      </w:r>
    </w:p>
    <w:p w14:paraId="133BEE49" w14:textId="77777777" w:rsidR="00796EDF" w:rsidRPr="0040473F" w:rsidRDefault="00796EDF" w:rsidP="0040473F">
      <w:pPr>
        <w:widowControl w:val="0"/>
        <w:spacing w:after="0" w:line="300" w:lineRule="exact"/>
        <w:jc w:val="both"/>
        <w:rPr>
          <w:rFonts w:ascii="Tahoma" w:hAnsi="Tahoma" w:cs="Tahoma"/>
          <w:sz w:val="21"/>
          <w:szCs w:val="21"/>
        </w:rPr>
      </w:pPr>
    </w:p>
    <w:p w14:paraId="1BDCE0FD" w14:textId="4D52F57A" w:rsidR="00565BB0" w:rsidRPr="0040473F" w:rsidRDefault="0055792E" w:rsidP="0040473F">
      <w:pPr>
        <w:widowControl w:val="0"/>
        <w:spacing w:after="0" w:line="300" w:lineRule="exact"/>
        <w:jc w:val="center"/>
        <w:rPr>
          <w:rFonts w:ascii="Tahoma" w:hAnsi="Tahoma" w:cs="Tahoma"/>
          <w:sz w:val="21"/>
          <w:szCs w:val="21"/>
        </w:rPr>
      </w:pPr>
      <w:r w:rsidRPr="0040473F">
        <w:rPr>
          <w:rFonts w:ascii="Tahoma" w:hAnsi="Tahoma" w:cs="Tahoma"/>
          <w:sz w:val="21"/>
          <w:szCs w:val="21"/>
        </w:rPr>
        <w:t>São Paulo</w:t>
      </w:r>
      <w:r w:rsidR="00C00EB9" w:rsidRPr="0040473F">
        <w:rPr>
          <w:rFonts w:ascii="Tahoma" w:hAnsi="Tahoma" w:cs="Tahoma"/>
          <w:sz w:val="21"/>
          <w:szCs w:val="21"/>
        </w:rPr>
        <w:t xml:space="preserve"> </w:t>
      </w:r>
      <w:r w:rsidR="00762390" w:rsidRPr="0040473F">
        <w:rPr>
          <w:rFonts w:ascii="Tahoma" w:hAnsi="Tahoma" w:cs="Tahoma"/>
          <w:sz w:val="21"/>
          <w:szCs w:val="21"/>
        </w:rPr>
        <w:t>-</w:t>
      </w:r>
      <w:r w:rsidR="00C00EB9" w:rsidRPr="0040473F">
        <w:rPr>
          <w:rFonts w:ascii="Tahoma" w:hAnsi="Tahoma" w:cs="Tahoma"/>
          <w:sz w:val="21"/>
          <w:szCs w:val="21"/>
        </w:rPr>
        <w:t xml:space="preserve"> </w:t>
      </w:r>
      <w:r w:rsidRPr="0040473F">
        <w:rPr>
          <w:rFonts w:ascii="Tahoma" w:hAnsi="Tahoma" w:cs="Tahoma"/>
          <w:sz w:val="21"/>
          <w:szCs w:val="21"/>
        </w:rPr>
        <w:t>SP</w:t>
      </w:r>
      <w:r w:rsidR="00565BB0" w:rsidRPr="0040473F">
        <w:rPr>
          <w:rFonts w:ascii="Tahoma" w:hAnsi="Tahoma" w:cs="Tahoma"/>
          <w:sz w:val="21"/>
          <w:szCs w:val="21"/>
        </w:rPr>
        <w:t>,</w:t>
      </w:r>
      <w:r w:rsidR="00762390" w:rsidRPr="0040473F">
        <w:rPr>
          <w:rFonts w:ascii="Tahoma" w:hAnsi="Tahoma" w:cs="Tahoma"/>
          <w:sz w:val="21"/>
          <w:szCs w:val="21"/>
        </w:rPr>
        <w:t xml:space="preserve"> </w:t>
      </w:r>
      <w:r w:rsidR="00622F22">
        <w:rPr>
          <w:rFonts w:ascii="Tahoma" w:hAnsi="Tahoma" w:cs="Tahoma"/>
          <w:sz w:val="21"/>
          <w:szCs w:val="21"/>
        </w:rPr>
        <w:t>22</w:t>
      </w:r>
      <w:r w:rsidR="00E94811">
        <w:rPr>
          <w:rFonts w:ascii="Tahoma" w:hAnsi="Tahoma" w:cs="Tahoma"/>
          <w:sz w:val="21"/>
          <w:szCs w:val="21"/>
        </w:rPr>
        <w:t xml:space="preserve"> de ju</w:t>
      </w:r>
      <w:r w:rsidR="003245ED">
        <w:rPr>
          <w:rFonts w:ascii="Tahoma" w:hAnsi="Tahoma" w:cs="Tahoma"/>
          <w:sz w:val="21"/>
          <w:szCs w:val="21"/>
        </w:rPr>
        <w:t>l</w:t>
      </w:r>
      <w:r w:rsidR="00E94811">
        <w:rPr>
          <w:rFonts w:ascii="Tahoma" w:hAnsi="Tahoma" w:cs="Tahoma"/>
          <w:sz w:val="21"/>
          <w:szCs w:val="21"/>
        </w:rPr>
        <w:t>ho de 2020</w:t>
      </w:r>
      <w:r w:rsidR="00BF364D" w:rsidRPr="0040473F">
        <w:rPr>
          <w:rFonts w:ascii="Tahoma" w:hAnsi="Tahoma" w:cs="Tahoma"/>
          <w:sz w:val="21"/>
          <w:szCs w:val="21"/>
        </w:rPr>
        <w:t>.</w:t>
      </w:r>
    </w:p>
    <w:p w14:paraId="164CFA74" w14:textId="77777777" w:rsidR="00BF364D" w:rsidRPr="0040473F" w:rsidRDefault="00BF364D" w:rsidP="0040473F">
      <w:pPr>
        <w:widowControl w:val="0"/>
        <w:spacing w:after="0" w:line="300" w:lineRule="exact"/>
        <w:rPr>
          <w:rFonts w:ascii="Tahoma" w:hAnsi="Tahoma" w:cs="Tahoma"/>
          <w:b/>
          <w:sz w:val="21"/>
          <w:szCs w:val="21"/>
        </w:rPr>
      </w:pPr>
      <w:r w:rsidRPr="0040473F">
        <w:rPr>
          <w:rFonts w:ascii="Tahoma" w:hAnsi="Tahoma" w:cs="Tahoma"/>
          <w:b/>
          <w:sz w:val="21"/>
          <w:szCs w:val="21"/>
          <w:u w:val="single"/>
        </w:rPr>
        <w:t>Mesa</w:t>
      </w:r>
      <w:r w:rsidRPr="0040473F">
        <w:rPr>
          <w:rFonts w:ascii="Tahoma" w:hAnsi="Tahoma" w:cs="Tahoma"/>
          <w:b/>
          <w:sz w:val="21"/>
          <w:szCs w:val="21"/>
        </w:rPr>
        <w:t>:</w:t>
      </w:r>
    </w:p>
    <w:p w14:paraId="2230E6CB" w14:textId="77777777" w:rsidR="00BF364D" w:rsidRPr="0040473F" w:rsidRDefault="00BF364D" w:rsidP="0040473F">
      <w:pPr>
        <w:widowControl w:val="0"/>
        <w:spacing w:after="0" w:line="300" w:lineRule="exact"/>
        <w:rPr>
          <w:rFonts w:ascii="Tahoma" w:hAnsi="Tahoma" w:cs="Tahoma"/>
          <w:sz w:val="21"/>
          <w:szCs w:val="21"/>
        </w:rPr>
      </w:pPr>
    </w:p>
    <w:tbl>
      <w:tblPr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622F22" w:rsidRPr="0040473F" w:rsidDel="00AC480D" w14:paraId="4531D749" w14:textId="77777777" w:rsidTr="00001C39">
        <w:trPr>
          <w:jc w:val="center"/>
        </w:trPr>
        <w:tc>
          <w:tcPr>
            <w:tcW w:w="4661" w:type="dxa"/>
            <w:vAlign w:val="center"/>
          </w:tcPr>
          <w:p w14:paraId="230ED543" w14:textId="77777777" w:rsidR="00622F22" w:rsidRPr="0040473F" w:rsidRDefault="00622F22" w:rsidP="00001C39">
            <w:pPr>
              <w:pStyle w:val="sArticleStyle2text"/>
              <w:widowControl w:val="0"/>
              <w:tabs>
                <w:tab w:val="clear" w:pos="3024"/>
                <w:tab w:val="num" w:pos="0"/>
              </w:tabs>
              <w:spacing w:after="0" w:line="300" w:lineRule="exact"/>
              <w:ind w:firstLine="0"/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pt-BR"/>
              </w:rPr>
            </w:pPr>
            <w:r w:rsidRPr="0040473F">
              <w:rPr>
                <w:rFonts w:ascii="Tahoma" w:hAnsi="Tahoma" w:cs="Tahoma"/>
                <w:color w:val="000000"/>
                <w:sz w:val="21"/>
                <w:szCs w:val="21"/>
                <w:lang w:val="pt-BR"/>
              </w:rPr>
              <w:t>____________________________________</w:t>
            </w:r>
          </w:p>
          <w:p w14:paraId="0B183A05" w14:textId="77777777" w:rsidR="00622F22" w:rsidRPr="0040473F" w:rsidDel="00AC480D" w:rsidRDefault="00622F22" w:rsidP="00001C39">
            <w:pPr>
              <w:widowControl w:val="0"/>
              <w:spacing w:after="0" w:line="300" w:lineRule="exact"/>
              <w:jc w:val="center"/>
              <w:rPr>
                <w:rFonts w:ascii="Tahoma" w:hAnsi="Tahoma" w:cs="Tahoma"/>
                <w:sz w:val="21"/>
                <w:szCs w:val="21"/>
                <w:lang w:eastAsia="zh-CN"/>
              </w:rPr>
            </w:pPr>
            <w:r w:rsidRPr="00E927C5">
              <w:rPr>
                <w:rFonts w:ascii="Tahoma" w:hAnsi="Tahoma" w:cs="Tahoma"/>
                <w:b/>
                <w:bCs/>
                <w:sz w:val="21"/>
                <w:szCs w:val="21"/>
              </w:rPr>
              <w:t>Rodrigo Teixeira Marcolino</w:t>
            </w:r>
            <w:r w:rsidRPr="0040473F">
              <w:rPr>
                <w:rFonts w:ascii="Tahoma" w:hAnsi="Tahoma" w:cs="Tahoma"/>
                <w:b/>
                <w:sz w:val="21"/>
                <w:szCs w:val="21"/>
              </w:rPr>
              <w:br/>
            </w:r>
            <w:r w:rsidRPr="0040473F">
              <w:rPr>
                <w:rFonts w:ascii="Tahoma" w:hAnsi="Tahoma" w:cs="Tahoma"/>
                <w:sz w:val="21"/>
                <w:szCs w:val="21"/>
              </w:rPr>
              <w:t>Presidente</w:t>
            </w:r>
          </w:p>
        </w:tc>
        <w:tc>
          <w:tcPr>
            <w:tcW w:w="4661" w:type="dxa"/>
            <w:vAlign w:val="center"/>
          </w:tcPr>
          <w:p w14:paraId="3B767AA7" w14:textId="77777777" w:rsidR="00622F22" w:rsidRPr="0040473F" w:rsidRDefault="00622F22" w:rsidP="00001C39">
            <w:pPr>
              <w:pStyle w:val="sArticleStyle2text"/>
              <w:widowControl w:val="0"/>
              <w:tabs>
                <w:tab w:val="clear" w:pos="3024"/>
                <w:tab w:val="num" w:pos="0"/>
              </w:tabs>
              <w:spacing w:after="0" w:line="300" w:lineRule="exact"/>
              <w:ind w:firstLine="0"/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pt-BR"/>
              </w:rPr>
            </w:pPr>
            <w:r w:rsidRPr="0040473F">
              <w:rPr>
                <w:rFonts w:ascii="Tahoma" w:hAnsi="Tahoma" w:cs="Tahoma"/>
                <w:color w:val="000000"/>
                <w:sz w:val="21"/>
                <w:szCs w:val="21"/>
                <w:lang w:val="pt-BR"/>
              </w:rPr>
              <w:t>____________________________________</w:t>
            </w:r>
          </w:p>
          <w:p w14:paraId="4B4C3248" w14:textId="77777777" w:rsidR="00622F22" w:rsidRPr="0040473F" w:rsidDel="00AC480D" w:rsidRDefault="00622F22" w:rsidP="00001C39">
            <w:pPr>
              <w:widowControl w:val="0"/>
              <w:spacing w:after="0" w:line="300" w:lineRule="exact"/>
              <w:jc w:val="center"/>
              <w:rPr>
                <w:rFonts w:ascii="Tahoma" w:hAnsi="Tahoma" w:cs="Tahoma"/>
                <w:sz w:val="21"/>
                <w:szCs w:val="21"/>
                <w:lang w:eastAsia="zh-CN"/>
              </w:rPr>
            </w:pPr>
            <w:r w:rsidRPr="00E927C5">
              <w:rPr>
                <w:rFonts w:ascii="Tahoma" w:hAnsi="Tahoma" w:cs="Tahoma"/>
                <w:b/>
                <w:bCs/>
                <w:sz w:val="21"/>
                <w:szCs w:val="21"/>
              </w:rPr>
              <w:t>Luiz Augusto Pacheco e Silva</w:t>
            </w:r>
            <w:r w:rsidRPr="0040473F">
              <w:rPr>
                <w:rFonts w:ascii="Tahoma" w:hAnsi="Tahoma" w:cs="Tahoma"/>
                <w:b/>
                <w:sz w:val="21"/>
                <w:szCs w:val="21"/>
              </w:rPr>
              <w:br/>
            </w:r>
            <w:r w:rsidRPr="0040473F">
              <w:rPr>
                <w:rFonts w:ascii="Tahoma" w:hAnsi="Tahoma" w:cs="Tahoma"/>
                <w:sz w:val="21"/>
                <w:szCs w:val="21"/>
              </w:rPr>
              <w:t>Secretário</w:t>
            </w:r>
          </w:p>
        </w:tc>
      </w:tr>
    </w:tbl>
    <w:p w14:paraId="7F97BA3B" w14:textId="77777777" w:rsidR="00865C75" w:rsidRPr="0040473F" w:rsidRDefault="00865C75" w:rsidP="0040473F">
      <w:pPr>
        <w:widowControl w:val="0"/>
        <w:spacing w:after="0" w:line="300" w:lineRule="exact"/>
        <w:rPr>
          <w:rFonts w:ascii="Tahoma" w:hAnsi="Tahoma" w:cs="Tahoma"/>
          <w:sz w:val="21"/>
          <w:szCs w:val="21"/>
        </w:rPr>
      </w:pPr>
    </w:p>
    <w:sectPr w:rsidR="00865C75" w:rsidRPr="0040473F" w:rsidSect="00AD74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274" w:bottom="1418" w:left="1560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DEAD5" w14:textId="77777777" w:rsidR="007345C2" w:rsidRDefault="007345C2" w:rsidP="005A75C0">
      <w:pPr>
        <w:spacing w:after="0" w:line="240" w:lineRule="auto"/>
      </w:pPr>
      <w:r>
        <w:separator/>
      </w:r>
    </w:p>
  </w:endnote>
  <w:endnote w:type="continuationSeparator" w:id="0">
    <w:p w14:paraId="08079E0B" w14:textId="77777777" w:rsidR="007345C2" w:rsidRDefault="007345C2" w:rsidP="005A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207EE" w14:textId="77777777" w:rsidR="00AD7423" w:rsidRDefault="00AD74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4685565"/>
      <w:docPartObj>
        <w:docPartGallery w:val="Page Numbers (Bottom of Page)"/>
        <w:docPartUnique/>
      </w:docPartObj>
    </w:sdtPr>
    <w:sdtEndPr/>
    <w:sdtContent>
      <w:p w14:paraId="3A26E852" w14:textId="263EC8D4" w:rsidR="00AD7423" w:rsidRDefault="00AD7423">
        <w:pPr>
          <w:pStyle w:val="Rodap"/>
          <w:jc w:val="center"/>
        </w:pPr>
        <w:r w:rsidRPr="00AD7423">
          <w:rPr>
            <w:rFonts w:ascii="Tahoma" w:hAnsi="Tahoma" w:cs="Tahoma"/>
            <w:sz w:val="18"/>
            <w:szCs w:val="18"/>
          </w:rPr>
          <w:fldChar w:fldCharType="begin"/>
        </w:r>
        <w:r w:rsidRPr="00AD7423">
          <w:rPr>
            <w:rFonts w:ascii="Tahoma" w:hAnsi="Tahoma" w:cs="Tahoma"/>
            <w:sz w:val="18"/>
            <w:szCs w:val="18"/>
          </w:rPr>
          <w:instrText>PAGE   \* MERGEFORMAT</w:instrText>
        </w:r>
        <w:r w:rsidRPr="00AD7423">
          <w:rPr>
            <w:rFonts w:ascii="Tahoma" w:hAnsi="Tahoma" w:cs="Tahoma"/>
            <w:sz w:val="18"/>
            <w:szCs w:val="18"/>
          </w:rPr>
          <w:fldChar w:fldCharType="separate"/>
        </w:r>
        <w:r w:rsidRPr="00AD7423">
          <w:rPr>
            <w:rFonts w:ascii="Tahoma" w:hAnsi="Tahoma" w:cs="Tahoma"/>
            <w:sz w:val="18"/>
            <w:szCs w:val="18"/>
          </w:rPr>
          <w:t>2</w:t>
        </w:r>
        <w:r w:rsidRPr="00AD7423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1A306C98" w14:textId="6B9A8656" w:rsidR="0047033C" w:rsidRPr="00851FEC" w:rsidRDefault="0047033C" w:rsidP="00851FEC">
    <w:pPr>
      <w:pStyle w:val="Rodap"/>
      <w:rPr>
        <w:rFonts w:ascii="Tahoma" w:hAnsi="Tahoma" w:cs="Tahoma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B65A3" w14:textId="77777777" w:rsidR="00AD7423" w:rsidRDefault="00AD74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CFD7D" w14:textId="77777777" w:rsidR="007345C2" w:rsidRDefault="007345C2" w:rsidP="005A75C0">
      <w:pPr>
        <w:spacing w:after="0" w:line="240" w:lineRule="auto"/>
      </w:pPr>
      <w:r>
        <w:separator/>
      </w:r>
    </w:p>
  </w:footnote>
  <w:footnote w:type="continuationSeparator" w:id="0">
    <w:p w14:paraId="1455A104" w14:textId="77777777" w:rsidR="007345C2" w:rsidRDefault="007345C2" w:rsidP="005A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07BE3" w14:textId="77777777" w:rsidR="00AD7423" w:rsidRDefault="00AD74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9FC30" w14:textId="77777777" w:rsidR="00AD7423" w:rsidRDefault="00AD742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D555E" w14:textId="77777777" w:rsidR="00AD7423" w:rsidRDefault="00AD74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169596"/>
    <w:multiLevelType w:val="hybridMultilevel"/>
    <w:tmpl w:val="B6A98D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85115"/>
    <w:multiLevelType w:val="hybridMultilevel"/>
    <w:tmpl w:val="E64A3666"/>
    <w:lvl w:ilvl="0" w:tplc="78E8ECB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2A4E"/>
    <w:multiLevelType w:val="hybridMultilevel"/>
    <w:tmpl w:val="E25695A6"/>
    <w:lvl w:ilvl="0" w:tplc="8B38685A">
      <w:start w:val="1"/>
      <w:numFmt w:val="lowerRoman"/>
      <w:lvlText w:val="(%1)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4BB84410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Roman"/>
      <w:lvlText w:val="(%5)"/>
      <w:lvlJc w:val="left"/>
      <w:pPr>
        <w:tabs>
          <w:tab w:val="num" w:pos="3289"/>
        </w:tabs>
        <w:ind w:left="2722" w:firstLine="0"/>
      </w:pPr>
      <w:rPr>
        <w:rFonts w:hint="default"/>
        <w:b/>
        <w:bCs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EE61C54"/>
    <w:multiLevelType w:val="hybridMultilevel"/>
    <w:tmpl w:val="84D0C63E"/>
    <w:lvl w:ilvl="0" w:tplc="E2BAB1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A080E"/>
    <w:multiLevelType w:val="hybridMultilevel"/>
    <w:tmpl w:val="52C258CE"/>
    <w:lvl w:ilvl="0" w:tplc="65AA88C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05365"/>
    <w:multiLevelType w:val="hybridMultilevel"/>
    <w:tmpl w:val="E25695A6"/>
    <w:lvl w:ilvl="0" w:tplc="8B38685A">
      <w:start w:val="1"/>
      <w:numFmt w:val="lowerRoman"/>
      <w:lvlText w:val="(%1)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077E4E"/>
    <w:multiLevelType w:val="hybridMultilevel"/>
    <w:tmpl w:val="E25695A6"/>
    <w:lvl w:ilvl="0" w:tplc="8B38685A">
      <w:start w:val="1"/>
      <w:numFmt w:val="lowerRoman"/>
      <w:lvlText w:val="(%1)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0B4738"/>
    <w:multiLevelType w:val="hybridMultilevel"/>
    <w:tmpl w:val="E25695A6"/>
    <w:lvl w:ilvl="0" w:tplc="8B38685A">
      <w:start w:val="1"/>
      <w:numFmt w:val="lowerRoman"/>
      <w:lvlText w:val="(%1)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6976D6"/>
    <w:multiLevelType w:val="hybridMultilevel"/>
    <w:tmpl w:val="6BEA567E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701C2E"/>
    <w:multiLevelType w:val="hybridMultilevel"/>
    <w:tmpl w:val="06AC3E56"/>
    <w:lvl w:ilvl="0" w:tplc="C4020162">
      <w:start w:val="1"/>
      <w:numFmt w:val="lowerRoman"/>
      <w:lvlText w:val="(%1)"/>
      <w:lvlJc w:val="left"/>
      <w:pPr>
        <w:ind w:left="1428" w:hanging="720"/>
      </w:pPr>
      <w:rPr>
        <w:rFonts w:ascii="Times New Roman" w:hAnsi="Times New Roman" w:cs="Times New Roman"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314863"/>
    <w:multiLevelType w:val="hybridMultilevel"/>
    <w:tmpl w:val="643A9B32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C84159"/>
    <w:multiLevelType w:val="hybridMultilevel"/>
    <w:tmpl w:val="D8B4EDC4"/>
    <w:lvl w:ilvl="0" w:tplc="36F0151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721C4"/>
    <w:multiLevelType w:val="hybridMultilevel"/>
    <w:tmpl w:val="E25695A6"/>
    <w:lvl w:ilvl="0" w:tplc="8B38685A">
      <w:start w:val="1"/>
      <w:numFmt w:val="lowerRoman"/>
      <w:lvlText w:val="(%1)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C94DBA"/>
    <w:multiLevelType w:val="hybridMultilevel"/>
    <w:tmpl w:val="06AC3E56"/>
    <w:lvl w:ilvl="0" w:tplc="C4020162">
      <w:start w:val="1"/>
      <w:numFmt w:val="lowerRoman"/>
      <w:lvlText w:val="(%1)"/>
      <w:lvlJc w:val="left"/>
      <w:pPr>
        <w:ind w:left="5400" w:hanging="720"/>
      </w:pPr>
      <w:rPr>
        <w:rFonts w:ascii="Times New Roman" w:hAnsi="Times New Roman" w:cs="Times New Roman"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5760" w:hanging="360"/>
      </w:pPr>
    </w:lvl>
    <w:lvl w:ilvl="2" w:tplc="0416001B" w:tentative="1">
      <w:start w:val="1"/>
      <w:numFmt w:val="lowerRoman"/>
      <w:lvlText w:val="%3."/>
      <w:lvlJc w:val="right"/>
      <w:pPr>
        <w:ind w:left="6480" w:hanging="180"/>
      </w:pPr>
    </w:lvl>
    <w:lvl w:ilvl="3" w:tplc="0416000F" w:tentative="1">
      <w:start w:val="1"/>
      <w:numFmt w:val="decimal"/>
      <w:lvlText w:val="%4."/>
      <w:lvlJc w:val="left"/>
      <w:pPr>
        <w:ind w:left="7200" w:hanging="360"/>
      </w:pPr>
    </w:lvl>
    <w:lvl w:ilvl="4" w:tplc="04160019" w:tentative="1">
      <w:start w:val="1"/>
      <w:numFmt w:val="lowerLetter"/>
      <w:lvlText w:val="%5."/>
      <w:lvlJc w:val="left"/>
      <w:pPr>
        <w:ind w:left="7920" w:hanging="360"/>
      </w:pPr>
    </w:lvl>
    <w:lvl w:ilvl="5" w:tplc="0416001B" w:tentative="1">
      <w:start w:val="1"/>
      <w:numFmt w:val="lowerRoman"/>
      <w:lvlText w:val="%6."/>
      <w:lvlJc w:val="right"/>
      <w:pPr>
        <w:ind w:left="8640" w:hanging="180"/>
      </w:pPr>
    </w:lvl>
    <w:lvl w:ilvl="6" w:tplc="0416000F" w:tentative="1">
      <w:start w:val="1"/>
      <w:numFmt w:val="decimal"/>
      <w:lvlText w:val="%7."/>
      <w:lvlJc w:val="left"/>
      <w:pPr>
        <w:ind w:left="9360" w:hanging="360"/>
      </w:pPr>
    </w:lvl>
    <w:lvl w:ilvl="7" w:tplc="04160019" w:tentative="1">
      <w:start w:val="1"/>
      <w:numFmt w:val="lowerLetter"/>
      <w:lvlText w:val="%8."/>
      <w:lvlJc w:val="left"/>
      <w:pPr>
        <w:ind w:left="10080" w:hanging="360"/>
      </w:pPr>
    </w:lvl>
    <w:lvl w:ilvl="8" w:tplc="0416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5BF9341C"/>
    <w:multiLevelType w:val="hybridMultilevel"/>
    <w:tmpl w:val="15C44F4C"/>
    <w:lvl w:ilvl="0" w:tplc="E6C2429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B0F60"/>
    <w:multiLevelType w:val="hybridMultilevel"/>
    <w:tmpl w:val="84D0C63E"/>
    <w:lvl w:ilvl="0" w:tplc="E2BAB1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9185E"/>
    <w:multiLevelType w:val="hybridMultilevel"/>
    <w:tmpl w:val="E25695A6"/>
    <w:lvl w:ilvl="0" w:tplc="8B38685A">
      <w:start w:val="1"/>
      <w:numFmt w:val="lowerRoman"/>
      <w:lvlText w:val="(%1)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427291"/>
    <w:multiLevelType w:val="hybridMultilevel"/>
    <w:tmpl w:val="B34CE20E"/>
    <w:lvl w:ilvl="0" w:tplc="C18239D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F5272"/>
    <w:multiLevelType w:val="hybridMultilevel"/>
    <w:tmpl w:val="8C82E48E"/>
    <w:lvl w:ilvl="0" w:tplc="A9387562">
      <w:start w:val="1"/>
      <w:numFmt w:val="lowerRoman"/>
      <w:lvlText w:val="(%1)"/>
      <w:lvlJc w:val="left"/>
      <w:pPr>
        <w:tabs>
          <w:tab w:val="num" w:pos="1134"/>
        </w:tabs>
        <w:ind w:left="1080" w:hanging="1080"/>
      </w:pPr>
      <w:rPr>
        <w:rFonts w:ascii="Tahoma" w:hAnsi="Tahoma"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55A27"/>
    <w:multiLevelType w:val="hybridMultilevel"/>
    <w:tmpl w:val="BA24AE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95B5E"/>
    <w:multiLevelType w:val="hybridMultilevel"/>
    <w:tmpl w:val="E25695A6"/>
    <w:lvl w:ilvl="0" w:tplc="8B38685A">
      <w:start w:val="1"/>
      <w:numFmt w:val="lowerRoman"/>
      <w:lvlText w:val="(%1)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084B2D"/>
    <w:multiLevelType w:val="hybridMultilevel"/>
    <w:tmpl w:val="919EE67A"/>
    <w:lvl w:ilvl="0" w:tplc="54300B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245259"/>
    <w:multiLevelType w:val="hybridMultilevel"/>
    <w:tmpl w:val="6F929410"/>
    <w:lvl w:ilvl="0" w:tplc="8CEA75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B13FF"/>
    <w:multiLevelType w:val="hybridMultilevel"/>
    <w:tmpl w:val="E25695A6"/>
    <w:lvl w:ilvl="0" w:tplc="8B38685A">
      <w:start w:val="1"/>
      <w:numFmt w:val="lowerRoman"/>
      <w:lvlText w:val="(%1)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DC70E8E"/>
    <w:multiLevelType w:val="multilevel"/>
    <w:tmpl w:val="01F46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8"/>
  </w:num>
  <w:num w:numId="5">
    <w:abstractNumId w:val="10"/>
  </w:num>
  <w:num w:numId="6">
    <w:abstractNumId w:val="13"/>
  </w:num>
  <w:num w:numId="7">
    <w:abstractNumId w:val="6"/>
  </w:num>
  <w:num w:numId="8">
    <w:abstractNumId w:val="2"/>
  </w:num>
  <w:num w:numId="9">
    <w:abstractNumId w:val="17"/>
  </w:num>
  <w:num w:numId="10">
    <w:abstractNumId w:val="8"/>
  </w:num>
  <w:num w:numId="11">
    <w:abstractNumId w:val="24"/>
  </w:num>
  <w:num w:numId="12">
    <w:abstractNumId w:val="7"/>
  </w:num>
  <w:num w:numId="13">
    <w:abstractNumId w:val="21"/>
  </w:num>
  <w:num w:numId="14">
    <w:abstractNumId w:val="9"/>
  </w:num>
  <w:num w:numId="15">
    <w:abstractNumId w:val="14"/>
  </w:num>
  <w:num w:numId="16">
    <w:abstractNumId w:val="11"/>
  </w:num>
  <w:num w:numId="17">
    <w:abstractNumId w:val="20"/>
  </w:num>
  <w:num w:numId="18">
    <w:abstractNumId w:val="19"/>
  </w:num>
  <w:num w:numId="19">
    <w:abstractNumId w:val="15"/>
  </w:num>
  <w:num w:numId="20">
    <w:abstractNumId w:val="4"/>
  </w:num>
  <w:num w:numId="21">
    <w:abstractNumId w:val="1"/>
  </w:num>
  <w:num w:numId="22">
    <w:abstractNumId w:val="0"/>
  </w:num>
  <w:num w:numId="23">
    <w:abstractNumId w:val="5"/>
  </w:num>
  <w:num w:numId="24">
    <w:abstractNumId w:val="16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C0"/>
    <w:rsid w:val="000029BD"/>
    <w:rsid w:val="00005339"/>
    <w:rsid w:val="000073CD"/>
    <w:rsid w:val="000102D6"/>
    <w:rsid w:val="00010871"/>
    <w:rsid w:val="00010F52"/>
    <w:rsid w:val="000158A2"/>
    <w:rsid w:val="000315CE"/>
    <w:rsid w:val="00031DA7"/>
    <w:rsid w:val="00037C45"/>
    <w:rsid w:val="00037EB5"/>
    <w:rsid w:val="00041402"/>
    <w:rsid w:val="00044CA3"/>
    <w:rsid w:val="00045640"/>
    <w:rsid w:val="0004661A"/>
    <w:rsid w:val="000470E2"/>
    <w:rsid w:val="000507F8"/>
    <w:rsid w:val="000536A5"/>
    <w:rsid w:val="000541E0"/>
    <w:rsid w:val="000543BE"/>
    <w:rsid w:val="00054AF7"/>
    <w:rsid w:val="00056C6B"/>
    <w:rsid w:val="000571CF"/>
    <w:rsid w:val="00060576"/>
    <w:rsid w:val="00066186"/>
    <w:rsid w:val="000669A9"/>
    <w:rsid w:val="00067E89"/>
    <w:rsid w:val="000734F9"/>
    <w:rsid w:val="000A1B33"/>
    <w:rsid w:val="000A3D17"/>
    <w:rsid w:val="000B288C"/>
    <w:rsid w:val="000C1AE0"/>
    <w:rsid w:val="000C7600"/>
    <w:rsid w:val="000D0B92"/>
    <w:rsid w:val="000D290E"/>
    <w:rsid w:val="000D3377"/>
    <w:rsid w:val="000E57DF"/>
    <w:rsid w:val="000F2001"/>
    <w:rsid w:val="000F5620"/>
    <w:rsid w:val="000F56E3"/>
    <w:rsid w:val="000F729B"/>
    <w:rsid w:val="001030DF"/>
    <w:rsid w:val="00107D47"/>
    <w:rsid w:val="0011178F"/>
    <w:rsid w:val="00112293"/>
    <w:rsid w:val="001123B4"/>
    <w:rsid w:val="0011348C"/>
    <w:rsid w:val="00117510"/>
    <w:rsid w:val="00120E5E"/>
    <w:rsid w:val="0012226F"/>
    <w:rsid w:val="00123A14"/>
    <w:rsid w:val="00127905"/>
    <w:rsid w:val="00136D5C"/>
    <w:rsid w:val="00141432"/>
    <w:rsid w:val="00143ABC"/>
    <w:rsid w:val="00146AEB"/>
    <w:rsid w:val="0015111C"/>
    <w:rsid w:val="00152D93"/>
    <w:rsid w:val="001653D8"/>
    <w:rsid w:val="0016674D"/>
    <w:rsid w:val="00167BC6"/>
    <w:rsid w:val="0017066B"/>
    <w:rsid w:val="00171839"/>
    <w:rsid w:val="00172F87"/>
    <w:rsid w:val="00173799"/>
    <w:rsid w:val="00173ECB"/>
    <w:rsid w:val="00181E79"/>
    <w:rsid w:val="00182517"/>
    <w:rsid w:val="0019590A"/>
    <w:rsid w:val="00196354"/>
    <w:rsid w:val="001A0C73"/>
    <w:rsid w:val="001B0FE3"/>
    <w:rsid w:val="001B4620"/>
    <w:rsid w:val="001B5BEB"/>
    <w:rsid w:val="001C3FC7"/>
    <w:rsid w:val="001C6AFB"/>
    <w:rsid w:val="001D3086"/>
    <w:rsid w:val="001E79D2"/>
    <w:rsid w:val="001F0700"/>
    <w:rsid w:val="001F25EE"/>
    <w:rsid w:val="001F2E9E"/>
    <w:rsid w:val="001F5830"/>
    <w:rsid w:val="001F7CFA"/>
    <w:rsid w:val="0020548F"/>
    <w:rsid w:val="00210083"/>
    <w:rsid w:val="00212824"/>
    <w:rsid w:val="00214FEF"/>
    <w:rsid w:val="00215760"/>
    <w:rsid w:val="00224F40"/>
    <w:rsid w:val="00225902"/>
    <w:rsid w:val="00236990"/>
    <w:rsid w:val="00236F55"/>
    <w:rsid w:val="002375A1"/>
    <w:rsid w:val="0024147A"/>
    <w:rsid w:val="00254A2D"/>
    <w:rsid w:val="00254DC0"/>
    <w:rsid w:val="00256046"/>
    <w:rsid w:val="00257755"/>
    <w:rsid w:val="00257F05"/>
    <w:rsid w:val="00260ADE"/>
    <w:rsid w:val="00261189"/>
    <w:rsid w:val="0026714A"/>
    <w:rsid w:val="00273585"/>
    <w:rsid w:val="0028606F"/>
    <w:rsid w:val="002A4D86"/>
    <w:rsid w:val="002B0E6D"/>
    <w:rsid w:val="002C09F1"/>
    <w:rsid w:val="002C3197"/>
    <w:rsid w:val="002C4D95"/>
    <w:rsid w:val="002C7C24"/>
    <w:rsid w:val="002D4914"/>
    <w:rsid w:val="002E3303"/>
    <w:rsid w:val="002E4962"/>
    <w:rsid w:val="002E6F86"/>
    <w:rsid w:val="002F073F"/>
    <w:rsid w:val="002F1231"/>
    <w:rsid w:val="002F4112"/>
    <w:rsid w:val="002F7776"/>
    <w:rsid w:val="00303A0D"/>
    <w:rsid w:val="00305532"/>
    <w:rsid w:val="00306629"/>
    <w:rsid w:val="00313192"/>
    <w:rsid w:val="00314225"/>
    <w:rsid w:val="00316C55"/>
    <w:rsid w:val="003174F9"/>
    <w:rsid w:val="0032186F"/>
    <w:rsid w:val="003245ED"/>
    <w:rsid w:val="00334C8B"/>
    <w:rsid w:val="00337E86"/>
    <w:rsid w:val="003402A6"/>
    <w:rsid w:val="0034283F"/>
    <w:rsid w:val="003441A7"/>
    <w:rsid w:val="003556E6"/>
    <w:rsid w:val="00360388"/>
    <w:rsid w:val="00362469"/>
    <w:rsid w:val="003657F7"/>
    <w:rsid w:val="00365A38"/>
    <w:rsid w:val="00366D79"/>
    <w:rsid w:val="00370CFD"/>
    <w:rsid w:val="00377C57"/>
    <w:rsid w:val="00390B47"/>
    <w:rsid w:val="00390CB8"/>
    <w:rsid w:val="00393637"/>
    <w:rsid w:val="003A2FDF"/>
    <w:rsid w:val="003A35A9"/>
    <w:rsid w:val="003A51A4"/>
    <w:rsid w:val="003A7F2F"/>
    <w:rsid w:val="003B4B60"/>
    <w:rsid w:val="003C154B"/>
    <w:rsid w:val="003D05BF"/>
    <w:rsid w:val="003D4EF5"/>
    <w:rsid w:val="003E0433"/>
    <w:rsid w:val="003E1F6E"/>
    <w:rsid w:val="003E386D"/>
    <w:rsid w:val="003F617D"/>
    <w:rsid w:val="003F63FD"/>
    <w:rsid w:val="00401B56"/>
    <w:rsid w:val="004025F4"/>
    <w:rsid w:val="004032EA"/>
    <w:rsid w:val="00403B92"/>
    <w:rsid w:val="0040473F"/>
    <w:rsid w:val="004053E8"/>
    <w:rsid w:val="0040687B"/>
    <w:rsid w:val="00406B77"/>
    <w:rsid w:val="00411B84"/>
    <w:rsid w:val="00412FFA"/>
    <w:rsid w:val="004217DE"/>
    <w:rsid w:val="00424C0A"/>
    <w:rsid w:val="0042590D"/>
    <w:rsid w:val="00431275"/>
    <w:rsid w:val="00443422"/>
    <w:rsid w:val="00452FB6"/>
    <w:rsid w:val="00454D04"/>
    <w:rsid w:val="00455729"/>
    <w:rsid w:val="00456208"/>
    <w:rsid w:val="004578A9"/>
    <w:rsid w:val="00461C6E"/>
    <w:rsid w:val="00467F71"/>
    <w:rsid w:val="0047033C"/>
    <w:rsid w:val="00470712"/>
    <w:rsid w:val="0047348A"/>
    <w:rsid w:val="00481709"/>
    <w:rsid w:val="0048315D"/>
    <w:rsid w:val="00483D37"/>
    <w:rsid w:val="00487B2F"/>
    <w:rsid w:val="00490460"/>
    <w:rsid w:val="004915CA"/>
    <w:rsid w:val="00491777"/>
    <w:rsid w:val="00492AA2"/>
    <w:rsid w:val="004960DE"/>
    <w:rsid w:val="004A56CD"/>
    <w:rsid w:val="004A5E45"/>
    <w:rsid w:val="004A6D60"/>
    <w:rsid w:val="004A7C91"/>
    <w:rsid w:val="004A7FC6"/>
    <w:rsid w:val="004B0515"/>
    <w:rsid w:val="004B4C67"/>
    <w:rsid w:val="004C4C28"/>
    <w:rsid w:val="004D1076"/>
    <w:rsid w:val="004D1204"/>
    <w:rsid w:val="004E094A"/>
    <w:rsid w:val="004E1CC0"/>
    <w:rsid w:val="004E2C8A"/>
    <w:rsid w:val="004E310A"/>
    <w:rsid w:val="004E40D6"/>
    <w:rsid w:val="004E7E92"/>
    <w:rsid w:val="004F23C6"/>
    <w:rsid w:val="004F3D63"/>
    <w:rsid w:val="004F5B39"/>
    <w:rsid w:val="004F7EE0"/>
    <w:rsid w:val="00501DED"/>
    <w:rsid w:val="005034E4"/>
    <w:rsid w:val="0050497E"/>
    <w:rsid w:val="005077B8"/>
    <w:rsid w:val="00507804"/>
    <w:rsid w:val="00507A98"/>
    <w:rsid w:val="005142E3"/>
    <w:rsid w:val="0051617D"/>
    <w:rsid w:val="00517568"/>
    <w:rsid w:val="00517B43"/>
    <w:rsid w:val="00517BE4"/>
    <w:rsid w:val="00526BAC"/>
    <w:rsid w:val="00533113"/>
    <w:rsid w:val="00543F68"/>
    <w:rsid w:val="005447A2"/>
    <w:rsid w:val="0055792E"/>
    <w:rsid w:val="00563DC4"/>
    <w:rsid w:val="00565BB0"/>
    <w:rsid w:val="005740BE"/>
    <w:rsid w:val="00575ABC"/>
    <w:rsid w:val="005770B5"/>
    <w:rsid w:val="0057718D"/>
    <w:rsid w:val="00580182"/>
    <w:rsid w:val="0059456C"/>
    <w:rsid w:val="005A2D15"/>
    <w:rsid w:val="005A4766"/>
    <w:rsid w:val="005A686F"/>
    <w:rsid w:val="005A75C0"/>
    <w:rsid w:val="005A7D8A"/>
    <w:rsid w:val="005B6AB2"/>
    <w:rsid w:val="005B7DCB"/>
    <w:rsid w:val="005C1907"/>
    <w:rsid w:val="005C2A36"/>
    <w:rsid w:val="005D1D75"/>
    <w:rsid w:val="005E156C"/>
    <w:rsid w:val="005F1A8F"/>
    <w:rsid w:val="005F2980"/>
    <w:rsid w:val="005F6F7E"/>
    <w:rsid w:val="00602906"/>
    <w:rsid w:val="00603CED"/>
    <w:rsid w:val="00604FB1"/>
    <w:rsid w:val="00605149"/>
    <w:rsid w:val="006116DE"/>
    <w:rsid w:val="0061773D"/>
    <w:rsid w:val="00620E5D"/>
    <w:rsid w:val="00622F22"/>
    <w:rsid w:val="006252FA"/>
    <w:rsid w:val="006278A0"/>
    <w:rsid w:val="006328CC"/>
    <w:rsid w:val="00635610"/>
    <w:rsid w:val="00637033"/>
    <w:rsid w:val="00641FE2"/>
    <w:rsid w:val="0064446F"/>
    <w:rsid w:val="00645AAE"/>
    <w:rsid w:val="0064643F"/>
    <w:rsid w:val="00650FF2"/>
    <w:rsid w:val="00660767"/>
    <w:rsid w:val="00662CDD"/>
    <w:rsid w:val="00662F86"/>
    <w:rsid w:val="00664095"/>
    <w:rsid w:val="006648E3"/>
    <w:rsid w:val="00673B3D"/>
    <w:rsid w:val="00674A4E"/>
    <w:rsid w:val="00675CA5"/>
    <w:rsid w:val="00675FD1"/>
    <w:rsid w:val="00677522"/>
    <w:rsid w:val="00677E30"/>
    <w:rsid w:val="00680F1B"/>
    <w:rsid w:val="006814E0"/>
    <w:rsid w:val="00681583"/>
    <w:rsid w:val="006906B3"/>
    <w:rsid w:val="00692D1F"/>
    <w:rsid w:val="00693222"/>
    <w:rsid w:val="006932AB"/>
    <w:rsid w:val="006968F3"/>
    <w:rsid w:val="006A5963"/>
    <w:rsid w:val="006A7629"/>
    <w:rsid w:val="006A7908"/>
    <w:rsid w:val="006B2E0B"/>
    <w:rsid w:val="006B3E8F"/>
    <w:rsid w:val="006B5415"/>
    <w:rsid w:val="006C4335"/>
    <w:rsid w:val="006C4711"/>
    <w:rsid w:val="006C49E5"/>
    <w:rsid w:val="006C4A1E"/>
    <w:rsid w:val="006C5618"/>
    <w:rsid w:val="006D17FB"/>
    <w:rsid w:val="006E143F"/>
    <w:rsid w:val="006E6CAA"/>
    <w:rsid w:val="006F0AC2"/>
    <w:rsid w:val="006F6486"/>
    <w:rsid w:val="006F7B65"/>
    <w:rsid w:val="007000BE"/>
    <w:rsid w:val="00705DF3"/>
    <w:rsid w:val="00710F5F"/>
    <w:rsid w:val="007112FA"/>
    <w:rsid w:val="00716491"/>
    <w:rsid w:val="007165EF"/>
    <w:rsid w:val="007176E9"/>
    <w:rsid w:val="00724589"/>
    <w:rsid w:val="00726F13"/>
    <w:rsid w:val="007345C2"/>
    <w:rsid w:val="007463C0"/>
    <w:rsid w:val="00750769"/>
    <w:rsid w:val="007530A6"/>
    <w:rsid w:val="00760923"/>
    <w:rsid w:val="00762390"/>
    <w:rsid w:val="007640AE"/>
    <w:rsid w:val="00764D6B"/>
    <w:rsid w:val="00766F5C"/>
    <w:rsid w:val="00771715"/>
    <w:rsid w:val="00773EB6"/>
    <w:rsid w:val="00773FD7"/>
    <w:rsid w:val="0078169E"/>
    <w:rsid w:val="00783A23"/>
    <w:rsid w:val="00785079"/>
    <w:rsid w:val="0078532F"/>
    <w:rsid w:val="00785FCA"/>
    <w:rsid w:val="0079093C"/>
    <w:rsid w:val="00791A64"/>
    <w:rsid w:val="00793334"/>
    <w:rsid w:val="0079634A"/>
    <w:rsid w:val="00796EDF"/>
    <w:rsid w:val="007B2104"/>
    <w:rsid w:val="007B4338"/>
    <w:rsid w:val="007D5ACF"/>
    <w:rsid w:val="007E03C8"/>
    <w:rsid w:val="007E4C97"/>
    <w:rsid w:val="007F400E"/>
    <w:rsid w:val="007F7726"/>
    <w:rsid w:val="00811366"/>
    <w:rsid w:val="00811DF6"/>
    <w:rsid w:val="00812D2A"/>
    <w:rsid w:val="00813C4A"/>
    <w:rsid w:val="00813FC5"/>
    <w:rsid w:val="00815542"/>
    <w:rsid w:val="00817B89"/>
    <w:rsid w:val="008201DB"/>
    <w:rsid w:val="00826AC4"/>
    <w:rsid w:val="00832AED"/>
    <w:rsid w:val="00835355"/>
    <w:rsid w:val="00835CCE"/>
    <w:rsid w:val="008366F3"/>
    <w:rsid w:val="00836D8B"/>
    <w:rsid w:val="00837133"/>
    <w:rsid w:val="00850D73"/>
    <w:rsid w:val="00851080"/>
    <w:rsid w:val="00851FEC"/>
    <w:rsid w:val="00856B14"/>
    <w:rsid w:val="00857EAA"/>
    <w:rsid w:val="00862DE0"/>
    <w:rsid w:val="00865C75"/>
    <w:rsid w:val="00873B88"/>
    <w:rsid w:val="00875223"/>
    <w:rsid w:val="008768C1"/>
    <w:rsid w:val="00876AEC"/>
    <w:rsid w:val="008859AE"/>
    <w:rsid w:val="008860E2"/>
    <w:rsid w:val="00886F6C"/>
    <w:rsid w:val="008905A1"/>
    <w:rsid w:val="00890C32"/>
    <w:rsid w:val="008911D6"/>
    <w:rsid w:val="0089249A"/>
    <w:rsid w:val="008938E4"/>
    <w:rsid w:val="00893B31"/>
    <w:rsid w:val="008A7CDC"/>
    <w:rsid w:val="008A7D25"/>
    <w:rsid w:val="008B2F54"/>
    <w:rsid w:val="008B7BF4"/>
    <w:rsid w:val="008C0101"/>
    <w:rsid w:val="008C243A"/>
    <w:rsid w:val="008C5298"/>
    <w:rsid w:val="008D3652"/>
    <w:rsid w:val="008D4663"/>
    <w:rsid w:val="008D66C9"/>
    <w:rsid w:val="008E1507"/>
    <w:rsid w:val="008E171A"/>
    <w:rsid w:val="008E2165"/>
    <w:rsid w:val="008E7490"/>
    <w:rsid w:val="008F118A"/>
    <w:rsid w:val="008F298B"/>
    <w:rsid w:val="008F30AF"/>
    <w:rsid w:val="008F3EF8"/>
    <w:rsid w:val="008F50DC"/>
    <w:rsid w:val="009002FF"/>
    <w:rsid w:val="00902911"/>
    <w:rsid w:val="009039EF"/>
    <w:rsid w:val="00906D54"/>
    <w:rsid w:val="00920D63"/>
    <w:rsid w:val="009244EA"/>
    <w:rsid w:val="009258CA"/>
    <w:rsid w:val="00927DD3"/>
    <w:rsid w:val="00930AD1"/>
    <w:rsid w:val="00931018"/>
    <w:rsid w:val="00931248"/>
    <w:rsid w:val="009335CD"/>
    <w:rsid w:val="00933903"/>
    <w:rsid w:val="009350F8"/>
    <w:rsid w:val="00935C86"/>
    <w:rsid w:val="00935E32"/>
    <w:rsid w:val="00936596"/>
    <w:rsid w:val="009379A0"/>
    <w:rsid w:val="00937FB4"/>
    <w:rsid w:val="00944D4A"/>
    <w:rsid w:val="00966EFC"/>
    <w:rsid w:val="00970FDD"/>
    <w:rsid w:val="0097570B"/>
    <w:rsid w:val="009772F3"/>
    <w:rsid w:val="00981CE1"/>
    <w:rsid w:val="009853E9"/>
    <w:rsid w:val="009911AB"/>
    <w:rsid w:val="00996028"/>
    <w:rsid w:val="009973BD"/>
    <w:rsid w:val="009A41B8"/>
    <w:rsid w:val="009A5A0B"/>
    <w:rsid w:val="009B547C"/>
    <w:rsid w:val="009B627B"/>
    <w:rsid w:val="009C3F48"/>
    <w:rsid w:val="009C7581"/>
    <w:rsid w:val="009D0775"/>
    <w:rsid w:val="009D206E"/>
    <w:rsid w:val="009D2E4C"/>
    <w:rsid w:val="009D7682"/>
    <w:rsid w:val="009E0984"/>
    <w:rsid w:val="009E1C24"/>
    <w:rsid w:val="009E3167"/>
    <w:rsid w:val="009E66E0"/>
    <w:rsid w:val="009E72CC"/>
    <w:rsid w:val="009F1D08"/>
    <w:rsid w:val="00A0260F"/>
    <w:rsid w:val="00A02B14"/>
    <w:rsid w:val="00A05893"/>
    <w:rsid w:val="00A27696"/>
    <w:rsid w:val="00A3261F"/>
    <w:rsid w:val="00A32D23"/>
    <w:rsid w:val="00A35199"/>
    <w:rsid w:val="00A3574B"/>
    <w:rsid w:val="00A35CFC"/>
    <w:rsid w:val="00A40E4C"/>
    <w:rsid w:val="00A45B71"/>
    <w:rsid w:val="00A47DF4"/>
    <w:rsid w:val="00A5282A"/>
    <w:rsid w:val="00A55540"/>
    <w:rsid w:val="00A64EA3"/>
    <w:rsid w:val="00A65E98"/>
    <w:rsid w:val="00A7076D"/>
    <w:rsid w:val="00A8556E"/>
    <w:rsid w:val="00A92798"/>
    <w:rsid w:val="00A953C2"/>
    <w:rsid w:val="00A956E9"/>
    <w:rsid w:val="00AA1BFC"/>
    <w:rsid w:val="00AA456C"/>
    <w:rsid w:val="00AA7BC0"/>
    <w:rsid w:val="00AB0A4D"/>
    <w:rsid w:val="00AB0C32"/>
    <w:rsid w:val="00AB23F2"/>
    <w:rsid w:val="00AB5184"/>
    <w:rsid w:val="00AB5207"/>
    <w:rsid w:val="00AC148F"/>
    <w:rsid w:val="00AC3AED"/>
    <w:rsid w:val="00AC49C7"/>
    <w:rsid w:val="00AC6B99"/>
    <w:rsid w:val="00AC789F"/>
    <w:rsid w:val="00AD3BCF"/>
    <w:rsid w:val="00AD7423"/>
    <w:rsid w:val="00AE047F"/>
    <w:rsid w:val="00AE06D9"/>
    <w:rsid w:val="00AE10DE"/>
    <w:rsid w:val="00AE50B2"/>
    <w:rsid w:val="00AE51FC"/>
    <w:rsid w:val="00AF0E28"/>
    <w:rsid w:val="00AF21A8"/>
    <w:rsid w:val="00AF3FEB"/>
    <w:rsid w:val="00AF5A0C"/>
    <w:rsid w:val="00B07FB7"/>
    <w:rsid w:val="00B1364C"/>
    <w:rsid w:val="00B2056E"/>
    <w:rsid w:val="00B20815"/>
    <w:rsid w:val="00B23B71"/>
    <w:rsid w:val="00B307C1"/>
    <w:rsid w:val="00B312FA"/>
    <w:rsid w:val="00B40A5D"/>
    <w:rsid w:val="00B41838"/>
    <w:rsid w:val="00B53B7E"/>
    <w:rsid w:val="00B55BEF"/>
    <w:rsid w:val="00B57B6D"/>
    <w:rsid w:val="00B60A8A"/>
    <w:rsid w:val="00B64433"/>
    <w:rsid w:val="00B660F1"/>
    <w:rsid w:val="00B67BC5"/>
    <w:rsid w:val="00B70A12"/>
    <w:rsid w:val="00B71065"/>
    <w:rsid w:val="00B75271"/>
    <w:rsid w:val="00B879DD"/>
    <w:rsid w:val="00B87F18"/>
    <w:rsid w:val="00B90EA4"/>
    <w:rsid w:val="00B9272D"/>
    <w:rsid w:val="00B95948"/>
    <w:rsid w:val="00BA08C4"/>
    <w:rsid w:val="00BA27CB"/>
    <w:rsid w:val="00BA318A"/>
    <w:rsid w:val="00BA4AD1"/>
    <w:rsid w:val="00BA7CB3"/>
    <w:rsid w:val="00BB2522"/>
    <w:rsid w:val="00BB2570"/>
    <w:rsid w:val="00BC3C11"/>
    <w:rsid w:val="00BC55A0"/>
    <w:rsid w:val="00BC5FB9"/>
    <w:rsid w:val="00BD7867"/>
    <w:rsid w:val="00BE37E5"/>
    <w:rsid w:val="00BE3D0E"/>
    <w:rsid w:val="00BE6E37"/>
    <w:rsid w:val="00BE708A"/>
    <w:rsid w:val="00BF0AA6"/>
    <w:rsid w:val="00BF24CE"/>
    <w:rsid w:val="00BF364D"/>
    <w:rsid w:val="00BF7D73"/>
    <w:rsid w:val="00C00EB9"/>
    <w:rsid w:val="00C03753"/>
    <w:rsid w:val="00C05B56"/>
    <w:rsid w:val="00C06F5E"/>
    <w:rsid w:val="00C06FCE"/>
    <w:rsid w:val="00C11F8F"/>
    <w:rsid w:val="00C16471"/>
    <w:rsid w:val="00C240A9"/>
    <w:rsid w:val="00C242F7"/>
    <w:rsid w:val="00C26962"/>
    <w:rsid w:val="00C35324"/>
    <w:rsid w:val="00C36796"/>
    <w:rsid w:val="00C36AD7"/>
    <w:rsid w:val="00C375C2"/>
    <w:rsid w:val="00C43E58"/>
    <w:rsid w:val="00C44FFF"/>
    <w:rsid w:val="00C55179"/>
    <w:rsid w:val="00C614FD"/>
    <w:rsid w:val="00C66872"/>
    <w:rsid w:val="00C76B7E"/>
    <w:rsid w:val="00C80723"/>
    <w:rsid w:val="00C82779"/>
    <w:rsid w:val="00C837B1"/>
    <w:rsid w:val="00C86000"/>
    <w:rsid w:val="00C87ABA"/>
    <w:rsid w:val="00C92829"/>
    <w:rsid w:val="00C92891"/>
    <w:rsid w:val="00C929E2"/>
    <w:rsid w:val="00C95B1E"/>
    <w:rsid w:val="00CA11C2"/>
    <w:rsid w:val="00CA4255"/>
    <w:rsid w:val="00CB27D3"/>
    <w:rsid w:val="00CC019D"/>
    <w:rsid w:val="00CC1055"/>
    <w:rsid w:val="00CC3CF1"/>
    <w:rsid w:val="00CC4B64"/>
    <w:rsid w:val="00CC6C37"/>
    <w:rsid w:val="00CC7AB6"/>
    <w:rsid w:val="00CD0CA0"/>
    <w:rsid w:val="00CD2648"/>
    <w:rsid w:val="00CD4BB4"/>
    <w:rsid w:val="00CE1147"/>
    <w:rsid w:val="00CE2A59"/>
    <w:rsid w:val="00CE52CF"/>
    <w:rsid w:val="00CE5AC9"/>
    <w:rsid w:val="00CE615F"/>
    <w:rsid w:val="00CF4987"/>
    <w:rsid w:val="00CF7096"/>
    <w:rsid w:val="00CF7138"/>
    <w:rsid w:val="00D061E4"/>
    <w:rsid w:val="00D1389C"/>
    <w:rsid w:val="00D241E3"/>
    <w:rsid w:val="00D2422F"/>
    <w:rsid w:val="00D26661"/>
    <w:rsid w:val="00D277F8"/>
    <w:rsid w:val="00D432B7"/>
    <w:rsid w:val="00D46678"/>
    <w:rsid w:val="00D72733"/>
    <w:rsid w:val="00D72E0C"/>
    <w:rsid w:val="00D81C1F"/>
    <w:rsid w:val="00D84549"/>
    <w:rsid w:val="00D86D98"/>
    <w:rsid w:val="00D90BD9"/>
    <w:rsid w:val="00D93944"/>
    <w:rsid w:val="00D93DBD"/>
    <w:rsid w:val="00D959F2"/>
    <w:rsid w:val="00D95B9C"/>
    <w:rsid w:val="00DA051E"/>
    <w:rsid w:val="00DA23D5"/>
    <w:rsid w:val="00DA2CB0"/>
    <w:rsid w:val="00DA7C74"/>
    <w:rsid w:val="00DB2157"/>
    <w:rsid w:val="00DB36DF"/>
    <w:rsid w:val="00DB3896"/>
    <w:rsid w:val="00DB704D"/>
    <w:rsid w:val="00DC01AF"/>
    <w:rsid w:val="00DC0248"/>
    <w:rsid w:val="00DC488F"/>
    <w:rsid w:val="00DC7736"/>
    <w:rsid w:val="00DC7762"/>
    <w:rsid w:val="00DD22FE"/>
    <w:rsid w:val="00DD30B6"/>
    <w:rsid w:val="00DD358B"/>
    <w:rsid w:val="00DD79AB"/>
    <w:rsid w:val="00DE12DD"/>
    <w:rsid w:val="00DE1529"/>
    <w:rsid w:val="00DE7010"/>
    <w:rsid w:val="00DF1C45"/>
    <w:rsid w:val="00DF1F09"/>
    <w:rsid w:val="00DF3D11"/>
    <w:rsid w:val="00DF595C"/>
    <w:rsid w:val="00E077F0"/>
    <w:rsid w:val="00E21994"/>
    <w:rsid w:val="00E22B94"/>
    <w:rsid w:val="00E23449"/>
    <w:rsid w:val="00E439D6"/>
    <w:rsid w:val="00E508FE"/>
    <w:rsid w:val="00E604C9"/>
    <w:rsid w:val="00E613E7"/>
    <w:rsid w:val="00E61691"/>
    <w:rsid w:val="00E61E2F"/>
    <w:rsid w:val="00E62336"/>
    <w:rsid w:val="00E62B9B"/>
    <w:rsid w:val="00E7171D"/>
    <w:rsid w:val="00E81CB7"/>
    <w:rsid w:val="00E847D3"/>
    <w:rsid w:val="00E87C40"/>
    <w:rsid w:val="00E94811"/>
    <w:rsid w:val="00E95F01"/>
    <w:rsid w:val="00E9642F"/>
    <w:rsid w:val="00EA6A44"/>
    <w:rsid w:val="00EA7CE7"/>
    <w:rsid w:val="00EB033B"/>
    <w:rsid w:val="00EB3BF2"/>
    <w:rsid w:val="00EC3622"/>
    <w:rsid w:val="00EE0C25"/>
    <w:rsid w:val="00EE4A10"/>
    <w:rsid w:val="00EE4B65"/>
    <w:rsid w:val="00EE5FFC"/>
    <w:rsid w:val="00EE7C87"/>
    <w:rsid w:val="00F00B34"/>
    <w:rsid w:val="00F00EC5"/>
    <w:rsid w:val="00F01737"/>
    <w:rsid w:val="00F07A91"/>
    <w:rsid w:val="00F12463"/>
    <w:rsid w:val="00F16C0D"/>
    <w:rsid w:val="00F22031"/>
    <w:rsid w:val="00F23618"/>
    <w:rsid w:val="00F23FAC"/>
    <w:rsid w:val="00F32F00"/>
    <w:rsid w:val="00F3424A"/>
    <w:rsid w:val="00F36D73"/>
    <w:rsid w:val="00F36D80"/>
    <w:rsid w:val="00F4381C"/>
    <w:rsid w:val="00F50FFA"/>
    <w:rsid w:val="00F61535"/>
    <w:rsid w:val="00F631A3"/>
    <w:rsid w:val="00F729B9"/>
    <w:rsid w:val="00F73980"/>
    <w:rsid w:val="00F75317"/>
    <w:rsid w:val="00F82C42"/>
    <w:rsid w:val="00F84D10"/>
    <w:rsid w:val="00F95871"/>
    <w:rsid w:val="00F97EA6"/>
    <w:rsid w:val="00FA2DE2"/>
    <w:rsid w:val="00FA6D15"/>
    <w:rsid w:val="00FA6D98"/>
    <w:rsid w:val="00FB0A00"/>
    <w:rsid w:val="00FC26DA"/>
    <w:rsid w:val="00FD3819"/>
    <w:rsid w:val="00FD6FA5"/>
    <w:rsid w:val="00FE2CB4"/>
    <w:rsid w:val="00FE63C2"/>
    <w:rsid w:val="00FE7B9F"/>
    <w:rsid w:val="00FF15F6"/>
    <w:rsid w:val="00FF4F1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34D434"/>
  <w15:docId w15:val="{E6467815-4110-444C-B2E2-4612F7B1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5"/>
  </w:style>
  <w:style w:type="paragraph" w:styleId="Ttulo1">
    <w:name w:val="heading 1"/>
    <w:basedOn w:val="Normal"/>
    <w:next w:val="Normal"/>
    <w:link w:val="Ttulo1Char"/>
    <w:uiPriority w:val="9"/>
    <w:qFormat/>
    <w:rsid w:val="00334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5C0"/>
  </w:style>
  <w:style w:type="paragraph" w:styleId="Rodap">
    <w:name w:val="footer"/>
    <w:basedOn w:val="Normal"/>
    <w:link w:val="RodapChar"/>
    <w:uiPriority w:val="99"/>
    <w:unhideWhenUsed/>
    <w:rsid w:val="005A7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5C0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5A75C0"/>
    <w:pPr>
      <w:ind w:left="720"/>
      <w:contextualSpacing/>
    </w:pPr>
  </w:style>
  <w:style w:type="paragraph" w:customStyle="1" w:styleId="sArticleStyle2text">
    <w:name w:val="sArticleStyle2_text"/>
    <w:basedOn w:val="Normal"/>
    <w:next w:val="Normal"/>
    <w:rsid w:val="00BF364D"/>
    <w:pPr>
      <w:tabs>
        <w:tab w:val="num" w:pos="3024"/>
      </w:tabs>
      <w:autoSpaceDE w:val="0"/>
      <w:autoSpaceDN w:val="0"/>
      <w:adjustRightInd w:val="0"/>
      <w:spacing w:after="240" w:line="240" w:lineRule="auto"/>
      <w:ind w:firstLine="144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Corpodetexto3">
    <w:name w:val="Body Text 3"/>
    <w:basedOn w:val="Normal"/>
    <w:link w:val="Corpodetexto3Char"/>
    <w:unhideWhenUsed/>
    <w:rsid w:val="00BF364D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F364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34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456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456C"/>
  </w:style>
  <w:style w:type="character" w:styleId="Nmerodepgina">
    <w:name w:val="page number"/>
    <w:basedOn w:val="Fontepargpadro"/>
    <w:rsid w:val="00AA456C"/>
  </w:style>
  <w:style w:type="character" w:styleId="Refdecomentrio">
    <w:name w:val="annotation reference"/>
    <w:basedOn w:val="Fontepargpadro"/>
    <w:uiPriority w:val="99"/>
    <w:semiHidden/>
    <w:unhideWhenUsed/>
    <w:rsid w:val="00454D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D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D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D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D0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D0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83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4F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Body2">
    <w:name w:val="Body 2"/>
    <w:basedOn w:val="Normal"/>
    <w:rsid w:val="00673B3D"/>
    <w:pPr>
      <w:spacing w:after="140" w:line="290" w:lineRule="auto"/>
      <w:ind w:left="1247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1">
    <w:name w:val="Level 1"/>
    <w:basedOn w:val="Normal"/>
    <w:rsid w:val="00673B3D"/>
    <w:pPr>
      <w:numPr>
        <w:numId w:val="25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2">
    <w:name w:val="Level 2"/>
    <w:basedOn w:val="Normal"/>
    <w:rsid w:val="00673B3D"/>
    <w:pPr>
      <w:numPr>
        <w:ilvl w:val="1"/>
        <w:numId w:val="25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3">
    <w:name w:val="Level 3"/>
    <w:basedOn w:val="Normal"/>
    <w:rsid w:val="00673B3D"/>
    <w:pPr>
      <w:numPr>
        <w:ilvl w:val="2"/>
        <w:numId w:val="25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4">
    <w:name w:val="Level 4"/>
    <w:basedOn w:val="Normal"/>
    <w:rsid w:val="00673B3D"/>
    <w:pPr>
      <w:numPr>
        <w:ilvl w:val="3"/>
        <w:numId w:val="25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5">
    <w:name w:val="Level 5"/>
    <w:basedOn w:val="Normal"/>
    <w:rsid w:val="00673B3D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6">
    <w:name w:val="Level 6"/>
    <w:basedOn w:val="Normal"/>
    <w:rsid w:val="00673B3D"/>
    <w:pPr>
      <w:numPr>
        <w:ilvl w:val="5"/>
        <w:numId w:val="25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5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 R J ! 1 7 1 4 7 3 6 . 3 < / d o c u m e n t i d >  
     < s e n d e r i d > F L A V I A . B O N A Z Z A < / s e n d e r i d >  
     < s e n d e r e m a i l > F B O N A Z Z A @ P I N H E I R O G U I M A R A E S . C O M . B R < / s e n d e r e m a i l >  
     < l a s t m o d i f i e d > 2 0 1 9 - 0 9 - 2 3 T 1 8 : 5 0 : 0 0 . 0 0 0 0 0 0 0 - 0 3 : 0 0 < / l a s t m o d i f i e d >  
     < d a t a b a s e > R J 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E6B30-8EC0-49FE-B66C-D889F1277E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C1A9D-2ECA-4EB7-945B-1C855A597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D639D-6BDF-4FDD-9C8C-38C36E1DE9A0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984088E1-954A-4706-8241-FAE37367A98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1adb176-178c-41bb-8643-04db008b5e14"/>
    <ds:schemaRef ds:uri="6d1f4d57-ec2f-4615-a139-a4f77c0b172f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7EC6F4D-395A-4E26-891A-31998B1ED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de AGE</vt:lpstr>
      <vt:lpstr/>
    </vt:vector>
  </TitlesOfParts>
  <Company>DTAdvs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AGE</dc:title>
  <dc:subject>DBTS AXIS</dc:subject>
  <dc:creator>Francisco Timoni</dc:creator>
  <cp:lastModifiedBy>Francisco Timoni</cp:lastModifiedBy>
  <cp:revision>16</cp:revision>
  <cp:lastPrinted>2018-05-09T22:26:00Z</cp:lastPrinted>
  <dcterms:created xsi:type="dcterms:W3CDTF">2020-02-07T20:58:00Z</dcterms:created>
  <dcterms:modified xsi:type="dcterms:W3CDTF">2020-07-21T15:23:00Z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0x01010041F5C11A4B982C42BBD1CECEC9725F9B</vt:lpwstr>
  </property>
</Properties>
</file>