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7A4F3243"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6F60C42A"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w:t>
      </w:r>
      <w:r w:rsidR="00D86134">
        <w:rPr>
          <w:szCs w:val="26"/>
        </w:rPr>
        <w:t>abril</w:t>
      </w:r>
      <w:r w:rsidRPr="00401AB1">
        <w:rPr>
          <w:szCs w:val="26"/>
        </w:rPr>
        <w:t> de 2019, entre a Companhia e os Coordenadores.</w:t>
      </w:r>
    </w:p>
    <w:p w14:paraId="119EF3EF" w14:textId="36682EE5"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w:t>
      </w:r>
      <w:r w:rsidRPr="00401AB1">
        <w:rPr>
          <w:szCs w:val="26"/>
        </w:rPr>
        <w:lastRenderedPageBreak/>
        <w:t xml:space="preserve">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w:t>
      </w:r>
      <w:r w:rsidRPr="00401AB1">
        <w:rPr>
          <w:szCs w:val="26"/>
        </w:rPr>
        <w:lastRenderedPageBreak/>
        <w:t xml:space="preserve">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6EC839FD"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significa a oferta pública de distribuição com esforços restritos de colocação 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r w:rsidRPr="00401AB1">
        <w:rPr>
          <w:i/>
          <w:szCs w:val="26"/>
          <w:u w:val="single"/>
        </w:rPr>
        <w:t>Bookbuilding</w:t>
      </w:r>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significa 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1" w:name="_Ref532040236"/>
      <w:r w:rsidRPr="00401AB1">
        <w:rPr>
          <w:smallCaps/>
          <w:szCs w:val="26"/>
          <w:u w:val="single"/>
        </w:rPr>
        <w:t>Autorização</w:t>
      </w:r>
    </w:p>
    <w:p w14:paraId="770F5D8C" w14:textId="6254A00F" w:rsidR="004650D2" w:rsidRPr="00401AB1" w:rsidRDefault="00880FA8" w:rsidP="007A1A75">
      <w:pPr>
        <w:numPr>
          <w:ilvl w:val="1"/>
          <w:numId w:val="32"/>
        </w:numPr>
        <w:rPr>
          <w:szCs w:val="26"/>
        </w:rPr>
      </w:pPr>
      <w:bookmarkStart w:id="2"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bookmarkStart w:id="3" w:name="_GoBack"/>
      <w:r w:rsidR="00194B4B" w:rsidRPr="00401AB1">
        <w:rPr>
          <w:szCs w:val="26"/>
        </w:rPr>
        <w:t>[</w:t>
      </w:r>
      <w:bookmarkEnd w:id="3"/>
      <w:r w:rsidR="006D26C3" w:rsidRPr="00401AB1">
        <w:rPr>
          <w:szCs w:val="26"/>
        </w:rPr>
        <w:t>●</w:t>
      </w:r>
      <w:r w:rsidR="00194B4B" w:rsidRPr="00401AB1">
        <w:rPr>
          <w:szCs w:val="26"/>
        </w:rPr>
        <w:t>]</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2"/>
    </w:p>
    <w:p w14:paraId="3600DB64"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9ED6CE2"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6"/>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7"/>
    </w:p>
    <w:p w14:paraId="7E148C02" w14:textId="202561DC"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9"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C04D6EC" w14:textId="0C20FAA8"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p>
    <w:bookmarkEnd w:id="13"/>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4"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r w:rsidR="00894CB6" w:rsidRPr="00401AB1">
        <w:rPr>
          <w:i/>
          <w:szCs w:val="26"/>
          <w:u w:val="single"/>
        </w:rPr>
        <w:t>Bookbuilding</w:t>
      </w:r>
      <w:r w:rsidR="00894CB6" w:rsidRPr="00401AB1">
        <w:rPr>
          <w:szCs w:val="26"/>
        </w:rPr>
        <w:t>")</w:t>
      </w:r>
      <w:r w:rsidR="00586A05" w:rsidRPr="00401AB1">
        <w:rPr>
          <w:szCs w:val="26"/>
        </w:rPr>
        <w:t>.</w:t>
      </w:r>
      <w:bookmarkEnd w:id="14"/>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r w:rsidRPr="00401AB1">
        <w:rPr>
          <w:i/>
          <w:szCs w:val="26"/>
        </w:rPr>
        <w:t>Bookbuilding</w:t>
      </w:r>
      <w:r w:rsidRPr="00401AB1">
        <w:rPr>
          <w:szCs w:val="26"/>
        </w:rPr>
        <w:t xml:space="preserve"> será ratificado por meio </w:t>
      </w:r>
      <w:r w:rsidR="00BF6C04" w:rsidRPr="00401AB1">
        <w:rPr>
          <w:szCs w:val="26"/>
        </w:rPr>
        <w:t xml:space="preserve">(i) de deliberação do conselho de administração da Companhia, e (ii)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Refdecomentrio"/>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6"/>
    </w:p>
    <w:p w14:paraId="4B874072" w14:textId="08E218E5" w:rsidR="0024222F" w:rsidRPr="00401AB1" w:rsidRDefault="00880FA8" w:rsidP="007A1A75">
      <w:pPr>
        <w:numPr>
          <w:ilvl w:val="1"/>
          <w:numId w:val="32"/>
        </w:numPr>
        <w:rPr>
          <w:szCs w:val="26"/>
        </w:rPr>
      </w:pPr>
      <w:bookmarkStart w:id="17" w:name="_Ref264481789"/>
      <w:bookmarkStart w:id="18" w:name="_Ref310606049"/>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14:paraId="6373F950" w14:textId="378BCF29"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14:paraId="73305EEE" w14:textId="5E9E4FC6"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14:paraId="21B6CDBE" w14:textId="77777777"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32B397C0" w:rsidR="00880FA8" w:rsidRPr="00401AB1" w:rsidRDefault="00880FA8" w:rsidP="007A1A75">
      <w:pPr>
        <w:numPr>
          <w:ilvl w:val="1"/>
          <w:numId w:val="32"/>
        </w:numPr>
        <w:rPr>
          <w:szCs w:val="26"/>
        </w:rPr>
      </w:pPr>
      <w:bookmarkStart w:id="29" w:name="_Ref264653840"/>
      <w:bookmarkStart w:id="30" w:name="_Ref278297550"/>
      <w:bookmarkStart w:id="31"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2" w:name="_Ref535067474"/>
      <w:bookmarkEnd w:id="29"/>
      <w:bookmarkEnd w:id="30"/>
      <w:bookmarkEnd w:id="31"/>
    </w:p>
    <w:p w14:paraId="2B3CB98E" w14:textId="663CD772" w:rsidR="00880FA8" w:rsidRPr="00401AB1" w:rsidRDefault="00880FA8" w:rsidP="007A1A75">
      <w:pPr>
        <w:numPr>
          <w:ilvl w:val="1"/>
          <w:numId w:val="32"/>
        </w:numPr>
        <w:rPr>
          <w:szCs w:val="26"/>
        </w:rPr>
      </w:pPr>
      <w:bookmarkStart w:id="33"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3"/>
    </w:p>
    <w:p w14:paraId="53A74497" w14:textId="5BC342C4" w:rsidR="00880FA8" w:rsidRPr="00401AB1" w:rsidRDefault="00880FA8" w:rsidP="007A1A75">
      <w:pPr>
        <w:numPr>
          <w:ilvl w:val="1"/>
          <w:numId w:val="32"/>
        </w:numPr>
        <w:rPr>
          <w:szCs w:val="26"/>
        </w:rPr>
      </w:pPr>
      <w:bookmarkStart w:id="34" w:name="_Ref264560361"/>
      <w:bookmarkStart w:id="35"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4"/>
      <w:bookmarkEnd w:id="35"/>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6" w:name="_Ref137107211"/>
      <w:bookmarkStart w:id="37" w:name="_Ref264551489"/>
      <w:bookmarkStart w:id="38" w:name="_Ref279826774"/>
      <w:r w:rsidRPr="00401AB1">
        <w:rPr>
          <w:i/>
          <w:szCs w:val="26"/>
        </w:rPr>
        <w:t>Remuneração</w:t>
      </w:r>
      <w:r w:rsidRPr="00401AB1">
        <w:rPr>
          <w:szCs w:val="26"/>
        </w:rPr>
        <w:t>.</w:t>
      </w:r>
      <w:bookmarkEnd w:id="36"/>
      <w:r w:rsidRPr="00401AB1">
        <w:rPr>
          <w:szCs w:val="26"/>
        </w:rPr>
        <w:t xml:space="preserve"> </w:t>
      </w:r>
      <w:bookmarkStart w:id="39" w:name="_Ref260242522"/>
      <w:bookmarkStart w:id="40" w:name="_Ref130286776"/>
      <w:bookmarkStart w:id="41" w:name="_Ref130611431"/>
      <w:bookmarkStart w:id="42" w:name="_Ref168843122"/>
      <w:bookmarkStart w:id="43" w:name="_Ref130282854"/>
      <w:bookmarkEnd w:id="37"/>
      <w:r w:rsidR="00B84E23" w:rsidRPr="00401AB1">
        <w:rPr>
          <w:szCs w:val="26"/>
        </w:rPr>
        <w:t xml:space="preserve"> A remuneração das Debêntures será a seguinte:</w:t>
      </w:r>
      <w:bookmarkEnd w:id="38"/>
      <w:bookmarkEnd w:id="39"/>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0DE1F0E0" w:rsidR="00BD1AA0" w:rsidRPr="00401AB1" w:rsidRDefault="00C92AFF" w:rsidP="007A1A75">
      <w:pPr>
        <w:numPr>
          <w:ilvl w:val="2"/>
          <w:numId w:val="32"/>
        </w:numPr>
        <w:rPr>
          <w:szCs w:val="26"/>
        </w:rPr>
      </w:pPr>
      <w:bookmarkStart w:id="45" w:name="_Ref328665579"/>
      <w:bookmarkStart w:id="46" w:name="_Ref279828381"/>
      <w:bookmarkStart w:id="4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r w:rsidR="0063436E" w:rsidRPr="00401AB1">
        <w:rPr>
          <w:i/>
          <w:szCs w:val="26"/>
        </w:rPr>
        <w:t>Bookbuilding</w:t>
      </w:r>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8"/>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86134">
        <w:rPr>
          <w:szCs w:val="26"/>
        </w:rPr>
        <w:t>3 (três)</w:t>
      </w:r>
      <w:r w:rsidR="003C58AC" w:rsidRPr="00401AB1">
        <w:rPr>
          <w:szCs w:val="26"/>
        </w:rPr>
        <w:t xml:space="preserve"> </w:t>
      </w:r>
      <w:r w:rsidR="00DB54B2" w:rsidRPr="00401AB1">
        <w:rPr>
          <w:szCs w:val="26"/>
        </w:rPr>
        <w:t xml:space="preserve">dos meses de </w:t>
      </w:r>
      <w:r w:rsidR="00D86134">
        <w:rPr>
          <w:szCs w:val="26"/>
        </w:rPr>
        <w:t>maio</w:t>
      </w:r>
      <w:r w:rsidR="00D144F8" w:rsidRPr="00401AB1">
        <w:rPr>
          <w:szCs w:val="26"/>
        </w:rPr>
        <w:t xml:space="preserve"> </w:t>
      </w:r>
      <w:r w:rsidR="00DB54B2" w:rsidRPr="00401AB1">
        <w:rPr>
          <w:szCs w:val="26"/>
        </w:rPr>
        <w:t xml:space="preserve">e </w:t>
      </w:r>
      <w:r w:rsidR="00D86134">
        <w:rPr>
          <w:szCs w:val="26"/>
        </w:rPr>
        <w:t>novembro</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D86134">
        <w:rPr>
          <w:szCs w:val="26"/>
        </w:rPr>
        <w:t>3</w:t>
      </w:r>
      <w:r w:rsidR="0082713A" w:rsidRPr="00401AB1">
        <w:rPr>
          <w:szCs w:val="26"/>
        </w:rPr>
        <w:t> </w:t>
      </w:r>
      <w:r w:rsidR="00BD1AA0" w:rsidRPr="00401AB1">
        <w:rPr>
          <w:szCs w:val="26"/>
        </w:rPr>
        <w:t>de </w:t>
      </w:r>
      <w:r w:rsidR="00D86134">
        <w:rPr>
          <w:szCs w:val="26"/>
        </w:rPr>
        <w:t>novembro</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5"/>
    </w:p>
    <w:p w14:paraId="22BC4401" w14:textId="5AD9E36B" w:rsidR="009E7A5E" w:rsidRPr="00401AB1" w:rsidRDefault="009E7A5E" w:rsidP="007A1A75">
      <w:pPr>
        <w:keepLines/>
        <w:ind w:left="1701"/>
        <w:jc w:val="center"/>
        <w:rPr>
          <w:szCs w:val="18"/>
        </w:rPr>
      </w:pPr>
      <w:r w:rsidRPr="00401AB1">
        <w:rPr>
          <w:szCs w:val="18"/>
        </w:rPr>
        <w:t>J = VNe x (</w:t>
      </w:r>
      <w:r w:rsidRPr="00401AB1">
        <w:rPr>
          <w:i/>
          <w:szCs w:val="18"/>
        </w:rPr>
        <w:t>FatorDI</w:t>
      </w:r>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r w:rsidRPr="00401AB1">
        <w:rPr>
          <w:szCs w:val="18"/>
        </w:rPr>
        <w:t>VNe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r w:rsidRPr="00401AB1">
        <w:rPr>
          <w:szCs w:val="18"/>
        </w:rPr>
        <w:t>FatorDI =</w:t>
      </w:r>
      <w:r w:rsidR="004F3072" w:rsidRPr="00401AB1">
        <w:rPr>
          <w:szCs w:val="18"/>
        </w:rPr>
        <w:t xml:space="preserve"> </w:t>
      </w:r>
      <w:r w:rsidRPr="00401AB1">
        <w:rPr>
          <w:szCs w:val="18"/>
        </w:rPr>
        <w:t>produtório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5.4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7112677"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número de ordem de TDIk, variando de 1 (um) até n</w:t>
      </w:r>
      <w:r w:rsidRPr="00401AB1">
        <w:rPr>
          <w:szCs w:val="18"/>
          <w:vertAlign w:val="subscript"/>
        </w:rPr>
        <w:t>DI</w:t>
      </w:r>
      <w:r w:rsidRPr="00401AB1">
        <w:rPr>
          <w:szCs w:val="18"/>
        </w:rPr>
        <w:t>;</w:t>
      </w:r>
    </w:p>
    <w:p w14:paraId="0D3F755B" w14:textId="77777777" w:rsidR="009E7A5E" w:rsidRPr="00401AB1" w:rsidRDefault="009E7A5E" w:rsidP="007A1A75">
      <w:pPr>
        <w:keepLines/>
        <w:ind w:left="1701"/>
        <w:rPr>
          <w:szCs w:val="18"/>
        </w:rPr>
      </w:pPr>
      <w:r w:rsidRPr="00401AB1">
        <w:rPr>
          <w:szCs w:val="18"/>
        </w:rPr>
        <w:t>n</w:t>
      </w:r>
      <w:r w:rsidRPr="00401AB1">
        <w:rPr>
          <w:szCs w:val="18"/>
          <w:vertAlign w:val="subscript"/>
        </w:rPr>
        <w:t>DI</w:t>
      </w:r>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"n</w:t>
      </w:r>
      <w:r w:rsidRPr="00401AB1">
        <w:rPr>
          <w:szCs w:val="18"/>
          <w:vertAlign w:val="subscript"/>
        </w:rPr>
        <w:t>DI</w:t>
      </w:r>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r w:rsidRPr="00401AB1">
        <w:rPr>
          <w:i/>
          <w:szCs w:val="26"/>
        </w:rPr>
        <w:t>Bookbuilding</w:t>
      </w:r>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r w:rsidRPr="00401AB1">
        <w:rPr>
          <w:szCs w:val="18"/>
        </w:rPr>
        <w:t>TDI</w:t>
      </w:r>
      <w:r w:rsidRPr="00401AB1">
        <w:rPr>
          <w:szCs w:val="18"/>
          <w:vertAlign w:val="subscript"/>
        </w:rPr>
        <w:t>k</w:t>
      </w:r>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6pt;height:35.4pt;mso-width-percent:0;mso-height-percent:0;mso-width-percent:0;mso-height-percent:0" o:ole="" fillcolor="window">
            <v:imagedata r:id="rId10" o:title=""/>
          </v:shape>
          <o:OLEObject Type="Embed" ProgID="Equation.3" ShapeID="_x0000_i1026" DrawAspect="Content" ObjectID="_1617112678"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r w:rsidRPr="00401AB1">
        <w:rPr>
          <w:szCs w:val="18"/>
        </w:rPr>
        <w:t>DI</w:t>
      </w:r>
      <w:r w:rsidRPr="00401AB1">
        <w:rPr>
          <w:szCs w:val="18"/>
          <w:vertAlign w:val="subscript"/>
        </w:rPr>
        <w:t>k</w:t>
      </w:r>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produtório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"FatorDI"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9"/>
    </w:p>
    <w:p w14:paraId="52E4DD94" w14:textId="23AAE5D6" w:rsidR="00ED794E" w:rsidRPr="00401AB1" w:rsidRDefault="00ED794E" w:rsidP="007A1A75">
      <w:pPr>
        <w:numPr>
          <w:ilvl w:val="5"/>
          <w:numId w:val="32"/>
        </w:numPr>
        <w:rPr>
          <w:szCs w:val="26"/>
        </w:rPr>
      </w:pPr>
      <w:bookmarkStart w:id="50" w:name="_Ref286330516"/>
      <w:bookmarkStart w:id="51" w:name="_Ref286331549"/>
      <w:bookmarkStart w:id="52" w:name="_Ref466392985"/>
      <w:bookmarkStart w:id="53" w:name="_Ref286154048"/>
      <w:bookmarkEnd w:id="40"/>
      <w:bookmarkEnd w:id="41"/>
      <w:bookmarkEnd w:id="42"/>
      <w:bookmarkEnd w:id="44"/>
      <w:bookmarkEnd w:id="46"/>
      <w:bookmarkEnd w:id="47"/>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4" w:name="_Ref286330522"/>
      <w:bookmarkEnd w:id="5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1"/>
      <w:bookmarkEnd w:id="54"/>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2"/>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5" w:name="_Ref5631990"/>
      <w:bookmarkEnd w:id="5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5"/>
      <w:r w:rsidR="00B55025">
        <w:rPr>
          <w:szCs w:val="26"/>
        </w:rPr>
        <w:t xml:space="preserve"> </w:t>
      </w:r>
    </w:p>
    <w:p w14:paraId="3D7D1BF4" w14:textId="0665C77D" w:rsidR="00A65CF1" w:rsidRPr="00401AB1" w:rsidRDefault="00A65CF1" w:rsidP="0033306B">
      <w:pPr>
        <w:numPr>
          <w:ilvl w:val="5"/>
          <w:numId w:val="32"/>
        </w:numPr>
        <w:rPr>
          <w:szCs w:val="26"/>
        </w:rPr>
      </w:pPr>
      <w:bookmarkStart w:id="56" w:name="_Ref5640016"/>
      <w:r w:rsidRPr="00401AB1">
        <w:rPr>
          <w:szCs w:val="26"/>
        </w:rPr>
        <w:t xml:space="preserve">Fica desde já definido que </w:t>
      </w:r>
      <w:r w:rsidR="00080330">
        <w:rPr>
          <w:szCs w:val="26"/>
        </w:rPr>
        <w:t>n</w:t>
      </w:r>
      <w:r w:rsidRPr="00401AB1">
        <w:rPr>
          <w:szCs w:val="26"/>
        </w:rPr>
        <w:t xml:space="preserve">o período compreendido entre </w:t>
      </w:r>
      <w:r w:rsidR="00D86134">
        <w:rPr>
          <w:szCs w:val="26"/>
        </w:rPr>
        <w:t>29</w:t>
      </w:r>
      <w:r w:rsidRPr="00401AB1">
        <w:rPr>
          <w:szCs w:val="26"/>
        </w:rPr>
        <w:t xml:space="preserve"> de </w:t>
      </w:r>
      <w:r w:rsidR="00D86134">
        <w:rPr>
          <w:szCs w:val="26"/>
        </w:rPr>
        <w:t>março</w:t>
      </w:r>
      <w:r w:rsidRPr="00401AB1">
        <w:rPr>
          <w:szCs w:val="26"/>
        </w:rPr>
        <w:t xml:space="preserve"> de 2022 (inclusive) e </w:t>
      </w:r>
      <w:r w:rsidR="00D86134">
        <w:rPr>
          <w:szCs w:val="26"/>
        </w:rPr>
        <w:t>19</w:t>
      </w:r>
      <w:r w:rsidRPr="00401AB1">
        <w:rPr>
          <w:szCs w:val="26"/>
        </w:rPr>
        <w:t xml:space="preserve"> de </w:t>
      </w:r>
      <w:r w:rsidR="00D86134">
        <w:rPr>
          <w:szCs w:val="26"/>
        </w:rPr>
        <w:t>abril</w:t>
      </w:r>
      <w:r w:rsidRPr="00401AB1">
        <w:rPr>
          <w:szCs w:val="26"/>
        </w:rPr>
        <w:t xml:space="preserve">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xml:space="preserve">, sendo a data de repactuação o dia </w:t>
      </w:r>
      <w:r w:rsidR="00D86134">
        <w:rPr>
          <w:szCs w:val="26"/>
        </w:rPr>
        <w:t>3</w:t>
      </w:r>
      <w:r w:rsidR="001B57A0" w:rsidRPr="00401AB1">
        <w:rPr>
          <w:szCs w:val="26"/>
        </w:rPr>
        <w:t xml:space="preserve"> de </w:t>
      </w:r>
      <w:r w:rsidR="00D86134">
        <w:rPr>
          <w:szCs w:val="26"/>
        </w:rPr>
        <w:t>maio</w:t>
      </w:r>
      <w:r w:rsidR="001B57A0" w:rsidRPr="00401AB1">
        <w:rPr>
          <w:szCs w:val="26"/>
        </w:rPr>
        <w:t xml:space="preserve"> de 2022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6"/>
    </w:p>
    <w:p w14:paraId="2182A061" w14:textId="7E25D3CC" w:rsidR="00A65CF1" w:rsidRPr="00401AB1" w:rsidRDefault="00A65CF1" w:rsidP="0033306B">
      <w:pPr>
        <w:numPr>
          <w:ilvl w:val="5"/>
          <w:numId w:val="3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56E6F4DD" w14:textId="396A828C" w:rsidR="00651440" w:rsidRPr="00401AB1" w:rsidRDefault="001E19BA" w:rsidP="0033306B">
      <w:pPr>
        <w:numPr>
          <w:ilvl w:val="6"/>
          <w:numId w:val="3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004B560F"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9" w:name="_Ref5634308"/>
      <w:r w:rsidRPr="00401AB1">
        <w:rPr>
          <w:szCs w:val="26"/>
        </w:rPr>
        <w:t>os novos prêmios de amortização antecipada e/ou de resgate antecipado, se o caso</w:t>
      </w:r>
      <w:bookmarkEnd w:id="59"/>
      <w:r w:rsidR="00B12065">
        <w:rPr>
          <w:szCs w:val="26"/>
        </w:rPr>
        <w:t>.</w:t>
      </w:r>
    </w:p>
    <w:p w14:paraId="570C95E8" w14:textId="0C3B386B" w:rsidR="00C22849" w:rsidRPr="00401AB1" w:rsidRDefault="001B57A0" w:rsidP="0033306B">
      <w:pPr>
        <w:numPr>
          <w:ilvl w:val="5"/>
          <w:numId w:val="32"/>
        </w:numPr>
        <w:rPr>
          <w:szCs w:val="26"/>
        </w:rPr>
      </w:pPr>
      <w:bookmarkStart w:id="60" w:name="_Ref5633520"/>
      <w:bookmarkStart w:id="61"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manifestar através do Agente Fiduciário</w:t>
      </w:r>
      <w:r w:rsidR="004C4507" w:rsidRPr="008E75FD">
        <w:rPr>
          <w:szCs w:val="26"/>
        </w:rPr>
        <w:t xml:space="preserve"> ou diretamente à Companhia, </w:t>
      </w:r>
      <w:r w:rsidR="00B12065" w:rsidRPr="008E75FD">
        <w:rPr>
          <w:szCs w:val="26"/>
        </w:rPr>
        <w:t xml:space="preserve">mediante envio de notificação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rata temporis</w:t>
      </w:r>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0"/>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BA0821" w:rsidRPr="008E75FD">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18C8E513" w:rsidR="000F4574" w:rsidRPr="00401AB1" w:rsidRDefault="00123214" w:rsidP="008D07AD">
      <w:pPr>
        <w:numPr>
          <w:ilvl w:val="1"/>
          <w:numId w:val="32"/>
        </w:numPr>
        <w:rPr>
          <w:szCs w:val="26"/>
        </w:rPr>
      </w:pPr>
      <w:bookmarkStart w:id="62" w:name="_Ref466113462"/>
      <w:bookmarkStart w:id="63" w:name="_Ref465677424"/>
      <w:bookmarkStart w:id="64" w:name="_Ref534176584"/>
      <w:bookmarkEnd w:id="32"/>
      <w:bookmarkEnd w:id="43"/>
      <w:bookmarkEnd w:id="61"/>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2"/>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30C73916"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30AD7673" w14:textId="3CFA73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51B11F0C" w:rsidR="004D5DF6" w:rsidRPr="00401AB1" w:rsidRDefault="00F85DE0" w:rsidP="004D5DF6">
      <w:pPr>
        <w:numPr>
          <w:ilvl w:val="1"/>
          <w:numId w:val="32"/>
        </w:numPr>
        <w:rPr>
          <w:szCs w:val="26"/>
        </w:rPr>
      </w:pPr>
      <w:bookmarkStart w:id="65" w:name="_Ref285570716"/>
      <w:bookmarkStart w:id="66" w:name="_Ref366061184"/>
      <w:bookmarkEnd w:id="63"/>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5"/>
      <w:bookmarkEnd w:id="66"/>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3551EF1B"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33BCFFB2" w14:textId="2FCDFD88"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7" w:name="_Ref286439163"/>
      <w:bookmarkStart w:id="68" w:name="_Ref302744040"/>
      <w:bookmarkStart w:id="69" w:name="_Ref306628854"/>
      <w:r w:rsidRPr="00401AB1">
        <w:rPr>
          <w:i/>
        </w:rPr>
        <w:t>Oferta Facultativa de Resgate Antecipado</w:t>
      </w:r>
      <w:r w:rsidR="00757A2E" w:rsidRPr="00401AB1">
        <w:t xml:space="preserve">.  </w:t>
      </w:r>
      <w:bookmarkEnd w:id="67"/>
      <w:bookmarkEnd w:id="6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9"/>
    </w:p>
    <w:p w14:paraId="6DC80507" w14:textId="28164160" w:rsidR="00757A2E" w:rsidRPr="00401AB1" w:rsidRDefault="00757A2E" w:rsidP="006006C8">
      <w:pPr>
        <w:numPr>
          <w:ilvl w:val="2"/>
          <w:numId w:val="43"/>
        </w:numPr>
      </w:pPr>
      <w:bookmarkStart w:id="70" w:name="_Ref466105848"/>
      <w:bookmarkStart w:id="7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BA0821" w:rsidRPr="008E75FD">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0"/>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72" w:name="_Ref303592513"/>
      <w:bookmarkStart w:id="73"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72"/>
      <w:r w:rsidR="00757A2E" w:rsidRPr="00401AB1">
        <w:t>o resultado do sorteio;</w:t>
      </w:r>
      <w:bookmarkEnd w:id="73"/>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1"/>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4"/>
    </w:p>
    <w:p w14:paraId="6CA0C06C" w14:textId="3C0BC2BE" w:rsidR="00AC5A5C" w:rsidRPr="00401AB1" w:rsidRDefault="00AC5A5C" w:rsidP="00AD4FFE">
      <w:pPr>
        <w:numPr>
          <w:ilvl w:val="1"/>
          <w:numId w:val="32"/>
        </w:numPr>
        <w:rPr>
          <w:szCs w:val="26"/>
        </w:rPr>
      </w:pPr>
      <w:bookmarkStart w:id="7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14:paraId="6E02F115" w14:textId="5B7AF29D" w:rsidR="00880FA8" w:rsidRPr="00401AB1" w:rsidRDefault="00880FA8" w:rsidP="00AD4FFE">
      <w:pPr>
        <w:numPr>
          <w:ilvl w:val="1"/>
          <w:numId w:val="32"/>
        </w:numPr>
        <w:rPr>
          <w:szCs w:val="26"/>
        </w:rPr>
      </w:pPr>
      <w:bookmarkStart w:id="76"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(ii) multa moratória de 2% (dois por cento)</w:t>
      </w:r>
      <w:r w:rsidRPr="00401AB1">
        <w:rPr>
          <w:szCs w:val="26"/>
        </w:rPr>
        <w:t xml:space="preserve"> ("</w:t>
      </w:r>
      <w:r w:rsidRPr="00401AB1">
        <w:rPr>
          <w:szCs w:val="26"/>
          <w:u w:val="single"/>
        </w:rPr>
        <w:t>Encargos Moratórios</w:t>
      </w:r>
      <w:r w:rsidRPr="00401AB1">
        <w:rPr>
          <w:szCs w:val="26"/>
        </w:rPr>
        <w:t>").</w:t>
      </w:r>
      <w:bookmarkEnd w:id="7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4"/>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7" w:name="_Ref534176672"/>
      <w:bookmarkStart w:id="7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8"/>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9"/>
    </w:p>
    <w:p w14:paraId="52333F80" w14:textId="2062645C" w:rsidR="007A13E9" w:rsidRPr="00401AB1" w:rsidRDefault="00EC57CB" w:rsidP="00E65FB3">
      <w:pPr>
        <w:numPr>
          <w:ilvl w:val="6"/>
          <w:numId w:val="43"/>
        </w:numPr>
        <w:rPr>
          <w:szCs w:val="26"/>
        </w:rPr>
      </w:pPr>
      <w:bookmarkStart w:id="80" w:name="_Ref130283570"/>
      <w:bookmarkStart w:id="81" w:name="_Ref130301134"/>
      <w:bookmarkStart w:id="82" w:name="_Ref137104995"/>
      <w:bookmarkStart w:id="8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38902EBE"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1556F5">
      <w:pPr>
        <w:numPr>
          <w:ilvl w:val="7"/>
          <w:numId w:val="43"/>
        </w:numPr>
        <w:rPr>
          <w:szCs w:val="26"/>
        </w:rPr>
      </w:pPr>
      <w:r w:rsidRPr="00C90722">
        <w:rPr>
          <w:szCs w:val="26"/>
        </w:rPr>
        <w:t>da CETIP Lux S.à.r.l;</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4" w:name="_Ref322627685"/>
      <w:r w:rsidRPr="00401AB1">
        <w:t>cisão, fusão, incorporação (no qual referida sociedade é a incorporada) ou incorporação de ações da Companhia, exceto:</w:t>
      </w:r>
      <w:bookmarkEnd w:id="8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0492D91" w14:textId="77777777" w:rsidR="00EC57CB" w:rsidRPr="00DB7003" w:rsidRDefault="006F2486" w:rsidP="00E65FB3">
      <w:pPr>
        <w:numPr>
          <w:ilvl w:val="6"/>
          <w:numId w:val="43"/>
        </w:numPr>
        <w:rPr>
          <w:szCs w:val="26"/>
        </w:rPr>
      </w:pPr>
      <w:bookmarkStart w:id="85" w:name="_Ref272360045"/>
      <w:bookmarkStart w:id="86" w:name="_Ref278402643"/>
      <w:bookmarkStart w:id="87" w:name="_Ref328666873"/>
      <w:r w:rsidRPr="00DB7003">
        <w:t>redução de capital social da Companhia, exceto</w:t>
      </w:r>
      <w:bookmarkEnd w:id="85"/>
      <w:bookmarkEnd w:id="86"/>
      <w:bookmarkEnd w:id="87"/>
      <w:r w:rsidRPr="00DB7003">
        <w:t>:</w:t>
      </w:r>
    </w:p>
    <w:p w14:paraId="2265E294" w14:textId="7DC755A4"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90" w:name="_DV_M45"/>
      <w:bookmarkStart w:id="91" w:name="_Ref356481704"/>
      <w:bookmarkStart w:id="92" w:name="_Ref359943338"/>
      <w:bookmarkStart w:id="93" w:name="_Ref130283254"/>
      <w:bookmarkEnd w:id="80"/>
      <w:bookmarkEnd w:id="81"/>
      <w:bookmarkEnd w:id="82"/>
      <w:bookmarkEnd w:id="83"/>
      <w:bookmarkEnd w:id="9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1"/>
      <w:bookmarkEnd w:id="92"/>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4"/>
      <w:r w:rsidRPr="00401AB1">
        <w:rPr>
          <w:szCs w:val="26"/>
        </w:rPr>
        <w:t>;</w:t>
      </w:r>
    </w:p>
    <w:p w14:paraId="37A7C676" w14:textId="6452A072"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5"/>
    </w:p>
    <w:p w14:paraId="3FFD3F15" w14:textId="474F126D" w:rsidR="00972748" w:rsidRPr="00401AB1" w:rsidRDefault="00972748" w:rsidP="00281400">
      <w:pPr>
        <w:numPr>
          <w:ilvl w:val="6"/>
          <w:numId w:val="32"/>
        </w:numPr>
        <w:rPr>
          <w:szCs w:val="26"/>
        </w:rPr>
      </w:pPr>
      <w:bookmarkStart w:id="9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6"/>
      <w:r w:rsidR="000768C0" w:rsidRPr="00401AB1">
        <w:t xml:space="preserve"> </w:t>
      </w:r>
    </w:p>
    <w:p w14:paraId="200855EF" w14:textId="56CE85DD"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7"/>
    </w:p>
    <w:p w14:paraId="0DF9762C" w14:textId="64E5BDE1"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8" w:name="_DV_M126"/>
      <w:bookmarkEnd w:id="98"/>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9" w:name="_Ref130283217"/>
      <w:bookmarkStart w:id="100" w:name="_Ref169028300"/>
      <w:bookmarkStart w:id="101" w:name="_Ref278369126"/>
      <w:bookmarkStart w:id="102" w:name="_Ref534176562"/>
      <w:bookmarkEnd w:id="9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9"/>
      <w:bookmarkEnd w:id="100"/>
      <w:bookmarkEnd w:id="101"/>
    </w:p>
    <w:p w14:paraId="0F4F2996" w14:textId="73DA1EC4" w:rsidR="00880FA8" w:rsidRPr="00401AB1" w:rsidRDefault="00880FA8" w:rsidP="00AC7CFE">
      <w:pPr>
        <w:numPr>
          <w:ilvl w:val="5"/>
          <w:numId w:val="32"/>
        </w:numPr>
        <w:rPr>
          <w:szCs w:val="26"/>
        </w:rPr>
      </w:pPr>
      <w:bookmarkStart w:id="10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2"/>
      <w:bookmarkEnd w:id="103"/>
    </w:p>
    <w:p w14:paraId="6AFB0E3F" w14:textId="6AA867D0" w:rsidR="00880FA8" w:rsidRPr="00401AB1" w:rsidRDefault="00880FA8" w:rsidP="00AC7CFE">
      <w:pPr>
        <w:numPr>
          <w:ilvl w:val="5"/>
          <w:numId w:val="32"/>
        </w:numPr>
        <w:rPr>
          <w:szCs w:val="26"/>
        </w:rPr>
      </w:pPr>
      <w:bookmarkStart w:id="104" w:name="_Ref130283221"/>
      <w:bookmarkStart w:id="10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4"/>
      <w:bookmarkEnd w:id="105"/>
    </w:p>
    <w:p w14:paraId="3C5E6DEA" w14:textId="5F1A58A3" w:rsidR="004F1C7A" w:rsidRPr="00401AB1" w:rsidRDefault="00AD777F" w:rsidP="00AC7CFE">
      <w:pPr>
        <w:numPr>
          <w:ilvl w:val="5"/>
          <w:numId w:val="32"/>
        </w:numPr>
        <w:rPr>
          <w:szCs w:val="26"/>
        </w:rPr>
      </w:pPr>
      <w:bookmarkStart w:id="10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6"/>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o Escriturador,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7" w:name="_Ref130286395"/>
      <w:bookmarkStart w:id="108" w:name="_Ref284530595"/>
      <w:bookmarkStart w:id="109" w:name="_Ref467509574"/>
      <w:r w:rsidRPr="00401AB1">
        <w:rPr>
          <w:i/>
          <w:szCs w:val="26"/>
        </w:rPr>
        <w:t>Publicidade</w:t>
      </w:r>
      <w:r w:rsidRPr="00401AB1">
        <w:rPr>
          <w:szCs w:val="26"/>
        </w:rPr>
        <w:t xml:space="preserve">.  </w:t>
      </w:r>
      <w:bookmarkEnd w:id="10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8"/>
      <w:bookmarkEnd w:id="109"/>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10" w:name="_Ref130390982"/>
    </w:p>
    <w:p w14:paraId="586C7DB2" w14:textId="77777777" w:rsidR="00880FA8" w:rsidRPr="00401AB1" w:rsidRDefault="00880FA8" w:rsidP="00A23E26">
      <w:pPr>
        <w:numPr>
          <w:ilvl w:val="1"/>
          <w:numId w:val="32"/>
        </w:numPr>
        <w:rPr>
          <w:szCs w:val="26"/>
        </w:rPr>
      </w:pPr>
      <w:bookmarkStart w:id="111"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0"/>
      <w:bookmarkEnd w:id="111"/>
    </w:p>
    <w:p w14:paraId="551EF01A" w14:textId="77777777" w:rsidR="003A684C" w:rsidRPr="00401AB1" w:rsidRDefault="00E14CCE" w:rsidP="00A23E26">
      <w:pPr>
        <w:numPr>
          <w:ilvl w:val="2"/>
          <w:numId w:val="32"/>
        </w:numPr>
        <w:rPr>
          <w:szCs w:val="26"/>
        </w:rPr>
      </w:pPr>
      <w:bookmarkStart w:id="112" w:name="_Ref262552287"/>
      <w:bookmarkStart w:id="113"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2"/>
    </w:p>
    <w:p w14:paraId="1EEDF881" w14:textId="3208F7CE" w:rsidR="00771123" w:rsidRPr="00401AB1" w:rsidRDefault="00E14CCE" w:rsidP="00A23E26">
      <w:pPr>
        <w:numPr>
          <w:ilvl w:val="3"/>
          <w:numId w:val="32"/>
        </w:numPr>
        <w:rPr>
          <w:szCs w:val="26"/>
        </w:rPr>
      </w:pPr>
      <w:bookmarkStart w:id="114" w:name="_Ref289720326"/>
      <w:bookmarkStart w:id="115" w:name="_Ref466106032"/>
      <w:bookmarkStart w:id="116"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4"/>
      <w:bookmarkEnd w:id="115"/>
    </w:p>
    <w:p w14:paraId="2A632549" w14:textId="48029EA9" w:rsidR="00E14CCE" w:rsidRPr="00401AB1" w:rsidRDefault="003057D2" w:rsidP="00A23E26">
      <w:pPr>
        <w:numPr>
          <w:ilvl w:val="3"/>
          <w:numId w:val="32"/>
        </w:numPr>
        <w:rPr>
          <w:szCs w:val="26"/>
        </w:rPr>
      </w:pPr>
      <w:bookmarkStart w:id="117" w:name="_Ref286937833"/>
      <w:bookmarkStart w:id="118" w:name="_Ref262552291"/>
      <w:bookmarkStart w:id="119"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7"/>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20"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8"/>
      <w:r w:rsidRPr="00401AB1">
        <w:rPr>
          <w:szCs w:val="26"/>
        </w:rPr>
        <w:t xml:space="preserve"> e</w:t>
      </w:r>
      <w:bookmarkEnd w:id="119"/>
      <w:bookmarkEnd w:id="120"/>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1" w:name="_Ref225332080"/>
      <w:bookmarkEnd w:id="113"/>
      <w:bookmarkEnd w:id="116"/>
      <w:r w:rsidRPr="00401AB1">
        <w:rPr>
          <w:szCs w:val="26"/>
        </w:rPr>
        <w:t>fornecer ao Agente Fiduciário:</w:t>
      </w:r>
      <w:bookmarkEnd w:id="121"/>
    </w:p>
    <w:p w14:paraId="311C3D15" w14:textId="41581274" w:rsidR="00635146" w:rsidRPr="00401AB1" w:rsidRDefault="00635146" w:rsidP="00A23E26">
      <w:pPr>
        <w:numPr>
          <w:ilvl w:val="3"/>
          <w:numId w:val="32"/>
        </w:numPr>
        <w:rPr>
          <w:szCs w:val="26"/>
        </w:rPr>
      </w:pPr>
      <w:bookmarkStart w:id="12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2"/>
    </w:p>
    <w:p w14:paraId="57B357AE" w14:textId="738F1321" w:rsidR="002E6B2F" w:rsidRPr="00401AB1" w:rsidRDefault="002E6B2F" w:rsidP="00A23E26">
      <w:pPr>
        <w:numPr>
          <w:ilvl w:val="3"/>
          <w:numId w:val="32"/>
        </w:numPr>
        <w:rPr>
          <w:szCs w:val="26"/>
        </w:rPr>
      </w:pPr>
      <w:bookmarkStart w:id="123" w:name="_Ref168844063"/>
      <w:bookmarkStart w:id="124" w:name="_Ref278277903"/>
      <w:bookmarkStart w:id="125"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3"/>
      <w:bookmarkEnd w:id="124"/>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F974277" w14:textId="482D11A7" w:rsidR="00635146" w:rsidRPr="00401AB1" w:rsidRDefault="00635146" w:rsidP="00A23E26">
      <w:pPr>
        <w:numPr>
          <w:ilvl w:val="3"/>
          <w:numId w:val="32"/>
        </w:numPr>
        <w:rPr>
          <w:szCs w:val="26"/>
        </w:rPr>
      </w:pPr>
      <w:bookmarkStart w:id="126"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6"/>
      <w:r w:rsidR="00EF2842" w:rsidRPr="00EF2842">
        <w:rPr>
          <w:szCs w:val="26"/>
        </w:rPr>
        <w:t xml:space="preserve"> </w:t>
      </w:r>
    </w:p>
    <w:p w14:paraId="48DDC1CC" w14:textId="5FEAB74F" w:rsidR="00635146" w:rsidRPr="00401AB1" w:rsidRDefault="00635146" w:rsidP="00A23E26">
      <w:pPr>
        <w:numPr>
          <w:ilvl w:val="3"/>
          <w:numId w:val="32"/>
        </w:numPr>
        <w:rPr>
          <w:szCs w:val="26"/>
        </w:rPr>
      </w:pPr>
      <w:bookmarkStart w:id="127"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7"/>
      <w:r w:rsidR="00746DAA" w:rsidRPr="00401AB1">
        <w:rPr>
          <w:szCs w:val="26"/>
        </w:rPr>
        <w:t xml:space="preserve"> e</w:t>
      </w:r>
      <w:r w:rsidR="00EF2842" w:rsidDel="0085034D">
        <w:rPr>
          <w:szCs w:val="26"/>
        </w:rPr>
        <w:t xml:space="preserve"> </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5"/>
    <w:p w14:paraId="56E315ED"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0512D7F4" w:rsidR="00635146" w:rsidRPr="008E75FD" w:rsidRDefault="00635146" w:rsidP="00A5022E">
      <w:pPr>
        <w:numPr>
          <w:ilvl w:val="2"/>
          <w:numId w:val="32"/>
        </w:numPr>
        <w:rPr>
          <w:szCs w:val="26"/>
        </w:rPr>
      </w:pPr>
      <w:bookmarkStart w:id="128"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8"/>
    </w:p>
    <w:p w14:paraId="590F5BAF" w14:textId="52288E6B"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38DAD837" w:rsidR="00414D8F" w:rsidRPr="008E75FD" w:rsidRDefault="00A80F9B">
      <w:pPr>
        <w:numPr>
          <w:ilvl w:val="2"/>
          <w:numId w:val="32"/>
        </w:numPr>
        <w:rPr>
          <w:szCs w:val="26"/>
        </w:rPr>
      </w:pPr>
      <w:bookmarkStart w:id="129"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9"/>
      <w:r w:rsidR="00163621" w:rsidRPr="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30"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0"/>
    </w:p>
    <w:p w14:paraId="6F2159DF" w14:textId="1CF406DA" w:rsidR="00635146" w:rsidRPr="00401AB1" w:rsidRDefault="00635146" w:rsidP="00A5022E">
      <w:pPr>
        <w:numPr>
          <w:ilvl w:val="2"/>
          <w:numId w:val="32"/>
        </w:numPr>
        <w:rPr>
          <w:szCs w:val="26"/>
        </w:rPr>
      </w:pPr>
      <w:bookmarkStart w:id="131"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1"/>
    </w:p>
    <w:p w14:paraId="266CE782" w14:textId="77777777" w:rsidR="00635146" w:rsidRPr="00401AB1" w:rsidRDefault="00635146" w:rsidP="00A5022E">
      <w:pPr>
        <w:numPr>
          <w:ilvl w:val="2"/>
          <w:numId w:val="32"/>
        </w:numPr>
        <w:rPr>
          <w:szCs w:val="26"/>
        </w:rPr>
      </w:pPr>
      <w:bookmarkStart w:id="132"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2"/>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33"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3"/>
    </w:p>
    <w:p w14:paraId="7627BF9D" w14:textId="340A9DDF" w:rsidR="00686D37" w:rsidRPr="00401AB1" w:rsidRDefault="00686D37" w:rsidP="00A5022E">
      <w:pPr>
        <w:numPr>
          <w:ilvl w:val="2"/>
          <w:numId w:val="32"/>
        </w:numPr>
        <w:rPr>
          <w:szCs w:val="26"/>
        </w:rPr>
      </w:pPr>
      <w:bookmarkStart w:id="134" w:name="_Ref130390977"/>
      <w:bookmarkStart w:id="135" w:name="_Ref260239075"/>
      <w:bookmarkStart w:id="136"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4"/>
      <w:bookmarkEnd w:id="135"/>
      <w:r w:rsidRPr="00401AB1">
        <w:rPr>
          <w:szCs w:val="26"/>
        </w:rPr>
        <w:t>;</w:t>
      </w:r>
      <w:bookmarkEnd w:id="136"/>
    </w:p>
    <w:p w14:paraId="29009152" w14:textId="77777777" w:rsidR="00635146" w:rsidRPr="00401AB1" w:rsidRDefault="00CC4CC2" w:rsidP="00A5022E">
      <w:pPr>
        <w:numPr>
          <w:ilvl w:val="2"/>
          <w:numId w:val="32"/>
        </w:numPr>
        <w:rPr>
          <w:szCs w:val="26"/>
        </w:rPr>
      </w:pPr>
      <w:bookmarkStart w:id="13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7"/>
    </w:p>
    <w:p w14:paraId="15D3C6BE" w14:textId="6A64BF90" w:rsidR="00635146" w:rsidRPr="00401AB1" w:rsidRDefault="00CC4CC2" w:rsidP="00A5022E">
      <w:pPr>
        <w:numPr>
          <w:ilvl w:val="2"/>
          <w:numId w:val="32"/>
        </w:numPr>
        <w:rPr>
          <w:szCs w:val="26"/>
        </w:rPr>
      </w:pPr>
      <w:bookmarkStart w:id="138"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8"/>
    </w:p>
    <w:p w14:paraId="787C133A" w14:textId="77777777" w:rsidR="00635146" w:rsidRPr="00401AB1" w:rsidRDefault="00635146" w:rsidP="00A5022E">
      <w:pPr>
        <w:numPr>
          <w:ilvl w:val="2"/>
          <w:numId w:val="32"/>
        </w:numPr>
        <w:rPr>
          <w:szCs w:val="26"/>
        </w:rPr>
      </w:pPr>
      <w:bookmarkStart w:id="13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9"/>
    </w:p>
    <w:p w14:paraId="4AFA9EB7" w14:textId="77777777" w:rsidR="00635146" w:rsidRPr="00401AB1" w:rsidRDefault="00635146" w:rsidP="00A5022E">
      <w:pPr>
        <w:numPr>
          <w:ilvl w:val="2"/>
          <w:numId w:val="32"/>
        </w:numPr>
        <w:rPr>
          <w:szCs w:val="26"/>
        </w:rPr>
      </w:pPr>
      <w:bookmarkStart w:id="140" w:name="_Ref168844102"/>
      <w:bookmarkStart w:id="141"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0"/>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1"/>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2" w:name="_DV_M74"/>
      <w:bookmarkEnd w:id="14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3"/>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4"/>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25F6D9" w14:textId="050461B8" w:rsidR="00880FA8" w:rsidRPr="00401AB1" w:rsidRDefault="00880FA8" w:rsidP="00A5022E">
      <w:pPr>
        <w:numPr>
          <w:ilvl w:val="2"/>
          <w:numId w:val="32"/>
        </w:numPr>
        <w:rPr>
          <w:szCs w:val="26"/>
        </w:rPr>
      </w:pPr>
      <w:bookmarkStart w:id="14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5"/>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6"/>
    </w:p>
    <w:p w14:paraId="25493778" w14:textId="77777777" w:rsidR="00240E8D" w:rsidRPr="00401AB1" w:rsidRDefault="00880FA8" w:rsidP="00A5022E">
      <w:pPr>
        <w:keepNext/>
        <w:numPr>
          <w:ilvl w:val="2"/>
          <w:numId w:val="32"/>
        </w:numPr>
        <w:rPr>
          <w:szCs w:val="26"/>
        </w:rPr>
      </w:pPr>
      <w:bookmarkStart w:id="147" w:name="_Ref264564354"/>
      <w:bookmarkStart w:id="148" w:name="_Ref130286973"/>
      <w:r w:rsidRPr="00401AB1">
        <w:rPr>
          <w:szCs w:val="26"/>
        </w:rPr>
        <w:t>receberá uma remuneração</w:t>
      </w:r>
      <w:r w:rsidR="00240E8D" w:rsidRPr="00401AB1">
        <w:rPr>
          <w:szCs w:val="26"/>
        </w:rPr>
        <w:t>:</w:t>
      </w:r>
      <w:bookmarkEnd w:id="147"/>
    </w:p>
    <w:p w14:paraId="04E1AC9F" w14:textId="4222D635" w:rsidR="00240E8D" w:rsidRPr="00401AB1" w:rsidRDefault="00240E8D" w:rsidP="00A5022E">
      <w:pPr>
        <w:numPr>
          <w:ilvl w:val="3"/>
          <w:numId w:val="32"/>
        </w:numPr>
        <w:rPr>
          <w:szCs w:val="26"/>
        </w:rPr>
      </w:pPr>
      <w:bookmarkStart w:id="149"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9"/>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5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0"/>
    </w:p>
    <w:p w14:paraId="306C44D9" w14:textId="77777777" w:rsidR="00240E8D" w:rsidRPr="00401AB1" w:rsidRDefault="00240E8D" w:rsidP="00A5022E">
      <w:pPr>
        <w:numPr>
          <w:ilvl w:val="3"/>
          <w:numId w:val="32"/>
        </w:numPr>
        <w:rPr>
          <w:szCs w:val="26"/>
        </w:rPr>
      </w:pPr>
      <w:bookmarkStart w:id="15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1"/>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152" w:name="_Ref130284022"/>
      <w:bookmarkEnd w:id="14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2"/>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15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3"/>
      <w:bookmarkEnd w:id="154"/>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5" w:name="_Ref164589409"/>
      <w:r w:rsidRPr="00401AB1">
        <w:rPr>
          <w:szCs w:val="26"/>
        </w:rPr>
        <w:t>Além de outros previstos em lei, na regulamentação da CVM e nesta Escritura de Emissão, constituem deveres e atribuições do Agente Fiduciário:</w:t>
      </w:r>
      <w:bookmarkEnd w:id="155"/>
    </w:p>
    <w:p w14:paraId="345F61C3" w14:textId="203B8118" w:rsidR="00BA65C4" w:rsidRPr="00401AB1" w:rsidRDefault="00BA65C4" w:rsidP="00A5022E">
      <w:pPr>
        <w:numPr>
          <w:ilvl w:val="2"/>
          <w:numId w:val="32"/>
        </w:numPr>
        <w:rPr>
          <w:szCs w:val="26"/>
        </w:rPr>
      </w:pPr>
      <w:bookmarkStart w:id="15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7"/>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15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6"/>
      <w:bookmarkEnd w:id="158"/>
    </w:p>
    <w:p w14:paraId="6EC4DCA3" w14:textId="77777777" w:rsidR="00880FA8" w:rsidRPr="00401AB1" w:rsidRDefault="00880FA8" w:rsidP="00A5022E">
      <w:pPr>
        <w:numPr>
          <w:ilvl w:val="2"/>
          <w:numId w:val="32"/>
        </w:numPr>
        <w:rPr>
          <w:szCs w:val="26"/>
        </w:rPr>
      </w:pPr>
      <w:bookmarkStart w:id="15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60" w:name="_Ref130286643"/>
      <w:r w:rsidRPr="00401AB1">
        <w:rPr>
          <w:szCs w:val="26"/>
        </w:rPr>
        <w:t>tomar quaisquer outras providências necessárias para que os Debenturistas realizem seus créditos; e</w:t>
      </w:r>
      <w:bookmarkEnd w:id="160"/>
    </w:p>
    <w:p w14:paraId="2876EBFD" w14:textId="77777777" w:rsidR="00880FA8" w:rsidRPr="00401AB1" w:rsidRDefault="00880FA8" w:rsidP="00A5022E">
      <w:pPr>
        <w:numPr>
          <w:ilvl w:val="2"/>
          <w:numId w:val="32"/>
        </w:numPr>
        <w:rPr>
          <w:szCs w:val="26"/>
        </w:rPr>
      </w:pPr>
      <w:bookmarkStart w:id="16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1"/>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2"/>
    </w:p>
    <w:p w14:paraId="22125E2B" w14:textId="4E6991DB" w:rsidR="00880FA8" w:rsidRPr="00401AB1" w:rsidRDefault="009D1E6C" w:rsidP="00A5022E">
      <w:pPr>
        <w:numPr>
          <w:ilvl w:val="1"/>
          <w:numId w:val="32"/>
        </w:numPr>
        <w:rPr>
          <w:szCs w:val="26"/>
        </w:rPr>
      </w:pPr>
      <w:bookmarkStart w:id="16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5"/>
    </w:p>
    <w:p w14:paraId="686E75E5" w14:textId="76EBD777" w:rsidR="00880FA8" w:rsidRPr="00401AB1" w:rsidRDefault="00880FA8" w:rsidP="00A5022E">
      <w:pPr>
        <w:numPr>
          <w:ilvl w:val="5"/>
          <w:numId w:val="32"/>
        </w:numPr>
        <w:rPr>
          <w:szCs w:val="26"/>
        </w:rPr>
      </w:pPr>
      <w:bookmarkStart w:id="16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8" w:name="_Ref147910921"/>
      <w:r w:rsidRPr="00401AB1">
        <w:rPr>
          <w:smallCaps/>
          <w:szCs w:val="26"/>
          <w:u w:val="single"/>
        </w:rPr>
        <w:t>Declarações da Companhia</w:t>
      </w:r>
      <w:bookmarkEnd w:id="168"/>
    </w:p>
    <w:p w14:paraId="48F60FCB" w14:textId="13FAEFB9" w:rsidR="00880FA8" w:rsidRPr="00401AB1" w:rsidRDefault="00880FA8" w:rsidP="00035328">
      <w:pPr>
        <w:numPr>
          <w:ilvl w:val="1"/>
          <w:numId w:val="32"/>
        </w:numPr>
        <w:rPr>
          <w:szCs w:val="26"/>
        </w:rPr>
      </w:pPr>
      <w:bookmarkStart w:id="16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7"/>
      <w:bookmarkEnd w:id="169"/>
    </w:p>
    <w:p w14:paraId="22C8C15B"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7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D71F19"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2" w:name="_Ref264567062"/>
      <w:bookmarkEnd w:id="17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BA0821" w:rsidRPr="008E75FD">
        <w:rPr>
          <w:szCs w:val="26"/>
        </w:rPr>
        <w:t>11.1 acima</w:t>
      </w:r>
      <w:r w:rsidRPr="008E75FD">
        <w:rPr>
          <w:szCs w:val="26"/>
        </w:rPr>
        <w:fldChar w:fldCharType="end"/>
      </w:r>
      <w:r w:rsidRPr="008E75FD">
        <w:rPr>
          <w:szCs w:val="26"/>
        </w:rPr>
        <w:t>.</w:t>
      </w:r>
      <w:bookmarkEnd w:id="172"/>
    </w:p>
    <w:p w14:paraId="504286FE" w14:textId="58E28085"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BA0821" w:rsidRPr="008E75FD">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BA0821" w:rsidRPr="008E75FD">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4E652E89"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D86134">
        <w:rPr>
          <w:szCs w:val="26"/>
        </w:rPr>
        <w:t>abril</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6C512D4C"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D86134">
        <w:rPr>
          <w:sz w:val="22"/>
          <w:szCs w:val="22"/>
        </w:rPr>
        <w:t>abril</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3C33019E"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D86134">
        <w:rPr>
          <w:sz w:val="22"/>
          <w:szCs w:val="22"/>
        </w:rPr>
        <w:t>abril</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r>
        <w:rPr>
          <w:sz w:val="22"/>
          <w:szCs w:val="22"/>
        </w:rPr>
        <w:t>Simplific Pavarini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4410180A"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D86134">
        <w:rPr>
          <w:sz w:val="22"/>
          <w:szCs w:val="22"/>
        </w:rPr>
        <w:t>abril</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6DFDBB98" w14:textId="2DAD2BFE" w:rsidR="00AC713B" w:rsidRPr="00BE2CDC" w:rsidRDefault="00AC713B" w:rsidP="00AC713B">
      <w:pPr>
        <w:jc w:val="left"/>
        <w:rPr>
          <w:b/>
          <w:szCs w:val="26"/>
        </w:rPr>
      </w:pPr>
      <w:r w:rsidRPr="00AC713B">
        <w:rPr>
          <w:b/>
          <w:szCs w:val="26"/>
        </w:rPr>
        <w:t xml:space="preserve"> </w:t>
      </w:r>
      <w:r w:rsidRPr="00BE2CDC">
        <w:rPr>
          <w:b/>
          <w:szCs w:val="26"/>
        </w:rPr>
        <w:t>À</w:t>
      </w:r>
    </w:p>
    <w:p w14:paraId="3A129A66" w14:textId="77777777" w:rsidR="00AC713B" w:rsidRPr="00BE2CDC"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13" w:history="1">
        <w:r w:rsidRPr="00BE2CDC">
          <w:rPr>
            <w:rStyle w:val="Hyperlink"/>
            <w:szCs w:val="26"/>
          </w:rPr>
          <w:t>fhatori@b3.com.br</w:t>
        </w:r>
      </w:hyperlink>
      <w:r w:rsidRPr="00BE2CDC">
        <w:rPr>
          <w:szCs w:val="26"/>
        </w:rPr>
        <w:t xml:space="preserve"> </w:t>
      </w:r>
    </w:p>
    <w:p w14:paraId="76BA0F59" w14:textId="77777777" w:rsidR="00AC713B" w:rsidRPr="00BE2CDC" w:rsidRDefault="00AC713B" w:rsidP="00AC713B">
      <w:pPr>
        <w:keepLines/>
        <w:jc w:val="left"/>
        <w:rPr>
          <w:szCs w:val="26"/>
        </w:rPr>
      </w:pPr>
      <w:r w:rsidRPr="00BE2CDC">
        <w:rPr>
          <w:szCs w:val="26"/>
        </w:rPr>
        <w:t>[ou]</w:t>
      </w:r>
    </w:p>
    <w:p w14:paraId="5AEBB06F" w14:textId="77777777" w:rsidR="00AC713B" w:rsidRPr="00BE2CDC"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14" w:history="1">
        <w:r w:rsidRPr="00BE2CDC">
          <w:rPr>
            <w:rStyle w:val="Hyperlink"/>
            <w:szCs w:val="26"/>
          </w:rPr>
          <w:t>fiduciario@simplificpavarini.com.br</w:t>
        </w:r>
      </w:hyperlink>
      <w:r w:rsidRPr="00BE2CDC">
        <w:rPr>
          <w:szCs w:val="26"/>
        </w:rPr>
        <w:t xml:space="preserve"> </w:t>
      </w:r>
    </w:p>
    <w:p w14:paraId="1EDC69C5" w14:textId="77777777" w:rsidR="00AC713B" w:rsidRPr="00BE2CDC" w:rsidRDefault="00AC713B" w:rsidP="00AC713B">
      <w:pPr>
        <w:jc w:val="left"/>
        <w:rPr>
          <w:szCs w:val="26"/>
        </w:rPr>
      </w:pPr>
    </w:p>
    <w:p w14:paraId="08D25D12"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09493F5A" w14:textId="77777777" w:rsidR="00AC713B" w:rsidRPr="00BE2CDC" w:rsidRDefault="00AC713B" w:rsidP="00AC713B">
      <w:pPr>
        <w:jc w:val="left"/>
        <w:rPr>
          <w:szCs w:val="26"/>
        </w:rPr>
      </w:pPr>
    </w:p>
    <w:p w14:paraId="5A1021EE" w14:textId="77777777" w:rsidR="00AC713B" w:rsidRPr="00BE2CDC" w:rsidRDefault="00AC713B" w:rsidP="00AC713B">
      <w:pPr>
        <w:jc w:val="left"/>
        <w:rPr>
          <w:szCs w:val="26"/>
        </w:rPr>
      </w:pPr>
      <w:r w:rsidRPr="00BE2CDC">
        <w:rPr>
          <w:szCs w:val="26"/>
        </w:rPr>
        <w:t>Prezados(a),</w:t>
      </w:r>
    </w:p>
    <w:p w14:paraId="37F2972E"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709E92E1"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0E75B368"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54706563"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76EE612D" w14:textId="77777777" w:rsidR="00AC713B" w:rsidRDefault="00AC713B" w:rsidP="00AC713B">
      <w:pPr>
        <w:jc w:val="left"/>
        <w:rPr>
          <w:sz w:val="22"/>
          <w:szCs w:val="22"/>
        </w:rPr>
      </w:pPr>
    </w:p>
    <w:p w14:paraId="3212EFDD"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1B88B626" w14:textId="77777777" w:rsidR="00AC713B" w:rsidRDefault="00AC713B" w:rsidP="00AC713B">
      <w:pPr>
        <w:jc w:val="left"/>
        <w:rPr>
          <w:sz w:val="22"/>
          <w:szCs w:val="22"/>
        </w:rPr>
      </w:pPr>
    </w:p>
    <w:p w14:paraId="66C08082"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020ED79E"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6D992B6B" w14:textId="77777777" w:rsidTr="004B41AB">
        <w:trPr>
          <w:cantSplit/>
          <w:jc w:val="center"/>
        </w:trPr>
        <w:tc>
          <w:tcPr>
            <w:tcW w:w="4253" w:type="dxa"/>
            <w:tcBorders>
              <w:top w:val="single" w:sz="6" w:space="0" w:color="auto"/>
            </w:tcBorders>
          </w:tcPr>
          <w:p w14:paraId="0E727A74" w14:textId="77777777" w:rsidR="00AC713B" w:rsidRPr="00401AB1" w:rsidRDefault="00AC713B" w:rsidP="004B41AB">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58D07481" w14:textId="77777777" w:rsidR="00AC713B" w:rsidRPr="00401AB1" w:rsidRDefault="00AC713B" w:rsidP="004B41AB">
            <w:pPr>
              <w:rPr>
                <w:szCs w:val="26"/>
              </w:rPr>
            </w:pPr>
          </w:p>
        </w:tc>
        <w:tc>
          <w:tcPr>
            <w:tcW w:w="4253" w:type="dxa"/>
            <w:tcBorders>
              <w:top w:val="single" w:sz="6" w:space="0" w:color="auto"/>
            </w:tcBorders>
          </w:tcPr>
          <w:p w14:paraId="50126AD4" w14:textId="77777777" w:rsidR="00AC713B" w:rsidRPr="00401AB1" w:rsidRDefault="00AC713B" w:rsidP="004B41AB">
            <w:pPr>
              <w:jc w:val="left"/>
              <w:rPr>
                <w:szCs w:val="26"/>
              </w:rPr>
            </w:pPr>
            <w:r w:rsidRPr="00401AB1">
              <w:rPr>
                <w:szCs w:val="26"/>
              </w:rPr>
              <w:t>Nome:</w:t>
            </w:r>
            <w:r w:rsidRPr="00401AB1">
              <w:rPr>
                <w:szCs w:val="26"/>
              </w:rPr>
              <w:br/>
            </w:r>
            <w:r>
              <w:rPr>
                <w:szCs w:val="26"/>
              </w:rPr>
              <w:t>CPF</w:t>
            </w:r>
            <w:r w:rsidRPr="00401AB1">
              <w:rPr>
                <w:szCs w:val="26"/>
              </w:rPr>
              <w:t>:</w:t>
            </w:r>
          </w:p>
        </w:tc>
      </w:tr>
    </w:tbl>
    <w:p w14:paraId="282390FF" w14:textId="77777777" w:rsidR="00AC713B" w:rsidRDefault="00AC713B" w:rsidP="00AC713B">
      <w:pPr>
        <w:jc w:val="left"/>
        <w:rPr>
          <w:sz w:val="22"/>
          <w:szCs w:val="22"/>
        </w:rPr>
      </w:pPr>
    </w:p>
    <w:p w14:paraId="777E5A7A" w14:textId="77777777" w:rsidR="00AC713B" w:rsidRPr="00B96142" w:rsidRDefault="00AC713B" w:rsidP="00AC713B">
      <w:pPr>
        <w:jc w:val="center"/>
        <w:rPr>
          <w:sz w:val="22"/>
          <w:szCs w:val="22"/>
        </w:rPr>
      </w:pPr>
      <w:r w:rsidRPr="00B96142">
        <w:rPr>
          <w:szCs w:val="26"/>
        </w:rPr>
        <w:t>{ou}</w:t>
      </w:r>
    </w:p>
    <w:p w14:paraId="45620457" w14:textId="77777777" w:rsidR="00AC713B" w:rsidRDefault="00AC713B" w:rsidP="00AC713B">
      <w:pPr>
        <w:jc w:val="left"/>
        <w:rPr>
          <w:sz w:val="22"/>
          <w:szCs w:val="22"/>
        </w:rPr>
      </w:pPr>
    </w:p>
    <w:p w14:paraId="5C4D478F"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1BBF1D81"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09FA3962" w14:textId="77777777" w:rsidTr="004B41AB">
        <w:trPr>
          <w:cantSplit/>
          <w:jc w:val="center"/>
        </w:trPr>
        <w:tc>
          <w:tcPr>
            <w:tcW w:w="4253" w:type="dxa"/>
            <w:tcBorders>
              <w:top w:val="single" w:sz="6" w:space="0" w:color="auto"/>
            </w:tcBorders>
          </w:tcPr>
          <w:p w14:paraId="0DDBAE90" w14:textId="77777777" w:rsidR="00AC713B" w:rsidRPr="00401AB1" w:rsidRDefault="00AC713B" w:rsidP="004B41AB">
            <w:pPr>
              <w:jc w:val="left"/>
              <w:rPr>
                <w:szCs w:val="26"/>
              </w:rPr>
            </w:pPr>
            <w:r w:rsidRPr="00401AB1">
              <w:rPr>
                <w:szCs w:val="26"/>
              </w:rPr>
              <w:t>Nome:</w:t>
            </w:r>
            <w:r w:rsidRPr="00401AB1">
              <w:rPr>
                <w:szCs w:val="26"/>
              </w:rPr>
              <w:br/>
              <w:t>Cargo:</w:t>
            </w:r>
          </w:p>
        </w:tc>
        <w:tc>
          <w:tcPr>
            <w:tcW w:w="567" w:type="dxa"/>
          </w:tcPr>
          <w:p w14:paraId="3FC495D7" w14:textId="77777777" w:rsidR="00AC713B" w:rsidRPr="00401AB1" w:rsidRDefault="00AC713B" w:rsidP="004B41AB">
            <w:pPr>
              <w:rPr>
                <w:szCs w:val="26"/>
              </w:rPr>
            </w:pPr>
          </w:p>
        </w:tc>
        <w:tc>
          <w:tcPr>
            <w:tcW w:w="4253" w:type="dxa"/>
            <w:tcBorders>
              <w:top w:val="single" w:sz="6" w:space="0" w:color="auto"/>
            </w:tcBorders>
          </w:tcPr>
          <w:p w14:paraId="73B5368A" w14:textId="77777777" w:rsidR="00AC713B" w:rsidRPr="00401AB1" w:rsidRDefault="00AC713B" w:rsidP="004B41AB">
            <w:pPr>
              <w:jc w:val="left"/>
              <w:rPr>
                <w:szCs w:val="26"/>
              </w:rPr>
            </w:pPr>
            <w:r w:rsidRPr="00401AB1">
              <w:rPr>
                <w:szCs w:val="26"/>
              </w:rPr>
              <w:t>Nome:</w:t>
            </w:r>
            <w:r w:rsidRPr="00401AB1">
              <w:rPr>
                <w:szCs w:val="26"/>
              </w:rPr>
              <w:br/>
              <w:t>Cargo:</w:t>
            </w:r>
          </w:p>
        </w:tc>
      </w:tr>
    </w:tbl>
    <w:p w14:paraId="5906E5BD" w14:textId="35E39D00" w:rsidR="008E75FD" w:rsidRPr="008E75FD" w:rsidRDefault="008E75FD" w:rsidP="00E5023C">
      <w:pPr>
        <w:jc w:val="center"/>
      </w:pPr>
    </w:p>
    <w:sectPr w:rsidR="008E75FD" w:rsidRPr="008E75FD" w:rsidSect="00DE763F">
      <w:headerReference w:type="even" r:id="rId15"/>
      <w:footerReference w:type="even" r:id="rId16"/>
      <w:footerReference w:type="default" r:id="rId17"/>
      <w:headerReference w:type="first" r:id="rId18"/>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4A3AC" w14:textId="77777777" w:rsidR="00C470A4" w:rsidRDefault="00C470A4">
      <w:r>
        <w:separator/>
      </w:r>
    </w:p>
  </w:endnote>
  <w:endnote w:type="continuationSeparator" w:id="0">
    <w:p w14:paraId="33344E66" w14:textId="77777777" w:rsidR="00C470A4" w:rsidRDefault="00C470A4">
      <w:r>
        <w:continuationSeparator/>
      </w:r>
    </w:p>
  </w:endnote>
  <w:endnote w:type="continuationNotice" w:id="1">
    <w:p w14:paraId="21CDA0E3" w14:textId="77777777" w:rsidR="00C470A4" w:rsidRDefault="00C47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8CAE" w14:textId="77777777" w:rsidR="006673A6" w:rsidRDefault="006673A6">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6673A6" w:rsidRDefault="006673A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A92A" w14:textId="77777777" w:rsidR="006673A6" w:rsidRDefault="006673A6">
    <w:pPr>
      <w:jc w:val="center"/>
      <w:rPr>
        <w:smallCaps/>
      </w:rPr>
    </w:pPr>
    <w:r>
      <w:fldChar w:fldCharType="begin"/>
    </w:r>
    <w:r>
      <w:instrText xml:space="preserve"> PAGE </w:instrText>
    </w:r>
    <w:r>
      <w:fldChar w:fldCharType="separate"/>
    </w:r>
    <w:r w:rsidR="00D8613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8C7AC" w14:textId="77777777" w:rsidR="00C470A4" w:rsidRDefault="00C470A4">
      <w:r>
        <w:separator/>
      </w:r>
    </w:p>
  </w:footnote>
  <w:footnote w:type="continuationSeparator" w:id="0">
    <w:p w14:paraId="1183720B" w14:textId="77777777" w:rsidR="00C470A4" w:rsidRDefault="00C470A4">
      <w:r>
        <w:continuationSeparator/>
      </w:r>
    </w:p>
  </w:footnote>
  <w:footnote w:type="continuationNotice" w:id="1">
    <w:p w14:paraId="6C7EECE2" w14:textId="77777777" w:rsidR="00C470A4" w:rsidRDefault="00C470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16A4" w14:textId="77777777" w:rsidR="006673A6" w:rsidRDefault="006673A6">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6673A6" w:rsidRDefault="006673A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F794" w14:textId="677D7F8F" w:rsidR="006673A6" w:rsidRDefault="006673A6" w:rsidP="0033306B">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hatori@b3.com.b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C880-D1D7-4BFE-B3B1-274C827D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19099</Words>
  <Characters>113776</Characters>
  <Application>Microsoft Office Word</Application>
  <DocSecurity>0</DocSecurity>
  <Lines>948</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132610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3</cp:revision>
  <cp:lastPrinted>2016-11-05T15:35:00Z</cp:lastPrinted>
  <dcterms:created xsi:type="dcterms:W3CDTF">2019-04-18T20:08:00Z</dcterms:created>
  <dcterms:modified xsi:type="dcterms:W3CDTF">2019-04-18T20:11:00Z</dcterms:modified>
</cp:coreProperties>
</file>