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135" w:rsidRPr="007E19EF" w:rsidRDefault="00695F99" w:rsidP="003B74A4">
      <w:pPr>
        <w:suppressAutoHyphens/>
        <w:spacing w:after="0" w:line="300" w:lineRule="exact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  <w:bCs/>
        </w:rPr>
        <w:t>CENTRAL EÓLICA BABILÔNIA I</w:t>
      </w:r>
      <w:r w:rsidR="00AC7A11" w:rsidRPr="00AC7A11">
        <w:rPr>
          <w:rFonts w:eastAsia="Times New Roman" w:cstheme="minorHAnsi"/>
          <w:b/>
          <w:bCs/>
        </w:rPr>
        <w:t xml:space="preserve"> S.A.</w:t>
      </w:r>
    </w:p>
    <w:p w:rsidR="00752135" w:rsidRPr="007E19EF" w:rsidRDefault="00AC7A11" w:rsidP="003B74A4">
      <w:pPr>
        <w:suppressAutoHyphens/>
        <w:spacing w:after="0" w:line="300" w:lineRule="exact"/>
        <w:jc w:val="center"/>
        <w:rPr>
          <w:rFonts w:eastAsia="Times New Roman" w:cstheme="minorHAnsi"/>
        </w:rPr>
      </w:pPr>
      <w:r>
        <w:rPr>
          <w:rFonts w:eastAsia="Times New Roman" w:cstheme="minorHAnsi"/>
        </w:rPr>
        <w:t>CNPJ/M</w:t>
      </w:r>
      <w:r w:rsidR="00BE7B6E">
        <w:rPr>
          <w:rFonts w:eastAsia="Times New Roman" w:cstheme="minorHAnsi"/>
        </w:rPr>
        <w:t>E</w:t>
      </w:r>
      <w:r>
        <w:rPr>
          <w:rFonts w:eastAsia="Times New Roman" w:cstheme="minorHAnsi"/>
        </w:rPr>
        <w:t xml:space="preserve"> n.º </w:t>
      </w:r>
      <w:r w:rsidR="00695F99">
        <w:rPr>
          <w:rFonts w:eastAsia="Times New Roman" w:cstheme="minorHAnsi"/>
        </w:rPr>
        <w:t>13.346.095/0001-41</w:t>
      </w:r>
    </w:p>
    <w:p w:rsidR="00903740" w:rsidRPr="007E19EF" w:rsidRDefault="00AC7A11" w:rsidP="003B74A4">
      <w:pPr>
        <w:suppressAutoHyphens/>
        <w:spacing w:after="0" w:line="300" w:lineRule="exact"/>
        <w:jc w:val="center"/>
        <w:rPr>
          <w:rFonts w:eastAsia="Times New Roman" w:cstheme="minorHAnsi"/>
        </w:rPr>
      </w:pPr>
      <w:r>
        <w:rPr>
          <w:rFonts w:eastAsia="Times New Roman" w:cstheme="minorHAnsi"/>
        </w:rPr>
        <w:t xml:space="preserve">NIRE </w:t>
      </w:r>
      <w:r w:rsidR="00695F99">
        <w:rPr>
          <w:rFonts w:eastAsia="Times New Roman" w:cstheme="minorHAnsi"/>
        </w:rPr>
        <w:t>23300031024</w:t>
      </w:r>
    </w:p>
    <w:p w:rsidR="00752135" w:rsidRPr="007E19EF" w:rsidRDefault="00752135" w:rsidP="003B74A4">
      <w:pPr>
        <w:suppressAutoHyphens/>
        <w:spacing w:after="0" w:line="300" w:lineRule="exact"/>
        <w:jc w:val="center"/>
        <w:rPr>
          <w:rFonts w:eastAsia="Times New Roman" w:cstheme="minorHAnsi"/>
          <w:b/>
          <w:lang w:eastAsia="ar-SA"/>
        </w:rPr>
      </w:pPr>
    </w:p>
    <w:p w:rsidR="00903740" w:rsidRPr="007E19EF" w:rsidRDefault="00A027B7" w:rsidP="003B74A4">
      <w:pPr>
        <w:spacing w:after="0" w:line="300" w:lineRule="exact"/>
        <w:jc w:val="center"/>
        <w:outlineLvl w:val="2"/>
        <w:rPr>
          <w:rFonts w:eastAsia="Times New Roman" w:cstheme="minorHAnsi"/>
          <w:b/>
          <w:bCs/>
        </w:rPr>
      </w:pPr>
      <w:r w:rsidRPr="007E19EF">
        <w:rPr>
          <w:rFonts w:eastAsia="Times New Roman" w:cstheme="minorHAnsi"/>
          <w:b/>
          <w:bCs/>
        </w:rPr>
        <w:t xml:space="preserve">ATA </w:t>
      </w:r>
      <w:r w:rsidR="00C6319E" w:rsidRPr="007E19EF">
        <w:rPr>
          <w:rFonts w:eastAsia="Times New Roman" w:cstheme="minorHAnsi"/>
          <w:b/>
          <w:bCs/>
        </w:rPr>
        <w:t xml:space="preserve">DE </w:t>
      </w:r>
      <w:r w:rsidR="00EF6D72" w:rsidRPr="007E19EF">
        <w:rPr>
          <w:rFonts w:eastAsia="Times New Roman" w:cstheme="minorHAnsi"/>
          <w:b/>
          <w:bCs/>
        </w:rPr>
        <w:t>ASSEMBLEIA GERAL EXTRAORDINÁRIA</w:t>
      </w:r>
    </w:p>
    <w:p w:rsidR="00903740" w:rsidRPr="007E19EF" w:rsidRDefault="005C5B82" w:rsidP="003B74A4">
      <w:pPr>
        <w:suppressAutoHyphens/>
        <w:spacing w:after="0" w:line="300" w:lineRule="exact"/>
        <w:jc w:val="center"/>
        <w:rPr>
          <w:rFonts w:eastAsia="Times New Roman" w:cstheme="minorHAnsi"/>
          <w:b/>
          <w:lang w:eastAsia="ar-SA"/>
        </w:rPr>
      </w:pPr>
      <w:r w:rsidRPr="007E19EF">
        <w:rPr>
          <w:rFonts w:eastAsia="Times New Roman" w:cstheme="minorHAnsi"/>
          <w:b/>
          <w:lang w:eastAsia="ar-SA"/>
        </w:rPr>
        <w:t xml:space="preserve">REALIZADA EM </w:t>
      </w:r>
      <w:r w:rsidR="00D75769" w:rsidRPr="007E19EF">
        <w:rPr>
          <w:rFonts w:eastAsia="Times New Roman" w:cstheme="minorHAnsi"/>
          <w:b/>
          <w:lang w:eastAsia="ar-SA"/>
        </w:rPr>
        <w:t>[</w:t>
      </w:r>
      <w:r w:rsidR="00D75769" w:rsidRPr="007E19EF">
        <w:rPr>
          <w:rFonts w:eastAsia="Times New Roman" w:cstheme="minorHAnsi"/>
          <w:b/>
          <w:highlight w:val="lightGray"/>
          <w:lang w:eastAsia="ar-SA"/>
        </w:rPr>
        <w:t>--</w:t>
      </w:r>
      <w:r w:rsidR="00D75769" w:rsidRPr="007E19EF">
        <w:rPr>
          <w:rFonts w:eastAsia="Times New Roman" w:cstheme="minorHAnsi"/>
          <w:b/>
          <w:lang w:eastAsia="ar-SA"/>
        </w:rPr>
        <w:t>]</w:t>
      </w:r>
      <w:r w:rsidR="00613BCD" w:rsidRPr="007E19EF">
        <w:rPr>
          <w:rFonts w:eastAsia="Times New Roman" w:cstheme="minorHAnsi"/>
          <w:b/>
          <w:lang w:eastAsia="ar-SA"/>
        </w:rPr>
        <w:t xml:space="preserve"> </w:t>
      </w:r>
      <w:r w:rsidR="007D3A49" w:rsidRPr="007E19EF">
        <w:rPr>
          <w:rFonts w:eastAsia="Times New Roman" w:cstheme="minorHAnsi"/>
          <w:b/>
          <w:lang w:eastAsia="ar-SA"/>
        </w:rPr>
        <w:t xml:space="preserve">DE </w:t>
      </w:r>
      <w:r w:rsidR="00D75769" w:rsidRPr="007E19EF">
        <w:rPr>
          <w:rFonts w:eastAsia="Times New Roman" w:cstheme="minorHAnsi"/>
          <w:b/>
          <w:lang w:eastAsia="ar-SA"/>
        </w:rPr>
        <w:t>[</w:t>
      </w:r>
      <w:r w:rsidR="00D75769" w:rsidRPr="007E19EF">
        <w:rPr>
          <w:rFonts w:eastAsia="Times New Roman" w:cstheme="minorHAnsi"/>
          <w:b/>
          <w:highlight w:val="lightGray"/>
          <w:lang w:eastAsia="ar-SA"/>
        </w:rPr>
        <w:t>--</w:t>
      </w:r>
      <w:r w:rsidR="00D75769" w:rsidRPr="007E19EF">
        <w:rPr>
          <w:rFonts w:eastAsia="Times New Roman" w:cstheme="minorHAnsi"/>
          <w:b/>
          <w:lang w:eastAsia="ar-SA"/>
        </w:rPr>
        <w:t>]</w:t>
      </w:r>
      <w:r w:rsidR="00613BCD" w:rsidRPr="007E19EF">
        <w:rPr>
          <w:rFonts w:eastAsia="Times New Roman" w:cstheme="minorHAnsi"/>
          <w:b/>
          <w:lang w:eastAsia="ar-SA"/>
        </w:rPr>
        <w:t xml:space="preserve"> </w:t>
      </w:r>
      <w:r w:rsidRPr="007E19EF">
        <w:rPr>
          <w:rFonts w:eastAsia="Times New Roman" w:cstheme="minorHAnsi"/>
          <w:b/>
          <w:lang w:eastAsia="ar-SA"/>
        </w:rPr>
        <w:t>DE 201</w:t>
      </w:r>
      <w:r w:rsidR="00695F99">
        <w:rPr>
          <w:rFonts w:eastAsia="Times New Roman" w:cstheme="minorHAnsi"/>
          <w:b/>
          <w:lang w:eastAsia="ar-SA"/>
        </w:rPr>
        <w:t>9</w:t>
      </w:r>
    </w:p>
    <w:p w:rsidR="00903740" w:rsidRPr="007E19EF" w:rsidRDefault="00903740" w:rsidP="003B74A4">
      <w:pPr>
        <w:suppressAutoHyphens/>
        <w:spacing w:after="0" w:line="300" w:lineRule="exact"/>
        <w:jc w:val="both"/>
        <w:rPr>
          <w:rFonts w:eastAsia="Times New Roman" w:cstheme="minorHAnsi"/>
          <w:lang w:eastAsia="ar-SA"/>
        </w:rPr>
      </w:pPr>
    </w:p>
    <w:p w:rsidR="00903740" w:rsidRPr="007E19EF" w:rsidRDefault="00EF6D72" w:rsidP="003B74A4">
      <w:pPr>
        <w:pStyle w:val="PargrafodaLista"/>
        <w:numPr>
          <w:ilvl w:val="0"/>
          <w:numId w:val="8"/>
        </w:numPr>
        <w:spacing w:after="0" w:line="300" w:lineRule="exact"/>
        <w:ind w:left="0" w:right="-568" w:firstLine="0"/>
        <w:jc w:val="both"/>
        <w:rPr>
          <w:rFonts w:eastAsia="Times New Roman" w:cstheme="minorHAnsi"/>
        </w:rPr>
      </w:pPr>
      <w:r w:rsidRPr="007E19EF">
        <w:rPr>
          <w:rFonts w:eastAsia="Times New Roman" w:cstheme="minorHAnsi"/>
          <w:b/>
          <w:u w:val="single"/>
        </w:rPr>
        <w:t>DATA, HORA E LOCAL</w:t>
      </w:r>
      <w:r w:rsidR="005C5B82" w:rsidRPr="007E19EF">
        <w:rPr>
          <w:rFonts w:eastAsia="Times New Roman" w:cstheme="minorHAnsi"/>
          <w:b/>
        </w:rPr>
        <w:t xml:space="preserve">: </w:t>
      </w:r>
      <w:r w:rsidR="00D75769" w:rsidRPr="007E19EF">
        <w:rPr>
          <w:rFonts w:eastAsia="Times New Roman" w:cstheme="minorHAnsi"/>
        </w:rPr>
        <w:t xml:space="preserve">Aos </w:t>
      </w:r>
      <w:r w:rsidR="00A51BBE" w:rsidRPr="007E19EF">
        <w:rPr>
          <w:rFonts w:eastAsia="Times New Roman" w:cstheme="minorHAnsi"/>
        </w:rPr>
        <w:t>[</w:t>
      </w:r>
      <w:r w:rsidR="00A51BBE" w:rsidRPr="007E19EF">
        <w:rPr>
          <w:rFonts w:eastAsia="Times New Roman" w:cstheme="minorHAnsi"/>
          <w:highlight w:val="lightGray"/>
        </w:rPr>
        <w:t>--</w:t>
      </w:r>
      <w:r w:rsidR="00A51BBE" w:rsidRPr="007E19EF">
        <w:rPr>
          <w:rFonts w:eastAsia="Times New Roman" w:cstheme="minorHAnsi"/>
        </w:rPr>
        <w:t>]</w:t>
      </w:r>
      <w:r w:rsidR="003575BE" w:rsidRPr="007E19EF">
        <w:rPr>
          <w:rFonts w:eastAsia="Times New Roman" w:cstheme="minorHAnsi"/>
        </w:rPr>
        <w:t xml:space="preserve"> </w:t>
      </w:r>
      <w:r w:rsidR="00BE6872" w:rsidRPr="007E19EF">
        <w:rPr>
          <w:rFonts w:eastAsia="Times New Roman" w:cstheme="minorHAnsi"/>
        </w:rPr>
        <w:t xml:space="preserve">dias do mês de </w:t>
      </w:r>
      <w:r w:rsidR="00D75769" w:rsidRPr="007E19EF">
        <w:rPr>
          <w:rFonts w:eastAsia="Times New Roman" w:cstheme="minorHAnsi"/>
          <w:lang w:eastAsia="ar-SA"/>
        </w:rPr>
        <w:t>[</w:t>
      </w:r>
      <w:r w:rsidR="00D75769" w:rsidRPr="007E19EF">
        <w:rPr>
          <w:rFonts w:eastAsia="Times New Roman" w:cstheme="minorHAnsi"/>
          <w:highlight w:val="lightGray"/>
          <w:lang w:eastAsia="ar-SA"/>
        </w:rPr>
        <w:t>--</w:t>
      </w:r>
      <w:r w:rsidR="00D75769" w:rsidRPr="007E19EF">
        <w:rPr>
          <w:rFonts w:eastAsia="Times New Roman" w:cstheme="minorHAnsi"/>
          <w:lang w:eastAsia="ar-SA"/>
        </w:rPr>
        <w:t>]</w:t>
      </w:r>
      <w:r w:rsidR="003575BE" w:rsidRPr="007E19EF">
        <w:rPr>
          <w:rFonts w:eastAsia="Times New Roman" w:cstheme="minorHAnsi"/>
          <w:lang w:eastAsia="ar-SA"/>
        </w:rPr>
        <w:t xml:space="preserve"> </w:t>
      </w:r>
      <w:r w:rsidR="005C5B82" w:rsidRPr="007E19EF">
        <w:rPr>
          <w:rFonts w:eastAsia="Times New Roman" w:cstheme="minorHAnsi"/>
        </w:rPr>
        <w:t xml:space="preserve">de </w:t>
      </w:r>
      <w:r w:rsidRPr="007E19EF">
        <w:rPr>
          <w:rFonts w:eastAsia="Times New Roman" w:cstheme="minorHAnsi"/>
        </w:rPr>
        <w:t>201</w:t>
      </w:r>
      <w:r w:rsidR="00695F99">
        <w:rPr>
          <w:rFonts w:eastAsia="Times New Roman" w:cstheme="minorHAnsi"/>
        </w:rPr>
        <w:t>9</w:t>
      </w:r>
      <w:r w:rsidR="005C5B82" w:rsidRPr="007E19EF">
        <w:rPr>
          <w:rFonts w:eastAsia="Times New Roman" w:cstheme="minorHAnsi"/>
        </w:rPr>
        <w:t>, às</w:t>
      </w:r>
      <w:r w:rsidR="00D75769" w:rsidRPr="007E19EF">
        <w:rPr>
          <w:rFonts w:eastAsia="Times New Roman" w:cstheme="minorHAnsi"/>
        </w:rPr>
        <w:t xml:space="preserve"> [</w:t>
      </w:r>
      <w:r w:rsidR="00D75769" w:rsidRPr="001D2993">
        <w:rPr>
          <w:rFonts w:eastAsia="Times New Roman" w:cstheme="minorHAnsi"/>
          <w:highlight w:val="lightGray"/>
        </w:rPr>
        <w:t>--</w:t>
      </w:r>
      <w:r w:rsidR="00D75769" w:rsidRPr="007E19EF">
        <w:rPr>
          <w:rFonts w:eastAsia="Times New Roman" w:cstheme="minorHAnsi"/>
        </w:rPr>
        <w:t>]</w:t>
      </w:r>
      <w:r w:rsidR="00613BCD" w:rsidRPr="007E19EF">
        <w:rPr>
          <w:rFonts w:eastAsia="Times New Roman" w:cstheme="minorHAnsi"/>
        </w:rPr>
        <w:t xml:space="preserve"> </w:t>
      </w:r>
      <w:r w:rsidR="005C5B82" w:rsidRPr="007E19EF">
        <w:rPr>
          <w:rFonts w:eastAsia="Times New Roman" w:cstheme="minorHAnsi"/>
        </w:rPr>
        <w:t xml:space="preserve">horas, na sede </w:t>
      </w:r>
      <w:r w:rsidR="00752135" w:rsidRPr="007E19EF">
        <w:rPr>
          <w:rFonts w:eastAsia="Times New Roman" w:cstheme="minorHAnsi"/>
        </w:rPr>
        <w:t>d</w:t>
      </w:r>
      <w:r w:rsidR="00695F99">
        <w:rPr>
          <w:rFonts w:eastAsia="Times New Roman" w:cstheme="minorHAnsi"/>
        </w:rPr>
        <w:t xml:space="preserve">a Central Eólica Babilônia I </w:t>
      </w:r>
      <w:r w:rsidR="00752135" w:rsidRPr="007E19EF">
        <w:rPr>
          <w:rFonts w:eastAsia="Times New Roman" w:cstheme="minorHAnsi"/>
        </w:rPr>
        <w:t>S.A., localizad</w:t>
      </w:r>
      <w:r w:rsidR="0014721E" w:rsidRPr="007E19EF">
        <w:rPr>
          <w:rFonts w:eastAsia="Times New Roman" w:cstheme="minorHAnsi"/>
        </w:rPr>
        <w:t xml:space="preserve">a na </w:t>
      </w:r>
      <w:r w:rsidR="009B297C" w:rsidRPr="005746AE">
        <w:rPr>
          <w:rFonts w:cs="Tahoma"/>
          <w:szCs w:val="20"/>
        </w:rPr>
        <w:t xml:space="preserve">Rua Gomes de Carvalho, nº 1.996, 10º Andar, sala </w:t>
      </w:r>
      <w:r w:rsidR="009B297C">
        <w:rPr>
          <w:rFonts w:cs="Tahoma"/>
          <w:szCs w:val="20"/>
        </w:rPr>
        <w:t>32</w:t>
      </w:r>
      <w:r w:rsidR="009B297C" w:rsidRPr="005746AE">
        <w:rPr>
          <w:rFonts w:cs="Tahoma"/>
          <w:szCs w:val="20"/>
        </w:rPr>
        <w:t>, Vila Olímpia,</w:t>
      </w:r>
      <w:r w:rsidR="009B297C" w:rsidRPr="00CF4346" w:rsidDel="008E1318">
        <w:rPr>
          <w:rStyle w:val="DeltaViewInsertion"/>
        </w:rPr>
        <w:t xml:space="preserve"> </w:t>
      </w:r>
      <w:r w:rsidR="009B297C" w:rsidRPr="005746AE">
        <w:rPr>
          <w:rFonts w:cs="Tahoma"/>
          <w:szCs w:val="20"/>
        </w:rPr>
        <w:t>CEP 04547-006</w:t>
      </w:r>
      <w:r w:rsidR="00695F99">
        <w:rPr>
          <w:rFonts w:eastAsia="Times New Roman" w:cstheme="minorHAnsi"/>
        </w:rPr>
        <w:t>, na Cidade de</w:t>
      </w:r>
      <w:r w:rsidR="009B297C">
        <w:rPr>
          <w:rFonts w:eastAsia="Times New Roman" w:cstheme="minorHAnsi"/>
        </w:rPr>
        <w:t xml:space="preserve"> São Paulo</w:t>
      </w:r>
      <w:r w:rsidR="00695F99">
        <w:rPr>
          <w:rFonts w:eastAsia="Times New Roman" w:cstheme="minorHAnsi"/>
        </w:rPr>
        <w:t>, Estado d</w:t>
      </w:r>
      <w:r w:rsidR="009B297C">
        <w:rPr>
          <w:rFonts w:eastAsia="Times New Roman" w:cstheme="minorHAnsi"/>
        </w:rPr>
        <w:t>e São Paulo</w:t>
      </w:r>
      <w:r w:rsidR="00752135" w:rsidRPr="007E19EF">
        <w:rPr>
          <w:rFonts w:eastAsia="Times New Roman" w:cstheme="minorHAnsi"/>
        </w:rPr>
        <w:t xml:space="preserve"> (“</w:t>
      </w:r>
      <w:r w:rsidR="00752135" w:rsidRPr="007E19EF">
        <w:rPr>
          <w:rFonts w:eastAsia="Times New Roman" w:cstheme="minorHAnsi"/>
          <w:u w:val="single"/>
        </w:rPr>
        <w:t>Companhia</w:t>
      </w:r>
      <w:r w:rsidR="00752135" w:rsidRPr="007E19EF">
        <w:rPr>
          <w:rFonts w:eastAsia="Times New Roman" w:cstheme="minorHAnsi"/>
        </w:rPr>
        <w:t>”)</w:t>
      </w:r>
      <w:r w:rsidR="005C5B82" w:rsidRPr="007E19EF">
        <w:rPr>
          <w:rFonts w:eastAsia="Times New Roman" w:cstheme="minorHAnsi"/>
          <w:bCs/>
        </w:rPr>
        <w:t>.</w:t>
      </w:r>
      <w:r w:rsidR="00613BCD" w:rsidRPr="007E19EF">
        <w:rPr>
          <w:rFonts w:eastAsia="Times New Roman" w:cstheme="minorHAnsi"/>
          <w:bCs/>
        </w:rPr>
        <w:t xml:space="preserve"> </w:t>
      </w:r>
    </w:p>
    <w:p w:rsidR="00903740" w:rsidRPr="007E19EF" w:rsidRDefault="00903740" w:rsidP="003B74A4">
      <w:pPr>
        <w:tabs>
          <w:tab w:val="left" w:pos="2847"/>
        </w:tabs>
        <w:spacing w:after="0" w:line="300" w:lineRule="exact"/>
        <w:ind w:left="-567"/>
        <w:jc w:val="both"/>
        <w:rPr>
          <w:rFonts w:eastAsia="Times New Roman" w:cstheme="minorHAnsi"/>
        </w:rPr>
      </w:pPr>
    </w:p>
    <w:p w:rsidR="00903740" w:rsidRPr="007E19EF" w:rsidRDefault="00EF6D72" w:rsidP="003B74A4">
      <w:pPr>
        <w:pStyle w:val="PargrafodaLista"/>
        <w:numPr>
          <w:ilvl w:val="0"/>
          <w:numId w:val="8"/>
        </w:numPr>
        <w:spacing w:after="0" w:line="300" w:lineRule="exact"/>
        <w:ind w:left="0" w:right="-568" w:firstLine="0"/>
        <w:jc w:val="both"/>
        <w:rPr>
          <w:rFonts w:eastAsia="Times New Roman" w:cstheme="minorHAnsi"/>
        </w:rPr>
      </w:pPr>
      <w:r w:rsidRPr="007E19EF">
        <w:rPr>
          <w:rFonts w:eastAsia="Times New Roman" w:cstheme="minorHAnsi"/>
          <w:b/>
          <w:u w:val="single"/>
        </w:rPr>
        <w:t>CONVOCAÇÃO</w:t>
      </w:r>
      <w:r w:rsidR="00D732B3" w:rsidRPr="007E19EF">
        <w:rPr>
          <w:rFonts w:eastAsia="Times New Roman" w:cstheme="minorHAnsi"/>
          <w:b/>
        </w:rPr>
        <w:t xml:space="preserve">: </w:t>
      </w:r>
      <w:r w:rsidR="00E451B2" w:rsidRPr="007E19EF">
        <w:rPr>
          <w:rFonts w:cstheme="minorHAnsi"/>
        </w:rPr>
        <w:t>Dispensada a publicação de editais de convocação,</w:t>
      </w:r>
      <w:r w:rsidR="00E451B2" w:rsidRPr="007E19EF">
        <w:rPr>
          <w:rFonts w:cstheme="minorHAnsi"/>
          <w:bCs/>
        </w:rPr>
        <w:t xml:space="preserve"> nos termos do artigo 124, parágrafo 4º, da Lei n.º 6.404, de 15 de dezembro de 1976, conforme alterada (“</w:t>
      </w:r>
      <w:r w:rsidR="00E451B2" w:rsidRPr="007E19EF">
        <w:rPr>
          <w:rFonts w:cstheme="minorHAnsi"/>
          <w:bCs/>
          <w:u w:val="single"/>
        </w:rPr>
        <w:t>Lei das Sociedades por Ações</w:t>
      </w:r>
      <w:r w:rsidR="00E451B2" w:rsidRPr="007E19EF">
        <w:rPr>
          <w:rFonts w:cstheme="minorHAnsi"/>
          <w:bCs/>
        </w:rPr>
        <w:t xml:space="preserve">”), tendo em vista a presença de acionista representando a totalidade do capital social </w:t>
      </w:r>
      <w:r w:rsidR="0014721E" w:rsidRPr="007E19EF">
        <w:rPr>
          <w:rFonts w:cstheme="minorHAnsi"/>
          <w:bCs/>
        </w:rPr>
        <w:t xml:space="preserve">com direito a voto </w:t>
      </w:r>
      <w:r w:rsidR="00E451B2" w:rsidRPr="007E19EF">
        <w:rPr>
          <w:rFonts w:cstheme="minorHAnsi"/>
          <w:bCs/>
        </w:rPr>
        <w:t xml:space="preserve">da </w:t>
      </w:r>
      <w:r w:rsidR="00D07259" w:rsidRPr="007E19EF">
        <w:rPr>
          <w:rFonts w:cstheme="minorHAnsi"/>
          <w:bCs/>
        </w:rPr>
        <w:t>Companhia</w:t>
      </w:r>
      <w:r w:rsidR="00D732B3" w:rsidRPr="007E19EF">
        <w:rPr>
          <w:rFonts w:eastAsia="Times New Roman" w:cstheme="minorHAnsi"/>
        </w:rPr>
        <w:t>.</w:t>
      </w:r>
    </w:p>
    <w:p w:rsidR="00903740" w:rsidRPr="007E19EF" w:rsidRDefault="00903740" w:rsidP="003B74A4">
      <w:pPr>
        <w:spacing w:after="0" w:line="300" w:lineRule="exact"/>
        <w:ind w:right="-568"/>
        <w:jc w:val="both"/>
        <w:rPr>
          <w:rFonts w:eastAsia="Times New Roman" w:cstheme="minorHAnsi"/>
        </w:rPr>
      </w:pPr>
    </w:p>
    <w:p w:rsidR="00E56C09" w:rsidRPr="007E19EF" w:rsidRDefault="00EF6D72" w:rsidP="003B74A4">
      <w:pPr>
        <w:pStyle w:val="PargrafodaLista"/>
        <w:numPr>
          <w:ilvl w:val="0"/>
          <w:numId w:val="8"/>
        </w:numPr>
        <w:spacing w:after="0" w:line="300" w:lineRule="exact"/>
        <w:ind w:left="0" w:right="-568" w:firstLine="0"/>
        <w:jc w:val="both"/>
        <w:rPr>
          <w:rFonts w:eastAsia="Times New Roman" w:cstheme="minorHAnsi"/>
        </w:rPr>
      </w:pPr>
      <w:r w:rsidRPr="007E19EF">
        <w:rPr>
          <w:rFonts w:eastAsia="Times New Roman" w:cstheme="minorHAnsi"/>
          <w:b/>
          <w:u w:val="single"/>
        </w:rPr>
        <w:t>MESA</w:t>
      </w:r>
      <w:r w:rsidR="00D732B3" w:rsidRPr="007E19EF">
        <w:rPr>
          <w:rFonts w:eastAsia="Times New Roman" w:cstheme="minorHAnsi"/>
          <w:b/>
        </w:rPr>
        <w:t>:</w:t>
      </w:r>
      <w:r w:rsidR="00D732B3" w:rsidRPr="007E19EF">
        <w:rPr>
          <w:rFonts w:eastAsia="Times New Roman" w:cstheme="minorHAnsi"/>
        </w:rPr>
        <w:t xml:space="preserve"> Assumiu a presidência dos trabalhos o Sr. </w:t>
      </w:r>
      <w:r w:rsidR="001D2993" w:rsidRPr="009A1C1B">
        <w:rPr>
          <w:rFonts w:ascii="Calibri" w:hAnsi="Calibri" w:cs="Calibri"/>
          <w:spacing w:val="5"/>
        </w:rPr>
        <w:t>[</w:t>
      </w:r>
      <w:r w:rsidR="001D2993" w:rsidRPr="009A1C1B">
        <w:rPr>
          <w:rFonts w:ascii="Calibri" w:hAnsi="Calibri" w:cs="Calibri"/>
          <w:spacing w:val="5"/>
          <w:highlight w:val="lightGray"/>
        </w:rPr>
        <w:t>--</w:t>
      </w:r>
      <w:r w:rsidR="001D2993" w:rsidRPr="009A1C1B">
        <w:rPr>
          <w:rFonts w:ascii="Calibri" w:hAnsi="Calibri" w:cs="Calibri"/>
          <w:spacing w:val="5"/>
        </w:rPr>
        <w:t>]</w:t>
      </w:r>
      <w:r w:rsidR="003575BE" w:rsidRPr="007E19EF">
        <w:rPr>
          <w:rFonts w:eastAsia="Times New Roman" w:cstheme="minorHAnsi"/>
          <w:lang w:eastAsia="ar-SA"/>
        </w:rPr>
        <w:t xml:space="preserve"> </w:t>
      </w:r>
      <w:r w:rsidR="00D732B3" w:rsidRPr="007E19EF">
        <w:rPr>
          <w:rFonts w:eastAsia="Times New Roman" w:cstheme="minorHAnsi"/>
        </w:rPr>
        <w:t xml:space="preserve">como presidente, o qual indica o Sr. </w:t>
      </w:r>
      <w:r w:rsidR="001D2993" w:rsidRPr="009A1C1B">
        <w:rPr>
          <w:rFonts w:ascii="Calibri" w:hAnsi="Calibri" w:cs="Calibri"/>
          <w:spacing w:val="5"/>
        </w:rPr>
        <w:t>[</w:t>
      </w:r>
      <w:r w:rsidR="001D2993" w:rsidRPr="009A1C1B">
        <w:rPr>
          <w:rFonts w:ascii="Calibri" w:hAnsi="Calibri" w:cs="Calibri"/>
          <w:spacing w:val="5"/>
          <w:highlight w:val="lightGray"/>
        </w:rPr>
        <w:t>--</w:t>
      </w:r>
      <w:r w:rsidR="001D2993" w:rsidRPr="009A1C1B">
        <w:rPr>
          <w:rFonts w:ascii="Calibri" w:hAnsi="Calibri" w:cs="Calibri"/>
          <w:spacing w:val="5"/>
        </w:rPr>
        <w:t>]</w:t>
      </w:r>
      <w:r w:rsidR="003575BE" w:rsidRPr="007E19EF">
        <w:rPr>
          <w:rFonts w:eastAsia="Times New Roman" w:cstheme="minorHAnsi"/>
        </w:rPr>
        <w:t xml:space="preserve"> </w:t>
      </w:r>
      <w:r w:rsidR="00240068" w:rsidRPr="007E19EF">
        <w:rPr>
          <w:rFonts w:eastAsia="Times New Roman" w:cstheme="minorHAnsi"/>
        </w:rPr>
        <w:t>para secret</w:t>
      </w:r>
      <w:r w:rsidR="00391993" w:rsidRPr="007E19EF">
        <w:rPr>
          <w:rFonts w:eastAsia="Times New Roman" w:cstheme="minorHAnsi"/>
        </w:rPr>
        <w:t>a</w:t>
      </w:r>
      <w:r w:rsidR="00240068" w:rsidRPr="007E19EF">
        <w:rPr>
          <w:rFonts w:eastAsia="Times New Roman" w:cstheme="minorHAnsi"/>
        </w:rPr>
        <w:t>ri</w:t>
      </w:r>
      <w:r w:rsidR="00391993" w:rsidRPr="007E19EF">
        <w:rPr>
          <w:rFonts w:eastAsia="Times New Roman" w:cstheme="minorHAnsi"/>
        </w:rPr>
        <w:t>á</w:t>
      </w:r>
      <w:r w:rsidR="00240068" w:rsidRPr="007E19EF">
        <w:rPr>
          <w:rFonts w:eastAsia="Times New Roman" w:cstheme="minorHAnsi"/>
        </w:rPr>
        <w:t>-lo</w:t>
      </w:r>
      <w:r w:rsidR="00D732B3" w:rsidRPr="007E19EF">
        <w:rPr>
          <w:rFonts w:eastAsia="Times New Roman" w:cstheme="minorHAnsi"/>
        </w:rPr>
        <w:t>.</w:t>
      </w:r>
    </w:p>
    <w:p w:rsidR="00903740" w:rsidRPr="007E19EF" w:rsidRDefault="00903740" w:rsidP="003B74A4">
      <w:pPr>
        <w:spacing w:after="0" w:line="300" w:lineRule="exact"/>
        <w:ind w:left="708" w:right="-568"/>
        <w:jc w:val="both"/>
        <w:rPr>
          <w:rFonts w:eastAsia="Times New Roman" w:cstheme="minorHAnsi"/>
        </w:rPr>
      </w:pPr>
    </w:p>
    <w:p w:rsidR="00695F99" w:rsidRPr="007E19EF" w:rsidRDefault="00EF6D72" w:rsidP="003B74A4">
      <w:pPr>
        <w:pStyle w:val="PargrafodaLista"/>
        <w:numPr>
          <w:ilvl w:val="0"/>
          <w:numId w:val="8"/>
        </w:numPr>
        <w:spacing w:after="0" w:line="300" w:lineRule="exact"/>
        <w:ind w:left="0" w:right="-567" w:firstLine="0"/>
        <w:jc w:val="both"/>
        <w:rPr>
          <w:rFonts w:eastAsia="Times New Roman" w:cstheme="minorHAnsi"/>
          <w:bCs/>
        </w:rPr>
      </w:pPr>
      <w:r w:rsidRPr="00695F99">
        <w:rPr>
          <w:rFonts w:eastAsia="Times New Roman" w:cstheme="minorHAnsi"/>
          <w:b/>
          <w:bCs/>
          <w:u w:val="single"/>
        </w:rPr>
        <w:t>ORDEM DO DIA</w:t>
      </w:r>
      <w:r w:rsidR="00A027B7" w:rsidRPr="00695F99">
        <w:rPr>
          <w:rFonts w:eastAsia="Times New Roman" w:cstheme="minorHAnsi"/>
          <w:bCs/>
        </w:rPr>
        <w:t xml:space="preserve">: </w:t>
      </w:r>
      <w:r w:rsidR="00695F99" w:rsidRPr="007E19EF">
        <w:rPr>
          <w:rFonts w:eastAsia="Times New Roman" w:cstheme="minorHAnsi"/>
          <w:bCs/>
        </w:rPr>
        <w:t xml:space="preserve">Deliberar sobre: </w:t>
      </w:r>
      <w:r w:rsidR="00695F99" w:rsidRPr="007E19EF">
        <w:rPr>
          <w:rFonts w:eastAsia="Times New Roman" w:cstheme="minorHAnsi"/>
          <w:b/>
          <w:bCs/>
        </w:rPr>
        <w:t>(i) </w:t>
      </w:r>
      <w:r w:rsidR="00695F99" w:rsidRPr="007E19EF">
        <w:rPr>
          <w:rFonts w:eastAsia="Times New Roman" w:cstheme="minorHAnsi"/>
          <w:bCs/>
        </w:rPr>
        <w:t>celebração, pela Companhia, da Escritura de Emissão (conforme abaixo definida);</w:t>
      </w:r>
      <w:r w:rsidR="00695F99" w:rsidRPr="007E19EF">
        <w:rPr>
          <w:rFonts w:eastAsia="Times New Roman" w:cstheme="minorHAnsi"/>
          <w:b/>
          <w:bCs/>
        </w:rPr>
        <w:t xml:space="preserve"> (ii) </w:t>
      </w:r>
      <w:r w:rsidR="00695F99" w:rsidRPr="007E19EF">
        <w:rPr>
          <w:rFonts w:cstheme="minorHAnsi"/>
        </w:rPr>
        <w:t xml:space="preserve">a outorga, pela Companhia, na forma compartilhada, em favor </w:t>
      </w:r>
      <w:r w:rsidR="00695F99" w:rsidRPr="007E19EF">
        <w:rPr>
          <w:rFonts w:cstheme="minorHAnsi"/>
          <w:b/>
        </w:rPr>
        <w:t>(a)</w:t>
      </w:r>
      <w:r w:rsidR="00695F99" w:rsidRPr="007E19EF">
        <w:rPr>
          <w:rFonts w:cstheme="minorHAnsi"/>
        </w:rPr>
        <w:t xml:space="preserve"> dos titulares das debêntures simples, não conversíveis em ações, da espécie com garantia real e garantia fidejussória adicional, em série única, da 1ª (primeira) emissão da </w:t>
      </w:r>
      <w:r w:rsidR="00695F99">
        <w:rPr>
          <w:rFonts w:cstheme="minorHAnsi"/>
        </w:rPr>
        <w:t>Babilônia Holding</w:t>
      </w:r>
      <w:r w:rsidR="00695F99" w:rsidRPr="007E19EF">
        <w:rPr>
          <w:rFonts w:cstheme="minorHAnsi"/>
        </w:rPr>
        <w:t xml:space="preserve"> S.A. (“</w:t>
      </w:r>
      <w:r w:rsidR="00695F99" w:rsidRPr="007E19EF">
        <w:rPr>
          <w:rFonts w:cstheme="minorHAnsi"/>
          <w:u w:val="single"/>
        </w:rPr>
        <w:t>Emissora</w:t>
      </w:r>
      <w:r w:rsidR="00695F99" w:rsidRPr="007E19EF">
        <w:rPr>
          <w:rFonts w:cstheme="minorHAnsi"/>
        </w:rPr>
        <w:t>”), no valor total de R$ </w:t>
      </w:r>
      <w:r w:rsidR="00695F99">
        <w:rPr>
          <w:rFonts w:cstheme="minorHAnsi"/>
        </w:rPr>
        <w:t>87.000.000</w:t>
      </w:r>
      <w:r w:rsidR="00695F99" w:rsidRPr="007E19EF">
        <w:rPr>
          <w:rFonts w:cstheme="minorHAnsi"/>
        </w:rPr>
        <w:t>,00 (</w:t>
      </w:r>
      <w:r w:rsidR="00695F99">
        <w:rPr>
          <w:rFonts w:cstheme="minorHAnsi"/>
        </w:rPr>
        <w:t>oitenta e sete milhões de</w:t>
      </w:r>
      <w:r w:rsidR="00695F99" w:rsidRPr="007E19EF">
        <w:rPr>
          <w:rFonts w:cstheme="minorHAnsi"/>
        </w:rPr>
        <w:t xml:space="preserve"> reais) (“</w:t>
      </w:r>
      <w:r w:rsidR="00695F99" w:rsidRPr="007E19EF">
        <w:rPr>
          <w:rFonts w:cstheme="minorHAnsi"/>
          <w:u w:val="single"/>
        </w:rPr>
        <w:t>Debenturistas</w:t>
      </w:r>
      <w:r w:rsidR="00695F99" w:rsidRPr="007E19EF">
        <w:rPr>
          <w:rFonts w:cstheme="minorHAnsi"/>
        </w:rPr>
        <w:t>”), as quais serão objeto de distribuição pública com esforços restritos de colocação (“</w:t>
      </w:r>
      <w:r w:rsidR="00695F99" w:rsidRPr="007E19EF">
        <w:rPr>
          <w:rFonts w:cstheme="minorHAnsi"/>
          <w:u w:val="single"/>
        </w:rPr>
        <w:t>Debêntures</w:t>
      </w:r>
      <w:r w:rsidR="00695F99" w:rsidRPr="007E19EF">
        <w:rPr>
          <w:rFonts w:cstheme="minorHAnsi"/>
        </w:rPr>
        <w:t>” e “</w:t>
      </w:r>
      <w:r w:rsidR="00695F99" w:rsidRPr="007E19EF">
        <w:rPr>
          <w:rFonts w:cstheme="minorHAnsi"/>
          <w:u w:val="single"/>
        </w:rPr>
        <w:t>Oferta Restrita</w:t>
      </w:r>
      <w:r w:rsidR="00695F99" w:rsidRPr="007E19EF">
        <w:rPr>
          <w:rFonts w:cstheme="minorHAnsi"/>
        </w:rPr>
        <w:t>”, respectivamente), cujas condições e características serão descritas no “Instrumento Particular de Escritura da 1ª (Primeira) Emissão de Debêntures Simples, Não Conversíveis em Ações, da Espécie com Garantia Real</w:t>
      </w:r>
      <w:r w:rsidR="00695F99">
        <w:rPr>
          <w:rFonts w:cstheme="minorHAnsi"/>
        </w:rPr>
        <w:t>, com</w:t>
      </w:r>
      <w:r w:rsidR="00695F99" w:rsidRPr="007E19EF">
        <w:rPr>
          <w:rFonts w:cstheme="minorHAnsi"/>
        </w:rPr>
        <w:t xml:space="preserve"> Garantia</w:t>
      </w:r>
      <w:r w:rsidR="00695F99">
        <w:rPr>
          <w:rFonts w:cstheme="minorHAnsi"/>
        </w:rPr>
        <w:t xml:space="preserve"> Adicional</w:t>
      </w:r>
      <w:r w:rsidR="00695F99" w:rsidRPr="007E19EF">
        <w:rPr>
          <w:rFonts w:cstheme="minorHAnsi"/>
        </w:rPr>
        <w:t xml:space="preserve"> Fidejussória, em Série Única, para Distribuição Pública,</w:t>
      </w:r>
      <w:r w:rsidR="00695F99">
        <w:rPr>
          <w:rFonts w:cstheme="minorHAnsi"/>
        </w:rPr>
        <w:t xml:space="preserve"> com Esforços Restritos, da Babilônia Holding</w:t>
      </w:r>
      <w:r w:rsidR="00FE6117">
        <w:rPr>
          <w:rFonts w:cstheme="minorHAnsi"/>
        </w:rPr>
        <w:t xml:space="preserve"> </w:t>
      </w:r>
      <w:r w:rsidR="00695F99">
        <w:rPr>
          <w:rFonts w:cstheme="minorHAnsi"/>
        </w:rPr>
        <w:t>S.A.</w:t>
      </w:r>
      <w:r w:rsidR="00695F99" w:rsidRPr="007E19EF">
        <w:rPr>
          <w:rFonts w:cstheme="minorHAnsi"/>
        </w:rPr>
        <w:t xml:space="preserve">”, a ser celebrado entre a Emissora, a </w:t>
      </w:r>
      <w:r w:rsidR="00695F99">
        <w:rPr>
          <w:rFonts w:ascii="Calibri" w:hAnsi="Calibri" w:cs="Calibri"/>
          <w:bCs/>
        </w:rPr>
        <w:t>EDP Renováveis Brasil S.A.</w:t>
      </w:r>
      <w:r w:rsidR="00695F99" w:rsidRPr="007E19EF">
        <w:rPr>
          <w:rFonts w:ascii="Calibri" w:hAnsi="Calibri" w:cs="Calibri"/>
          <w:bCs/>
        </w:rPr>
        <w:t xml:space="preserve"> (“</w:t>
      </w:r>
      <w:r w:rsidR="00695F99" w:rsidRPr="007E19EF">
        <w:rPr>
          <w:rFonts w:ascii="Calibri" w:hAnsi="Calibri" w:cs="Calibri"/>
          <w:bCs/>
          <w:u w:val="single"/>
        </w:rPr>
        <w:t>Acionista</w:t>
      </w:r>
      <w:r w:rsidR="00695F99" w:rsidRPr="007E19EF">
        <w:rPr>
          <w:rFonts w:ascii="Calibri" w:hAnsi="Calibri" w:cs="Calibri"/>
          <w:bCs/>
        </w:rPr>
        <w:t>”)</w:t>
      </w:r>
      <w:r w:rsidR="00695F99" w:rsidRPr="007E19EF">
        <w:rPr>
          <w:rFonts w:cstheme="minorHAnsi"/>
        </w:rPr>
        <w:t xml:space="preserve">, a </w:t>
      </w:r>
      <w:r w:rsidR="00695F99">
        <w:rPr>
          <w:rFonts w:cstheme="minorHAnsi"/>
        </w:rPr>
        <w:t>Simplific Pavarini Distribuidora de Títulos e Valores Mobiliários Ltda.</w:t>
      </w:r>
      <w:r w:rsidR="00695F99" w:rsidRPr="007E19EF">
        <w:rPr>
          <w:rFonts w:cstheme="minorHAnsi"/>
        </w:rPr>
        <w:t>, na qualidade de agente fiduciário, representante dos interesses dos Debenturistas (“</w:t>
      </w:r>
      <w:r w:rsidR="00695F99" w:rsidRPr="007E19EF">
        <w:rPr>
          <w:rFonts w:cstheme="minorHAnsi"/>
          <w:u w:val="single"/>
        </w:rPr>
        <w:t>Agente Fiduciário</w:t>
      </w:r>
      <w:r w:rsidR="00695F99" w:rsidRPr="007E19EF">
        <w:rPr>
          <w:rFonts w:cstheme="minorHAnsi"/>
        </w:rPr>
        <w:t>”)</w:t>
      </w:r>
      <w:r w:rsidR="0086568E">
        <w:rPr>
          <w:rFonts w:cstheme="minorHAnsi"/>
        </w:rPr>
        <w:t>,</w:t>
      </w:r>
      <w:r w:rsidR="00695F99" w:rsidRPr="007E19EF">
        <w:rPr>
          <w:rFonts w:cstheme="minorHAnsi"/>
        </w:rPr>
        <w:t xml:space="preserve"> a</w:t>
      </w:r>
      <w:r w:rsidR="00471E5E">
        <w:rPr>
          <w:rFonts w:cstheme="minorHAnsi"/>
        </w:rPr>
        <w:t xml:space="preserve"> Companhia, </w:t>
      </w:r>
      <w:r w:rsidR="0086568E">
        <w:rPr>
          <w:rFonts w:cstheme="minorHAnsi"/>
        </w:rPr>
        <w:t xml:space="preserve">a </w:t>
      </w:r>
      <w:r w:rsidR="00471E5E">
        <w:rPr>
          <w:rFonts w:cstheme="minorHAnsi"/>
        </w:rPr>
        <w:t>Central Eólica Babilônia II S.A.</w:t>
      </w:r>
      <w:r w:rsidR="003F4019">
        <w:rPr>
          <w:rFonts w:cstheme="minorHAnsi"/>
        </w:rPr>
        <w:t xml:space="preserve"> (“</w:t>
      </w:r>
      <w:r w:rsidR="003F4019" w:rsidRPr="003F4019">
        <w:rPr>
          <w:rFonts w:cstheme="minorHAnsi"/>
          <w:u w:val="single"/>
        </w:rPr>
        <w:t>BAB II</w:t>
      </w:r>
      <w:r w:rsidR="003F4019">
        <w:rPr>
          <w:rFonts w:cstheme="minorHAnsi"/>
        </w:rPr>
        <w:t>”)</w:t>
      </w:r>
      <w:r w:rsidR="00471E5E">
        <w:rPr>
          <w:rFonts w:cstheme="minorHAnsi"/>
        </w:rPr>
        <w:t xml:space="preserve">, </w:t>
      </w:r>
      <w:r w:rsidR="0086568E">
        <w:rPr>
          <w:rFonts w:cstheme="minorHAnsi"/>
        </w:rPr>
        <w:t xml:space="preserve">a </w:t>
      </w:r>
      <w:r w:rsidR="00471E5E">
        <w:rPr>
          <w:rFonts w:cstheme="minorHAnsi"/>
        </w:rPr>
        <w:t>Central Eólica Babilônia III S.A.</w:t>
      </w:r>
      <w:r w:rsidR="003F4019">
        <w:rPr>
          <w:rFonts w:cstheme="minorHAnsi"/>
        </w:rPr>
        <w:t xml:space="preserve"> (“</w:t>
      </w:r>
      <w:r w:rsidR="003F4019" w:rsidRPr="003F4019">
        <w:rPr>
          <w:rFonts w:cstheme="minorHAnsi"/>
          <w:u w:val="single"/>
        </w:rPr>
        <w:t>BAB III</w:t>
      </w:r>
      <w:r w:rsidR="003F4019">
        <w:rPr>
          <w:rFonts w:cstheme="minorHAnsi"/>
        </w:rPr>
        <w:t>”)</w:t>
      </w:r>
      <w:r w:rsidR="00471E5E">
        <w:rPr>
          <w:rFonts w:cstheme="minorHAnsi"/>
        </w:rPr>
        <w:t xml:space="preserve">, </w:t>
      </w:r>
      <w:r w:rsidR="0086568E">
        <w:rPr>
          <w:rFonts w:cstheme="minorHAnsi"/>
        </w:rPr>
        <w:t xml:space="preserve">a </w:t>
      </w:r>
      <w:r w:rsidR="00471E5E">
        <w:rPr>
          <w:rFonts w:cstheme="minorHAnsi"/>
        </w:rPr>
        <w:t>Central Eólica Babilônia IV S.A.</w:t>
      </w:r>
      <w:r w:rsidR="003F4019">
        <w:rPr>
          <w:rFonts w:cstheme="minorHAnsi"/>
        </w:rPr>
        <w:t xml:space="preserve"> (“</w:t>
      </w:r>
      <w:r w:rsidR="003F4019" w:rsidRPr="003F4019">
        <w:rPr>
          <w:rFonts w:cstheme="minorHAnsi"/>
          <w:u w:val="single"/>
        </w:rPr>
        <w:t>BAB IV</w:t>
      </w:r>
      <w:r w:rsidR="003F4019">
        <w:rPr>
          <w:rFonts w:cstheme="minorHAnsi"/>
        </w:rPr>
        <w:t>”)</w:t>
      </w:r>
      <w:r w:rsidR="0086568E">
        <w:rPr>
          <w:rFonts w:cstheme="minorHAnsi"/>
        </w:rPr>
        <w:t xml:space="preserve"> e a</w:t>
      </w:r>
      <w:r w:rsidR="00471E5E">
        <w:rPr>
          <w:rFonts w:cstheme="minorHAnsi"/>
        </w:rPr>
        <w:t xml:space="preserve"> Central Eólica Babilônia V S.A.</w:t>
      </w:r>
      <w:r w:rsidR="00695F99" w:rsidRPr="007E19EF">
        <w:rPr>
          <w:rFonts w:cstheme="minorHAnsi"/>
        </w:rPr>
        <w:t xml:space="preserve"> </w:t>
      </w:r>
      <w:r w:rsidR="00471E5E">
        <w:rPr>
          <w:rFonts w:cstheme="minorHAnsi"/>
        </w:rPr>
        <w:t>(</w:t>
      </w:r>
      <w:r w:rsidR="003F4019">
        <w:rPr>
          <w:rFonts w:cstheme="minorHAnsi"/>
        </w:rPr>
        <w:t>“</w:t>
      </w:r>
      <w:r w:rsidR="003F4019" w:rsidRPr="003F4019">
        <w:rPr>
          <w:rFonts w:cstheme="minorHAnsi"/>
          <w:u w:val="single"/>
        </w:rPr>
        <w:t>BAB V</w:t>
      </w:r>
      <w:r w:rsidR="003F4019">
        <w:rPr>
          <w:rFonts w:cstheme="minorHAnsi"/>
        </w:rPr>
        <w:t>” e, em conjunto com a Companhia, BAB II, BAB I</w:t>
      </w:r>
      <w:r w:rsidR="00FE6117">
        <w:rPr>
          <w:rFonts w:cstheme="minorHAnsi"/>
        </w:rPr>
        <w:t>II</w:t>
      </w:r>
      <w:r w:rsidR="003F4019">
        <w:rPr>
          <w:rFonts w:cstheme="minorHAnsi"/>
        </w:rPr>
        <w:t xml:space="preserve"> e BAB </w:t>
      </w:r>
      <w:r w:rsidR="00FE6117">
        <w:rPr>
          <w:rFonts w:cstheme="minorHAnsi"/>
        </w:rPr>
        <w:t>I</w:t>
      </w:r>
      <w:r w:rsidR="003F4019">
        <w:rPr>
          <w:rFonts w:cstheme="minorHAnsi"/>
        </w:rPr>
        <w:t xml:space="preserve">V, </w:t>
      </w:r>
      <w:r w:rsidR="00471E5E">
        <w:rPr>
          <w:rFonts w:cstheme="minorHAnsi"/>
        </w:rPr>
        <w:t>as “</w:t>
      </w:r>
      <w:r w:rsidR="00695F99" w:rsidRPr="00471E5E">
        <w:rPr>
          <w:rFonts w:cstheme="minorHAnsi"/>
          <w:u w:val="single"/>
        </w:rPr>
        <w:t>SPEs</w:t>
      </w:r>
      <w:r w:rsidR="00471E5E">
        <w:rPr>
          <w:rFonts w:cstheme="minorHAnsi"/>
        </w:rPr>
        <w:t>”)</w:t>
      </w:r>
      <w:r w:rsidR="00695F99" w:rsidRPr="007E19EF">
        <w:rPr>
          <w:rFonts w:cstheme="minorHAnsi"/>
        </w:rPr>
        <w:t xml:space="preserve"> (“</w:t>
      </w:r>
      <w:r w:rsidR="00695F99" w:rsidRPr="007E19EF">
        <w:rPr>
          <w:rFonts w:cstheme="minorHAnsi"/>
          <w:u w:val="single"/>
        </w:rPr>
        <w:t>Emissão</w:t>
      </w:r>
      <w:r w:rsidR="00695F99" w:rsidRPr="007E19EF">
        <w:rPr>
          <w:rFonts w:cstheme="minorHAnsi"/>
        </w:rPr>
        <w:t>” e “</w:t>
      </w:r>
      <w:r w:rsidR="00695F99" w:rsidRPr="007E19EF">
        <w:rPr>
          <w:rFonts w:cstheme="minorHAnsi"/>
          <w:u w:val="single"/>
        </w:rPr>
        <w:t>Escritura de Emissão</w:t>
      </w:r>
      <w:r w:rsidR="00695F99" w:rsidRPr="007E19EF">
        <w:rPr>
          <w:rFonts w:cstheme="minorHAnsi"/>
        </w:rPr>
        <w:t xml:space="preserve">”, respectivamente); e </w:t>
      </w:r>
      <w:r w:rsidR="00695F99" w:rsidRPr="007E19EF">
        <w:rPr>
          <w:rFonts w:cstheme="minorHAnsi"/>
          <w:b/>
        </w:rPr>
        <w:t>(b)</w:t>
      </w:r>
      <w:r w:rsidR="00695F99" w:rsidRPr="007E19EF">
        <w:rPr>
          <w:rFonts w:cstheme="minorHAnsi"/>
        </w:rPr>
        <w:t xml:space="preserve"> do Banco </w:t>
      </w:r>
      <w:bookmarkStart w:id="0" w:name="_GoBack"/>
      <w:r w:rsidR="00695F99" w:rsidRPr="007E19EF">
        <w:rPr>
          <w:rFonts w:cstheme="minorHAnsi"/>
        </w:rPr>
        <w:t>Nacional do Desenvolvimento Econômico e Social (“</w:t>
      </w:r>
      <w:r w:rsidR="00695F99" w:rsidRPr="007E19EF">
        <w:rPr>
          <w:rFonts w:cstheme="minorHAnsi"/>
          <w:u w:val="single"/>
        </w:rPr>
        <w:t>BNDES</w:t>
      </w:r>
      <w:r w:rsidR="00695F99" w:rsidRPr="007E19EF">
        <w:rPr>
          <w:rFonts w:cstheme="minorHAnsi"/>
        </w:rPr>
        <w:t>”), na qualidade de credor do “Contrato de Financiamento Mediante Abertura de Crédito nº 17.2.</w:t>
      </w:r>
      <w:r w:rsidR="00695F99">
        <w:rPr>
          <w:rFonts w:cstheme="minorHAnsi"/>
        </w:rPr>
        <w:t>0402.1</w:t>
      </w:r>
      <w:r w:rsidR="00695F99" w:rsidRPr="007E19EF">
        <w:rPr>
          <w:rFonts w:cstheme="minorHAnsi"/>
        </w:rPr>
        <w:t xml:space="preserve">”, celebrado em </w:t>
      </w:r>
      <w:r w:rsidR="00695F99">
        <w:rPr>
          <w:rFonts w:cstheme="minorHAnsi"/>
        </w:rPr>
        <w:t>25 de setembro de 2017</w:t>
      </w:r>
      <w:r w:rsidR="00695F99" w:rsidRPr="007E19EF">
        <w:rPr>
          <w:rFonts w:cstheme="minorHAnsi"/>
        </w:rPr>
        <w:t xml:space="preserve"> entre as SPEs e o BNDES, com a interveniência da Emissora</w:t>
      </w:r>
      <w:r w:rsidR="00695F99">
        <w:rPr>
          <w:rFonts w:cstheme="minorHAnsi"/>
        </w:rPr>
        <w:t xml:space="preserve"> e</w:t>
      </w:r>
      <w:r w:rsidR="00695F99" w:rsidRPr="007E19EF">
        <w:rPr>
          <w:rFonts w:cstheme="minorHAnsi"/>
        </w:rPr>
        <w:t xml:space="preserve"> da Acionista (o “</w:t>
      </w:r>
      <w:r w:rsidR="00695F99" w:rsidRPr="007E19EF">
        <w:rPr>
          <w:rFonts w:cstheme="minorHAnsi"/>
          <w:u w:val="single"/>
        </w:rPr>
        <w:t>Contrato de Financiamento com o BNDES</w:t>
      </w:r>
      <w:r w:rsidR="00695F99" w:rsidRPr="007E19EF">
        <w:rPr>
          <w:rFonts w:cstheme="minorHAnsi"/>
        </w:rPr>
        <w:t>” e, em conjunto com a Escritura de Emissão, os “</w:t>
      </w:r>
      <w:r w:rsidR="00695F99" w:rsidRPr="007E19EF">
        <w:rPr>
          <w:rFonts w:cstheme="minorHAnsi"/>
          <w:u w:val="single"/>
        </w:rPr>
        <w:t>Instrumentos de Financiamento</w:t>
      </w:r>
      <w:r w:rsidR="00695F99" w:rsidRPr="007E19EF">
        <w:rPr>
          <w:rFonts w:cstheme="minorHAnsi"/>
        </w:rPr>
        <w:t xml:space="preserve">”), das garantias </w:t>
      </w:r>
      <w:r w:rsidR="00695F99" w:rsidRPr="007E19EF">
        <w:rPr>
          <w:rFonts w:cstheme="minorHAnsi"/>
          <w:bCs/>
        </w:rPr>
        <w:t>reais</w:t>
      </w:r>
      <w:r w:rsidR="00695F99">
        <w:rPr>
          <w:rFonts w:cstheme="minorHAnsi"/>
          <w:bCs/>
        </w:rPr>
        <w:t xml:space="preserve"> </w:t>
      </w:r>
      <w:r w:rsidR="00695F99" w:rsidRPr="007E19EF">
        <w:rPr>
          <w:rFonts w:cstheme="minorHAnsi"/>
          <w:bCs/>
        </w:rPr>
        <w:t xml:space="preserve">constituídas </w:t>
      </w:r>
      <w:r w:rsidR="00361DA3">
        <w:rPr>
          <w:rFonts w:cstheme="minorHAnsi"/>
          <w:bCs/>
        </w:rPr>
        <w:t xml:space="preserve">em favor do BNDES </w:t>
      </w:r>
      <w:r w:rsidR="00695F99" w:rsidRPr="007E19EF">
        <w:rPr>
          <w:rFonts w:cstheme="minorHAnsi"/>
          <w:bCs/>
        </w:rPr>
        <w:t xml:space="preserve">por meio do </w:t>
      </w:r>
      <w:r w:rsidR="00695F99">
        <w:rPr>
          <w:rFonts w:cstheme="minorHAnsi"/>
          <w:bCs/>
        </w:rPr>
        <w:t>Contrato de Penhor de</w:t>
      </w:r>
      <w:r w:rsidR="00711ADE">
        <w:rPr>
          <w:rFonts w:cstheme="minorHAnsi"/>
          <w:bCs/>
        </w:rPr>
        <w:t xml:space="preserve"> Máquinas e</w:t>
      </w:r>
      <w:r w:rsidR="00695F99">
        <w:rPr>
          <w:rFonts w:cstheme="minorHAnsi"/>
          <w:bCs/>
        </w:rPr>
        <w:t xml:space="preserve"> Equipamentos nº 17.2.0402.4 (o </w:t>
      </w:r>
      <w:r w:rsidR="00361DA3">
        <w:rPr>
          <w:rFonts w:cstheme="minorHAnsi"/>
          <w:bCs/>
        </w:rPr>
        <w:t>“</w:t>
      </w:r>
      <w:r w:rsidR="00695F99" w:rsidRPr="00116130">
        <w:rPr>
          <w:rFonts w:cstheme="minorHAnsi"/>
          <w:bCs/>
          <w:u w:val="single"/>
        </w:rPr>
        <w:t>Contrato de Penhor de Equipamentos</w:t>
      </w:r>
      <w:r w:rsidR="00695F99">
        <w:rPr>
          <w:rFonts w:cstheme="minorHAnsi"/>
          <w:bCs/>
        </w:rPr>
        <w:t>”) e do Contrato de Cessão Fiduciária de Direitos Creditórios, Administração de Contas e Outras Avenças nº</w:t>
      </w:r>
      <w:r w:rsidR="00711ADE">
        <w:rPr>
          <w:rFonts w:cstheme="minorHAnsi"/>
          <w:bCs/>
        </w:rPr>
        <w:t> </w:t>
      </w:r>
      <w:r w:rsidR="00695F99">
        <w:rPr>
          <w:rFonts w:cstheme="minorHAnsi"/>
          <w:bCs/>
        </w:rPr>
        <w:t>17.2.0402.2 (o “</w:t>
      </w:r>
      <w:r w:rsidR="00695F99" w:rsidRPr="00116130">
        <w:rPr>
          <w:rFonts w:cstheme="minorHAnsi"/>
          <w:bCs/>
          <w:u w:val="single"/>
        </w:rPr>
        <w:t>Contrato de Cessão Fiduciária de Dire</w:t>
      </w:r>
      <w:r w:rsidR="00695F99">
        <w:rPr>
          <w:rFonts w:cstheme="minorHAnsi"/>
          <w:bCs/>
          <w:u w:val="single"/>
        </w:rPr>
        <w:t>i</w:t>
      </w:r>
      <w:r w:rsidR="00695F99" w:rsidRPr="00116130">
        <w:rPr>
          <w:rFonts w:cstheme="minorHAnsi"/>
          <w:bCs/>
          <w:u w:val="single"/>
        </w:rPr>
        <w:t>to</w:t>
      </w:r>
      <w:r w:rsidR="00695F99">
        <w:rPr>
          <w:rFonts w:cstheme="minorHAnsi"/>
          <w:bCs/>
          <w:u w:val="single"/>
        </w:rPr>
        <w:t>s</w:t>
      </w:r>
      <w:r w:rsidR="00695F99" w:rsidRPr="00116130">
        <w:rPr>
          <w:rFonts w:cstheme="minorHAnsi"/>
          <w:bCs/>
          <w:u w:val="single"/>
        </w:rPr>
        <w:t xml:space="preserve"> Creditórios</w:t>
      </w:r>
      <w:r w:rsidR="00695F99">
        <w:rPr>
          <w:rFonts w:cstheme="minorHAnsi"/>
          <w:bCs/>
        </w:rPr>
        <w:t xml:space="preserve">”) e </w:t>
      </w:r>
      <w:r w:rsidR="00711ADE">
        <w:rPr>
          <w:rFonts w:cstheme="minorHAnsi"/>
          <w:bCs/>
        </w:rPr>
        <w:t xml:space="preserve">a serem </w:t>
      </w:r>
      <w:r w:rsidR="00695F99">
        <w:rPr>
          <w:rFonts w:cstheme="minorHAnsi"/>
          <w:bCs/>
        </w:rPr>
        <w:t xml:space="preserve">compartilhadas </w:t>
      </w:r>
      <w:r w:rsidR="00361DA3">
        <w:rPr>
          <w:rFonts w:cstheme="minorHAnsi"/>
          <w:bCs/>
        </w:rPr>
        <w:t xml:space="preserve">com os Debenturistas </w:t>
      </w:r>
      <w:r w:rsidR="00695F99">
        <w:rPr>
          <w:rFonts w:cstheme="minorHAnsi"/>
          <w:bCs/>
        </w:rPr>
        <w:t xml:space="preserve">por meio dos Aditamentos aos Contratos de Garantia </w:t>
      </w:r>
      <w:r w:rsidR="00695F99" w:rsidRPr="007E19EF">
        <w:rPr>
          <w:rFonts w:cstheme="minorHAnsi"/>
          <w:bCs/>
        </w:rPr>
        <w:t xml:space="preserve">(conforme </w:t>
      </w:r>
      <w:bookmarkEnd w:id="0"/>
      <w:r w:rsidR="00695F99" w:rsidRPr="007E19EF">
        <w:rPr>
          <w:rFonts w:cstheme="minorHAnsi"/>
          <w:bCs/>
        </w:rPr>
        <w:t xml:space="preserve">abaixo definidos); </w:t>
      </w:r>
      <w:r w:rsidR="00695F99" w:rsidRPr="007E19EF">
        <w:rPr>
          <w:rFonts w:cstheme="minorHAnsi"/>
          <w:b/>
          <w:bCs/>
        </w:rPr>
        <w:t>(iii)</w:t>
      </w:r>
      <w:r w:rsidR="003B74A4">
        <w:rPr>
          <w:rFonts w:cstheme="minorHAnsi"/>
          <w:bCs/>
        </w:rPr>
        <w:t> </w:t>
      </w:r>
      <w:r w:rsidR="00695F99" w:rsidRPr="007E19EF">
        <w:rPr>
          <w:rFonts w:cstheme="minorHAnsi"/>
          <w:bCs/>
        </w:rPr>
        <w:t>a</w:t>
      </w:r>
      <w:r w:rsidR="00FE6117">
        <w:rPr>
          <w:rFonts w:cstheme="minorHAnsi"/>
          <w:bCs/>
        </w:rPr>
        <w:t xml:space="preserve"> celebração, pela Companhia, dos Aditamentos aos Contratos de Garantia</w:t>
      </w:r>
      <w:r w:rsidR="00695F99" w:rsidRPr="007E19EF">
        <w:rPr>
          <w:rFonts w:cstheme="minorHAnsi"/>
          <w:bCs/>
        </w:rPr>
        <w:t xml:space="preserve">; </w:t>
      </w:r>
      <w:r w:rsidR="00361DA3" w:rsidRPr="00BA49A9">
        <w:rPr>
          <w:rFonts w:cstheme="minorHAnsi"/>
          <w:b/>
          <w:bCs/>
        </w:rPr>
        <w:t>(</w:t>
      </w:r>
      <w:r w:rsidR="00361DA3">
        <w:rPr>
          <w:rFonts w:cstheme="minorHAnsi"/>
          <w:b/>
          <w:bCs/>
        </w:rPr>
        <w:t>i</w:t>
      </w:r>
      <w:r w:rsidR="00361DA3" w:rsidRPr="00361DA3">
        <w:rPr>
          <w:rFonts w:cstheme="minorHAnsi"/>
          <w:b/>
          <w:bCs/>
        </w:rPr>
        <w:t xml:space="preserve">v) </w:t>
      </w:r>
      <w:r w:rsidR="00361DA3" w:rsidRPr="00361DA3">
        <w:rPr>
          <w:rFonts w:cstheme="minorHAnsi"/>
          <w:bCs/>
        </w:rPr>
        <w:t xml:space="preserve">autorização aos membros da Diretoria para outorga das </w:t>
      </w:r>
      <w:r w:rsidR="00361DA3">
        <w:rPr>
          <w:rFonts w:cstheme="minorHAnsi"/>
          <w:bCs/>
        </w:rPr>
        <w:t xml:space="preserve">procurações no âmbito </w:t>
      </w:r>
      <w:r w:rsidR="00FC21C1">
        <w:rPr>
          <w:rFonts w:cstheme="minorHAnsi"/>
          <w:bCs/>
        </w:rPr>
        <w:t xml:space="preserve">do Aditamento ao Contrato de </w:t>
      </w:r>
      <w:r w:rsidR="00FC21C1">
        <w:rPr>
          <w:rFonts w:cstheme="minorHAnsi"/>
          <w:bCs/>
        </w:rPr>
        <w:lastRenderedPageBreak/>
        <w:t>Cessão Fiduciária de Direitos Creditórios e do Aditamento ao Contrato de Penhor de Equipamentos</w:t>
      </w:r>
      <w:r w:rsidR="00361DA3" w:rsidRPr="00361DA3">
        <w:rPr>
          <w:rFonts w:cstheme="minorHAnsi"/>
          <w:bCs/>
        </w:rPr>
        <w:t xml:space="preserve">, que poderão ser irrevogáveis e irretratáveis, com </w:t>
      </w:r>
      <w:r w:rsidR="00361DA3">
        <w:rPr>
          <w:rFonts w:cstheme="minorHAnsi"/>
          <w:bCs/>
        </w:rPr>
        <w:t>vigência até a liquidação de todas as obrigações assumidas nos Instrumentos de Financiamento</w:t>
      </w:r>
      <w:r w:rsidR="00361DA3" w:rsidRPr="00361DA3">
        <w:rPr>
          <w:rFonts w:cstheme="minorHAnsi"/>
          <w:bCs/>
        </w:rPr>
        <w:t xml:space="preserve">, independentemente das limitações temporais para outorga de procuração previstas no </w:t>
      </w:r>
      <w:r w:rsidR="00FC21C1" w:rsidRPr="00361DA3">
        <w:rPr>
          <w:rFonts w:cstheme="minorHAnsi"/>
          <w:bCs/>
        </w:rPr>
        <w:t xml:space="preserve">estatuto social </w:t>
      </w:r>
      <w:r w:rsidR="00361DA3" w:rsidRPr="00361DA3">
        <w:rPr>
          <w:rFonts w:cstheme="minorHAnsi"/>
          <w:bCs/>
        </w:rPr>
        <w:t>da Companhia, podendo os membros da Diretoria negociarem livremente seus termos e condições (“</w:t>
      </w:r>
      <w:r w:rsidR="00361DA3" w:rsidRPr="00BA49A9">
        <w:rPr>
          <w:rFonts w:cstheme="minorHAnsi"/>
          <w:bCs/>
          <w:u w:val="single"/>
        </w:rPr>
        <w:t>Procurações</w:t>
      </w:r>
      <w:r w:rsidR="00361DA3" w:rsidRPr="00361DA3">
        <w:rPr>
          <w:rFonts w:cstheme="minorHAnsi"/>
          <w:bCs/>
        </w:rPr>
        <w:t xml:space="preserve">”); </w:t>
      </w:r>
      <w:r w:rsidR="00695F99" w:rsidRPr="007E19EF">
        <w:rPr>
          <w:rFonts w:cstheme="minorHAnsi"/>
          <w:bCs/>
        </w:rPr>
        <w:t xml:space="preserve">e </w:t>
      </w:r>
      <w:r w:rsidR="00695F99" w:rsidRPr="007E19EF">
        <w:rPr>
          <w:rFonts w:cstheme="minorHAnsi"/>
          <w:b/>
          <w:bCs/>
        </w:rPr>
        <w:t>(v) </w:t>
      </w:r>
      <w:r w:rsidR="00695F99" w:rsidRPr="007E19EF">
        <w:rPr>
          <w:rFonts w:cstheme="minorHAnsi"/>
          <w:bCs/>
        </w:rPr>
        <w:t>a autorização para seus representantes legais praticarem todos e quaisquer atos relacionados à efetivação das deliberações abaixo.</w:t>
      </w:r>
    </w:p>
    <w:p w:rsidR="00530C14" w:rsidRPr="00695F99" w:rsidRDefault="00530C14" w:rsidP="003B74A4">
      <w:pPr>
        <w:pStyle w:val="PargrafodaLista"/>
        <w:spacing w:after="0" w:line="300" w:lineRule="exact"/>
        <w:ind w:left="0" w:right="-568"/>
        <w:jc w:val="both"/>
        <w:rPr>
          <w:rFonts w:eastAsia="Times New Roman" w:cstheme="minorHAnsi"/>
          <w:lang w:eastAsia="ar-SA"/>
        </w:rPr>
      </w:pPr>
    </w:p>
    <w:p w:rsidR="00903740" w:rsidRPr="007E19EF" w:rsidRDefault="00EF6D72" w:rsidP="003B74A4">
      <w:pPr>
        <w:pStyle w:val="PargrafodaLista"/>
        <w:numPr>
          <w:ilvl w:val="0"/>
          <w:numId w:val="8"/>
        </w:numPr>
        <w:spacing w:after="0" w:line="300" w:lineRule="exact"/>
        <w:ind w:left="0" w:right="-567" w:firstLine="0"/>
        <w:jc w:val="both"/>
        <w:rPr>
          <w:rFonts w:eastAsia="Times New Roman" w:cstheme="minorHAnsi"/>
        </w:rPr>
      </w:pPr>
      <w:r w:rsidRPr="007E19EF">
        <w:rPr>
          <w:rFonts w:eastAsia="Times New Roman" w:cstheme="minorHAnsi"/>
          <w:b/>
          <w:u w:val="single"/>
        </w:rPr>
        <w:t>DELIBERAÇÕES</w:t>
      </w:r>
      <w:r w:rsidR="00A027B7" w:rsidRPr="007E19EF">
        <w:rPr>
          <w:rFonts w:eastAsia="Times New Roman" w:cstheme="minorHAnsi"/>
        </w:rPr>
        <w:t xml:space="preserve">: </w:t>
      </w:r>
      <w:r w:rsidR="006B053F" w:rsidRPr="007E19EF">
        <w:rPr>
          <w:rFonts w:eastAsia="Times New Roman" w:cstheme="minorHAnsi"/>
        </w:rPr>
        <w:t xml:space="preserve">Instalada a Assembleia Geral, após discutidas </w:t>
      </w:r>
      <w:r w:rsidR="00B637F0" w:rsidRPr="007E19EF">
        <w:rPr>
          <w:rFonts w:eastAsia="Times New Roman" w:cstheme="minorHAnsi"/>
        </w:rPr>
        <w:t>as matéria</w:t>
      </w:r>
      <w:r w:rsidR="007F1C7F" w:rsidRPr="007E19EF">
        <w:rPr>
          <w:rFonts w:eastAsia="Times New Roman" w:cstheme="minorHAnsi"/>
        </w:rPr>
        <w:t xml:space="preserve">s </w:t>
      </w:r>
      <w:r w:rsidR="006B053F" w:rsidRPr="007E19EF">
        <w:rPr>
          <w:rFonts w:eastAsia="Times New Roman" w:cstheme="minorHAnsi"/>
        </w:rPr>
        <w:t xml:space="preserve">constantes da ordem do dia, </w:t>
      </w:r>
      <w:r w:rsidR="00683E5D" w:rsidRPr="007E19EF">
        <w:rPr>
          <w:rFonts w:eastAsia="Times New Roman" w:cstheme="minorHAnsi"/>
        </w:rPr>
        <w:t>a</w:t>
      </w:r>
      <w:r w:rsidR="006B053F" w:rsidRPr="007E19EF">
        <w:rPr>
          <w:rFonts w:eastAsia="Times New Roman" w:cstheme="minorHAnsi"/>
        </w:rPr>
        <w:t xml:space="preserve"> acionista </w:t>
      </w:r>
      <w:r w:rsidR="00683E5D" w:rsidRPr="007E19EF">
        <w:rPr>
          <w:rFonts w:cstheme="minorHAnsi"/>
        </w:rPr>
        <w:t xml:space="preserve">detentora de ações representativas da totalidade do capital social da Companhia </w:t>
      </w:r>
      <w:r w:rsidR="003405F8" w:rsidRPr="007E19EF">
        <w:rPr>
          <w:rFonts w:eastAsia="Times New Roman" w:cstheme="minorHAnsi"/>
        </w:rPr>
        <w:t>deliberou, sem quaisquer ressalvas ou restrições</w:t>
      </w:r>
      <w:r w:rsidR="006B053F" w:rsidRPr="007E19EF">
        <w:rPr>
          <w:rFonts w:eastAsia="Times New Roman" w:cstheme="minorHAnsi"/>
        </w:rPr>
        <w:t xml:space="preserve">: </w:t>
      </w:r>
    </w:p>
    <w:p w:rsidR="00903740" w:rsidRPr="007E19EF" w:rsidRDefault="00903740" w:rsidP="003B74A4">
      <w:pPr>
        <w:pStyle w:val="PargrafodaLista"/>
        <w:spacing w:after="0" w:line="300" w:lineRule="exact"/>
        <w:ind w:left="0" w:right="-567"/>
        <w:jc w:val="both"/>
        <w:rPr>
          <w:rFonts w:eastAsia="Times New Roman" w:cstheme="minorHAnsi"/>
        </w:rPr>
      </w:pPr>
    </w:p>
    <w:p w:rsidR="00FE6117" w:rsidRDefault="00695F99" w:rsidP="003B74A4">
      <w:pPr>
        <w:pStyle w:val="PargrafodaLista"/>
        <w:numPr>
          <w:ilvl w:val="0"/>
          <w:numId w:val="9"/>
        </w:numPr>
        <w:spacing w:after="0" w:line="300" w:lineRule="exact"/>
        <w:ind w:left="0" w:right="-567" w:firstLine="0"/>
        <w:jc w:val="both"/>
        <w:rPr>
          <w:rFonts w:cstheme="minorHAnsi"/>
        </w:rPr>
      </w:pPr>
      <w:r w:rsidRPr="007E19EF">
        <w:rPr>
          <w:rFonts w:cstheme="minorHAnsi"/>
        </w:rPr>
        <w:t>aprovar a celebração, pela Companhia, da Escritura de Emissão</w:t>
      </w:r>
      <w:r w:rsidR="00832E83">
        <w:rPr>
          <w:rFonts w:cstheme="minorHAnsi"/>
        </w:rPr>
        <w:t>;</w:t>
      </w:r>
      <w:r w:rsidRPr="007E19EF">
        <w:rPr>
          <w:rFonts w:cstheme="minorHAnsi"/>
        </w:rPr>
        <w:t xml:space="preserve"> </w:t>
      </w:r>
    </w:p>
    <w:p w:rsidR="00FE6117" w:rsidRDefault="00FE6117" w:rsidP="003B74A4">
      <w:pPr>
        <w:pStyle w:val="PargrafodaLista"/>
        <w:spacing w:after="0" w:line="300" w:lineRule="exact"/>
        <w:ind w:left="0" w:right="-567"/>
        <w:jc w:val="both"/>
        <w:rPr>
          <w:rFonts w:cstheme="minorHAnsi"/>
        </w:rPr>
      </w:pPr>
    </w:p>
    <w:p w:rsidR="00695F99" w:rsidRPr="00711ADE" w:rsidRDefault="00FE6117" w:rsidP="003B74A4">
      <w:pPr>
        <w:pStyle w:val="PargrafodaLista"/>
        <w:numPr>
          <w:ilvl w:val="0"/>
          <w:numId w:val="9"/>
        </w:numPr>
        <w:spacing w:after="0" w:line="300" w:lineRule="exact"/>
        <w:ind w:left="0" w:right="-567" w:firstLine="0"/>
        <w:jc w:val="both"/>
        <w:rPr>
          <w:rFonts w:cstheme="minorHAnsi"/>
        </w:rPr>
      </w:pPr>
      <w:r w:rsidRPr="00711ADE">
        <w:rPr>
          <w:rFonts w:ascii="Calibri" w:hAnsi="Calibri" w:cs="Calibri"/>
        </w:rPr>
        <w:t>aprovar a o</w:t>
      </w:r>
      <w:r>
        <w:rPr>
          <w:rFonts w:ascii="Calibri" w:hAnsi="Calibri" w:cs="Calibri"/>
        </w:rPr>
        <w:t>utorga</w:t>
      </w:r>
      <w:r w:rsidR="00677AA5">
        <w:rPr>
          <w:rFonts w:ascii="Calibri" w:hAnsi="Calibri" w:cs="Calibri"/>
        </w:rPr>
        <w:t xml:space="preserve"> e o compartilhamento</w:t>
      </w:r>
      <w:r>
        <w:rPr>
          <w:rFonts w:ascii="Calibri" w:hAnsi="Calibri" w:cs="Calibri"/>
        </w:rPr>
        <w:t>, pela Companhia</w:t>
      </w:r>
      <w:r w:rsidR="00695F99" w:rsidRPr="00FE6117">
        <w:rPr>
          <w:rFonts w:ascii="Calibri" w:hAnsi="Calibri" w:cs="Calibri"/>
          <w:bCs/>
        </w:rPr>
        <w:t xml:space="preserve"> das seguintes garantias reais (“</w:t>
      </w:r>
      <w:r w:rsidR="00695F99" w:rsidRPr="00FE6117">
        <w:rPr>
          <w:rFonts w:ascii="Calibri" w:hAnsi="Calibri" w:cs="Calibri"/>
          <w:bCs/>
          <w:u w:val="single"/>
        </w:rPr>
        <w:t>Garantias Reais</w:t>
      </w:r>
      <w:r w:rsidR="00695F99" w:rsidRPr="00FE6117">
        <w:rPr>
          <w:rFonts w:ascii="Calibri" w:hAnsi="Calibri" w:cs="Calibri"/>
          <w:bCs/>
        </w:rPr>
        <w:t>”), sem ordem de preferência de recebimento no caso de excussão, na proporção do respectivo saldo devedor de cada credor:</w:t>
      </w:r>
      <w:r w:rsidR="00695F99" w:rsidRPr="00FE6117">
        <w:rPr>
          <w:rFonts w:ascii="Calibri" w:hAnsi="Calibri" w:cs="Calibri"/>
        </w:rPr>
        <w:t xml:space="preserve"> </w:t>
      </w:r>
      <w:r w:rsidR="00695F99" w:rsidRPr="00711ADE">
        <w:rPr>
          <w:rFonts w:ascii="Calibri" w:hAnsi="Calibri" w:cs="Calibri"/>
          <w:b/>
        </w:rPr>
        <w:t>(</w:t>
      </w:r>
      <w:r w:rsidR="00F2681A">
        <w:rPr>
          <w:rFonts w:ascii="Calibri" w:hAnsi="Calibri" w:cs="Calibri"/>
          <w:b/>
        </w:rPr>
        <w:t>1</w:t>
      </w:r>
      <w:r w:rsidR="00695F99" w:rsidRPr="00711ADE">
        <w:rPr>
          <w:rFonts w:ascii="Calibri" w:hAnsi="Calibri" w:cs="Calibri"/>
          <w:b/>
        </w:rPr>
        <w:t>)</w:t>
      </w:r>
      <w:r w:rsidR="00695F99" w:rsidRPr="00F2681A">
        <w:rPr>
          <w:rFonts w:ascii="Calibri" w:hAnsi="Calibri" w:cs="Calibri"/>
        </w:rPr>
        <w:t> </w:t>
      </w:r>
      <w:r w:rsidR="002112C6" w:rsidRPr="00685805">
        <w:t>cessão fiduciária pelas SPEs e pela Emissora, conforme aplicável, nos termos do parágrafo 3º do artigo 66-B da Lei n.º 4.728, de 14 de julho de 1965, conforme alterada: (a) dos direitos creditórios decorrentes dos Contratos de Energia de Reserva ("</w:t>
      </w:r>
      <w:r w:rsidR="002112C6" w:rsidRPr="00685805">
        <w:rPr>
          <w:u w:val="single"/>
        </w:rPr>
        <w:t>CERs</w:t>
      </w:r>
      <w:r w:rsidR="002112C6" w:rsidRPr="00685805">
        <w:t>"), celebrados pelas SPEs, conforme listados no Anexo I ao Primeiro Aditamento ao Contrato de Cessão Fiduciária de Direitos (conforme abaixo definido); (b) dos direitos creditórios provenientes de quaisquer contratos de compra e venda de energia, e respectivos aditivos, que venham a ser celebrados pelas SPEs no Ambiente de Contratação Livre (“</w:t>
      </w:r>
      <w:r w:rsidR="002112C6" w:rsidRPr="00685805">
        <w:rPr>
          <w:u w:val="single"/>
        </w:rPr>
        <w:t>ACL</w:t>
      </w:r>
      <w:r w:rsidR="002112C6" w:rsidRPr="00685805">
        <w:t>”) ou no Ambiente de Contratação Regulado (“</w:t>
      </w:r>
      <w:r w:rsidR="002112C6" w:rsidRPr="00685805">
        <w:rPr>
          <w:u w:val="single"/>
        </w:rPr>
        <w:t>ACR</w:t>
      </w:r>
      <w:r w:rsidR="002112C6" w:rsidRPr="00685805">
        <w:t>”); (c) dos créditos que venham a ser depositados nas Contas do Projeto de titularidade das SPEs (conforme definidas e reguladas no Contrato de Cessão Fiduciária das SPEs, abaixo definido), ressalvados os depositados nas Contas Reserva do Serviço da Dívida do BNDES; e (iv) dos direitos emergentes da: (c.1) Portaria MME nº 362, de 11 de julho de 2016, alterada pelo Despacho ANEEL nº 1.872, de 28 de junho de 2017; (c.2) Portaria MME nº 385, de 25 de julho de 2016, alterada pelo Despacho ANEEL nº 1.874, de 28 de junho de 2017; (c.3) Portaria MME nº 368, de 19 de julho de 2016, alterada pelo Despacho ANEEL nº 1.876, de 28 de junho de 2017; (c.4) Portaria MME nº 365, de 14 de julho de 2016, alterada pelo Despacho ANEEL nº 1.873, de 28 de junho de 2017; e (c.5) Portaria MME nº 369, de 19 de julho de 2016, alterada pelo Despacho ANEEL nº 1.875, de 28 de junh</w:t>
      </w:r>
      <w:r w:rsidR="002112C6">
        <w:t>o de 2017 ("Autorizações"); e (d</w:t>
      </w:r>
      <w:r w:rsidR="002112C6" w:rsidRPr="00685805">
        <w:t>) dos direitos creditórios de titularidade das SPEs provenientes dos Contratos do Projeto; dos direitos creditórios decorrentes dos contratos de mútuo celebrados e a serem celebrados entre a Emissora e as SPEs, nos termos do Contrato de Cessão Fiduciária de Direitos Creditórios, Administração de Contas e outras avenças, nº 17.2.0402.2, celebrado em 25 de setembro de 2017 entre o BNDES, as SPEs, a Emissora e o Banco Santander (Brasil) S.A., na qualidade de banco administrador ("</w:t>
      </w:r>
      <w:r w:rsidR="002112C6" w:rsidRPr="00685805">
        <w:rPr>
          <w:u w:val="single"/>
        </w:rPr>
        <w:t>Contrato de Cessão Fiduciária de Direitos Creditórios SPEs</w:t>
      </w:r>
      <w:r w:rsidR="002112C6" w:rsidRPr="00685805">
        <w:t>" e, em conjunto com o Contrato de Penhor de Ações e o Contrato de Penhor de Equipamentos, os "</w:t>
      </w:r>
      <w:r w:rsidR="002112C6" w:rsidRPr="00685805">
        <w:rPr>
          <w:u w:val="single"/>
        </w:rPr>
        <w:t>Contratos de Garantia</w:t>
      </w:r>
      <w:r w:rsidR="002112C6" w:rsidRPr="00685805">
        <w:t>"), a ser compartilhado com os Debenturistas por meio do Aditamento ao Contrato de Cessão Fiduciária de Direitos Creditórios a ser celebrado entre o BNDES, o Agente Fiduciário, as SPEs, a Emissora e o Banco Santander (Brasil) S.A., na qualidade de banco administrador ("</w:t>
      </w:r>
      <w:r w:rsidR="002112C6" w:rsidRPr="00685805">
        <w:rPr>
          <w:u w:val="single"/>
        </w:rPr>
        <w:t>Aditamento ao Contrato de Cessão Fiduciária de Direitos Creditórios</w:t>
      </w:r>
      <w:r w:rsidR="002112C6" w:rsidRPr="00685805">
        <w:t>", e, em conjunto com o Aditamento ao Contrato de Penhor de Ações e o Aditamento ao Contrato de Penhor de Equipamentos, os "</w:t>
      </w:r>
      <w:r w:rsidR="002112C6" w:rsidRPr="00685805">
        <w:rPr>
          <w:u w:val="single"/>
        </w:rPr>
        <w:t>Aditamentos aos Contratos de Garantia</w:t>
      </w:r>
      <w:r w:rsidR="002112C6" w:rsidRPr="00685805">
        <w:t>")</w:t>
      </w:r>
      <w:r w:rsidR="002112C6" w:rsidRPr="00685805">
        <w:rPr>
          <w:rFonts w:cs="Tahoma"/>
        </w:rPr>
        <w:t>;</w:t>
      </w:r>
      <w:r w:rsidR="00695F99" w:rsidRPr="0049185C">
        <w:rPr>
          <w:rFonts w:cs="Tahoma"/>
        </w:rPr>
        <w:t xml:space="preserve"> </w:t>
      </w:r>
      <w:r w:rsidR="00F2681A">
        <w:rPr>
          <w:rFonts w:cs="Tahoma"/>
        </w:rPr>
        <w:t xml:space="preserve">e </w:t>
      </w:r>
      <w:r w:rsidR="00695F99" w:rsidRPr="00711ADE">
        <w:rPr>
          <w:rFonts w:cs="Tahoma"/>
          <w:b/>
        </w:rPr>
        <w:t>(</w:t>
      </w:r>
      <w:r w:rsidR="00F2681A" w:rsidRPr="00711ADE">
        <w:rPr>
          <w:rFonts w:cs="Tahoma"/>
          <w:b/>
        </w:rPr>
        <w:t>2</w:t>
      </w:r>
      <w:r w:rsidR="00695F99" w:rsidRPr="00711ADE">
        <w:rPr>
          <w:rFonts w:cs="Tahoma"/>
          <w:b/>
        </w:rPr>
        <w:t>)</w:t>
      </w:r>
      <w:r w:rsidR="00695F99" w:rsidRPr="0049185C">
        <w:rPr>
          <w:rFonts w:cs="Tahoma"/>
        </w:rPr>
        <w:t> </w:t>
      </w:r>
      <w:r w:rsidR="002112C6" w:rsidRPr="00685805">
        <w:t xml:space="preserve">penhor em primeiro grau outorgado pelas SPEs de todos os equipamentos de propriedade das SPEs que, nos termos do </w:t>
      </w:r>
      <w:r w:rsidR="002112C6" w:rsidRPr="00685805">
        <w:lastRenderedPageBreak/>
        <w:t>Contrato de Penhor de Equipamentos nº 17.2.0402.4, celebrado em 25 de setembro de 2017 entre o BNDES, as SPEs e a Emissora ("</w:t>
      </w:r>
      <w:r w:rsidR="002112C6" w:rsidRPr="00685805">
        <w:rPr>
          <w:u w:val="single"/>
        </w:rPr>
        <w:t>Contrato de Penhor de Equipamentos</w:t>
      </w:r>
      <w:r w:rsidR="002112C6" w:rsidRPr="00685805">
        <w:t>") constituem (“</w:t>
      </w:r>
      <w:r w:rsidR="002112C6" w:rsidRPr="00685805">
        <w:rPr>
          <w:u w:val="single"/>
        </w:rPr>
        <w:t>Bens</w:t>
      </w:r>
      <w:r w:rsidR="002112C6" w:rsidRPr="00685805">
        <w:t>”), devendo tal Contrato ser compartilhado com os Debenturistas por meio do Aditamento ao Contrato de Penhor de Equipamentos, a ser celebrado entre o BNDES, o Agente Fiduciário, as SPEs e a Emissora ("</w:t>
      </w:r>
      <w:r w:rsidR="002112C6" w:rsidRPr="00685805">
        <w:rPr>
          <w:u w:val="single"/>
        </w:rPr>
        <w:t>Aditamento ao Contrato de Penhor de Equipamentos</w:t>
      </w:r>
      <w:r w:rsidR="002112C6" w:rsidRPr="00685805">
        <w:t>");</w:t>
      </w:r>
    </w:p>
    <w:p w:rsidR="00F2681A" w:rsidRDefault="00F2681A" w:rsidP="003B74A4">
      <w:pPr>
        <w:spacing w:after="0" w:line="300" w:lineRule="exact"/>
        <w:ind w:right="-567"/>
        <w:jc w:val="both"/>
        <w:rPr>
          <w:rFonts w:cstheme="minorHAnsi"/>
        </w:rPr>
      </w:pPr>
    </w:p>
    <w:p w:rsidR="00FC21C1" w:rsidRPr="00DE2420" w:rsidRDefault="00F2681A" w:rsidP="003B74A4">
      <w:pPr>
        <w:pStyle w:val="PargrafodaLista"/>
        <w:numPr>
          <w:ilvl w:val="0"/>
          <w:numId w:val="9"/>
        </w:numPr>
        <w:spacing w:after="0" w:line="300" w:lineRule="exact"/>
        <w:ind w:left="0" w:right="-567" w:firstLine="0"/>
        <w:jc w:val="both"/>
        <w:rPr>
          <w:rFonts w:cstheme="minorHAnsi"/>
        </w:rPr>
      </w:pPr>
      <w:r>
        <w:rPr>
          <w:rFonts w:ascii="Calibri" w:hAnsi="Calibri" w:cs="Calibri"/>
          <w:bCs/>
        </w:rPr>
        <w:t xml:space="preserve">aprovar a celebração, pela Companhia, do Aditamento ao Contrato de Cessão Fiduciária de Direitos Creditórios, do Aditamento ao Contrato de Penhor de Equipamentos e do aditamento ao Contrato de Penhor </w:t>
      </w:r>
      <w:r w:rsidRPr="0053178A">
        <w:rPr>
          <w:rFonts w:ascii="Calibri" w:hAnsi="Calibri" w:cs="Calibri"/>
          <w:bCs/>
        </w:rPr>
        <w:t>de</w:t>
      </w:r>
      <w:r>
        <w:rPr>
          <w:rFonts w:ascii="Calibri" w:hAnsi="Calibri" w:cs="Calibri"/>
          <w:bCs/>
        </w:rPr>
        <w:t xml:space="preserve"> Ações</w:t>
      </w:r>
      <w:r>
        <w:rPr>
          <w:rFonts w:cs="Tahoma"/>
        </w:rPr>
        <w:t xml:space="preserve"> nº 17.2.0402.3</w:t>
      </w:r>
      <w:r w:rsidRPr="00F0475C">
        <w:rPr>
          <w:rFonts w:cs="Tahoma"/>
        </w:rPr>
        <w:t xml:space="preserve">, celebrado em </w:t>
      </w:r>
      <w:r>
        <w:rPr>
          <w:rFonts w:cs="Tahoma"/>
        </w:rPr>
        <w:t>25</w:t>
      </w:r>
      <w:r w:rsidRPr="00F0475C">
        <w:rPr>
          <w:rFonts w:cs="Tahoma"/>
        </w:rPr>
        <w:t> de </w:t>
      </w:r>
      <w:r>
        <w:rPr>
          <w:rFonts w:cs="Tahoma"/>
        </w:rPr>
        <w:t>setembro</w:t>
      </w:r>
      <w:r w:rsidRPr="00F0475C">
        <w:rPr>
          <w:rFonts w:cs="Tahoma"/>
        </w:rPr>
        <w:t> de </w:t>
      </w:r>
      <w:r>
        <w:rPr>
          <w:rFonts w:cs="Tahoma"/>
        </w:rPr>
        <w:t>2017, a ser celebrado</w:t>
      </w:r>
      <w:r w:rsidRPr="00F0475C">
        <w:rPr>
          <w:rFonts w:cs="Tahoma"/>
        </w:rPr>
        <w:t xml:space="preserve"> entre o BNDES, o Agente Fiduciário, a Acionista</w:t>
      </w:r>
      <w:r>
        <w:rPr>
          <w:rFonts w:cs="Tahoma"/>
        </w:rPr>
        <w:t>,</w:t>
      </w:r>
      <w:r w:rsidRPr="00F0475C">
        <w:rPr>
          <w:rFonts w:cs="Tahoma"/>
        </w:rPr>
        <w:t xml:space="preserve"> a Emissora </w:t>
      </w:r>
      <w:r>
        <w:rPr>
          <w:rFonts w:cs="Tahoma"/>
        </w:rPr>
        <w:t>e as SPEs</w:t>
      </w:r>
      <w:r w:rsidR="0053178A">
        <w:rPr>
          <w:rFonts w:cs="Tahoma"/>
        </w:rPr>
        <w:t xml:space="preserve"> </w:t>
      </w:r>
      <w:r w:rsidR="0053178A" w:rsidRPr="007C3543">
        <w:rPr>
          <w:rFonts w:cs="Tahoma"/>
        </w:rPr>
        <w:t>(“</w:t>
      </w:r>
      <w:r w:rsidR="0053178A" w:rsidRPr="00F0475C">
        <w:rPr>
          <w:rFonts w:cs="Tahoma"/>
          <w:u w:val="single"/>
        </w:rPr>
        <w:t>Aditamento ao Contrato de Penhor de Ações</w:t>
      </w:r>
      <w:r w:rsidR="0053178A" w:rsidRPr="00F0475C">
        <w:rPr>
          <w:rFonts w:cs="Tahoma"/>
        </w:rPr>
        <w:t>”</w:t>
      </w:r>
      <w:r w:rsidR="0053178A" w:rsidRPr="007C3543">
        <w:rPr>
          <w:rFonts w:cs="Tahoma"/>
        </w:rPr>
        <w:t xml:space="preserve"> </w:t>
      </w:r>
      <w:r w:rsidR="0053178A" w:rsidRPr="00F0475C">
        <w:rPr>
          <w:rFonts w:cs="Tahoma"/>
        </w:rPr>
        <w:t xml:space="preserve">e, em conjunto com o </w:t>
      </w:r>
      <w:r w:rsidR="0053178A">
        <w:rPr>
          <w:rFonts w:cs="Tahoma"/>
        </w:rPr>
        <w:t xml:space="preserve">Aditamento ao Contrato de Cessão Fiduciária de Direitos Creditórios, o </w:t>
      </w:r>
      <w:r w:rsidR="0053178A" w:rsidRPr="00F0475C">
        <w:rPr>
          <w:rFonts w:cs="Tahoma"/>
        </w:rPr>
        <w:t xml:space="preserve">Aditamento ao Contrato de Penhor de </w:t>
      </w:r>
      <w:r w:rsidR="0053178A" w:rsidRPr="00621190">
        <w:rPr>
          <w:rFonts w:cs="Tahoma"/>
        </w:rPr>
        <w:t>Equipamentos</w:t>
      </w:r>
      <w:r w:rsidR="0053178A" w:rsidRPr="00621190">
        <w:rPr>
          <w:rFonts w:eastAsia="Arial Unicode MS" w:cs="Tahoma"/>
        </w:rPr>
        <w:t>, os “</w:t>
      </w:r>
      <w:r w:rsidR="0053178A" w:rsidRPr="003E5064">
        <w:rPr>
          <w:rFonts w:eastAsia="Arial Unicode MS" w:cs="Tahoma"/>
          <w:u w:val="single"/>
        </w:rPr>
        <w:t>Aditamentos aos Contratos de Garantia</w:t>
      </w:r>
      <w:r w:rsidR="0053178A" w:rsidRPr="003E5064">
        <w:rPr>
          <w:rFonts w:eastAsia="Arial Unicode MS" w:cs="Tahoma"/>
        </w:rPr>
        <w:t>”</w:t>
      </w:r>
      <w:r w:rsidR="0053178A" w:rsidRPr="00621190">
        <w:rPr>
          <w:rFonts w:cs="Tahoma"/>
        </w:rPr>
        <w:t>)</w:t>
      </w:r>
      <w:r w:rsidRPr="0049185C">
        <w:rPr>
          <w:rFonts w:cs="Tahoma"/>
        </w:rPr>
        <w:t>;</w:t>
      </w:r>
      <w:r>
        <w:rPr>
          <w:rFonts w:cs="Tahoma"/>
        </w:rPr>
        <w:t xml:space="preserve"> </w:t>
      </w:r>
    </w:p>
    <w:p w:rsidR="00FC21C1" w:rsidRPr="00DE2420" w:rsidRDefault="00FC21C1" w:rsidP="003B74A4">
      <w:pPr>
        <w:pStyle w:val="PargrafodaLista"/>
        <w:spacing w:after="0" w:line="300" w:lineRule="exact"/>
        <w:rPr>
          <w:rFonts w:cs="Tahoma"/>
        </w:rPr>
      </w:pPr>
    </w:p>
    <w:p w:rsidR="00F2681A" w:rsidRPr="00F2681A" w:rsidRDefault="00FC21C1" w:rsidP="003B74A4">
      <w:pPr>
        <w:pStyle w:val="PargrafodaLista"/>
        <w:numPr>
          <w:ilvl w:val="0"/>
          <w:numId w:val="9"/>
        </w:numPr>
        <w:spacing w:after="0" w:line="300" w:lineRule="exact"/>
        <w:ind w:left="0" w:right="-567" w:firstLine="0"/>
        <w:jc w:val="both"/>
        <w:rPr>
          <w:rFonts w:cstheme="minorHAnsi"/>
        </w:rPr>
      </w:pPr>
      <w:r>
        <w:rPr>
          <w:rFonts w:cs="Tahoma"/>
        </w:rPr>
        <w:t xml:space="preserve">autorizar a outorga das Procurações; </w:t>
      </w:r>
      <w:r w:rsidR="00F2681A">
        <w:rPr>
          <w:rFonts w:cs="Tahoma"/>
        </w:rPr>
        <w:t>e</w:t>
      </w:r>
    </w:p>
    <w:p w:rsidR="00E56C09" w:rsidRDefault="00E56C09" w:rsidP="003B74A4">
      <w:pPr>
        <w:pStyle w:val="PargrafodaLista"/>
        <w:spacing w:after="0" w:line="300" w:lineRule="exact"/>
        <w:ind w:left="0" w:right="-567"/>
        <w:jc w:val="both"/>
        <w:rPr>
          <w:rFonts w:eastAsia="Times New Roman" w:cstheme="minorHAnsi"/>
        </w:rPr>
      </w:pPr>
    </w:p>
    <w:p w:rsidR="00903740" w:rsidRPr="00C569F6" w:rsidRDefault="002C7035" w:rsidP="003B74A4">
      <w:pPr>
        <w:pStyle w:val="PargrafodaLista"/>
        <w:numPr>
          <w:ilvl w:val="0"/>
          <w:numId w:val="9"/>
        </w:numPr>
        <w:spacing w:after="0" w:line="300" w:lineRule="exact"/>
        <w:ind w:left="0" w:right="-567" w:firstLine="0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autorizar seus respectivos representantes legais a </w:t>
      </w:r>
      <w:r>
        <w:rPr>
          <w:rFonts w:eastAsia="Times New Roman" w:cstheme="minorHAnsi"/>
          <w:bCs/>
        </w:rPr>
        <w:t xml:space="preserve">celebrarem todos e quaisquer </w:t>
      </w:r>
      <w:r>
        <w:rPr>
          <w:rFonts w:cstheme="minorHAnsi"/>
        </w:rPr>
        <w:t>documentos</w:t>
      </w:r>
      <w:r>
        <w:rPr>
          <w:rFonts w:eastAsia="Times New Roman" w:cstheme="minorHAnsi"/>
          <w:bCs/>
        </w:rPr>
        <w:t>, públicos ou privados, bem como realizar todos e quaisquer atos relacionados à constituição das garantias objeto do Contrato de Cessão Fiduciária de Direitos Creditórios</w:t>
      </w:r>
      <w:r w:rsidR="0053178A">
        <w:rPr>
          <w:rFonts w:eastAsia="Times New Roman" w:cstheme="minorHAnsi"/>
          <w:bCs/>
        </w:rPr>
        <w:t xml:space="preserve"> </w:t>
      </w:r>
      <w:r>
        <w:rPr>
          <w:rFonts w:eastAsia="Times New Roman" w:cstheme="minorHAnsi"/>
          <w:bCs/>
        </w:rPr>
        <w:t xml:space="preserve">e do Contrato de Penhor de Equipamentos, incluindo, mas não se limitando a, </w:t>
      </w:r>
      <w:r w:rsidR="0053178A">
        <w:rPr>
          <w:rFonts w:eastAsia="Times New Roman" w:cstheme="minorHAnsi"/>
          <w:bCs/>
        </w:rPr>
        <w:t xml:space="preserve">celebração dos Aditamentos aos Contratos de Garantia, </w:t>
      </w:r>
      <w:r w:rsidR="00CA336D">
        <w:rPr>
          <w:rFonts w:eastAsia="Times New Roman" w:cstheme="minorHAnsi"/>
          <w:bCs/>
        </w:rPr>
        <w:t xml:space="preserve">outorga das Procurações, </w:t>
      </w:r>
      <w:r w:rsidR="00CA336D" w:rsidRPr="00CA336D">
        <w:rPr>
          <w:rFonts w:eastAsia="Times New Roman" w:cstheme="minorHAnsi"/>
          <w:bCs/>
        </w:rPr>
        <w:t xml:space="preserve">bem como adotar todas as demais providências necessárias, </w:t>
      </w:r>
      <w:r w:rsidR="00CA336D">
        <w:rPr>
          <w:rFonts w:eastAsia="Times New Roman" w:cstheme="minorHAnsi"/>
          <w:bCs/>
        </w:rPr>
        <w:t xml:space="preserve">podendo celebrar </w:t>
      </w:r>
      <w:r w:rsidR="0053178A">
        <w:rPr>
          <w:rFonts w:eastAsia="Times New Roman" w:cstheme="minorHAnsi"/>
          <w:bCs/>
        </w:rPr>
        <w:t xml:space="preserve">eventuais </w:t>
      </w:r>
      <w:r>
        <w:rPr>
          <w:rFonts w:eastAsia="Times New Roman" w:cstheme="minorHAnsi"/>
          <w:bCs/>
        </w:rPr>
        <w:t>aditamentos, procurações, cartas, certificados e notificações, os quais possam ser exigidos no âmbito da Escritura de Emissão, convenientes ou necessários à perfeita implementação da operação e deliberações descritas acima.</w:t>
      </w:r>
    </w:p>
    <w:p w:rsidR="00C569F6" w:rsidRPr="00C569F6" w:rsidRDefault="00C569F6" w:rsidP="003B74A4">
      <w:pPr>
        <w:pStyle w:val="PargrafodaLista"/>
        <w:spacing w:after="0" w:line="300" w:lineRule="exact"/>
        <w:ind w:left="0" w:right="-567"/>
        <w:jc w:val="both"/>
        <w:rPr>
          <w:rFonts w:cstheme="minorHAnsi"/>
          <w:bCs/>
        </w:rPr>
      </w:pPr>
    </w:p>
    <w:p w:rsidR="00903740" w:rsidRPr="007E19EF" w:rsidRDefault="002C7035" w:rsidP="003B74A4">
      <w:pPr>
        <w:pStyle w:val="PargrafodaLista"/>
        <w:numPr>
          <w:ilvl w:val="0"/>
          <w:numId w:val="8"/>
        </w:numPr>
        <w:spacing w:after="0" w:line="300" w:lineRule="exact"/>
        <w:ind w:left="0" w:right="-567" w:firstLine="0"/>
        <w:jc w:val="both"/>
        <w:rPr>
          <w:rFonts w:eastAsia="Times New Roman" w:cstheme="minorHAnsi"/>
          <w:u w:val="single"/>
        </w:rPr>
      </w:pPr>
      <w:r>
        <w:rPr>
          <w:rFonts w:eastAsia="Times New Roman" w:cstheme="minorHAnsi"/>
          <w:b/>
          <w:snapToGrid w:val="0"/>
          <w:u w:val="single"/>
        </w:rPr>
        <w:t>ENCERRAMENTO</w:t>
      </w:r>
      <w:r>
        <w:rPr>
          <w:rFonts w:eastAsia="Times New Roman" w:cstheme="minorHAnsi"/>
          <w:snapToGrid w:val="0"/>
        </w:rPr>
        <w:t xml:space="preserve">: Nada mais havendo a ser tratado e inexistindo qualquer outra manifestação, </w:t>
      </w:r>
      <w:r>
        <w:rPr>
          <w:rFonts w:eastAsia="Times New Roman" w:cstheme="minorHAnsi"/>
        </w:rPr>
        <w:t xml:space="preserve">foram os trabalhos suspensos pelo tempo necessário à lavratura da presente ata, que, lida, conferida e achada conforme, foi por todos assinada. Assinaturas: </w:t>
      </w:r>
      <w:r>
        <w:rPr>
          <w:rFonts w:eastAsia="Times New Roman" w:cstheme="minorHAnsi"/>
          <w:u w:val="single"/>
        </w:rPr>
        <w:t>Mesa</w:t>
      </w:r>
      <w:r>
        <w:rPr>
          <w:rFonts w:eastAsia="Times New Roman" w:cstheme="minorHAnsi"/>
        </w:rPr>
        <w:t xml:space="preserve"> – </w:t>
      </w:r>
      <w:r w:rsidR="00720735" w:rsidRPr="00720735">
        <w:rPr>
          <w:rFonts w:eastAsia="Times New Roman" w:cstheme="minorHAnsi"/>
        </w:rPr>
        <w:t>[</w:t>
      </w:r>
      <w:r w:rsidR="00720735" w:rsidRPr="00720735">
        <w:rPr>
          <w:rFonts w:eastAsia="Times New Roman" w:cstheme="minorHAnsi"/>
          <w:highlight w:val="lightGray"/>
        </w:rPr>
        <w:t>--</w:t>
      </w:r>
      <w:r w:rsidR="00720735" w:rsidRPr="00720735">
        <w:rPr>
          <w:rFonts w:eastAsia="Times New Roman" w:cstheme="minorHAnsi"/>
        </w:rPr>
        <w:t>]</w:t>
      </w:r>
      <w:r>
        <w:rPr>
          <w:rFonts w:eastAsia="Times New Roman" w:cstheme="minorHAnsi"/>
        </w:rPr>
        <w:t xml:space="preserve"> (Presidente); </w:t>
      </w:r>
      <w:r w:rsidR="00720735" w:rsidRPr="00720735">
        <w:rPr>
          <w:rFonts w:eastAsia="Times New Roman" w:cstheme="minorHAnsi"/>
        </w:rPr>
        <w:t>[</w:t>
      </w:r>
      <w:r w:rsidR="00720735" w:rsidRPr="00720735">
        <w:rPr>
          <w:rFonts w:eastAsia="Times New Roman" w:cstheme="minorHAnsi"/>
          <w:highlight w:val="lightGray"/>
        </w:rPr>
        <w:t>--</w:t>
      </w:r>
      <w:r w:rsidR="00720735" w:rsidRPr="00720735">
        <w:rPr>
          <w:rFonts w:eastAsia="Times New Roman" w:cstheme="minorHAnsi"/>
        </w:rPr>
        <w:t>]</w:t>
      </w:r>
      <w:r>
        <w:rPr>
          <w:rFonts w:eastAsia="Times New Roman" w:cstheme="minorHAnsi"/>
        </w:rPr>
        <w:t xml:space="preserve"> (Secretário); </w:t>
      </w:r>
      <w:r>
        <w:rPr>
          <w:rFonts w:eastAsia="Times New Roman" w:cstheme="minorHAnsi"/>
          <w:u w:val="single"/>
        </w:rPr>
        <w:t>Acionista</w:t>
      </w:r>
      <w:r>
        <w:rPr>
          <w:rFonts w:eastAsia="Times New Roman" w:cstheme="minorHAnsi"/>
        </w:rPr>
        <w:t xml:space="preserve"> – </w:t>
      </w:r>
      <w:r w:rsidR="00C569F6">
        <w:rPr>
          <w:rFonts w:eastAsia="Times New Roman" w:cstheme="minorHAnsi"/>
        </w:rPr>
        <w:t>Babilônia Holding</w:t>
      </w:r>
      <w:r>
        <w:rPr>
          <w:rFonts w:eastAsia="Times New Roman" w:cstheme="minorHAnsi"/>
        </w:rPr>
        <w:t xml:space="preserve"> S.A. (representada por seus representantes legais </w:t>
      </w:r>
      <w:r w:rsidRPr="00720735">
        <w:rPr>
          <w:rFonts w:eastAsia="Times New Roman" w:cstheme="minorHAnsi"/>
        </w:rPr>
        <w:t>[</w:t>
      </w:r>
      <w:r w:rsidRPr="00C569F6">
        <w:rPr>
          <w:rFonts w:eastAsia="Times New Roman" w:cstheme="minorHAnsi"/>
          <w:highlight w:val="lightGray"/>
        </w:rPr>
        <w:t>--</w:t>
      </w:r>
      <w:r w:rsidRPr="00720735">
        <w:rPr>
          <w:rFonts w:eastAsia="Times New Roman" w:cstheme="minorHAnsi"/>
        </w:rPr>
        <w:t>]</w:t>
      </w:r>
      <w:r>
        <w:rPr>
          <w:rFonts w:eastAsia="Times New Roman" w:cstheme="minorHAnsi"/>
        </w:rPr>
        <w:t xml:space="preserve"> e </w:t>
      </w:r>
      <w:r w:rsidR="00720735" w:rsidRPr="00720735">
        <w:rPr>
          <w:rFonts w:eastAsia="Times New Roman" w:cstheme="minorHAnsi"/>
        </w:rPr>
        <w:t>[</w:t>
      </w:r>
      <w:r w:rsidR="00720735" w:rsidRPr="00720735">
        <w:rPr>
          <w:rFonts w:eastAsia="Times New Roman" w:cstheme="minorHAnsi"/>
          <w:highlight w:val="lightGray"/>
        </w:rPr>
        <w:t>--</w:t>
      </w:r>
      <w:r w:rsidR="00720735" w:rsidRPr="00720735">
        <w:rPr>
          <w:rFonts w:eastAsia="Times New Roman" w:cstheme="minorHAnsi"/>
        </w:rPr>
        <w:t>]</w:t>
      </w:r>
      <w:r>
        <w:rPr>
          <w:rFonts w:eastAsia="Times New Roman" w:cstheme="minorHAnsi"/>
        </w:rPr>
        <w:t>)</w:t>
      </w:r>
      <w:r>
        <w:rPr>
          <w:rFonts w:cstheme="minorHAnsi"/>
          <w:bCs/>
        </w:rPr>
        <w:t>.</w:t>
      </w:r>
    </w:p>
    <w:p w:rsidR="00903740" w:rsidRPr="007E19EF" w:rsidRDefault="00903740" w:rsidP="003B74A4">
      <w:pPr>
        <w:spacing w:after="0" w:line="300" w:lineRule="exact"/>
        <w:outlineLvl w:val="3"/>
        <w:rPr>
          <w:rFonts w:cstheme="minorHAnsi"/>
        </w:rPr>
      </w:pPr>
    </w:p>
    <w:p w:rsidR="00E56C09" w:rsidRPr="007E19EF" w:rsidRDefault="002C7035" w:rsidP="003B74A4">
      <w:pPr>
        <w:tabs>
          <w:tab w:val="left" w:pos="720"/>
        </w:tabs>
        <w:spacing w:after="0" w:line="300" w:lineRule="exact"/>
        <w:ind w:right="51"/>
        <w:jc w:val="center"/>
        <w:outlineLvl w:val="0"/>
        <w:rPr>
          <w:rFonts w:cstheme="minorHAnsi"/>
        </w:rPr>
      </w:pPr>
      <w:r>
        <w:rPr>
          <w:rFonts w:cstheme="minorHAnsi"/>
        </w:rPr>
        <w:t>Confere com a original lavrada em livro próprio.</w:t>
      </w:r>
    </w:p>
    <w:p w:rsidR="00613BCD" w:rsidRPr="007E19EF" w:rsidRDefault="00613BCD" w:rsidP="003B74A4">
      <w:pPr>
        <w:tabs>
          <w:tab w:val="left" w:pos="720"/>
        </w:tabs>
        <w:spacing w:after="0" w:line="300" w:lineRule="exact"/>
        <w:ind w:right="51"/>
        <w:jc w:val="center"/>
        <w:outlineLvl w:val="0"/>
        <w:rPr>
          <w:rFonts w:cstheme="minorHAnsi"/>
        </w:rPr>
      </w:pPr>
    </w:p>
    <w:p w:rsidR="00613BCD" w:rsidRPr="007E19EF" w:rsidRDefault="0053178A" w:rsidP="003B74A4">
      <w:pPr>
        <w:spacing w:after="0" w:line="300" w:lineRule="exact"/>
        <w:jc w:val="center"/>
        <w:outlineLvl w:val="3"/>
        <w:rPr>
          <w:rFonts w:eastAsia="Times New Roman" w:cstheme="minorHAnsi"/>
        </w:rPr>
      </w:pPr>
      <w:r>
        <w:rPr>
          <w:rFonts w:eastAsia="Times New Roman" w:cstheme="minorHAnsi"/>
        </w:rPr>
        <w:t>São Paulo</w:t>
      </w:r>
      <w:r w:rsidR="002C7035">
        <w:rPr>
          <w:rFonts w:eastAsia="Times New Roman" w:cstheme="minorHAnsi"/>
        </w:rPr>
        <w:t xml:space="preserve">, </w:t>
      </w:r>
      <w:r w:rsidR="002C7035">
        <w:rPr>
          <w:rFonts w:eastAsia="Times New Roman" w:cstheme="minorHAnsi"/>
          <w:lang w:eastAsia="ar-SA"/>
        </w:rPr>
        <w:t>[</w:t>
      </w:r>
      <w:r w:rsidR="002C7035">
        <w:rPr>
          <w:rFonts w:eastAsia="Times New Roman" w:cstheme="minorHAnsi"/>
          <w:highlight w:val="lightGray"/>
          <w:lang w:eastAsia="ar-SA"/>
        </w:rPr>
        <w:t>--</w:t>
      </w:r>
      <w:r w:rsidR="002C7035">
        <w:rPr>
          <w:rFonts w:eastAsia="Times New Roman" w:cstheme="minorHAnsi"/>
          <w:lang w:eastAsia="ar-SA"/>
        </w:rPr>
        <w:t xml:space="preserve">] </w:t>
      </w:r>
      <w:r w:rsidR="002C7035">
        <w:rPr>
          <w:rFonts w:eastAsia="Times New Roman" w:cstheme="minorHAnsi"/>
        </w:rPr>
        <w:t xml:space="preserve">de </w:t>
      </w:r>
      <w:r w:rsidR="002C7035">
        <w:rPr>
          <w:rFonts w:eastAsia="Times New Roman" w:cstheme="minorHAnsi"/>
          <w:highlight w:val="lightGray"/>
        </w:rPr>
        <w:t>[--</w:t>
      </w:r>
      <w:r w:rsidR="002C7035">
        <w:rPr>
          <w:rFonts w:eastAsia="Times New Roman" w:cstheme="minorHAnsi"/>
        </w:rPr>
        <w:t>] de 201</w:t>
      </w:r>
      <w:r w:rsidR="00C569F6">
        <w:rPr>
          <w:rFonts w:eastAsia="Times New Roman" w:cstheme="minorHAnsi"/>
        </w:rPr>
        <w:t>9</w:t>
      </w:r>
      <w:r w:rsidR="002C7035">
        <w:rPr>
          <w:rFonts w:eastAsia="Times New Roman" w:cstheme="minorHAnsi"/>
        </w:rPr>
        <w:t xml:space="preserve">. </w:t>
      </w:r>
    </w:p>
    <w:p w:rsidR="00903740" w:rsidRPr="007E19EF" w:rsidRDefault="002C7035" w:rsidP="003B74A4">
      <w:pPr>
        <w:spacing w:after="0" w:line="300" w:lineRule="exact"/>
        <w:outlineLvl w:val="3"/>
        <w:rPr>
          <w:rFonts w:eastAsia="Times New Roman" w:cstheme="minorHAnsi"/>
        </w:rPr>
      </w:pPr>
      <w:r>
        <w:rPr>
          <w:rFonts w:eastAsia="Times New Roman" w:cstheme="minorHAnsi"/>
        </w:rPr>
        <w:t>Mesa:</w:t>
      </w:r>
    </w:p>
    <w:p w:rsidR="00903740" w:rsidRPr="007E19EF" w:rsidRDefault="00903740" w:rsidP="003B74A4">
      <w:pPr>
        <w:spacing w:after="0" w:line="300" w:lineRule="exact"/>
        <w:outlineLvl w:val="3"/>
        <w:rPr>
          <w:rFonts w:eastAsia="Times New Roman" w:cstheme="minorHAnsi"/>
        </w:rPr>
      </w:pPr>
    </w:p>
    <w:p w:rsidR="00903740" w:rsidRPr="007E19EF" w:rsidRDefault="00903740" w:rsidP="003B74A4">
      <w:pPr>
        <w:spacing w:after="0" w:line="300" w:lineRule="exact"/>
        <w:jc w:val="center"/>
        <w:outlineLvl w:val="3"/>
        <w:rPr>
          <w:rFonts w:eastAsia="Times New Roman" w:cstheme="minorHAnsi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89"/>
        <w:gridCol w:w="4356"/>
      </w:tblGrid>
      <w:tr w:rsidR="00D732B3" w:rsidRPr="007E19EF" w:rsidTr="005A6531">
        <w:trPr>
          <w:trHeight w:val="1157"/>
          <w:jc w:val="center"/>
        </w:trPr>
        <w:tc>
          <w:tcPr>
            <w:tcW w:w="4315" w:type="dxa"/>
          </w:tcPr>
          <w:p w:rsidR="00903740" w:rsidRPr="007E19EF" w:rsidRDefault="002C7035" w:rsidP="003B74A4">
            <w:pPr>
              <w:spacing w:after="0" w:line="300" w:lineRule="exact"/>
              <w:jc w:val="center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___________________________________</w:t>
            </w:r>
          </w:p>
          <w:p w:rsidR="00920005" w:rsidRDefault="00920005" w:rsidP="003B74A4">
            <w:pPr>
              <w:spacing w:after="0" w:line="300" w:lineRule="exact"/>
              <w:jc w:val="center"/>
              <w:rPr>
                <w:rFonts w:eastAsia="Times New Roman" w:cstheme="minorHAnsi"/>
              </w:rPr>
            </w:pPr>
            <w:r w:rsidRPr="00720735">
              <w:rPr>
                <w:rFonts w:eastAsia="Times New Roman" w:cstheme="minorHAnsi"/>
              </w:rPr>
              <w:t>[</w:t>
            </w:r>
            <w:r w:rsidRPr="00920005">
              <w:rPr>
                <w:rFonts w:eastAsia="Times New Roman" w:cstheme="minorHAnsi"/>
                <w:highlight w:val="lightGray"/>
              </w:rPr>
              <w:t>--</w:t>
            </w:r>
            <w:r w:rsidRPr="00720735">
              <w:rPr>
                <w:rFonts w:eastAsia="Times New Roman" w:cstheme="minorHAnsi"/>
              </w:rPr>
              <w:t>]</w:t>
            </w:r>
          </w:p>
          <w:p w:rsidR="00903740" w:rsidRPr="007E19EF" w:rsidRDefault="002C7035" w:rsidP="003B74A4">
            <w:pPr>
              <w:spacing w:after="0" w:line="300" w:lineRule="exact"/>
              <w:jc w:val="center"/>
              <w:rPr>
                <w:rFonts w:cstheme="minorHAnsi"/>
                <w:b/>
              </w:rPr>
            </w:pPr>
            <w:r>
              <w:rPr>
                <w:rFonts w:eastAsia="Times New Roman" w:cstheme="minorHAnsi"/>
                <w:b/>
              </w:rPr>
              <w:t>Presidente</w:t>
            </w:r>
          </w:p>
        </w:tc>
        <w:tc>
          <w:tcPr>
            <w:tcW w:w="4379" w:type="dxa"/>
          </w:tcPr>
          <w:p w:rsidR="00903740" w:rsidRPr="007E19EF" w:rsidRDefault="002C7035" w:rsidP="003B74A4">
            <w:pPr>
              <w:spacing w:after="0" w:line="300" w:lineRule="exact"/>
              <w:jc w:val="center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____________________________________</w:t>
            </w:r>
          </w:p>
          <w:p w:rsidR="00920005" w:rsidRDefault="00920005" w:rsidP="003B74A4">
            <w:pPr>
              <w:spacing w:after="0" w:line="300" w:lineRule="exact"/>
              <w:jc w:val="center"/>
              <w:rPr>
                <w:rFonts w:eastAsia="Times New Roman" w:cstheme="minorHAnsi"/>
              </w:rPr>
            </w:pPr>
            <w:r w:rsidRPr="00720735">
              <w:rPr>
                <w:rFonts w:eastAsia="Times New Roman" w:cstheme="minorHAnsi"/>
              </w:rPr>
              <w:t>[</w:t>
            </w:r>
            <w:r w:rsidRPr="00920005">
              <w:rPr>
                <w:rFonts w:eastAsia="Times New Roman" w:cstheme="minorHAnsi"/>
                <w:highlight w:val="lightGray"/>
              </w:rPr>
              <w:t>--</w:t>
            </w:r>
            <w:r w:rsidRPr="00720735">
              <w:rPr>
                <w:rFonts w:eastAsia="Times New Roman" w:cstheme="minorHAnsi"/>
              </w:rPr>
              <w:t>]</w:t>
            </w:r>
          </w:p>
          <w:p w:rsidR="00903740" w:rsidRPr="007E19EF" w:rsidRDefault="002C7035" w:rsidP="003B74A4">
            <w:pPr>
              <w:spacing w:after="0" w:line="300" w:lineRule="exact"/>
              <w:jc w:val="center"/>
              <w:rPr>
                <w:rFonts w:cstheme="minorHAnsi"/>
                <w:b/>
              </w:rPr>
            </w:pPr>
            <w:r>
              <w:rPr>
                <w:rFonts w:eastAsia="Times New Roman" w:cstheme="minorHAnsi"/>
                <w:b/>
              </w:rPr>
              <w:t>Secretário</w:t>
            </w:r>
          </w:p>
        </w:tc>
      </w:tr>
    </w:tbl>
    <w:p w:rsidR="00903740" w:rsidRPr="007E19EF" w:rsidRDefault="00903740" w:rsidP="003B74A4">
      <w:pPr>
        <w:spacing w:after="0" w:line="300" w:lineRule="exact"/>
        <w:rPr>
          <w:rFonts w:eastAsia="Times New Roman" w:cstheme="minorHAnsi"/>
        </w:rPr>
      </w:pPr>
    </w:p>
    <w:p w:rsidR="00903740" w:rsidRPr="007E19EF" w:rsidRDefault="00903740" w:rsidP="003B74A4">
      <w:pPr>
        <w:spacing w:after="0" w:line="300" w:lineRule="exact"/>
        <w:jc w:val="center"/>
        <w:outlineLvl w:val="3"/>
        <w:rPr>
          <w:rFonts w:eastAsia="Times New Roman" w:cstheme="minorHAnsi"/>
        </w:rPr>
      </w:pPr>
    </w:p>
    <w:sectPr w:rsidR="00903740" w:rsidRPr="007E19EF" w:rsidSect="00BA49A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700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3C7" w:rsidRDefault="008203C7">
      <w:pPr>
        <w:spacing w:after="0" w:line="240" w:lineRule="auto"/>
      </w:pPr>
      <w:r>
        <w:separator/>
      </w:r>
    </w:p>
    <w:p w:rsidR="008203C7" w:rsidRDefault="008203C7"/>
  </w:endnote>
  <w:endnote w:type="continuationSeparator" w:id="0">
    <w:p w:rsidR="008203C7" w:rsidRDefault="008203C7">
      <w:pPr>
        <w:spacing w:after="0" w:line="240" w:lineRule="auto"/>
      </w:pPr>
      <w:r>
        <w:continuationSeparator/>
      </w:r>
    </w:p>
    <w:p w:rsidR="008203C7" w:rsidRDefault="008203C7"/>
  </w:endnote>
  <w:endnote w:type="continuationNotice" w:id="1">
    <w:p w:rsidR="008203C7" w:rsidRDefault="008203C7">
      <w:pPr>
        <w:spacing w:after="0" w:line="240" w:lineRule="auto"/>
      </w:pPr>
    </w:p>
    <w:p w:rsidR="008203C7" w:rsidRDefault="008203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74B" w:rsidRDefault="0084574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</w:rPr>
      <w:id w:val="1105000453"/>
      <w:docPartObj>
        <w:docPartGallery w:val="Page Numbers (Bottom of Page)"/>
        <w:docPartUnique/>
      </w:docPartObj>
    </w:sdtPr>
    <w:sdtEndPr>
      <w:rPr>
        <w:sz w:val="4"/>
        <w:szCs w:val="4"/>
      </w:rPr>
    </w:sdtEndPr>
    <w:sdtContent>
      <w:p w:rsidR="008D5FB0" w:rsidRPr="0050544C" w:rsidRDefault="008D5FB0" w:rsidP="007A6161">
        <w:pPr>
          <w:pStyle w:val="Rodap"/>
          <w:rPr>
            <w:rFonts w:ascii="Verdana" w:hAnsi="Verdana" w:cs="Times New Roman"/>
            <w:sz w:val="14"/>
          </w:rPr>
        </w:pPr>
      </w:p>
      <w:p w:rsidR="00623C4A" w:rsidRPr="0084574B" w:rsidRDefault="0026769A" w:rsidP="00BA49A9">
        <w:pPr>
          <w:pStyle w:val="Rodap"/>
          <w:rPr>
            <w:rFonts w:ascii="Times New Roman" w:hAnsi="Times New Roman" w:cs="Times New Roman"/>
            <w:sz w:val="4"/>
            <w:szCs w:val="4"/>
          </w:rPr>
        </w:pPr>
        <w:r w:rsidRPr="0084574B">
          <w:rPr>
            <w:rFonts w:cstheme="minorHAnsi"/>
          </w:rPr>
          <w:fldChar w:fldCharType="begin"/>
        </w:r>
        <w:r w:rsidR="00903740" w:rsidRPr="0084574B">
          <w:rPr>
            <w:rFonts w:cstheme="minorHAnsi"/>
          </w:rPr>
          <w:instrText>PAGE   \* MERGEFORMAT</w:instrText>
        </w:r>
        <w:r w:rsidRPr="0084574B">
          <w:rPr>
            <w:rFonts w:cstheme="minorHAnsi"/>
          </w:rPr>
          <w:fldChar w:fldCharType="separate"/>
        </w:r>
        <w:r w:rsidR="002112C6">
          <w:rPr>
            <w:rFonts w:cstheme="minorHAnsi"/>
            <w:noProof/>
          </w:rPr>
          <w:t>2</w:t>
        </w:r>
        <w:r w:rsidRPr="0084574B">
          <w:rPr>
            <w:rFonts w:cstheme="minorHAnsi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74B" w:rsidRPr="00BA49A9" w:rsidRDefault="0084574B" w:rsidP="00BA49A9">
    <w:pPr>
      <w:pStyle w:val="Rodap"/>
      <w:rPr>
        <w:rFonts w:ascii="Arial" w:hAnsi="Arial" w:cs="Arial"/>
        <w:sz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3C7" w:rsidRDefault="008203C7">
      <w:pPr>
        <w:spacing w:after="0" w:line="240" w:lineRule="auto"/>
      </w:pPr>
      <w:r>
        <w:separator/>
      </w:r>
    </w:p>
    <w:p w:rsidR="008203C7" w:rsidRDefault="008203C7"/>
  </w:footnote>
  <w:footnote w:type="continuationSeparator" w:id="0">
    <w:p w:rsidR="008203C7" w:rsidRDefault="008203C7">
      <w:pPr>
        <w:spacing w:after="0" w:line="240" w:lineRule="auto"/>
      </w:pPr>
      <w:r>
        <w:continuationSeparator/>
      </w:r>
    </w:p>
    <w:p w:rsidR="008203C7" w:rsidRDefault="008203C7"/>
  </w:footnote>
  <w:footnote w:type="continuationNotice" w:id="1">
    <w:p w:rsidR="008203C7" w:rsidRDefault="008203C7">
      <w:pPr>
        <w:spacing w:after="0" w:line="240" w:lineRule="auto"/>
      </w:pPr>
    </w:p>
    <w:p w:rsidR="008203C7" w:rsidRDefault="008203C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74B" w:rsidRDefault="0084574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74B" w:rsidRDefault="0084574B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C14" w:rsidRDefault="00A05C14" w:rsidP="005963CE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905D1"/>
    <w:multiLevelType w:val="hybridMultilevel"/>
    <w:tmpl w:val="1152EED0"/>
    <w:lvl w:ilvl="0" w:tplc="C046CD3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574CD"/>
    <w:multiLevelType w:val="singleLevel"/>
    <w:tmpl w:val="DEA62300"/>
    <w:lvl w:ilvl="0">
      <w:start w:val="1"/>
      <w:numFmt w:val="lowerLetter"/>
      <w:pStyle w:val="alpha4"/>
      <w:lvlText w:val="(%1)"/>
      <w:lvlJc w:val="left"/>
      <w:pPr>
        <w:tabs>
          <w:tab w:val="num" w:pos="3659"/>
        </w:tabs>
        <w:ind w:left="2978" w:firstLine="0"/>
      </w:pPr>
      <w:rPr>
        <w:rFonts w:ascii="Tahoma" w:hAnsi="Tahoma" w:hint="default"/>
        <w:b w:val="0"/>
        <w:i w:val="0"/>
        <w:sz w:val="20"/>
      </w:rPr>
    </w:lvl>
  </w:abstractNum>
  <w:abstractNum w:abstractNumId="2" w15:restartNumberingAfterBreak="0">
    <w:nsid w:val="1C330125"/>
    <w:multiLevelType w:val="hybridMultilevel"/>
    <w:tmpl w:val="AE78AEE8"/>
    <w:lvl w:ilvl="0" w:tplc="9482DE2E">
      <w:start w:val="1"/>
      <w:numFmt w:val="decimal"/>
      <w:lvlText w:val="(%1)"/>
      <w:lvlJc w:val="left"/>
      <w:pPr>
        <w:ind w:left="-207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2B552A25"/>
    <w:multiLevelType w:val="hybridMultilevel"/>
    <w:tmpl w:val="90E6454E"/>
    <w:lvl w:ilvl="0" w:tplc="116489B2">
      <w:start w:val="1"/>
      <w:numFmt w:val="decimal"/>
      <w:lvlText w:val="(%1)"/>
      <w:lvlJc w:val="left"/>
      <w:pPr>
        <w:ind w:left="-207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32F75866"/>
    <w:multiLevelType w:val="hybridMultilevel"/>
    <w:tmpl w:val="027ED992"/>
    <w:lvl w:ilvl="0" w:tplc="6AA49512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C636B2"/>
    <w:multiLevelType w:val="hybridMultilevel"/>
    <w:tmpl w:val="B0F67482"/>
    <w:lvl w:ilvl="0" w:tplc="6476A022">
      <w:start w:val="1"/>
      <w:numFmt w:val="lowerRoman"/>
      <w:lvlText w:val="(%1)"/>
      <w:lvlJc w:val="left"/>
      <w:pPr>
        <w:ind w:left="51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870" w:hanging="360"/>
      </w:pPr>
    </w:lvl>
    <w:lvl w:ilvl="2" w:tplc="0416001B" w:tentative="1">
      <w:start w:val="1"/>
      <w:numFmt w:val="lowerRoman"/>
      <w:lvlText w:val="%3."/>
      <w:lvlJc w:val="right"/>
      <w:pPr>
        <w:ind w:left="1590" w:hanging="180"/>
      </w:pPr>
    </w:lvl>
    <w:lvl w:ilvl="3" w:tplc="0416000F" w:tentative="1">
      <w:start w:val="1"/>
      <w:numFmt w:val="decimal"/>
      <w:lvlText w:val="%4."/>
      <w:lvlJc w:val="left"/>
      <w:pPr>
        <w:ind w:left="2310" w:hanging="360"/>
      </w:pPr>
    </w:lvl>
    <w:lvl w:ilvl="4" w:tplc="04160019" w:tentative="1">
      <w:start w:val="1"/>
      <w:numFmt w:val="lowerLetter"/>
      <w:lvlText w:val="%5."/>
      <w:lvlJc w:val="left"/>
      <w:pPr>
        <w:ind w:left="3030" w:hanging="360"/>
      </w:pPr>
    </w:lvl>
    <w:lvl w:ilvl="5" w:tplc="0416001B" w:tentative="1">
      <w:start w:val="1"/>
      <w:numFmt w:val="lowerRoman"/>
      <w:lvlText w:val="%6."/>
      <w:lvlJc w:val="right"/>
      <w:pPr>
        <w:ind w:left="3750" w:hanging="180"/>
      </w:pPr>
    </w:lvl>
    <w:lvl w:ilvl="6" w:tplc="0416000F" w:tentative="1">
      <w:start w:val="1"/>
      <w:numFmt w:val="decimal"/>
      <w:lvlText w:val="%7."/>
      <w:lvlJc w:val="left"/>
      <w:pPr>
        <w:ind w:left="4470" w:hanging="360"/>
      </w:pPr>
    </w:lvl>
    <w:lvl w:ilvl="7" w:tplc="04160019" w:tentative="1">
      <w:start w:val="1"/>
      <w:numFmt w:val="lowerLetter"/>
      <w:lvlText w:val="%8."/>
      <w:lvlJc w:val="left"/>
      <w:pPr>
        <w:ind w:left="5190" w:hanging="360"/>
      </w:pPr>
    </w:lvl>
    <w:lvl w:ilvl="8" w:tplc="0416001B" w:tentative="1">
      <w:start w:val="1"/>
      <w:numFmt w:val="lowerRoman"/>
      <w:lvlText w:val="%9."/>
      <w:lvlJc w:val="right"/>
      <w:pPr>
        <w:ind w:left="5910" w:hanging="180"/>
      </w:pPr>
    </w:lvl>
  </w:abstractNum>
  <w:abstractNum w:abstractNumId="6" w15:restartNumberingAfterBreak="0">
    <w:nsid w:val="5AF82ADB"/>
    <w:multiLevelType w:val="hybridMultilevel"/>
    <w:tmpl w:val="5F8ACF52"/>
    <w:lvl w:ilvl="0" w:tplc="7E18D0CA">
      <w:start w:val="1"/>
      <w:numFmt w:val="lowerLetter"/>
      <w:lvlText w:val="(%1)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 w15:restartNumberingAfterBreak="0">
    <w:nsid w:val="6EA456F3"/>
    <w:multiLevelType w:val="hybridMultilevel"/>
    <w:tmpl w:val="08CCB51E"/>
    <w:lvl w:ilvl="0" w:tplc="9482DE2E">
      <w:start w:val="1"/>
      <w:numFmt w:val="decimal"/>
      <w:lvlText w:val="(%1)"/>
      <w:lvlJc w:val="left"/>
      <w:pPr>
        <w:ind w:left="153" w:hanging="720"/>
      </w:pPr>
      <w:rPr>
        <w:rFonts w:eastAsiaTheme="minorHAns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76A023C1"/>
    <w:multiLevelType w:val="hybridMultilevel"/>
    <w:tmpl w:val="1214E23A"/>
    <w:lvl w:ilvl="0" w:tplc="D3D4E65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0B6C14"/>
    <w:multiLevelType w:val="hybridMultilevel"/>
    <w:tmpl w:val="9C1C837C"/>
    <w:lvl w:ilvl="0" w:tplc="A924678C">
      <w:start w:val="1"/>
      <w:numFmt w:val="decimal"/>
      <w:lvlText w:val="%1."/>
      <w:lvlJc w:val="left"/>
      <w:pPr>
        <w:ind w:left="-207" w:hanging="360"/>
      </w:pPr>
      <w:rPr>
        <w:rFonts w:hint="default"/>
        <w:b/>
        <w:u w:val="none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7"/>
  </w:num>
  <w:num w:numId="8">
    <w:abstractNumId w:val="9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2"/>
  </w:compat>
  <w:rsids>
    <w:rsidRoot w:val="005C5B82"/>
    <w:rsid w:val="000001B3"/>
    <w:rsid w:val="0000168A"/>
    <w:rsid w:val="00011803"/>
    <w:rsid w:val="00015737"/>
    <w:rsid w:val="00016D1A"/>
    <w:rsid w:val="00016E80"/>
    <w:rsid w:val="00021981"/>
    <w:rsid w:val="000228D0"/>
    <w:rsid w:val="000257BD"/>
    <w:rsid w:val="00025FE1"/>
    <w:rsid w:val="00026579"/>
    <w:rsid w:val="00034B0E"/>
    <w:rsid w:val="0004210B"/>
    <w:rsid w:val="00046883"/>
    <w:rsid w:val="000468FE"/>
    <w:rsid w:val="00050441"/>
    <w:rsid w:val="00060A91"/>
    <w:rsid w:val="00067BE4"/>
    <w:rsid w:val="00071879"/>
    <w:rsid w:val="000749ED"/>
    <w:rsid w:val="00076CC8"/>
    <w:rsid w:val="0008118B"/>
    <w:rsid w:val="000969CD"/>
    <w:rsid w:val="000C0D29"/>
    <w:rsid w:val="000C1396"/>
    <w:rsid w:val="000C4D4E"/>
    <w:rsid w:val="000D42CC"/>
    <w:rsid w:val="000D6DAB"/>
    <w:rsid w:val="000D7955"/>
    <w:rsid w:val="000E1D48"/>
    <w:rsid w:val="000F1FA8"/>
    <w:rsid w:val="00100DD5"/>
    <w:rsid w:val="00113D91"/>
    <w:rsid w:val="00114D00"/>
    <w:rsid w:val="001172B1"/>
    <w:rsid w:val="00121000"/>
    <w:rsid w:val="00121C6D"/>
    <w:rsid w:val="0012226C"/>
    <w:rsid w:val="001233D2"/>
    <w:rsid w:val="00130F73"/>
    <w:rsid w:val="0013248A"/>
    <w:rsid w:val="0014017B"/>
    <w:rsid w:val="0014083E"/>
    <w:rsid w:val="00144016"/>
    <w:rsid w:val="0014721E"/>
    <w:rsid w:val="00154438"/>
    <w:rsid w:val="001578DC"/>
    <w:rsid w:val="001641C8"/>
    <w:rsid w:val="00164ACD"/>
    <w:rsid w:val="001863AD"/>
    <w:rsid w:val="00190916"/>
    <w:rsid w:val="00196FDA"/>
    <w:rsid w:val="001B0AA6"/>
    <w:rsid w:val="001B0ABA"/>
    <w:rsid w:val="001B13FE"/>
    <w:rsid w:val="001B67FB"/>
    <w:rsid w:val="001C5DA6"/>
    <w:rsid w:val="001D111F"/>
    <w:rsid w:val="001D2993"/>
    <w:rsid w:val="001E34AE"/>
    <w:rsid w:val="001F1161"/>
    <w:rsid w:val="001F5714"/>
    <w:rsid w:val="001F6AB5"/>
    <w:rsid w:val="001F7294"/>
    <w:rsid w:val="00200D56"/>
    <w:rsid w:val="00202D14"/>
    <w:rsid w:val="002112C6"/>
    <w:rsid w:val="00213E9E"/>
    <w:rsid w:val="00221DA0"/>
    <w:rsid w:val="00227A87"/>
    <w:rsid w:val="002303DF"/>
    <w:rsid w:val="00232AE5"/>
    <w:rsid w:val="0023311D"/>
    <w:rsid w:val="00235318"/>
    <w:rsid w:val="002367CF"/>
    <w:rsid w:val="00240068"/>
    <w:rsid w:val="00242089"/>
    <w:rsid w:val="0024692A"/>
    <w:rsid w:val="00253359"/>
    <w:rsid w:val="0026769A"/>
    <w:rsid w:val="00270F00"/>
    <w:rsid w:val="00270F73"/>
    <w:rsid w:val="0027389A"/>
    <w:rsid w:val="002810F5"/>
    <w:rsid w:val="00281475"/>
    <w:rsid w:val="00284403"/>
    <w:rsid w:val="00285828"/>
    <w:rsid w:val="0029373E"/>
    <w:rsid w:val="0029512E"/>
    <w:rsid w:val="00295FA1"/>
    <w:rsid w:val="002A3ADB"/>
    <w:rsid w:val="002A7D10"/>
    <w:rsid w:val="002B1CAF"/>
    <w:rsid w:val="002B6326"/>
    <w:rsid w:val="002B6722"/>
    <w:rsid w:val="002C7035"/>
    <w:rsid w:val="002D1F49"/>
    <w:rsid w:val="002D357F"/>
    <w:rsid w:val="002D64E5"/>
    <w:rsid w:val="002D7606"/>
    <w:rsid w:val="002F3EC1"/>
    <w:rsid w:val="0030180D"/>
    <w:rsid w:val="00312B37"/>
    <w:rsid w:val="003153D7"/>
    <w:rsid w:val="00332AB3"/>
    <w:rsid w:val="003405F8"/>
    <w:rsid w:val="003408B7"/>
    <w:rsid w:val="00341E8B"/>
    <w:rsid w:val="00354EE9"/>
    <w:rsid w:val="003575BE"/>
    <w:rsid w:val="00361DA3"/>
    <w:rsid w:val="00361EA5"/>
    <w:rsid w:val="00373947"/>
    <w:rsid w:val="00374D94"/>
    <w:rsid w:val="00375073"/>
    <w:rsid w:val="00391993"/>
    <w:rsid w:val="003A0D97"/>
    <w:rsid w:val="003A233A"/>
    <w:rsid w:val="003A6435"/>
    <w:rsid w:val="003B6A30"/>
    <w:rsid w:val="003B74A4"/>
    <w:rsid w:val="003C7506"/>
    <w:rsid w:val="003D6CB3"/>
    <w:rsid w:val="003F4019"/>
    <w:rsid w:val="003F533D"/>
    <w:rsid w:val="003F55B9"/>
    <w:rsid w:val="00401525"/>
    <w:rsid w:val="00404044"/>
    <w:rsid w:val="004064AB"/>
    <w:rsid w:val="0041010C"/>
    <w:rsid w:val="00415FC5"/>
    <w:rsid w:val="00416EE9"/>
    <w:rsid w:val="00426ED2"/>
    <w:rsid w:val="0044559E"/>
    <w:rsid w:val="00455A29"/>
    <w:rsid w:val="004662EF"/>
    <w:rsid w:val="00467DE9"/>
    <w:rsid w:val="00470EEE"/>
    <w:rsid w:val="00470F10"/>
    <w:rsid w:val="00471E5E"/>
    <w:rsid w:val="00471EE1"/>
    <w:rsid w:val="004B1F5F"/>
    <w:rsid w:val="004C01F3"/>
    <w:rsid w:val="004C06F8"/>
    <w:rsid w:val="004C1086"/>
    <w:rsid w:val="004C2CE7"/>
    <w:rsid w:val="004D39B0"/>
    <w:rsid w:val="004D59E9"/>
    <w:rsid w:val="004E2A31"/>
    <w:rsid w:val="004E7821"/>
    <w:rsid w:val="004F1FEB"/>
    <w:rsid w:val="004F5FC3"/>
    <w:rsid w:val="0050144C"/>
    <w:rsid w:val="00503E80"/>
    <w:rsid w:val="0050544C"/>
    <w:rsid w:val="00505DD1"/>
    <w:rsid w:val="00513C71"/>
    <w:rsid w:val="00526CE4"/>
    <w:rsid w:val="00530C14"/>
    <w:rsid w:val="0053178A"/>
    <w:rsid w:val="0053407B"/>
    <w:rsid w:val="005618C4"/>
    <w:rsid w:val="00565F8A"/>
    <w:rsid w:val="00577621"/>
    <w:rsid w:val="00581814"/>
    <w:rsid w:val="00582130"/>
    <w:rsid w:val="005939DD"/>
    <w:rsid w:val="005953D7"/>
    <w:rsid w:val="005963CE"/>
    <w:rsid w:val="00596935"/>
    <w:rsid w:val="005A6531"/>
    <w:rsid w:val="005B1AC9"/>
    <w:rsid w:val="005B24DF"/>
    <w:rsid w:val="005C05E4"/>
    <w:rsid w:val="005C3F87"/>
    <w:rsid w:val="005C5B82"/>
    <w:rsid w:val="005C7730"/>
    <w:rsid w:val="005D08D1"/>
    <w:rsid w:val="005D2076"/>
    <w:rsid w:val="005D2807"/>
    <w:rsid w:val="005D7AFE"/>
    <w:rsid w:val="005E2540"/>
    <w:rsid w:val="005F0C81"/>
    <w:rsid w:val="005F7ECF"/>
    <w:rsid w:val="00602126"/>
    <w:rsid w:val="00603BD5"/>
    <w:rsid w:val="00613BCD"/>
    <w:rsid w:val="00620C47"/>
    <w:rsid w:val="00621573"/>
    <w:rsid w:val="00621C77"/>
    <w:rsid w:val="0062375F"/>
    <w:rsid w:val="00623C4A"/>
    <w:rsid w:val="00626B1E"/>
    <w:rsid w:val="00631984"/>
    <w:rsid w:val="00636A06"/>
    <w:rsid w:val="00642881"/>
    <w:rsid w:val="0064499F"/>
    <w:rsid w:val="00647828"/>
    <w:rsid w:val="006774F1"/>
    <w:rsid w:val="00677799"/>
    <w:rsid w:val="00677AA5"/>
    <w:rsid w:val="00683229"/>
    <w:rsid w:val="00683E5D"/>
    <w:rsid w:val="006925FA"/>
    <w:rsid w:val="00695F99"/>
    <w:rsid w:val="006A0A3B"/>
    <w:rsid w:val="006A149B"/>
    <w:rsid w:val="006A3FB2"/>
    <w:rsid w:val="006A74C1"/>
    <w:rsid w:val="006B053F"/>
    <w:rsid w:val="006B0E68"/>
    <w:rsid w:val="006B2CE6"/>
    <w:rsid w:val="006C657C"/>
    <w:rsid w:val="006C7EB8"/>
    <w:rsid w:val="00707D0A"/>
    <w:rsid w:val="00711ADE"/>
    <w:rsid w:val="00720735"/>
    <w:rsid w:val="007318F8"/>
    <w:rsid w:val="00734DA4"/>
    <w:rsid w:val="00736BE9"/>
    <w:rsid w:val="00737EE3"/>
    <w:rsid w:val="00742962"/>
    <w:rsid w:val="00743E15"/>
    <w:rsid w:val="00752135"/>
    <w:rsid w:val="00762748"/>
    <w:rsid w:val="00776C41"/>
    <w:rsid w:val="0078366E"/>
    <w:rsid w:val="00783C36"/>
    <w:rsid w:val="007954A1"/>
    <w:rsid w:val="007A6161"/>
    <w:rsid w:val="007B22A8"/>
    <w:rsid w:val="007B5185"/>
    <w:rsid w:val="007C3597"/>
    <w:rsid w:val="007C4E31"/>
    <w:rsid w:val="007C577F"/>
    <w:rsid w:val="007D3A49"/>
    <w:rsid w:val="007E19EF"/>
    <w:rsid w:val="007E6279"/>
    <w:rsid w:val="007E7D50"/>
    <w:rsid w:val="007F1C7F"/>
    <w:rsid w:val="007F47A0"/>
    <w:rsid w:val="00811E1D"/>
    <w:rsid w:val="0081350B"/>
    <w:rsid w:val="008153A7"/>
    <w:rsid w:val="00815A63"/>
    <w:rsid w:val="008203C7"/>
    <w:rsid w:val="00820458"/>
    <w:rsid w:val="008225B5"/>
    <w:rsid w:val="00824115"/>
    <w:rsid w:val="00827A41"/>
    <w:rsid w:val="00832E83"/>
    <w:rsid w:val="00832F8B"/>
    <w:rsid w:val="00833976"/>
    <w:rsid w:val="0083428D"/>
    <w:rsid w:val="008354A6"/>
    <w:rsid w:val="00841BD5"/>
    <w:rsid w:val="008453CA"/>
    <w:rsid w:val="0084574B"/>
    <w:rsid w:val="00854D34"/>
    <w:rsid w:val="00860E24"/>
    <w:rsid w:val="00864300"/>
    <w:rsid w:val="0086463A"/>
    <w:rsid w:val="0086568E"/>
    <w:rsid w:val="00871A9D"/>
    <w:rsid w:val="00872F6A"/>
    <w:rsid w:val="00877346"/>
    <w:rsid w:val="00880E98"/>
    <w:rsid w:val="00880FC9"/>
    <w:rsid w:val="008860A6"/>
    <w:rsid w:val="008925D8"/>
    <w:rsid w:val="0089545E"/>
    <w:rsid w:val="008A352D"/>
    <w:rsid w:val="008B3F73"/>
    <w:rsid w:val="008B5A7F"/>
    <w:rsid w:val="008D14BA"/>
    <w:rsid w:val="008D5FB0"/>
    <w:rsid w:val="008E062A"/>
    <w:rsid w:val="008E1C59"/>
    <w:rsid w:val="008E4587"/>
    <w:rsid w:val="008F164C"/>
    <w:rsid w:val="008F3461"/>
    <w:rsid w:val="00900EB6"/>
    <w:rsid w:val="00901887"/>
    <w:rsid w:val="00903740"/>
    <w:rsid w:val="0091160F"/>
    <w:rsid w:val="0091595B"/>
    <w:rsid w:val="00920005"/>
    <w:rsid w:val="00923F33"/>
    <w:rsid w:val="009256E5"/>
    <w:rsid w:val="00942673"/>
    <w:rsid w:val="00950F3A"/>
    <w:rsid w:val="009540C7"/>
    <w:rsid w:val="00960308"/>
    <w:rsid w:val="0096318E"/>
    <w:rsid w:val="00963E9B"/>
    <w:rsid w:val="00967B6F"/>
    <w:rsid w:val="00970B10"/>
    <w:rsid w:val="00971061"/>
    <w:rsid w:val="00981BB2"/>
    <w:rsid w:val="009928D5"/>
    <w:rsid w:val="0099307B"/>
    <w:rsid w:val="009A6BC7"/>
    <w:rsid w:val="009A7DC2"/>
    <w:rsid w:val="009B0271"/>
    <w:rsid w:val="009B143A"/>
    <w:rsid w:val="009B297C"/>
    <w:rsid w:val="009B4615"/>
    <w:rsid w:val="009B4F30"/>
    <w:rsid w:val="009C7BF9"/>
    <w:rsid w:val="009D26CD"/>
    <w:rsid w:val="009E259B"/>
    <w:rsid w:val="009E53B7"/>
    <w:rsid w:val="009E7902"/>
    <w:rsid w:val="009F1212"/>
    <w:rsid w:val="009F2B9A"/>
    <w:rsid w:val="009F3753"/>
    <w:rsid w:val="009F498D"/>
    <w:rsid w:val="009F6715"/>
    <w:rsid w:val="00A027B7"/>
    <w:rsid w:val="00A03F06"/>
    <w:rsid w:val="00A05242"/>
    <w:rsid w:val="00A05C14"/>
    <w:rsid w:val="00A10CD7"/>
    <w:rsid w:val="00A10E85"/>
    <w:rsid w:val="00A118A1"/>
    <w:rsid w:val="00A17549"/>
    <w:rsid w:val="00A25889"/>
    <w:rsid w:val="00A30FBF"/>
    <w:rsid w:val="00A36D31"/>
    <w:rsid w:val="00A41211"/>
    <w:rsid w:val="00A51BBE"/>
    <w:rsid w:val="00A57662"/>
    <w:rsid w:val="00A66C40"/>
    <w:rsid w:val="00A7609A"/>
    <w:rsid w:val="00A771B5"/>
    <w:rsid w:val="00A87223"/>
    <w:rsid w:val="00A91EF1"/>
    <w:rsid w:val="00AA08C8"/>
    <w:rsid w:val="00AC7A11"/>
    <w:rsid w:val="00AD12B2"/>
    <w:rsid w:val="00AE74C0"/>
    <w:rsid w:val="00AF428D"/>
    <w:rsid w:val="00AF4BB0"/>
    <w:rsid w:val="00AF50CE"/>
    <w:rsid w:val="00AF7CB3"/>
    <w:rsid w:val="00B15A0A"/>
    <w:rsid w:val="00B2505B"/>
    <w:rsid w:val="00B27A38"/>
    <w:rsid w:val="00B373F6"/>
    <w:rsid w:val="00B42C71"/>
    <w:rsid w:val="00B42C8C"/>
    <w:rsid w:val="00B50FF4"/>
    <w:rsid w:val="00B5236A"/>
    <w:rsid w:val="00B55165"/>
    <w:rsid w:val="00B637F0"/>
    <w:rsid w:val="00B63D36"/>
    <w:rsid w:val="00B70F8A"/>
    <w:rsid w:val="00B721C6"/>
    <w:rsid w:val="00B75813"/>
    <w:rsid w:val="00B7690E"/>
    <w:rsid w:val="00B85866"/>
    <w:rsid w:val="00BA49A9"/>
    <w:rsid w:val="00BA77E2"/>
    <w:rsid w:val="00BB1264"/>
    <w:rsid w:val="00BB6E72"/>
    <w:rsid w:val="00BC38CB"/>
    <w:rsid w:val="00BC5F14"/>
    <w:rsid w:val="00BD30F7"/>
    <w:rsid w:val="00BD31D8"/>
    <w:rsid w:val="00BE3EBC"/>
    <w:rsid w:val="00BE6872"/>
    <w:rsid w:val="00BE741F"/>
    <w:rsid w:val="00BE7B6E"/>
    <w:rsid w:val="00BF263A"/>
    <w:rsid w:val="00BF45D1"/>
    <w:rsid w:val="00BF4C95"/>
    <w:rsid w:val="00BF6031"/>
    <w:rsid w:val="00C03A2A"/>
    <w:rsid w:val="00C123E2"/>
    <w:rsid w:val="00C13E90"/>
    <w:rsid w:val="00C17C3B"/>
    <w:rsid w:val="00C21084"/>
    <w:rsid w:val="00C2169F"/>
    <w:rsid w:val="00C23CED"/>
    <w:rsid w:val="00C37F38"/>
    <w:rsid w:val="00C441B0"/>
    <w:rsid w:val="00C5178C"/>
    <w:rsid w:val="00C559EE"/>
    <w:rsid w:val="00C55CCE"/>
    <w:rsid w:val="00C561E2"/>
    <w:rsid w:val="00C569F6"/>
    <w:rsid w:val="00C6319E"/>
    <w:rsid w:val="00C6377C"/>
    <w:rsid w:val="00C647E5"/>
    <w:rsid w:val="00C66339"/>
    <w:rsid w:val="00C7101C"/>
    <w:rsid w:val="00C741AB"/>
    <w:rsid w:val="00C839C4"/>
    <w:rsid w:val="00C85A70"/>
    <w:rsid w:val="00CA336D"/>
    <w:rsid w:val="00CB0989"/>
    <w:rsid w:val="00CB3710"/>
    <w:rsid w:val="00CB4757"/>
    <w:rsid w:val="00CB69F7"/>
    <w:rsid w:val="00CC306F"/>
    <w:rsid w:val="00CD7B1A"/>
    <w:rsid w:val="00CE3582"/>
    <w:rsid w:val="00CE5898"/>
    <w:rsid w:val="00CE6CD8"/>
    <w:rsid w:val="00CF0D6A"/>
    <w:rsid w:val="00D01B31"/>
    <w:rsid w:val="00D07259"/>
    <w:rsid w:val="00D26A13"/>
    <w:rsid w:val="00D37865"/>
    <w:rsid w:val="00D5208E"/>
    <w:rsid w:val="00D52596"/>
    <w:rsid w:val="00D52F9B"/>
    <w:rsid w:val="00D571BA"/>
    <w:rsid w:val="00D60069"/>
    <w:rsid w:val="00D636AF"/>
    <w:rsid w:val="00D67BC8"/>
    <w:rsid w:val="00D732B3"/>
    <w:rsid w:val="00D74858"/>
    <w:rsid w:val="00D755C6"/>
    <w:rsid w:val="00D75769"/>
    <w:rsid w:val="00D76AE2"/>
    <w:rsid w:val="00D8414D"/>
    <w:rsid w:val="00D8519D"/>
    <w:rsid w:val="00DD4D7F"/>
    <w:rsid w:val="00DD548A"/>
    <w:rsid w:val="00DE2420"/>
    <w:rsid w:val="00DE247E"/>
    <w:rsid w:val="00E267D8"/>
    <w:rsid w:val="00E27D7E"/>
    <w:rsid w:val="00E3717C"/>
    <w:rsid w:val="00E441A5"/>
    <w:rsid w:val="00E44762"/>
    <w:rsid w:val="00E451B2"/>
    <w:rsid w:val="00E46CD6"/>
    <w:rsid w:val="00E56C09"/>
    <w:rsid w:val="00E613BB"/>
    <w:rsid w:val="00E61DB9"/>
    <w:rsid w:val="00E722CF"/>
    <w:rsid w:val="00E73550"/>
    <w:rsid w:val="00E814B0"/>
    <w:rsid w:val="00E81879"/>
    <w:rsid w:val="00E9262A"/>
    <w:rsid w:val="00ED606C"/>
    <w:rsid w:val="00EE10AD"/>
    <w:rsid w:val="00EE4286"/>
    <w:rsid w:val="00EF5FE2"/>
    <w:rsid w:val="00EF6D72"/>
    <w:rsid w:val="00F06D07"/>
    <w:rsid w:val="00F07FEC"/>
    <w:rsid w:val="00F10F13"/>
    <w:rsid w:val="00F13C1B"/>
    <w:rsid w:val="00F17601"/>
    <w:rsid w:val="00F226C8"/>
    <w:rsid w:val="00F2454E"/>
    <w:rsid w:val="00F2681A"/>
    <w:rsid w:val="00F26890"/>
    <w:rsid w:val="00F27CCE"/>
    <w:rsid w:val="00F3615D"/>
    <w:rsid w:val="00F366A0"/>
    <w:rsid w:val="00F401A9"/>
    <w:rsid w:val="00F4214D"/>
    <w:rsid w:val="00F43BE2"/>
    <w:rsid w:val="00F57319"/>
    <w:rsid w:val="00F61225"/>
    <w:rsid w:val="00F8015E"/>
    <w:rsid w:val="00F844FC"/>
    <w:rsid w:val="00F9757E"/>
    <w:rsid w:val="00FB116C"/>
    <w:rsid w:val="00FC07C0"/>
    <w:rsid w:val="00FC21C1"/>
    <w:rsid w:val="00FC443A"/>
    <w:rsid w:val="00FC78D3"/>
    <w:rsid w:val="00FD1090"/>
    <w:rsid w:val="00FE61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DF0A7DA"/>
  <w15:docId w15:val="{9DD152E5-E567-4354-BF4D-201903D1F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4C9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C5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C5B82"/>
  </w:style>
  <w:style w:type="paragraph" w:styleId="PargrafodaLista">
    <w:name w:val="List Paragraph"/>
    <w:basedOn w:val="Normal"/>
    <w:uiPriority w:val="34"/>
    <w:qFormat/>
    <w:rsid w:val="0008118B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0265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6579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A6BC7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A6BC7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A6BC7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3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307B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9F498D"/>
    <w:rPr>
      <w:color w:val="808080"/>
    </w:rPr>
  </w:style>
  <w:style w:type="character" w:styleId="Hyperlink">
    <w:name w:val="Hyperlink"/>
    <w:basedOn w:val="Fontepargpadro"/>
    <w:unhideWhenUsed/>
    <w:rsid w:val="00871A9D"/>
    <w:rPr>
      <w:color w:val="0000FF"/>
      <w:u w:val="single"/>
    </w:rPr>
  </w:style>
  <w:style w:type="character" w:customStyle="1" w:styleId="DeltaViewInsertion">
    <w:name w:val="DeltaView Insertion"/>
    <w:uiPriority w:val="99"/>
    <w:rsid w:val="00737EE3"/>
    <w:rPr>
      <w:color w:val="0000FF"/>
      <w:u w:val="double"/>
    </w:rPr>
  </w:style>
  <w:style w:type="character" w:styleId="Refdecomentrio">
    <w:name w:val="annotation reference"/>
    <w:basedOn w:val="Fontepargpadro"/>
    <w:uiPriority w:val="99"/>
    <w:semiHidden/>
    <w:unhideWhenUsed/>
    <w:rsid w:val="00815A6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15A6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15A6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15A6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15A63"/>
    <w:rPr>
      <w:b/>
      <w:bCs/>
      <w:sz w:val="20"/>
      <w:szCs w:val="20"/>
    </w:rPr>
  </w:style>
  <w:style w:type="paragraph" w:customStyle="1" w:styleId="alpha4">
    <w:name w:val="alpha 4"/>
    <w:basedOn w:val="Normal"/>
    <w:rsid w:val="00695F99"/>
    <w:pPr>
      <w:numPr>
        <w:numId w:val="10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1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CFAFA-0027-4E9C-B548-2168D3BC59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702A77-D147-4EDD-A281-1A93FE90A9C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BD944C9-0E31-4B47-8F4F-BC57FC057FE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9CC3116-DD14-4991-A3C4-64C085336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1524</Words>
  <Characters>8234</Characters>
  <Application>Microsoft Office Word</Application>
  <DocSecurity>4</DocSecurity>
  <Lines>68</Lines>
  <Paragraphs>19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        ATA DE ASSEMBLEIA GERAL EXTRAORDINÁRIA</vt:lpstr>
    </vt:vector>
  </TitlesOfParts>
  <Company>Hewlett-Packard</Company>
  <LinksUpToDate>false</LinksUpToDate>
  <CharactersWithSpaces>9739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ppessoa@stoccheforbes.com.br</dc:creator>
  <cp:lastModifiedBy>Lobo de Rizzo</cp:lastModifiedBy>
  <cp:revision>2</cp:revision>
  <cp:lastPrinted>2017-03-07T16:45:00Z</cp:lastPrinted>
  <dcterms:created xsi:type="dcterms:W3CDTF">2019-05-17T22:54:00Z</dcterms:created>
  <dcterms:modified xsi:type="dcterms:W3CDTF">2019-05-17T22:54:00Z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_x000d_DOCS - 4309570v2 </vt:lpwstr>
  </property>
</Properties>
</file>