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bCs/>
          <w:szCs w:val="24"/>
        </w:rPr>
        <w:t>(</w:t>
      </w:r>
      <w:proofErr w:type="gramStart"/>
      <w:r w:rsidRPr="00162CA7">
        <w:rPr>
          <w:rFonts w:ascii="Times New Roman" w:hAnsi="Times New Roman"/>
          <w:bCs/>
          <w:szCs w:val="24"/>
        </w:rPr>
        <w:t>anteriormente</w:t>
      </w:r>
      <w:proofErr w:type="gramEnd"/>
      <w:r w:rsidRPr="00162CA7">
        <w:rPr>
          <w:rFonts w:ascii="Times New Roman" w:hAnsi="Times New Roman"/>
          <w:bCs/>
          <w:szCs w:val="24"/>
        </w:rPr>
        <w:t xml:space="preserve"> denominada </w:t>
      </w:r>
      <w:r w:rsidR="00FE1211" w:rsidRPr="00162CA7">
        <w:rPr>
          <w:rFonts w:ascii="Times New Roman" w:hAnsi="Times New Roman"/>
          <w:b/>
          <w:bCs/>
          <w:szCs w:val="24"/>
        </w:rPr>
        <w:t>BBO PARTICIPAÇÕ</w:t>
      </w:r>
      <w:r w:rsidRPr="00162CA7">
        <w:rPr>
          <w:rFonts w:ascii="Times New Roman" w:hAnsi="Times New Roman"/>
          <w:b/>
          <w:bCs/>
          <w:szCs w:val="24"/>
        </w:rPr>
        <w:t xml:space="preserve">ES </w:t>
      </w:r>
      <w:r w:rsidR="00FE1211" w:rsidRPr="00162CA7">
        <w:rPr>
          <w:rFonts w:ascii="Times New Roman" w:hAnsi="Times New Roman"/>
          <w:b/>
          <w:bCs/>
          <w:szCs w:val="24"/>
        </w:rPr>
        <w:t>S.A.</w:t>
      </w:r>
      <w:r w:rsidRPr="00162CA7">
        <w:rPr>
          <w:rFonts w:ascii="Times New Roman" w:hAnsi="Times New Roman"/>
          <w:bCs/>
          <w:szCs w:val="24"/>
        </w:rPr>
        <w:t>)</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DA</w:t>
      </w:r>
      <w:bookmarkStart w:id="0" w:name="_GoBack"/>
      <w:bookmarkEnd w:id="0"/>
      <w:r w:rsidR="00597AAF" w:rsidRPr="00162CA7">
        <w:rPr>
          <w:rFonts w:ascii="Times New Roman" w:hAnsi="Times New Roman"/>
          <w:b/>
          <w:bCs/>
          <w:szCs w:val="24"/>
        </w:rPr>
        <w:t xml:space="preserve">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 (ANTERIORMENTE DENOMINADA BBO PARTICIPAÇÕES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6B4DAE" w:rsidRPr="00162CA7">
        <w:rPr>
          <w:rFonts w:ascii="Times New Roman" w:hAnsi="Times New Roman"/>
          <w:b/>
          <w:bCs/>
          <w:szCs w:val="24"/>
        </w:rPr>
        <w:t>24</w:t>
      </w:r>
      <w:r w:rsidR="00237C67"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6B4DAE" w:rsidRPr="00162CA7">
        <w:rPr>
          <w:rFonts w:ascii="Times New Roman" w:hAnsi="Times New Roman"/>
          <w:b/>
          <w:bCs/>
          <w:szCs w:val="24"/>
        </w:rPr>
        <w:t>ABRIL</w:t>
      </w:r>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r w:rsidR="006B4DAE" w:rsidRPr="00162CA7">
        <w:rPr>
          <w:rFonts w:ascii="Times New Roman" w:hAnsi="Times New Roman"/>
          <w:bCs/>
          <w:color w:val="000000"/>
          <w:szCs w:val="24"/>
          <w:lang w:eastAsia="ar-SA"/>
        </w:rPr>
        <w:t>24</w:t>
      </w:r>
      <w:r w:rsidR="00237C67" w:rsidRPr="00162CA7">
        <w:rPr>
          <w:rFonts w:ascii="Times New Roman" w:hAnsi="Times New Roman"/>
          <w:bCs/>
          <w:color w:val="000000"/>
          <w:szCs w:val="24"/>
          <w:lang w:eastAsia="ar-SA"/>
        </w:rPr>
        <w:t xml:space="preserve"> </w:t>
      </w:r>
      <w:r w:rsidR="006B4DAE" w:rsidRPr="00162CA7">
        <w:rPr>
          <w:rFonts w:ascii="Times New Roman" w:hAnsi="Times New Roman"/>
          <w:bCs/>
          <w:color w:val="000000"/>
          <w:szCs w:val="24"/>
          <w:lang w:eastAsia="ar-SA"/>
        </w:rPr>
        <w:t>(vinte e quatro)</w:t>
      </w:r>
      <w:r w:rsidR="006B4DAE"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415E3C" w:rsidRPr="00162CA7">
        <w:rPr>
          <w:rFonts w:ascii="Times New Roman" w:hAnsi="Times New Roman"/>
          <w:bCs/>
          <w:color w:val="000000"/>
          <w:szCs w:val="24"/>
          <w:lang w:eastAsia="ar-SA"/>
        </w:rPr>
        <w:t>abril</w:t>
      </w:r>
      <w:r w:rsidR="000D4C65" w:rsidRPr="00162CA7">
        <w:rPr>
          <w:rFonts w:ascii="Times New Roman" w:hAnsi="Times New Roman"/>
          <w:bCs/>
          <w:color w:val="000000"/>
          <w:szCs w:val="24"/>
          <w:lang w:eastAsia="ar-SA"/>
        </w:rPr>
        <w:t xml:space="preserve">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Bonsucesso Holding Financeira S.A. (anteriormente denominada BBO Participações S.A.)</w:t>
      </w:r>
      <w:r w:rsidR="00982132" w:rsidRPr="00162CA7">
        <w:rPr>
          <w:rFonts w:ascii="Times New Roman" w:hAnsi="Times New Roman"/>
          <w:szCs w:val="24"/>
        </w:rPr>
        <w:t xml:space="preserve">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656821">
        <w:rPr>
          <w:rFonts w:ascii="Times New Roman" w:hAnsi="Times New Roman"/>
          <w:bCs/>
          <w:szCs w:val="24"/>
        </w:rPr>
        <w:t xml:space="preserve">. Marcus </w:t>
      </w:r>
      <w:proofErr w:type="spellStart"/>
      <w:r w:rsidR="00A567C2" w:rsidRPr="00656821">
        <w:rPr>
          <w:rFonts w:ascii="Times New Roman" w:hAnsi="Times New Roman"/>
          <w:bCs/>
          <w:szCs w:val="24"/>
        </w:rPr>
        <w:t>Venicius</w:t>
      </w:r>
      <w:proofErr w:type="spellEnd"/>
      <w:r w:rsidR="00A567C2" w:rsidRPr="00656821">
        <w:rPr>
          <w:rFonts w:ascii="Times New Roman" w:hAnsi="Times New Roman"/>
          <w:bCs/>
          <w:szCs w:val="24"/>
        </w:rPr>
        <w:t xml:space="preserve"> Bellinello da Rocha</w:t>
      </w:r>
      <w:r w:rsidR="00A567C2" w:rsidRPr="00162CA7">
        <w:rPr>
          <w:rFonts w:ascii="Times New Roman" w:hAnsi="Times New Roman"/>
          <w:bCs/>
          <w:szCs w:val="24"/>
        </w:rPr>
        <w:t xml:space="preserve"> e como secretário o Sr. </w:t>
      </w:r>
      <w:r w:rsidR="00A567C2" w:rsidRPr="005F7069">
        <w:rPr>
          <w:rFonts w:ascii="Times New Roman" w:hAnsi="Times New Roman"/>
          <w:bCs/>
          <w:szCs w:val="24"/>
        </w:rPr>
        <w:t xml:space="preserve">José </w:t>
      </w:r>
      <w:r w:rsidR="00A567C2" w:rsidRPr="005F7069">
        <w:rPr>
          <w:rFonts w:ascii="Times New Roman" w:hAnsi="Times New Roman"/>
          <w:bCs/>
          <w:szCs w:val="24"/>
        </w:rPr>
        <w:lastRenderedPageBreak/>
        <w:t>Luiz de Souza Leite</w:t>
      </w:r>
      <w:r w:rsidR="00DB4828" w:rsidRPr="005F7069">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(i) </w:t>
      </w:r>
      <w:r w:rsidR="00E70C2E" w:rsidRPr="00162CA7">
        <w:rPr>
          <w:rFonts w:ascii="Times New Roman" w:hAnsi="Times New Roman"/>
          <w:szCs w:val="24"/>
        </w:rPr>
        <w:t xml:space="preserve">o reconhecimento e ratificação da mudança de denominação social da Emissora; (ii) </w:t>
      </w:r>
      <w:r w:rsidR="00BC2DC6" w:rsidRPr="00162CA7">
        <w:rPr>
          <w:rFonts w:ascii="Times New Roman" w:hAnsi="Times New Roman"/>
          <w:szCs w:val="24"/>
        </w:rPr>
        <w:t>a anuência prévia pelos Debenturistas para a modificação da destinação de recursos da Emissão prevista na Cláusula 3.5 da Escritura</w:t>
      </w:r>
      <w:r w:rsidR="00BC2DC6" w:rsidRPr="00162CA7">
        <w:rPr>
          <w:rFonts w:ascii="Times New Roman" w:hAnsi="Times New Roman"/>
          <w:bCs/>
          <w:szCs w:val="24"/>
        </w:rPr>
        <w:t>; (ii</w:t>
      </w:r>
      <w:r w:rsidR="00E70C2E" w:rsidRPr="00162CA7">
        <w:rPr>
          <w:rFonts w:ascii="Times New Roman" w:hAnsi="Times New Roman"/>
          <w:bCs/>
          <w:szCs w:val="24"/>
        </w:rPr>
        <w:t>i</w:t>
      </w:r>
      <w:r w:rsidR="00BC2DC6" w:rsidRPr="00162CA7">
        <w:rPr>
          <w:rFonts w:ascii="Times New Roman" w:hAnsi="Times New Roman"/>
          <w:bCs/>
          <w:szCs w:val="24"/>
        </w:rPr>
        <w:t>)</w:t>
      </w:r>
      <w:r w:rsidR="00B56A2E" w:rsidRPr="00162CA7">
        <w:rPr>
          <w:rFonts w:ascii="Times New Roman" w:hAnsi="Times New Roman"/>
          <w:bCs/>
          <w:szCs w:val="24"/>
        </w:rPr>
        <w:t xml:space="preserve"> </w:t>
      </w:r>
      <w:r w:rsidR="00B56A2E" w:rsidRPr="00162CA7">
        <w:rPr>
          <w:rFonts w:ascii="Times New Roman" w:hAnsi="Times New Roman"/>
          <w:szCs w:val="24"/>
        </w:rPr>
        <w:t>a anuência p</w:t>
      </w:r>
      <w:r w:rsidR="00A83E57" w:rsidRPr="00162CA7">
        <w:rPr>
          <w:rFonts w:ascii="Times New Roman" w:hAnsi="Times New Roman"/>
          <w:szCs w:val="24"/>
        </w:rPr>
        <w:t>révia pelos Debenturistas para a alteração da forma de amortização das Debêntures</w:t>
      </w:r>
      <w:r w:rsidR="00BD4489" w:rsidRPr="00162CA7">
        <w:rPr>
          <w:rFonts w:ascii="Times New Roman" w:hAnsi="Times New Roman"/>
          <w:szCs w:val="24"/>
        </w:rPr>
        <w:t>; (iv)</w:t>
      </w:r>
      <w:r w:rsidR="00A83E57" w:rsidRPr="00162CA7">
        <w:rPr>
          <w:rFonts w:ascii="Times New Roman" w:hAnsi="Times New Roman"/>
          <w:szCs w:val="24"/>
        </w:rPr>
        <w:t xml:space="preserve"> </w:t>
      </w:r>
      <w:r w:rsidR="00BD4489" w:rsidRPr="00162CA7">
        <w:rPr>
          <w:rFonts w:ascii="Times New Roman" w:hAnsi="Times New Roman"/>
          <w:szCs w:val="24"/>
        </w:rPr>
        <w:t>a anuência prévia pelos Debenturistas para a</w:t>
      </w:r>
      <w:r w:rsidR="00A83E57" w:rsidRPr="00162CA7">
        <w:rPr>
          <w:rFonts w:ascii="Times New Roman" w:hAnsi="Times New Roman"/>
          <w:szCs w:val="24"/>
        </w:rPr>
        <w:t xml:space="preserve"> inclusão de uma nova Data de Pagamento da Remuneração das Debêntures</w:t>
      </w:r>
      <w:r w:rsidR="00B56A2E" w:rsidRPr="00162CA7">
        <w:rPr>
          <w:rFonts w:ascii="Times New Roman" w:hAnsi="Times New Roman"/>
          <w:szCs w:val="24"/>
        </w:rPr>
        <w:t>; e (v)</w:t>
      </w:r>
      <w:r w:rsidR="00D360E7" w:rsidRPr="00162CA7">
        <w:rPr>
          <w:rFonts w:ascii="Times New Roman" w:hAnsi="Times New Roman"/>
          <w:szCs w:val="24"/>
        </w:rPr>
        <w:t xml:space="preserve"> </w:t>
      </w:r>
      <w:r w:rsidR="00054D43" w:rsidRPr="00162CA7">
        <w:rPr>
          <w:rFonts w:ascii="Times New Roman" w:hAnsi="Times New Roman"/>
          <w:szCs w:val="24"/>
        </w:rPr>
        <w:t>a autorização para a celebração</w:t>
      </w:r>
      <w:r w:rsidR="00663B06" w:rsidRPr="00162CA7">
        <w:rPr>
          <w:rFonts w:ascii="Times New Roman" w:hAnsi="Times New Roman"/>
          <w:szCs w:val="24"/>
        </w:rPr>
        <w:t>: (a)</w:t>
      </w:r>
      <w:r w:rsidR="00054D43" w:rsidRPr="00162CA7">
        <w:rPr>
          <w:rFonts w:ascii="Times New Roman" w:hAnsi="Times New Roman"/>
          <w:szCs w:val="24"/>
        </w:rPr>
        <w:t xml:space="preserve"> do “</w:t>
      </w:r>
      <w:r w:rsidR="00AE3A15" w:rsidRPr="00162CA7">
        <w:rPr>
          <w:rFonts w:ascii="Times New Roman" w:hAnsi="Times New Roman"/>
          <w:i/>
          <w:szCs w:val="24"/>
        </w:rPr>
        <w:t>Segundo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E3A15" w:rsidRPr="00162CA7">
        <w:rPr>
          <w:rFonts w:ascii="Times New Roman" w:hAnsi="Times New Roman"/>
          <w:b/>
          <w:szCs w:val="24"/>
        </w:rPr>
        <w:t xml:space="preserve"> </w:t>
      </w:r>
      <w:r w:rsidR="00AE3A15" w:rsidRPr="00162CA7">
        <w:rPr>
          <w:rFonts w:ascii="Times New Roman" w:hAnsi="Times New Roman"/>
          <w:i/>
          <w:szCs w:val="24"/>
        </w:rPr>
        <w:t>BBO Participações S.A. (antiga denominação da Bonsucesso Holding Financeira S.A.)</w:t>
      </w:r>
      <w:r w:rsidR="00054D43" w:rsidRPr="00162CA7">
        <w:rPr>
          <w:rFonts w:ascii="Times New Roman" w:hAnsi="Times New Roman"/>
          <w:szCs w:val="24"/>
        </w:rPr>
        <w:t>”</w:t>
      </w:r>
      <w:r w:rsidR="001C42A9" w:rsidRPr="00162CA7">
        <w:rPr>
          <w:rFonts w:ascii="Times New Roman" w:hAnsi="Times New Roman"/>
          <w:bCs/>
          <w:szCs w:val="24"/>
        </w:rPr>
        <w:t xml:space="preserve"> pelo Agente Fiduciário, em conjunto com a </w:t>
      </w:r>
      <w:r w:rsidR="00415E3C" w:rsidRPr="00162CA7">
        <w:rPr>
          <w:rFonts w:ascii="Times New Roman" w:hAnsi="Times New Roman"/>
          <w:bCs/>
          <w:szCs w:val="24"/>
        </w:rPr>
        <w:t>Emissora</w:t>
      </w:r>
      <w:r w:rsidR="001C42A9" w:rsidRPr="00162CA7">
        <w:rPr>
          <w:rFonts w:ascii="Times New Roman" w:hAnsi="Times New Roman"/>
          <w:bCs/>
          <w:szCs w:val="24"/>
        </w:rPr>
        <w:t xml:space="preserve"> e com os Intervenientes Garantidores</w:t>
      </w:r>
      <w:r w:rsidR="00054D43" w:rsidRPr="00162CA7">
        <w:rPr>
          <w:rFonts w:ascii="Times New Roman" w:hAnsi="Times New Roman"/>
          <w:szCs w:val="24"/>
        </w:rPr>
        <w:t xml:space="preserve"> (“</w:t>
      </w:r>
      <w:r w:rsidR="00A567C2" w:rsidRPr="00162CA7">
        <w:rPr>
          <w:rFonts w:ascii="Times New Roman" w:hAnsi="Times New Roman"/>
          <w:szCs w:val="24"/>
          <w:u w:val="single"/>
        </w:rPr>
        <w:t xml:space="preserve">2º </w:t>
      </w:r>
      <w:r w:rsidR="00054D43" w:rsidRPr="00162CA7">
        <w:rPr>
          <w:rFonts w:ascii="Times New Roman" w:hAnsi="Times New Roman"/>
          <w:szCs w:val="24"/>
          <w:u w:val="single"/>
        </w:rPr>
        <w:t>Aditamento à Escritura</w:t>
      </w:r>
      <w:r w:rsidR="00BC2DC6" w:rsidRPr="00162CA7">
        <w:rPr>
          <w:rFonts w:ascii="Times New Roman" w:hAnsi="Times New Roman"/>
          <w:szCs w:val="24"/>
        </w:rPr>
        <w:t>”)</w:t>
      </w:r>
      <w:r w:rsidR="00162CA7" w:rsidRPr="00162CA7">
        <w:rPr>
          <w:rFonts w:ascii="Times New Roman" w:hAnsi="Times New Roman"/>
          <w:szCs w:val="24"/>
        </w:rPr>
        <w:t>; (b) do “</w:t>
      </w:r>
      <w:r w:rsidR="00162CA7" w:rsidRPr="00162CA7">
        <w:rPr>
          <w:rFonts w:ascii="Times New Roman" w:hAnsi="Times New Roman"/>
          <w:i/>
          <w:szCs w:val="24"/>
        </w:rPr>
        <w:t>Segundo Aditamento ao Contrato de Alienação Fiduciária de Ações em Garantia</w:t>
      </w:r>
      <w:r w:rsidR="00162CA7" w:rsidRPr="00162CA7">
        <w:rPr>
          <w:rFonts w:ascii="Times New Roman" w:hAnsi="Times New Roman"/>
          <w:szCs w:val="24"/>
        </w:rPr>
        <w:t xml:space="preserve">” </w:t>
      </w:r>
      <w:r w:rsidR="00162CA7" w:rsidRPr="00162CA7">
        <w:rPr>
          <w:rFonts w:ascii="Times New Roman" w:hAnsi="Times New Roman"/>
          <w:bCs/>
          <w:szCs w:val="24"/>
        </w:rPr>
        <w:t>pelo Agente Fiduciário, em conjunto com os Acionistas Garantidores,</w:t>
      </w:r>
      <w:r w:rsidR="00162CA7" w:rsidRPr="00162CA7">
        <w:rPr>
          <w:rFonts w:ascii="Times New Roman" w:hAnsi="Times New Roman"/>
          <w:szCs w:val="24"/>
        </w:rPr>
        <w:t xml:space="preserve"> e com a interveniência e anuência da Companhia e da </w:t>
      </w:r>
      <w:proofErr w:type="spellStart"/>
      <w:r w:rsidR="00162CA7" w:rsidRPr="00162CA7">
        <w:rPr>
          <w:rFonts w:ascii="Times New Roman" w:hAnsi="Times New Roman"/>
          <w:szCs w:val="24"/>
        </w:rPr>
        <w:t>Bosan</w:t>
      </w:r>
      <w:proofErr w:type="spellEnd"/>
      <w:r w:rsidR="00162CA7" w:rsidRPr="00162CA7">
        <w:rPr>
          <w:rFonts w:ascii="Times New Roman" w:hAnsi="Times New Roman"/>
          <w:szCs w:val="24"/>
        </w:rPr>
        <w:t xml:space="preserve"> (“</w:t>
      </w:r>
      <w:r w:rsidR="00162CA7" w:rsidRPr="00162CA7">
        <w:rPr>
          <w:rFonts w:ascii="Times New Roman" w:hAnsi="Times New Roman"/>
          <w:szCs w:val="24"/>
          <w:u w:val="single"/>
        </w:rPr>
        <w:t>2º Aditamento ao Contrato de Alienação Fiduciária</w:t>
      </w:r>
      <w:r w:rsidR="00162CA7" w:rsidRPr="00162CA7">
        <w:rPr>
          <w:rFonts w:ascii="Times New Roman" w:hAnsi="Times New Roman"/>
          <w:szCs w:val="24"/>
        </w:rPr>
        <w:t>”); e (c) do “</w:t>
      </w:r>
      <w:r w:rsidR="00162CA7" w:rsidRPr="00162CA7">
        <w:rPr>
          <w:rFonts w:ascii="Times New Roman" w:hAnsi="Times New Roman"/>
          <w:i/>
          <w:szCs w:val="24"/>
        </w:rPr>
        <w:t>Segundo Aditamento ao Instrumento Particular de Cessão Fiduciária de Direitos Creditórios”</w:t>
      </w:r>
      <w:r w:rsidR="00162CA7" w:rsidRPr="00162CA7">
        <w:rPr>
          <w:rFonts w:ascii="Times New Roman" w:hAnsi="Times New Roman"/>
          <w:bCs/>
          <w:szCs w:val="24"/>
        </w:rPr>
        <w:t xml:space="preserve"> pelo Agente Fiduciário, em conjunto com a Companhia e a </w:t>
      </w:r>
      <w:proofErr w:type="spellStart"/>
      <w:r w:rsidR="00162CA7" w:rsidRPr="00162CA7">
        <w:rPr>
          <w:rFonts w:ascii="Times New Roman" w:hAnsi="Times New Roman"/>
          <w:bCs/>
          <w:szCs w:val="24"/>
        </w:rPr>
        <w:t>Bosan</w:t>
      </w:r>
      <w:proofErr w:type="spellEnd"/>
      <w:r w:rsidR="00162CA7" w:rsidRPr="00162CA7">
        <w:rPr>
          <w:rFonts w:ascii="Times New Roman" w:hAnsi="Times New Roman"/>
          <w:bCs/>
          <w:szCs w:val="24"/>
        </w:rPr>
        <w:t>,</w:t>
      </w:r>
      <w:r w:rsidR="00162CA7" w:rsidRPr="00162CA7">
        <w:rPr>
          <w:rFonts w:ascii="Times New Roman" w:hAnsi="Times New Roman"/>
          <w:szCs w:val="24"/>
        </w:rPr>
        <w:t xml:space="preserve"> e com a interveniência e anuência do Banco BS2 (“</w:t>
      </w:r>
      <w:r w:rsidR="00162CA7" w:rsidRPr="00162CA7">
        <w:rPr>
          <w:rFonts w:ascii="Times New Roman" w:hAnsi="Times New Roman"/>
          <w:szCs w:val="24"/>
          <w:u w:val="single"/>
        </w:rPr>
        <w:t>2º</w:t>
      </w:r>
      <w:r w:rsidR="00162CA7" w:rsidRPr="00162CA7">
        <w:rPr>
          <w:rFonts w:ascii="Times New Roman" w:hAnsi="Times New Roman"/>
          <w:szCs w:val="24"/>
        </w:rPr>
        <w:t xml:space="preserve"> </w:t>
      </w:r>
      <w:r w:rsidR="00162CA7" w:rsidRPr="00162CA7">
        <w:rPr>
          <w:rFonts w:ascii="Times New Roman" w:hAnsi="Times New Roman"/>
          <w:szCs w:val="24"/>
          <w:u w:val="single"/>
        </w:rPr>
        <w:t>Aditamento ao Contrato de Cessão Fiduciária</w:t>
      </w:r>
      <w:r w:rsidR="00162CA7" w:rsidRPr="00162CA7">
        <w:rPr>
          <w:rFonts w:ascii="Times New Roman" w:hAnsi="Times New Roman"/>
          <w:szCs w:val="24"/>
        </w:rPr>
        <w:t>”)</w:t>
      </w:r>
      <w:r w:rsidR="00503A50" w:rsidRPr="00162CA7">
        <w:rPr>
          <w:rFonts w:ascii="Times New Roman" w:hAnsi="Times New Roman"/>
          <w:color w:val="000000"/>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E70C2E" w:rsidRPr="00162CA7" w:rsidRDefault="00C66BC3" w:rsidP="00162CA7">
      <w:pPr>
        <w:pStyle w:val="Corpodetexto"/>
        <w:widowControl w:val="0"/>
        <w:tabs>
          <w:tab w:val="left" w:pos="0"/>
        </w:tabs>
        <w:suppressAutoHyphens/>
        <w:spacing w:after="0" w:line="320" w:lineRule="exact"/>
        <w:rPr>
          <w:rFonts w:ascii="Times New Roman" w:hAnsi="Times New Roman"/>
          <w:bCs/>
          <w:szCs w:val="24"/>
        </w:rPr>
      </w:pPr>
      <w:proofErr w:type="gramStart"/>
      <w:r w:rsidRPr="00162CA7">
        <w:rPr>
          <w:rFonts w:ascii="Times New Roman" w:hAnsi="Times New Roman"/>
          <w:b/>
          <w:bCs/>
          <w:szCs w:val="24"/>
        </w:rPr>
        <w:t>1.</w:t>
      </w:r>
      <w:r w:rsidR="00E70C2E" w:rsidRPr="00162CA7">
        <w:rPr>
          <w:rFonts w:ascii="Times New Roman" w:hAnsi="Times New Roman"/>
          <w:b/>
          <w:bCs/>
          <w:szCs w:val="24"/>
        </w:rPr>
        <w:tab/>
      </w:r>
      <w:r w:rsidR="00E70C2E" w:rsidRPr="00162CA7">
        <w:rPr>
          <w:rFonts w:ascii="Times New Roman" w:hAnsi="Times New Roman"/>
          <w:bCs/>
          <w:szCs w:val="24"/>
        </w:rPr>
        <w:t>Reconhecer e anuir</w:t>
      </w:r>
      <w:proofErr w:type="gramEnd"/>
      <w:r w:rsidR="00E70C2E" w:rsidRPr="00162CA7">
        <w:rPr>
          <w:rFonts w:ascii="Times New Roman" w:hAnsi="Times New Roman"/>
          <w:bCs/>
          <w:szCs w:val="24"/>
        </w:rPr>
        <w:t xml:space="preserve"> com a modificação da denominação social da Emissora de </w:t>
      </w:r>
      <w:r w:rsidR="00AE3A15" w:rsidRPr="00162CA7">
        <w:rPr>
          <w:rFonts w:ascii="Times New Roman" w:hAnsi="Times New Roman"/>
          <w:bCs/>
          <w:szCs w:val="24"/>
        </w:rPr>
        <w:t>“</w:t>
      </w:r>
      <w:r w:rsidR="00E70C2E" w:rsidRPr="00162CA7">
        <w:rPr>
          <w:rFonts w:ascii="Times New Roman" w:hAnsi="Times New Roman"/>
          <w:bCs/>
          <w:szCs w:val="24"/>
        </w:rPr>
        <w:t>BBO Participações S.A.</w:t>
      </w:r>
      <w:r w:rsidR="00AE3A15" w:rsidRPr="00162CA7">
        <w:rPr>
          <w:rFonts w:ascii="Times New Roman" w:hAnsi="Times New Roman"/>
          <w:bCs/>
          <w:szCs w:val="24"/>
        </w:rPr>
        <w:t>”</w:t>
      </w:r>
      <w:r w:rsidR="00E70C2E" w:rsidRPr="00162CA7">
        <w:rPr>
          <w:rFonts w:ascii="Times New Roman" w:hAnsi="Times New Roman"/>
          <w:bCs/>
          <w:szCs w:val="24"/>
        </w:rPr>
        <w:t xml:space="preserve"> para </w:t>
      </w:r>
      <w:r w:rsidR="00AE3A15" w:rsidRPr="00162CA7">
        <w:rPr>
          <w:rFonts w:ascii="Times New Roman" w:hAnsi="Times New Roman"/>
          <w:bCs/>
          <w:szCs w:val="24"/>
        </w:rPr>
        <w:t>“</w:t>
      </w:r>
      <w:r w:rsidR="00E70C2E" w:rsidRPr="00162CA7">
        <w:rPr>
          <w:rFonts w:ascii="Times New Roman" w:hAnsi="Times New Roman"/>
          <w:bCs/>
          <w:szCs w:val="24"/>
        </w:rPr>
        <w:t>Bonsucesso Holding Financeira S.A.</w:t>
      </w:r>
      <w:r w:rsidR="00AE3A15" w:rsidRPr="00162CA7">
        <w:rPr>
          <w:rFonts w:ascii="Times New Roman" w:hAnsi="Times New Roman"/>
          <w:bCs/>
          <w:szCs w:val="24"/>
        </w:rPr>
        <w:t>”</w:t>
      </w:r>
      <w:r w:rsidR="00E70C2E" w:rsidRPr="00162CA7">
        <w:rPr>
          <w:rFonts w:ascii="Times New Roman" w:hAnsi="Times New Roman"/>
          <w:bCs/>
          <w:szCs w:val="24"/>
        </w:rPr>
        <w:t xml:space="preserve"> conforme aprovada na Assembleia Geral Extraordinária da Emissora realizada em 14 de dezembro de 2018.</w:t>
      </w:r>
    </w:p>
    <w:p w:rsidR="00E70C2E" w:rsidRPr="00162CA7" w:rsidRDefault="00E70C2E" w:rsidP="00162CA7">
      <w:pPr>
        <w:pStyle w:val="Corpodetexto"/>
        <w:widowControl w:val="0"/>
        <w:tabs>
          <w:tab w:val="left" w:pos="0"/>
        </w:tabs>
        <w:suppressAutoHyphens/>
        <w:spacing w:after="0" w:line="320" w:lineRule="exact"/>
        <w:rPr>
          <w:rFonts w:ascii="Times New Roman" w:hAnsi="Times New Roman"/>
          <w:bCs/>
          <w:szCs w:val="24"/>
        </w:rPr>
      </w:pPr>
    </w:p>
    <w:p w:rsidR="00BC2DC6" w:rsidRPr="00162CA7" w:rsidRDefault="00E70C2E" w:rsidP="00162CA7">
      <w:pPr>
        <w:pStyle w:val="Corpodetexto"/>
        <w:widowControl w:val="0"/>
        <w:tabs>
          <w:tab w:val="left" w:pos="0"/>
        </w:tabs>
        <w:suppressAutoHyphens/>
        <w:spacing w:after="0" w:line="320" w:lineRule="exact"/>
        <w:rPr>
          <w:rFonts w:ascii="Times New Roman" w:hAnsi="Times New Roman"/>
          <w:bCs/>
          <w:szCs w:val="24"/>
        </w:rPr>
      </w:pPr>
      <w:r w:rsidRPr="00162CA7">
        <w:rPr>
          <w:rFonts w:ascii="Times New Roman" w:hAnsi="Times New Roman"/>
          <w:b/>
          <w:bCs/>
          <w:szCs w:val="24"/>
        </w:rPr>
        <w:t>2.</w:t>
      </w:r>
      <w:r w:rsidRPr="00162CA7">
        <w:rPr>
          <w:rFonts w:ascii="Times New Roman" w:hAnsi="Times New Roman"/>
          <w:b/>
          <w:bCs/>
          <w:szCs w:val="24"/>
        </w:rPr>
        <w:tab/>
      </w:r>
      <w:r w:rsidR="00BC2DC6" w:rsidRPr="00162CA7">
        <w:rPr>
          <w:rFonts w:ascii="Times New Roman" w:hAnsi="Times New Roman"/>
          <w:bCs/>
          <w:szCs w:val="24"/>
        </w:rPr>
        <w:t>Anuir previamente com a</w:t>
      </w:r>
      <w:r w:rsidR="00BC2DC6" w:rsidRPr="00162CA7">
        <w:rPr>
          <w:rFonts w:ascii="Times New Roman" w:hAnsi="Times New Roman"/>
          <w:szCs w:val="24"/>
        </w:rPr>
        <w:t xml:space="preserve"> modificação da destinação de recursos da Emissão</w:t>
      </w:r>
      <w:r w:rsidR="00DC7EE3" w:rsidRPr="00162CA7">
        <w:rPr>
          <w:rFonts w:ascii="Times New Roman" w:hAnsi="Times New Roman"/>
          <w:szCs w:val="24"/>
        </w:rPr>
        <w:t>,</w:t>
      </w:r>
      <w:r w:rsidR="00BC2DC6" w:rsidRPr="00162CA7">
        <w:rPr>
          <w:rFonts w:ascii="Times New Roman" w:hAnsi="Times New Roman"/>
          <w:szCs w:val="24"/>
        </w:rPr>
        <w:t xml:space="preserve"> prevista na Cláusula 3.5 da Escritura</w:t>
      </w:r>
      <w:r w:rsidR="00DC7EE3" w:rsidRPr="00162CA7">
        <w:rPr>
          <w:rFonts w:ascii="Times New Roman" w:hAnsi="Times New Roman"/>
          <w:szCs w:val="24"/>
        </w:rPr>
        <w:t>,</w:t>
      </w:r>
      <w:r w:rsidR="00BC2DC6" w:rsidRPr="00162CA7">
        <w:rPr>
          <w:rFonts w:ascii="Times New Roman" w:hAnsi="Times New Roman"/>
          <w:szCs w:val="24"/>
        </w:rPr>
        <w:t xml:space="preserve"> de modo que a totalidade dos recursos líquidos captados pela Emissora por meio da Emissão possam ser destinados para aportes de capital em subsidiárias da Emissora, sendo (i) no mínimo, 20% (vinte por cento) do Montante Total da Emissão aportado no Banco Olé Bonsucesso Consignado S.A. (CNPJ/MF 71.371.686/0001-75) e (ii) o restante, se houver, aportado no Banco BS2 S.A. (CNPJ/MF 71.027.866/0001-34).</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Pr="00162CA7" w:rsidRDefault="00E70C2E" w:rsidP="00162CA7">
      <w:pPr>
        <w:pStyle w:val="Corpodetexto"/>
        <w:widowControl w:val="0"/>
        <w:tabs>
          <w:tab w:val="left" w:pos="0"/>
        </w:tabs>
        <w:suppressAutoHyphens/>
        <w:spacing w:after="0" w:line="320" w:lineRule="exact"/>
        <w:rPr>
          <w:rFonts w:ascii="Times New Roman" w:hAnsi="Times New Roman"/>
          <w:bCs/>
          <w:szCs w:val="24"/>
        </w:rPr>
      </w:pPr>
      <w:r w:rsidRPr="00162CA7">
        <w:rPr>
          <w:rFonts w:ascii="Times New Roman" w:hAnsi="Times New Roman"/>
          <w:bCs/>
          <w:szCs w:val="24"/>
        </w:rPr>
        <w:t>2</w:t>
      </w:r>
      <w:r w:rsidR="00BC2DC6" w:rsidRPr="00162CA7">
        <w:rPr>
          <w:rFonts w:ascii="Times New Roman" w:hAnsi="Times New Roman"/>
          <w:bCs/>
          <w:szCs w:val="24"/>
        </w:rPr>
        <w:t xml:space="preserve">.1. </w:t>
      </w:r>
      <w:r w:rsidR="00BC2DC6" w:rsidRPr="00162CA7">
        <w:rPr>
          <w:rFonts w:ascii="Times New Roman" w:hAnsi="Times New Roman"/>
          <w:bCs/>
          <w:szCs w:val="24"/>
        </w:rPr>
        <w:tab/>
        <w:t>Em razão da aprovação acima, os Debenturistas concordam que a destinação dos recursos nos termos aprovados no item 1 acima não representa violação a qualquer das disposições da Escritura</w:t>
      </w:r>
      <w:r w:rsidRPr="00162CA7">
        <w:rPr>
          <w:rFonts w:ascii="Times New Roman" w:hAnsi="Times New Roman"/>
          <w:bCs/>
          <w:szCs w:val="24"/>
        </w:rPr>
        <w:t xml:space="preserve"> ou dos Contratos de Garantia</w:t>
      </w:r>
      <w:r w:rsidR="00BC2DC6" w:rsidRPr="00162CA7">
        <w:rPr>
          <w:rFonts w:ascii="Times New Roman" w:hAnsi="Times New Roman"/>
          <w:bCs/>
          <w:szCs w:val="24"/>
        </w:rPr>
        <w:t xml:space="preserve">. </w:t>
      </w:r>
    </w:p>
    <w:p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rsidR="00A83E57" w:rsidRPr="00162CA7" w:rsidRDefault="00E70C2E" w:rsidP="00162CA7">
      <w:pPr>
        <w:pStyle w:val="Corpodetexto"/>
        <w:widowControl w:val="0"/>
        <w:tabs>
          <w:tab w:val="left" w:pos="0"/>
        </w:tabs>
        <w:suppressAutoHyphens/>
        <w:spacing w:after="0" w:line="320" w:lineRule="exact"/>
        <w:rPr>
          <w:rFonts w:ascii="Times New Roman" w:hAnsi="Times New Roman"/>
          <w:szCs w:val="24"/>
        </w:rPr>
      </w:pPr>
      <w:proofErr w:type="gramStart"/>
      <w:r w:rsidRPr="00162CA7">
        <w:rPr>
          <w:rFonts w:ascii="Times New Roman" w:hAnsi="Times New Roman"/>
          <w:b/>
          <w:bCs/>
          <w:szCs w:val="24"/>
        </w:rPr>
        <w:t>3.</w:t>
      </w:r>
      <w:r w:rsidRPr="00162CA7">
        <w:rPr>
          <w:rFonts w:ascii="Times New Roman" w:hAnsi="Times New Roman"/>
          <w:bCs/>
          <w:szCs w:val="24"/>
        </w:rPr>
        <w:tab/>
      </w:r>
      <w:r w:rsidR="00A83E57" w:rsidRPr="00162CA7">
        <w:rPr>
          <w:rFonts w:ascii="Times New Roman" w:hAnsi="Times New Roman"/>
          <w:bCs/>
          <w:szCs w:val="24"/>
        </w:rPr>
        <w:t>Anuir</w:t>
      </w:r>
      <w:proofErr w:type="gramEnd"/>
      <w:r w:rsidR="00A83E57" w:rsidRPr="00162CA7">
        <w:rPr>
          <w:rFonts w:ascii="Times New Roman" w:hAnsi="Times New Roman"/>
          <w:bCs/>
          <w:szCs w:val="24"/>
        </w:rPr>
        <w:t xml:space="preserve"> previamente com a</w:t>
      </w:r>
      <w:r w:rsidR="00A83E57" w:rsidRPr="00162CA7">
        <w:rPr>
          <w:rFonts w:ascii="Times New Roman" w:hAnsi="Times New Roman"/>
          <w:szCs w:val="24"/>
        </w:rPr>
        <w:t xml:space="preserve"> modificação da forma de amortização das </w:t>
      </w:r>
      <w:r w:rsidR="00BD4489" w:rsidRPr="00162CA7">
        <w:rPr>
          <w:rFonts w:ascii="Times New Roman" w:hAnsi="Times New Roman"/>
          <w:szCs w:val="24"/>
        </w:rPr>
        <w:t xml:space="preserve">Debentures, prevista na Cláusula 4.7 da Escritura, de modo que a amortização ocorra em 2 (duas) parcelas, </w:t>
      </w:r>
      <w:r w:rsidR="007E1A0B" w:rsidRPr="00162CA7">
        <w:rPr>
          <w:rFonts w:ascii="Times New Roman" w:hAnsi="Times New Roman"/>
          <w:szCs w:val="24"/>
        </w:rPr>
        <w:t xml:space="preserve">conforme indicado na tabela abaixo, </w:t>
      </w:r>
      <w:r w:rsidR="00BD4489" w:rsidRPr="00162CA7">
        <w:rPr>
          <w:rFonts w:ascii="Times New Roman" w:hAnsi="Times New Roman"/>
          <w:szCs w:val="24"/>
        </w:rPr>
        <w:t>ressalvadas as hipóteses de Vencimento Antecipado, de Amortização Extraordinária Facultativa e resgate das Debêntures previstas na Escritura</w:t>
      </w:r>
      <w:r w:rsidR="007E1A0B" w:rsidRPr="00162CA7">
        <w:rPr>
          <w:rFonts w:ascii="Times New Roman" w:hAnsi="Times New Roman"/>
          <w:szCs w:val="24"/>
        </w:rPr>
        <w:t>:</w:t>
      </w:r>
    </w:p>
    <w:p w:rsidR="007E1A0B" w:rsidRPr="00162CA7" w:rsidRDefault="007E1A0B" w:rsidP="00162CA7">
      <w:pPr>
        <w:pStyle w:val="Corpodetexto"/>
        <w:widowControl w:val="0"/>
        <w:tabs>
          <w:tab w:val="left" w:pos="0"/>
        </w:tabs>
        <w:suppressAutoHyphens/>
        <w:spacing w:after="0" w:line="320" w:lineRule="exact"/>
        <w:rPr>
          <w:rFonts w:ascii="Times New Roman" w:hAnsi="Times New Roman"/>
          <w:szCs w:val="24"/>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4060"/>
        <w:gridCol w:w="1920"/>
      </w:tblGrid>
      <w:tr w:rsidR="007E1A0B" w:rsidRPr="00162CA7" w:rsidTr="00162CA7">
        <w:trPr>
          <w:trHeight w:val="1200"/>
          <w:jc w:val="center"/>
        </w:trPr>
        <w:tc>
          <w:tcPr>
            <w:tcW w:w="1920" w:type="dxa"/>
            <w:shd w:val="clear" w:color="auto" w:fill="D9D9D9" w:themeFill="background1" w:themeFillShade="D9"/>
            <w:vAlign w:val="center"/>
            <w:hideMark/>
          </w:tcPr>
          <w:p w:rsidR="007E1A0B" w:rsidRPr="00162CA7" w:rsidRDefault="007E1A0B" w:rsidP="00162CA7">
            <w:pPr>
              <w:widowControl w:val="0"/>
              <w:tabs>
                <w:tab w:val="left" w:pos="0"/>
              </w:tabs>
              <w:suppressAutoHyphens/>
              <w:spacing w:line="320" w:lineRule="exact"/>
              <w:jc w:val="center"/>
              <w:rPr>
                <w:rFonts w:ascii="Times New Roman" w:hAnsi="Times New Roman"/>
                <w:b/>
                <w:bCs/>
                <w:szCs w:val="24"/>
              </w:rPr>
            </w:pPr>
            <w:r w:rsidRPr="00162CA7">
              <w:rPr>
                <w:rFonts w:ascii="Times New Roman" w:hAnsi="Times New Roman"/>
                <w:b/>
                <w:bCs/>
                <w:szCs w:val="24"/>
              </w:rPr>
              <w:t>Parcela</w:t>
            </w:r>
          </w:p>
        </w:tc>
        <w:tc>
          <w:tcPr>
            <w:tcW w:w="4060" w:type="dxa"/>
            <w:shd w:val="clear" w:color="auto" w:fill="D9D9D9" w:themeFill="background1" w:themeFillShade="D9"/>
            <w:vAlign w:val="center"/>
            <w:hideMark/>
          </w:tcPr>
          <w:p w:rsidR="007E1A0B" w:rsidRPr="00162CA7" w:rsidRDefault="007E1A0B" w:rsidP="00162CA7">
            <w:pPr>
              <w:widowControl w:val="0"/>
              <w:tabs>
                <w:tab w:val="left" w:pos="0"/>
              </w:tabs>
              <w:suppressAutoHyphens/>
              <w:spacing w:line="320" w:lineRule="exact"/>
              <w:jc w:val="center"/>
              <w:rPr>
                <w:rFonts w:ascii="Times New Roman" w:hAnsi="Times New Roman"/>
                <w:b/>
                <w:bCs/>
                <w:szCs w:val="24"/>
              </w:rPr>
            </w:pPr>
            <w:r w:rsidRPr="00162CA7">
              <w:rPr>
                <w:rFonts w:ascii="Times New Roman" w:hAnsi="Times New Roman"/>
                <w:b/>
                <w:bCs/>
                <w:szCs w:val="24"/>
              </w:rPr>
              <w:t>Data de amortização do principal</w:t>
            </w:r>
          </w:p>
        </w:tc>
        <w:tc>
          <w:tcPr>
            <w:tcW w:w="1920" w:type="dxa"/>
            <w:shd w:val="clear" w:color="auto" w:fill="D9D9D9" w:themeFill="background1" w:themeFillShade="D9"/>
            <w:vAlign w:val="center"/>
            <w:hideMark/>
          </w:tcPr>
          <w:p w:rsidR="007E1A0B" w:rsidRPr="00162CA7" w:rsidRDefault="007E1A0B" w:rsidP="00162CA7">
            <w:pPr>
              <w:widowControl w:val="0"/>
              <w:tabs>
                <w:tab w:val="left" w:pos="0"/>
              </w:tabs>
              <w:suppressAutoHyphens/>
              <w:spacing w:line="320" w:lineRule="exact"/>
              <w:jc w:val="center"/>
              <w:rPr>
                <w:rFonts w:ascii="Times New Roman" w:hAnsi="Times New Roman"/>
                <w:b/>
                <w:bCs/>
                <w:szCs w:val="24"/>
              </w:rPr>
            </w:pPr>
            <w:r w:rsidRPr="00162CA7">
              <w:rPr>
                <w:rFonts w:ascii="Times New Roman" w:hAnsi="Times New Roman"/>
                <w:b/>
                <w:bCs/>
                <w:szCs w:val="24"/>
              </w:rPr>
              <w:t>Percentual do saldo do valor nominal a ser amortizado</w:t>
            </w:r>
          </w:p>
        </w:tc>
      </w:tr>
      <w:tr w:rsidR="007E1A0B" w:rsidRPr="00162CA7" w:rsidTr="00162CA7">
        <w:trPr>
          <w:trHeight w:val="575"/>
          <w:jc w:val="center"/>
        </w:trPr>
        <w:tc>
          <w:tcPr>
            <w:tcW w:w="1920" w:type="dxa"/>
            <w:shd w:val="clear" w:color="auto" w:fill="auto"/>
            <w:noWrap/>
            <w:vAlign w:val="center"/>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1</w:t>
            </w:r>
          </w:p>
        </w:tc>
        <w:tc>
          <w:tcPr>
            <w:tcW w:w="4060" w:type="dxa"/>
            <w:shd w:val="clear" w:color="auto" w:fill="auto"/>
            <w:vAlign w:val="center"/>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29 de abril de 2020</w:t>
            </w:r>
          </w:p>
        </w:tc>
        <w:tc>
          <w:tcPr>
            <w:tcW w:w="1920" w:type="dxa"/>
            <w:shd w:val="clear" w:color="auto" w:fill="auto"/>
            <w:noWrap/>
            <w:vAlign w:val="center"/>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42,50</w:t>
            </w:r>
            <w:r w:rsidR="00F17F0B">
              <w:rPr>
                <w:rFonts w:ascii="Times New Roman" w:hAnsi="Times New Roman"/>
                <w:color w:val="000000"/>
                <w:szCs w:val="24"/>
              </w:rPr>
              <w:t>00</w:t>
            </w:r>
            <w:r w:rsidRPr="00162CA7">
              <w:rPr>
                <w:rFonts w:ascii="Times New Roman" w:hAnsi="Times New Roman"/>
                <w:color w:val="000000"/>
                <w:szCs w:val="24"/>
              </w:rPr>
              <w:t>%</w:t>
            </w:r>
          </w:p>
        </w:tc>
      </w:tr>
      <w:tr w:rsidR="007E1A0B" w:rsidRPr="00162CA7" w:rsidTr="00162CA7">
        <w:trPr>
          <w:trHeight w:val="390"/>
          <w:jc w:val="center"/>
        </w:trPr>
        <w:tc>
          <w:tcPr>
            <w:tcW w:w="1920" w:type="dxa"/>
            <w:shd w:val="clear" w:color="auto" w:fill="auto"/>
            <w:noWrap/>
            <w:vAlign w:val="center"/>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2</w:t>
            </w:r>
          </w:p>
        </w:tc>
        <w:tc>
          <w:tcPr>
            <w:tcW w:w="4060" w:type="dxa"/>
            <w:shd w:val="clear" w:color="auto" w:fill="auto"/>
            <w:vAlign w:val="bottom"/>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 xml:space="preserve">01 de junho de 2020 </w:t>
            </w:r>
          </w:p>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(Data de Vencimento)</w:t>
            </w:r>
          </w:p>
        </w:tc>
        <w:tc>
          <w:tcPr>
            <w:tcW w:w="1920" w:type="dxa"/>
            <w:shd w:val="clear" w:color="auto" w:fill="auto"/>
            <w:noWrap/>
            <w:vAlign w:val="center"/>
            <w:hideMark/>
          </w:tcPr>
          <w:p w:rsidR="007E1A0B" w:rsidRPr="00162CA7" w:rsidRDefault="007E1A0B"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100,00</w:t>
            </w:r>
            <w:r w:rsidR="00F17F0B">
              <w:rPr>
                <w:rFonts w:ascii="Times New Roman" w:hAnsi="Times New Roman"/>
                <w:color w:val="000000"/>
                <w:szCs w:val="24"/>
              </w:rPr>
              <w:t>00</w:t>
            </w:r>
            <w:r w:rsidRPr="00162CA7">
              <w:rPr>
                <w:rFonts w:ascii="Times New Roman" w:hAnsi="Times New Roman"/>
                <w:color w:val="000000"/>
                <w:szCs w:val="24"/>
              </w:rPr>
              <w:t>%</w:t>
            </w:r>
          </w:p>
        </w:tc>
      </w:tr>
    </w:tbl>
    <w:p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rsidR="00BD4489" w:rsidRPr="00162CA7" w:rsidRDefault="00A83E57" w:rsidP="00162CA7">
      <w:pPr>
        <w:pStyle w:val="Corpodetexto"/>
        <w:widowControl w:val="0"/>
        <w:tabs>
          <w:tab w:val="left" w:pos="0"/>
        </w:tabs>
        <w:suppressAutoHyphens/>
        <w:spacing w:after="0" w:line="320" w:lineRule="exact"/>
        <w:rPr>
          <w:rFonts w:ascii="Times New Roman" w:hAnsi="Times New Roman"/>
          <w:szCs w:val="24"/>
        </w:rPr>
      </w:pPr>
      <w:proofErr w:type="gramStart"/>
      <w:r w:rsidRPr="00162CA7">
        <w:rPr>
          <w:rFonts w:ascii="Times New Roman" w:hAnsi="Times New Roman"/>
          <w:b/>
          <w:bCs/>
          <w:szCs w:val="24"/>
        </w:rPr>
        <w:t>4.</w:t>
      </w:r>
      <w:r w:rsidRPr="00162CA7">
        <w:rPr>
          <w:rFonts w:ascii="Times New Roman" w:hAnsi="Times New Roman"/>
          <w:b/>
          <w:bCs/>
          <w:szCs w:val="24"/>
        </w:rPr>
        <w:tab/>
      </w:r>
      <w:r w:rsidR="00BD4489" w:rsidRPr="00162CA7">
        <w:rPr>
          <w:rFonts w:ascii="Times New Roman" w:hAnsi="Times New Roman"/>
          <w:bCs/>
          <w:szCs w:val="24"/>
        </w:rPr>
        <w:t>Anuir</w:t>
      </w:r>
      <w:proofErr w:type="gramEnd"/>
      <w:r w:rsidR="00BD4489" w:rsidRPr="00162CA7">
        <w:rPr>
          <w:rFonts w:ascii="Times New Roman" w:hAnsi="Times New Roman"/>
          <w:bCs/>
          <w:szCs w:val="24"/>
        </w:rPr>
        <w:t xml:space="preserve"> previamente com a</w:t>
      </w:r>
      <w:r w:rsidR="00BD4489" w:rsidRPr="00162CA7">
        <w:rPr>
          <w:rFonts w:ascii="Times New Roman" w:hAnsi="Times New Roman"/>
          <w:szCs w:val="24"/>
        </w:rPr>
        <w:t xml:space="preserve"> inclusão de uma nova Data de Pagamento da Remuneração, conforme previstas na Cláusula 4.5.2 da Escritura, </w:t>
      </w:r>
      <w:r w:rsidR="006B4DAE" w:rsidRPr="00162CA7">
        <w:rPr>
          <w:rFonts w:ascii="Times New Roman" w:hAnsi="Times New Roman"/>
          <w:szCs w:val="24"/>
        </w:rPr>
        <w:t xml:space="preserve">a ser realizada no dia 29 de </w:t>
      </w:r>
      <w:r w:rsidR="007E0C8B" w:rsidRPr="00162CA7">
        <w:rPr>
          <w:rFonts w:ascii="Times New Roman" w:hAnsi="Times New Roman"/>
          <w:szCs w:val="24"/>
        </w:rPr>
        <w:t>abril</w:t>
      </w:r>
      <w:r w:rsidR="006B4DAE" w:rsidRPr="00162CA7">
        <w:rPr>
          <w:rFonts w:ascii="Times New Roman" w:hAnsi="Times New Roman"/>
          <w:szCs w:val="24"/>
        </w:rPr>
        <w:t xml:space="preserve"> de 2020, de modo que o pagamento da Remuneração seja realizado, nas datas indicadas na tabela abaixo, ressalvadas as hipóteses de Vencimento Antecipado e resgate das Debêntures </w:t>
      </w:r>
      <w:r w:rsidR="00A567C2" w:rsidRPr="00162CA7">
        <w:rPr>
          <w:rFonts w:ascii="Times New Roman" w:hAnsi="Times New Roman"/>
          <w:szCs w:val="24"/>
        </w:rPr>
        <w:t>previstas n</w:t>
      </w:r>
      <w:r w:rsidR="006B4DAE" w:rsidRPr="00162CA7">
        <w:rPr>
          <w:rFonts w:ascii="Times New Roman" w:hAnsi="Times New Roman"/>
          <w:szCs w:val="24"/>
        </w:rPr>
        <w:t>a Escritura:</w:t>
      </w:r>
    </w:p>
    <w:p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6B4DAE" w:rsidRPr="00162CA7" w:rsidTr="004C2291">
        <w:trPr>
          <w:trHeight w:val="900"/>
          <w:jc w:val="center"/>
        </w:trPr>
        <w:tc>
          <w:tcPr>
            <w:tcW w:w="3288" w:type="dxa"/>
            <w:shd w:val="clear" w:color="auto" w:fill="D9D9D9"/>
            <w:vAlign w:val="center"/>
            <w:hideMark/>
          </w:tcPr>
          <w:p w:rsidR="006B4DAE" w:rsidRPr="00162CA7" w:rsidRDefault="006B4DAE" w:rsidP="00162CA7">
            <w:pPr>
              <w:widowControl w:val="0"/>
              <w:tabs>
                <w:tab w:val="left" w:pos="0"/>
              </w:tabs>
              <w:suppressAutoHyphens/>
              <w:spacing w:line="320" w:lineRule="exact"/>
              <w:jc w:val="center"/>
              <w:rPr>
                <w:rFonts w:ascii="Times New Roman" w:hAnsi="Times New Roman"/>
                <w:b/>
                <w:szCs w:val="24"/>
              </w:rPr>
            </w:pPr>
            <w:r w:rsidRPr="00162CA7">
              <w:rPr>
                <w:rFonts w:ascii="Times New Roman" w:hAnsi="Times New Roman"/>
                <w:b/>
                <w:bCs/>
                <w:szCs w:val="24"/>
              </w:rPr>
              <w:t>Data</w:t>
            </w:r>
            <w:r w:rsidRPr="00162CA7">
              <w:rPr>
                <w:rFonts w:ascii="Times New Roman" w:hAnsi="Times New Roman"/>
                <w:b/>
                <w:szCs w:val="24"/>
              </w:rPr>
              <w:t xml:space="preserve"> de </w:t>
            </w:r>
            <w:r w:rsidRPr="00162CA7">
              <w:rPr>
                <w:rFonts w:ascii="Times New Roman" w:hAnsi="Times New Roman"/>
                <w:b/>
                <w:bCs/>
                <w:szCs w:val="24"/>
              </w:rPr>
              <w:t>Pagamento da Remuneração</w:t>
            </w:r>
          </w:p>
        </w:tc>
      </w:tr>
      <w:tr w:rsidR="006B4DAE" w:rsidRPr="00162CA7" w:rsidTr="004C2291">
        <w:trPr>
          <w:trHeight w:val="300"/>
          <w:jc w:val="center"/>
        </w:trPr>
        <w:tc>
          <w:tcPr>
            <w:tcW w:w="3288" w:type="dxa"/>
            <w:shd w:val="clear" w:color="auto" w:fill="auto"/>
            <w:noWrap/>
            <w:hideMark/>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17 de julho de 2018</w:t>
            </w:r>
          </w:p>
        </w:tc>
      </w:tr>
      <w:tr w:rsidR="006B4DAE" w:rsidRPr="00162CA7" w:rsidTr="004C2291">
        <w:trPr>
          <w:trHeight w:val="300"/>
          <w:jc w:val="center"/>
        </w:trPr>
        <w:tc>
          <w:tcPr>
            <w:tcW w:w="3288" w:type="dxa"/>
            <w:shd w:val="clear" w:color="auto" w:fill="auto"/>
            <w:noWrap/>
            <w:hideMark/>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17 de janeiro de 2019</w:t>
            </w:r>
          </w:p>
        </w:tc>
      </w:tr>
      <w:tr w:rsidR="006B4DAE" w:rsidRPr="00162CA7" w:rsidTr="004C2291">
        <w:trPr>
          <w:trHeight w:val="300"/>
          <w:jc w:val="center"/>
        </w:trPr>
        <w:tc>
          <w:tcPr>
            <w:tcW w:w="3288" w:type="dxa"/>
            <w:shd w:val="clear" w:color="auto" w:fill="auto"/>
            <w:noWrap/>
            <w:hideMark/>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17 de julho de 2019</w:t>
            </w:r>
          </w:p>
        </w:tc>
      </w:tr>
      <w:tr w:rsidR="006B4DAE" w:rsidRPr="00162CA7" w:rsidTr="004C2291">
        <w:trPr>
          <w:trHeight w:val="300"/>
          <w:jc w:val="center"/>
        </w:trPr>
        <w:tc>
          <w:tcPr>
            <w:tcW w:w="3288" w:type="dxa"/>
            <w:shd w:val="clear" w:color="auto" w:fill="auto"/>
            <w:noWrap/>
            <w:hideMark/>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17 de janeiro de 2020</w:t>
            </w:r>
          </w:p>
        </w:tc>
      </w:tr>
      <w:tr w:rsidR="006B4DAE" w:rsidRPr="00162CA7" w:rsidTr="004C2291">
        <w:trPr>
          <w:trHeight w:val="300"/>
          <w:jc w:val="center"/>
        </w:trPr>
        <w:tc>
          <w:tcPr>
            <w:tcW w:w="3288" w:type="dxa"/>
            <w:shd w:val="clear" w:color="auto" w:fill="auto"/>
            <w:noWrap/>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 xml:space="preserve">29 de </w:t>
            </w:r>
            <w:r w:rsidR="007E0C8B" w:rsidRPr="00162CA7">
              <w:rPr>
                <w:rFonts w:ascii="Times New Roman" w:hAnsi="Times New Roman"/>
                <w:szCs w:val="24"/>
              </w:rPr>
              <w:t>abril</w:t>
            </w:r>
            <w:r w:rsidRPr="00162CA7">
              <w:rPr>
                <w:rFonts w:ascii="Times New Roman" w:hAnsi="Times New Roman"/>
                <w:szCs w:val="24"/>
              </w:rPr>
              <w:t xml:space="preserve"> de 2020</w:t>
            </w:r>
          </w:p>
        </w:tc>
      </w:tr>
      <w:tr w:rsidR="006B4DAE" w:rsidRPr="00162CA7" w:rsidTr="004C2291">
        <w:trPr>
          <w:trHeight w:val="300"/>
          <w:jc w:val="center"/>
        </w:trPr>
        <w:tc>
          <w:tcPr>
            <w:tcW w:w="3288" w:type="dxa"/>
            <w:shd w:val="clear" w:color="auto" w:fill="auto"/>
            <w:noWrap/>
            <w:hideMark/>
          </w:tcPr>
          <w:p w:rsidR="006B4DAE" w:rsidRPr="00162CA7" w:rsidRDefault="006B4DAE" w:rsidP="00162CA7">
            <w:pPr>
              <w:widowControl w:val="0"/>
              <w:tabs>
                <w:tab w:val="left" w:pos="0"/>
              </w:tabs>
              <w:suppressAutoHyphens/>
              <w:spacing w:line="320" w:lineRule="exact"/>
              <w:jc w:val="center"/>
              <w:rPr>
                <w:rFonts w:ascii="Times New Roman" w:hAnsi="Times New Roman"/>
                <w:szCs w:val="24"/>
              </w:rPr>
            </w:pPr>
            <w:r w:rsidRPr="00162CA7">
              <w:rPr>
                <w:rFonts w:ascii="Times New Roman" w:hAnsi="Times New Roman"/>
                <w:szCs w:val="24"/>
              </w:rPr>
              <w:t>Data de Vencimento</w:t>
            </w:r>
          </w:p>
        </w:tc>
      </w:tr>
    </w:tbl>
    <w:p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rsidR="00BC2DC6" w:rsidRPr="00162CA7" w:rsidRDefault="006B4DAE" w:rsidP="00162CA7">
      <w:pPr>
        <w:pStyle w:val="Corpodetexto"/>
        <w:widowControl w:val="0"/>
        <w:tabs>
          <w:tab w:val="left" w:pos="0"/>
        </w:tabs>
        <w:suppressAutoHyphens/>
        <w:spacing w:after="0" w:line="320" w:lineRule="exact"/>
        <w:rPr>
          <w:rFonts w:ascii="Times New Roman" w:hAnsi="Times New Roman"/>
          <w:bCs/>
          <w:szCs w:val="24"/>
        </w:rPr>
      </w:pPr>
      <w:proofErr w:type="gramStart"/>
      <w:r w:rsidRPr="00162CA7">
        <w:rPr>
          <w:rFonts w:ascii="Times New Roman" w:hAnsi="Times New Roman"/>
          <w:b/>
          <w:bCs/>
          <w:szCs w:val="24"/>
        </w:rPr>
        <w:t>5.</w:t>
      </w:r>
      <w:r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w:t>
      </w:r>
      <w:proofErr w:type="gramEnd"/>
      <w:r w:rsidR="00BC2DC6" w:rsidRPr="00162CA7">
        <w:rPr>
          <w:rFonts w:ascii="Times New Roman" w:hAnsi="Times New Roman"/>
          <w:bCs/>
          <w:szCs w:val="24"/>
        </w:rPr>
        <w:t xml:space="preserve">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A567C2" w:rsidRPr="00162CA7">
        <w:rPr>
          <w:rFonts w:ascii="Times New Roman" w:hAnsi="Times New Roman"/>
          <w:szCs w:val="24"/>
        </w:rPr>
        <w:t xml:space="preserve">2º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2º Aditamento ao Contrato de Alienação Fiduciária e do 2º Aditamento ao Contrato de Cessão Fiduciária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567C2" w:rsidRPr="00162CA7">
        <w:rPr>
          <w:rFonts w:ascii="Times New Roman" w:hAnsi="Times New Roman"/>
          <w:szCs w:val="24"/>
        </w:rPr>
        <w:t>4</w:t>
      </w:r>
      <w:r w:rsidR="00AE3A15" w:rsidRPr="00162CA7">
        <w:rPr>
          <w:rFonts w:ascii="Times New Roman" w:hAnsi="Times New Roman"/>
          <w:szCs w:val="24"/>
        </w:rPr>
        <w:t xml:space="preserve"> acima</w:t>
      </w:r>
      <w:r w:rsidR="00C965F8" w:rsidRPr="00162CA7">
        <w:rPr>
          <w:rFonts w:ascii="Times New Roman" w:hAnsi="Times New Roman"/>
          <w:szCs w:val="24"/>
        </w:rPr>
        <w:t>, o qual deverá ser celebrado no prazo de 30 (trinta) dias contados desta data</w:t>
      </w:r>
      <w:r w:rsidR="00BC2DC6" w:rsidRPr="00162CA7">
        <w:rPr>
          <w:rFonts w:ascii="Times New Roman" w:hAnsi="Times New Roman"/>
          <w:bCs/>
          <w:szCs w:val="24"/>
        </w:rPr>
        <w:t>.</w:t>
      </w:r>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Os termos em letra maiúscula que não se encontrem aqui expressamente definidos, terão o significado que lhes é atribuído na Escritura</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E93E55">
        <w:rPr>
          <w:rFonts w:ascii="Times New Roman" w:hAnsi="Times New Roman"/>
          <w:bCs/>
          <w:color w:val="000000"/>
          <w:szCs w:val="24"/>
          <w:lang w:eastAsia="ar-SA"/>
        </w:rPr>
        <w:t xml:space="preserve">2º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Alienação Fiduciária ou no 2º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A567C2" w:rsidRPr="00162CA7">
        <w:rPr>
          <w:rFonts w:ascii="Times New Roman" w:hAnsi="Times New Roman"/>
          <w:color w:val="000000"/>
          <w:szCs w:val="24"/>
        </w:rPr>
        <w:t>24</w:t>
      </w:r>
      <w:r w:rsidR="002860C8" w:rsidRPr="00162CA7">
        <w:rPr>
          <w:rFonts w:ascii="Times New Roman" w:hAnsi="Times New Roman"/>
          <w:bCs/>
          <w:szCs w:val="24"/>
        </w:rPr>
        <w:t xml:space="preserve"> </w:t>
      </w:r>
      <w:r w:rsidR="00D15CB7" w:rsidRPr="00162CA7">
        <w:rPr>
          <w:rFonts w:ascii="Times New Roman" w:hAnsi="Times New Roman"/>
          <w:bCs/>
          <w:szCs w:val="24"/>
        </w:rPr>
        <w:t xml:space="preserve">de </w:t>
      </w:r>
      <w:r w:rsidR="00E70C2E" w:rsidRPr="00162CA7">
        <w:rPr>
          <w:rFonts w:ascii="Times New Roman" w:hAnsi="Times New Roman"/>
          <w:szCs w:val="24"/>
        </w:rPr>
        <w:t>abril</w:t>
      </w:r>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360"/>
        <w:gridCol w:w="4361"/>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162CA7">
              <w:rPr>
                <w:rFonts w:ascii="Times New Roman" w:hAnsi="Times New Roman"/>
                <w:bCs/>
                <w:szCs w:val="24"/>
              </w:rPr>
              <w:t>Sr</w:t>
            </w:r>
            <w:r w:rsidRPr="00656821">
              <w:rPr>
                <w:rFonts w:ascii="Times New Roman" w:hAnsi="Times New Roman"/>
                <w:bCs/>
                <w:szCs w:val="24"/>
              </w:rPr>
              <w:t xml:space="preserve">. Marcus </w:t>
            </w:r>
            <w:proofErr w:type="spellStart"/>
            <w:r w:rsidRPr="00656821">
              <w:rPr>
                <w:rFonts w:ascii="Times New Roman" w:hAnsi="Times New Roman"/>
                <w:bCs/>
                <w:szCs w:val="24"/>
              </w:rPr>
              <w:t>Venicius</w:t>
            </w:r>
            <w:proofErr w:type="spellEnd"/>
            <w:r w:rsidR="00A95BE2" w:rsidRPr="00656821">
              <w:rPr>
                <w:rFonts w:ascii="Times New Roman" w:hAnsi="Times New Roman"/>
                <w:bCs/>
                <w:szCs w:val="24"/>
              </w:rPr>
              <w:t xml:space="preserve"> </w:t>
            </w:r>
            <w:r w:rsidRPr="00656821">
              <w:rPr>
                <w:rFonts w:ascii="Times New Roman" w:hAnsi="Times New Roman"/>
                <w:bCs/>
                <w:szCs w:val="24"/>
              </w:rPr>
              <w:t>Bellinello</w:t>
            </w:r>
            <w:proofErr w:type="gramEnd"/>
            <w:r w:rsidR="00E70C2E" w:rsidRPr="00656821">
              <w:rPr>
                <w:rFonts w:ascii="Times New Roman" w:hAnsi="Times New Roman"/>
                <w:bCs/>
                <w:szCs w:val="24"/>
              </w:rPr>
              <w:t xml:space="preserve"> </w:t>
            </w:r>
            <w:r w:rsidRPr="00656821">
              <w:rPr>
                <w:rFonts w:ascii="Times New Roman" w:hAnsi="Times New Roman"/>
                <w:bCs/>
                <w:szCs w:val="24"/>
              </w:rPr>
              <w:t>da Rocha</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592F18"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bCs/>
                <w:szCs w:val="24"/>
              </w:rPr>
              <w:t>Sr</w:t>
            </w:r>
            <w:r w:rsidRPr="005F7069">
              <w:rPr>
                <w:rFonts w:ascii="Times New Roman" w:hAnsi="Times New Roman"/>
                <w:bCs/>
                <w:szCs w:val="24"/>
              </w:rPr>
              <w:t>. José Luiz de Souza Leite</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 (anteriormente denominada BBO Participações S.A.)</w:t>
      </w:r>
      <w:r w:rsidR="00DC7FAE" w:rsidRPr="00162CA7">
        <w:rPr>
          <w:rFonts w:ascii="Times New Roman" w:hAnsi="Times New Roman"/>
          <w:bCs/>
          <w:i/>
          <w:szCs w:val="24"/>
        </w:rPr>
        <w:t xml:space="preserve">, realizada em </w:t>
      </w:r>
      <w:r w:rsidR="006B4DAE" w:rsidRPr="00162CA7">
        <w:rPr>
          <w:rFonts w:ascii="Times New Roman" w:hAnsi="Times New Roman"/>
          <w:i/>
          <w:color w:val="000000"/>
          <w:szCs w:val="24"/>
        </w:rPr>
        <w:t>24</w:t>
      </w:r>
      <w:r w:rsidR="0050022E" w:rsidRPr="00162CA7">
        <w:rPr>
          <w:rFonts w:ascii="Times New Roman" w:hAnsi="Times New Roman"/>
          <w:bCs/>
          <w:i/>
          <w:szCs w:val="24"/>
        </w:rPr>
        <w:t xml:space="preserve"> de </w:t>
      </w:r>
      <w:r w:rsidR="00A567C2" w:rsidRPr="00162CA7">
        <w:rPr>
          <w:rFonts w:ascii="Times New Roman" w:hAnsi="Times New Roman"/>
          <w:i/>
          <w:szCs w:val="24"/>
        </w:rPr>
        <w:t>abril</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r w:rsidRPr="00162CA7">
              <w:rPr>
                <w:rFonts w:ascii="Times New Roman" w:hAnsi="Times New Roman"/>
                <w:color w:val="000000"/>
                <w:szCs w:val="24"/>
              </w:rPr>
              <w:t>Nome:</w:t>
            </w:r>
            <w:r w:rsidR="00781558" w:rsidRPr="00162CA7">
              <w:rPr>
                <w:rFonts w:ascii="Times New Roman" w:hAnsi="Times New Roman"/>
                <w:szCs w:val="24"/>
              </w:rPr>
              <w:t xml:space="preserve"> </w:t>
            </w:r>
            <w:r w:rsidR="00663B06" w:rsidRPr="00162CA7">
              <w:rPr>
                <w:rFonts w:ascii="Times New Roman" w:hAnsi="Times New Roman"/>
                <w:szCs w:val="24"/>
              </w:rPr>
              <w:t xml:space="preserve">Jefferson de Almeida Pereira </w:t>
            </w:r>
            <w:proofErr w:type="spellStart"/>
            <w:r w:rsidR="00663B06" w:rsidRPr="00162CA7">
              <w:rPr>
                <w:rFonts w:ascii="Times New Roman" w:hAnsi="Times New Roman"/>
                <w:szCs w:val="24"/>
              </w:rPr>
              <w:t>Zuquim</w:t>
            </w:r>
            <w:proofErr w:type="spellEnd"/>
            <w:r w:rsidR="00663B06" w:rsidRPr="00162CA7" w:rsidDel="00663B06">
              <w:rPr>
                <w:rFonts w:ascii="Times New Roman" w:hAnsi="Times New Roman"/>
                <w:szCs w:val="24"/>
              </w:rPr>
              <w:t xml:space="preserve"> </w:t>
            </w:r>
          </w:p>
          <w:p w:rsidR="00781558" w:rsidRPr="00162CA7" w:rsidRDefault="00781558" w:rsidP="00162CA7">
            <w:pPr>
              <w:widowControl w:val="0"/>
              <w:suppressAutoHyphens/>
              <w:spacing w:line="320" w:lineRule="exact"/>
              <w:rPr>
                <w:rFonts w:ascii="Times New Roman" w:hAnsi="Times New Roman"/>
                <w:color w:val="000000"/>
                <w:szCs w:val="24"/>
              </w:rPr>
            </w:pPr>
            <w:r w:rsidRPr="00162CA7">
              <w:rPr>
                <w:rFonts w:ascii="Times New Roman" w:hAnsi="Times New Roman"/>
                <w:color w:val="000000"/>
                <w:szCs w:val="24"/>
              </w:rPr>
              <w:t xml:space="preserve">RG: </w:t>
            </w:r>
            <w:r w:rsidR="00663B06" w:rsidRPr="00162CA7">
              <w:rPr>
                <w:rFonts w:ascii="Times New Roman" w:hAnsi="Times New Roman"/>
                <w:color w:val="000000"/>
                <w:szCs w:val="24"/>
              </w:rPr>
              <w:t>MG-4.034.235 SSP/MG</w:t>
            </w:r>
          </w:p>
          <w:p w:rsidR="00781558" w:rsidRPr="00162CA7" w:rsidRDefault="00781558" w:rsidP="00162CA7">
            <w:pPr>
              <w:widowControl w:val="0"/>
              <w:suppressAutoHyphens/>
              <w:spacing w:line="320" w:lineRule="exact"/>
              <w:rPr>
                <w:rFonts w:ascii="Times New Roman" w:hAnsi="Times New Roman"/>
                <w:color w:val="000000"/>
                <w:szCs w:val="24"/>
                <w:lang w:val="en-US"/>
              </w:rPr>
            </w:pPr>
            <w:proofErr w:type="spellStart"/>
            <w:r w:rsidRPr="00162CA7">
              <w:rPr>
                <w:rFonts w:ascii="Times New Roman" w:hAnsi="Times New Roman"/>
                <w:color w:val="000000"/>
                <w:szCs w:val="24"/>
                <w:lang w:val="en-US"/>
              </w:rPr>
              <w:t>CPF</w:t>
            </w:r>
            <w:proofErr w:type="spellEnd"/>
            <w:r w:rsidRPr="00162CA7">
              <w:rPr>
                <w:rFonts w:ascii="Times New Roman" w:hAnsi="Times New Roman"/>
                <w:color w:val="000000"/>
                <w:szCs w:val="24"/>
                <w:lang w:val="en-US"/>
              </w:rPr>
              <w:t>:</w:t>
            </w:r>
            <w:r w:rsidR="00663B06" w:rsidRPr="00162CA7">
              <w:rPr>
                <w:rFonts w:ascii="Times New Roman" w:eastAsiaTheme="minorHAnsi" w:hAnsi="Times New Roman"/>
                <w:szCs w:val="24"/>
                <w:lang w:eastAsia="en-US"/>
              </w:rPr>
              <w:t xml:space="preserve"> </w:t>
            </w:r>
            <w:r w:rsidR="00663B06" w:rsidRPr="00162CA7">
              <w:rPr>
                <w:rFonts w:ascii="Times New Roman" w:hAnsi="Times New Roman"/>
                <w:color w:val="000000"/>
                <w:szCs w:val="24"/>
              </w:rPr>
              <w:t>942.747.896-91</w:t>
            </w:r>
          </w:p>
        </w:tc>
        <w:tc>
          <w:tcPr>
            <w:tcW w:w="4004" w:type="dxa"/>
          </w:tcPr>
          <w:p w:rsidR="00781558" w:rsidRPr="00162CA7" w:rsidRDefault="001D5F27" w:rsidP="00162CA7">
            <w:pPr>
              <w:widowControl w:val="0"/>
              <w:suppressAutoHyphens/>
              <w:spacing w:line="320" w:lineRule="exact"/>
              <w:ind w:left="320"/>
              <w:rPr>
                <w:rFonts w:ascii="Times New Roman" w:hAnsi="Times New Roman"/>
                <w:color w:val="000000"/>
                <w:szCs w:val="24"/>
              </w:rPr>
            </w:pPr>
            <w:r w:rsidRPr="00162CA7">
              <w:rPr>
                <w:rFonts w:ascii="Times New Roman" w:hAnsi="Times New Roman"/>
                <w:color w:val="000000"/>
                <w:szCs w:val="24"/>
              </w:rPr>
              <w:t xml:space="preserve">Nome: </w:t>
            </w:r>
            <w:r w:rsidR="00656821" w:rsidRPr="00656821">
              <w:rPr>
                <w:rFonts w:ascii="Times New Roman" w:hAnsi="Times New Roman"/>
                <w:color w:val="000000"/>
                <w:szCs w:val="24"/>
              </w:rPr>
              <w:t>Breno Fernandes Gonçalves</w:t>
            </w:r>
          </w:p>
          <w:p w:rsidR="00781558" w:rsidRPr="00162CA7" w:rsidRDefault="00781558" w:rsidP="00162CA7">
            <w:pPr>
              <w:widowControl w:val="0"/>
              <w:suppressAutoHyphens/>
              <w:spacing w:line="320" w:lineRule="exact"/>
              <w:ind w:left="312"/>
              <w:rPr>
                <w:rFonts w:ascii="Times New Roman" w:hAnsi="Times New Roman"/>
                <w:color w:val="000000"/>
                <w:szCs w:val="24"/>
              </w:rPr>
            </w:pPr>
            <w:r w:rsidRPr="00162CA7">
              <w:rPr>
                <w:rFonts w:ascii="Times New Roman" w:hAnsi="Times New Roman"/>
                <w:color w:val="000000"/>
                <w:szCs w:val="24"/>
              </w:rPr>
              <w:t xml:space="preserve">RG: </w:t>
            </w:r>
            <w:r w:rsidR="00656821" w:rsidRPr="00656821">
              <w:rPr>
                <w:rFonts w:ascii="Times New Roman" w:hAnsi="Times New Roman"/>
                <w:color w:val="000000"/>
                <w:szCs w:val="24"/>
              </w:rPr>
              <w:t>MG.10.180.514</w:t>
            </w:r>
          </w:p>
          <w:p w:rsidR="00D46F24" w:rsidRPr="00162CA7" w:rsidRDefault="00781558" w:rsidP="00162CA7">
            <w:pPr>
              <w:widowControl w:val="0"/>
              <w:suppressAutoHyphens/>
              <w:spacing w:line="320" w:lineRule="exact"/>
              <w:ind w:left="312"/>
              <w:rPr>
                <w:rFonts w:ascii="Times New Roman" w:hAnsi="Times New Roman"/>
                <w:color w:val="000000"/>
                <w:szCs w:val="24"/>
              </w:rPr>
            </w:pPr>
            <w:r w:rsidRPr="00162CA7">
              <w:rPr>
                <w:rFonts w:ascii="Times New Roman" w:hAnsi="Times New Roman"/>
                <w:color w:val="000000"/>
                <w:szCs w:val="24"/>
              </w:rPr>
              <w:t xml:space="preserve">CPF: </w:t>
            </w:r>
            <w:r w:rsidR="00656821" w:rsidRPr="00656821">
              <w:rPr>
                <w:rFonts w:ascii="Times New Roman" w:hAnsi="Times New Roman"/>
                <w:color w:val="000000"/>
                <w:szCs w:val="24"/>
              </w:rPr>
              <w:t>077.905.966-24</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 (anteriormente denominada BBO Participações S.A.)</w:t>
      </w:r>
      <w:r w:rsidR="00DC7FAE" w:rsidRPr="00162CA7">
        <w:rPr>
          <w:rFonts w:ascii="Times New Roman" w:hAnsi="Times New Roman"/>
          <w:bCs/>
          <w:i/>
          <w:szCs w:val="24"/>
        </w:rPr>
        <w:t xml:space="preserve">, realizada em </w:t>
      </w:r>
      <w:r w:rsidR="00A567C2" w:rsidRPr="00162CA7">
        <w:rPr>
          <w:rFonts w:ascii="Times New Roman" w:hAnsi="Times New Roman"/>
          <w:i/>
          <w:color w:val="000000"/>
          <w:szCs w:val="24"/>
        </w:rPr>
        <w:t>24</w:t>
      </w:r>
      <w:r w:rsidR="00E70C2E" w:rsidRPr="00162CA7">
        <w:rPr>
          <w:rFonts w:ascii="Times New Roman" w:hAnsi="Times New Roman"/>
          <w:bCs/>
          <w:i/>
          <w:szCs w:val="24"/>
        </w:rPr>
        <w:t xml:space="preserve"> de </w:t>
      </w:r>
      <w:r w:rsidR="00E70C2E" w:rsidRPr="00162CA7">
        <w:rPr>
          <w:rFonts w:ascii="Times New Roman" w:hAnsi="Times New Roman"/>
          <w:i/>
          <w:szCs w:val="24"/>
        </w:rPr>
        <w:t>abril</w:t>
      </w:r>
      <w:r w:rsidR="00E70C2E" w:rsidRPr="00162CA7">
        <w:rPr>
          <w:rFonts w:ascii="Times New Roman" w:hAnsi="Times New Roman"/>
          <w:szCs w:val="24"/>
        </w:rPr>
        <w:t xml:space="preserve"> </w:t>
      </w:r>
      <w:r w:rsidR="000D4C65"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162CA7" w:rsidRDefault="00D46F24" w:rsidP="00162CA7">
            <w:pPr>
              <w:widowControl w:val="0"/>
              <w:suppressAutoHyphens/>
              <w:spacing w:line="320" w:lineRule="exact"/>
              <w:rPr>
                <w:rFonts w:ascii="Times New Roman" w:hAnsi="Times New Roman"/>
                <w:color w:val="000000"/>
                <w:szCs w:val="24"/>
              </w:rPr>
            </w:pPr>
            <w:r w:rsidRPr="00162CA7">
              <w:rPr>
                <w:rFonts w:ascii="Times New Roman" w:hAnsi="Times New Roman"/>
                <w:color w:val="000000"/>
                <w:szCs w:val="24"/>
              </w:rPr>
              <w:t>Nome:</w:t>
            </w:r>
            <w:r w:rsidR="00781558" w:rsidRPr="00162CA7">
              <w:rPr>
                <w:rFonts w:ascii="Times New Roman" w:hAnsi="Times New Roman"/>
                <w:b/>
                <w:szCs w:val="24"/>
                <w:lang w:eastAsia="en-US"/>
              </w:rPr>
              <w:t xml:space="preserve"> </w:t>
            </w:r>
            <w:r w:rsidR="00781558" w:rsidRPr="00162CA7">
              <w:rPr>
                <w:rFonts w:ascii="Times New Roman" w:hAnsi="Times New Roman"/>
                <w:color w:val="000000"/>
                <w:szCs w:val="24"/>
              </w:rPr>
              <w:t xml:space="preserve">Gabriel </w:t>
            </w:r>
            <w:proofErr w:type="spellStart"/>
            <w:r w:rsidR="00781558" w:rsidRPr="00162CA7">
              <w:rPr>
                <w:rFonts w:ascii="Times New Roman" w:hAnsi="Times New Roman"/>
                <w:color w:val="000000"/>
                <w:szCs w:val="24"/>
              </w:rPr>
              <w:t>Pentagna</w:t>
            </w:r>
            <w:proofErr w:type="spellEnd"/>
            <w:r w:rsidR="00781558" w:rsidRPr="00162CA7">
              <w:rPr>
                <w:rFonts w:ascii="Times New Roman" w:hAnsi="Times New Roman"/>
                <w:color w:val="000000"/>
                <w:szCs w:val="24"/>
              </w:rPr>
              <w:t xml:space="preserve"> Guimarães</w:t>
            </w:r>
          </w:p>
        </w:tc>
        <w:tc>
          <w:tcPr>
            <w:tcW w:w="4531" w:type="dxa"/>
          </w:tcPr>
          <w:p w:rsidR="00D46F24" w:rsidRPr="00162CA7" w:rsidRDefault="00693BFF" w:rsidP="00162CA7">
            <w:pPr>
              <w:widowControl w:val="0"/>
              <w:suppressAutoHyphens/>
              <w:spacing w:line="320" w:lineRule="exact"/>
              <w:rPr>
                <w:rFonts w:ascii="Times New Roman" w:hAnsi="Times New Roman"/>
                <w:color w:val="000000"/>
                <w:szCs w:val="24"/>
              </w:rPr>
            </w:pPr>
            <w:r w:rsidRPr="00162CA7">
              <w:rPr>
                <w:rFonts w:ascii="Times New Roman" w:hAnsi="Times New Roman"/>
                <w:color w:val="000000"/>
                <w:szCs w:val="24"/>
              </w:rPr>
              <w:t xml:space="preserve"> </w:t>
            </w:r>
            <w:r w:rsidR="00D46F24" w:rsidRPr="00162CA7">
              <w:rPr>
                <w:rFonts w:ascii="Times New Roman" w:hAnsi="Times New Roman"/>
                <w:color w:val="000000"/>
                <w:szCs w:val="24"/>
              </w:rPr>
              <w:t>Nome:</w:t>
            </w:r>
            <w:r w:rsidRPr="00162CA7">
              <w:rPr>
                <w:rFonts w:ascii="Times New Roman" w:hAnsi="Times New Roman"/>
                <w:b/>
                <w:szCs w:val="24"/>
                <w:lang w:eastAsia="en-US"/>
              </w:rPr>
              <w:t xml:space="preserve"> </w:t>
            </w:r>
            <w:r w:rsidR="00446A42" w:rsidRPr="00162CA7">
              <w:rPr>
                <w:rFonts w:ascii="Times New Roman" w:hAnsi="Times New Roman"/>
                <w:color w:val="000000"/>
                <w:szCs w:val="24"/>
              </w:rPr>
              <w:t xml:space="preserve">Paulo Henrique </w:t>
            </w:r>
            <w:proofErr w:type="spellStart"/>
            <w:r w:rsidR="00446A42" w:rsidRPr="00162CA7">
              <w:rPr>
                <w:rFonts w:ascii="Times New Roman" w:hAnsi="Times New Roman"/>
                <w:color w:val="000000"/>
                <w:szCs w:val="24"/>
              </w:rPr>
              <w:t>Pentagna</w:t>
            </w:r>
            <w:proofErr w:type="spellEnd"/>
            <w:r w:rsidR="00446A42" w:rsidRPr="00162CA7">
              <w:rPr>
                <w:rFonts w:ascii="Times New Roman" w:hAnsi="Times New Roman"/>
                <w:color w:val="000000"/>
                <w:szCs w:val="24"/>
              </w:rPr>
              <w:t xml:space="preserve"> Guimarães</w:t>
            </w:r>
          </w:p>
        </w:tc>
      </w:tr>
      <w:tr w:rsidR="00D46F24" w:rsidRPr="00162CA7" w:rsidTr="00640642">
        <w:trPr>
          <w:jc w:val="center"/>
        </w:trPr>
        <w:tc>
          <w:tcPr>
            <w:tcW w:w="4044" w:type="dxa"/>
          </w:tcPr>
          <w:p w:rsidR="00D46F24" w:rsidRPr="00162CA7" w:rsidRDefault="00781558" w:rsidP="00162CA7">
            <w:pPr>
              <w:widowControl w:val="0"/>
              <w:suppressAutoHyphens/>
              <w:spacing w:line="320" w:lineRule="exact"/>
              <w:rPr>
                <w:rFonts w:ascii="Times New Roman" w:hAnsi="Times New Roman"/>
                <w:color w:val="000000"/>
                <w:szCs w:val="24"/>
                <w:lang w:val="en-US"/>
              </w:rPr>
            </w:pPr>
            <w:proofErr w:type="spellStart"/>
            <w:r w:rsidRPr="00162CA7">
              <w:rPr>
                <w:rFonts w:ascii="Times New Roman" w:hAnsi="Times New Roman"/>
                <w:color w:val="000000"/>
                <w:szCs w:val="24"/>
                <w:lang w:val="en-US"/>
              </w:rPr>
              <w:t>RG</w:t>
            </w:r>
            <w:proofErr w:type="spellEnd"/>
            <w:r w:rsidRPr="00162CA7">
              <w:rPr>
                <w:rFonts w:ascii="Times New Roman" w:hAnsi="Times New Roman"/>
                <w:color w:val="000000"/>
                <w:szCs w:val="24"/>
                <w:lang w:val="en-US"/>
              </w:rPr>
              <w:t>: MG-1.238.699</w:t>
            </w:r>
            <w:r w:rsidR="00446A42" w:rsidRPr="00162CA7">
              <w:rPr>
                <w:rFonts w:ascii="Times New Roman" w:hAnsi="Times New Roman"/>
                <w:color w:val="000000"/>
                <w:szCs w:val="24"/>
                <w:lang w:val="en-US"/>
              </w:rPr>
              <w:t xml:space="preserve"> </w:t>
            </w:r>
            <w:proofErr w:type="spellStart"/>
            <w:r w:rsidR="00446A42" w:rsidRPr="00162CA7">
              <w:rPr>
                <w:rFonts w:ascii="Times New Roman" w:hAnsi="Times New Roman"/>
                <w:color w:val="000000"/>
                <w:szCs w:val="24"/>
                <w:lang w:val="en-US"/>
              </w:rPr>
              <w:t>SSP</w:t>
            </w:r>
            <w:proofErr w:type="spellEnd"/>
            <w:r w:rsidR="00446A42" w:rsidRPr="00162CA7">
              <w:rPr>
                <w:rFonts w:ascii="Times New Roman" w:hAnsi="Times New Roman"/>
                <w:color w:val="000000"/>
                <w:szCs w:val="24"/>
                <w:lang w:val="en-US"/>
              </w:rPr>
              <w:t>/MG</w:t>
            </w:r>
          </w:p>
          <w:p w:rsidR="00446A42" w:rsidRPr="00162CA7" w:rsidRDefault="00446A42" w:rsidP="00162CA7">
            <w:pPr>
              <w:widowControl w:val="0"/>
              <w:tabs>
                <w:tab w:val="left" w:pos="0"/>
              </w:tabs>
              <w:suppressAutoHyphens/>
              <w:spacing w:line="320" w:lineRule="exact"/>
              <w:rPr>
                <w:rFonts w:ascii="Times New Roman" w:hAnsi="Times New Roman"/>
                <w:color w:val="000000"/>
                <w:szCs w:val="24"/>
                <w:lang w:val="en-US"/>
              </w:rPr>
            </w:pPr>
            <w:proofErr w:type="spellStart"/>
            <w:r w:rsidRPr="00162CA7">
              <w:rPr>
                <w:rFonts w:ascii="Times New Roman" w:hAnsi="Times New Roman"/>
                <w:color w:val="000000"/>
                <w:szCs w:val="24"/>
                <w:lang w:val="en-US"/>
              </w:rPr>
              <w:t>CPF</w:t>
            </w:r>
            <w:proofErr w:type="spellEnd"/>
            <w:r w:rsidRPr="00162CA7">
              <w:rPr>
                <w:rFonts w:ascii="Times New Roman" w:hAnsi="Times New Roman"/>
                <w:color w:val="000000"/>
                <w:szCs w:val="24"/>
                <w:lang w:val="en-US"/>
              </w:rPr>
              <w:t>: 589.195.976-34</w:t>
            </w:r>
          </w:p>
        </w:tc>
        <w:tc>
          <w:tcPr>
            <w:tcW w:w="4531" w:type="dxa"/>
          </w:tcPr>
          <w:p w:rsidR="00446A42" w:rsidRPr="00162CA7" w:rsidRDefault="00446A42" w:rsidP="00162CA7">
            <w:pPr>
              <w:widowControl w:val="0"/>
              <w:suppressAutoHyphens/>
              <w:spacing w:line="320" w:lineRule="exact"/>
              <w:ind w:left="1"/>
              <w:rPr>
                <w:rFonts w:ascii="Times New Roman" w:hAnsi="Times New Roman"/>
                <w:color w:val="000000"/>
                <w:szCs w:val="24"/>
                <w:lang w:val="en-US"/>
              </w:rPr>
            </w:pPr>
            <w:proofErr w:type="spellStart"/>
            <w:r w:rsidRPr="00162CA7">
              <w:rPr>
                <w:rFonts w:ascii="Times New Roman" w:hAnsi="Times New Roman"/>
                <w:color w:val="000000"/>
                <w:szCs w:val="24"/>
                <w:lang w:val="en-US"/>
              </w:rPr>
              <w:t>RG</w:t>
            </w:r>
            <w:proofErr w:type="spellEnd"/>
            <w:r w:rsidRPr="00162CA7">
              <w:rPr>
                <w:rFonts w:ascii="Times New Roman" w:hAnsi="Times New Roman"/>
                <w:color w:val="000000"/>
                <w:szCs w:val="24"/>
                <w:lang w:val="en-US"/>
              </w:rPr>
              <w:t xml:space="preserve">: MG-69.847 </w:t>
            </w:r>
            <w:proofErr w:type="spellStart"/>
            <w:r w:rsidRPr="00162CA7">
              <w:rPr>
                <w:rFonts w:ascii="Times New Roman" w:hAnsi="Times New Roman"/>
                <w:color w:val="000000"/>
                <w:szCs w:val="24"/>
                <w:lang w:val="en-US"/>
              </w:rPr>
              <w:t>SSP</w:t>
            </w:r>
            <w:proofErr w:type="spellEnd"/>
            <w:r w:rsidRPr="00162CA7">
              <w:rPr>
                <w:rFonts w:ascii="Times New Roman" w:hAnsi="Times New Roman"/>
                <w:color w:val="000000"/>
                <w:szCs w:val="24"/>
                <w:lang w:val="en-US"/>
              </w:rPr>
              <w:t>/MG</w:t>
            </w:r>
          </w:p>
          <w:p w:rsidR="00D46F24" w:rsidRPr="00162CA7" w:rsidRDefault="00446A42" w:rsidP="00162CA7">
            <w:pPr>
              <w:widowControl w:val="0"/>
              <w:suppressAutoHyphens/>
              <w:spacing w:line="320" w:lineRule="exact"/>
              <w:ind w:left="1"/>
              <w:rPr>
                <w:rFonts w:ascii="Times New Roman" w:hAnsi="Times New Roman"/>
                <w:color w:val="000000"/>
                <w:szCs w:val="24"/>
                <w:lang w:val="en-US"/>
              </w:rPr>
            </w:pPr>
            <w:proofErr w:type="spellStart"/>
            <w:r w:rsidRPr="00162CA7">
              <w:rPr>
                <w:rFonts w:ascii="Times New Roman" w:hAnsi="Times New Roman"/>
                <w:color w:val="000000"/>
                <w:szCs w:val="24"/>
                <w:lang w:val="en-US"/>
              </w:rPr>
              <w:t>CPF</w:t>
            </w:r>
            <w:proofErr w:type="spellEnd"/>
            <w:r w:rsidRPr="00162CA7">
              <w:rPr>
                <w:rFonts w:ascii="Times New Roman" w:hAnsi="Times New Roman"/>
                <w:color w:val="000000"/>
                <w:szCs w:val="24"/>
                <w:lang w:val="en-US"/>
              </w:rPr>
              <w:t>: 109.766.716-20</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 (anteriormente denominada BBO Participações S.A.)</w:t>
      </w:r>
      <w:r w:rsidR="00DC7FAE" w:rsidRPr="00162CA7">
        <w:rPr>
          <w:rFonts w:ascii="Times New Roman" w:hAnsi="Times New Roman"/>
          <w:bCs/>
          <w:i/>
          <w:szCs w:val="24"/>
        </w:rPr>
        <w:t xml:space="preserve">, realizada em </w:t>
      </w:r>
      <w:r w:rsidR="00A567C2" w:rsidRPr="00162CA7">
        <w:rPr>
          <w:rFonts w:ascii="Times New Roman" w:hAnsi="Times New Roman"/>
          <w:i/>
          <w:color w:val="000000"/>
          <w:szCs w:val="24"/>
        </w:rPr>
        <w:t>24</w:t>
      </w:r>
      <w:r w:rsidR="00F47217" w:rsidRPr="00162CA7">
        <w:rPr>
          <w:rFonts w:ascii="Times New Roman" w:hAnsi="Times New Roman"/>
          <w:bCs/>
          <w:i/>
          <w:szCs w:val="24"/>
        </w:rPr>
        <w:t xml:space="preserve"> de </w:t>
      </w:r>
      <w:r w:rsidR="00F47217" w:rsidRPr="00162CA7">
        <w:rPr>
          <w:rFonts w:ascii="Times New Roman" w:hAnsi="Times New Roman"/>
          <w:i/>
          <w:szCs w:val="24"/>
        </w:rPr>
        <w:t>abril</w:t>
      </w:r>
      <w:r w:rsidR="00F47217" w:rsidRPr="00162CA7">
        <w:rPr>
          <w:rFonts w:ascii="Times New Roman" w:hAnsi="Times New Roman"/>
          <w:szCs w:val="24"/>
        </w:rPr>
        <w:t xml:space="preserve"> </w:t>
      </w:r>
      <w:r w:rsidR="000D4C65"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656821" w:rsidRDefault="00781558" w:rsidP="00656821">
            <w:pPr>
              <w:widowControl w:val="0"/>
              <w:suppressAutoHyphens/>
              <w:spacing w:line="320" w:lineRule="exact"/>
              <w:rPr>
                <w:rFonts w:ascii="Times New Roman" w:hAnsi="Times New Roman"/>
                <w:color w:val="000000"/>
                <w:szCs w:val="24"/>
              </w:rPr>
            </w:pPr>
            <w:r w:rsidRPr="00656821">
              <w:rPr>
                <w:rFonts w:ascii="Times New Roman" w:hAnsi="Times New Roman"/>
                <w:color w:val="000000"/>
                <w:szCs w:val="24"/>
              </w:rPr>
              <w:t>Nome:</w:t>
            </w:r>
            <w:r w:rsidRPr="00656821">
              <w:rPr>
                <w:rFonts w:ascii="Times New Roman" w:hAnsi="Times New Roman"/>
                <w:szCs w:val="24"/>
              </w:rPr>
              <w:t xml:space="preserve"> </w:t>
            </w:r>
            <w:r w:rsidRPr="00656821">
              <w:rPr>
                <w:rFonts w:ascii="Times New Roman" w:hAnsi="Times New Roman"/>
                <w:color w:val="000000"/>
                <w:szCs w:val="24"/>
              </w:rPr>
              <w:t xml:space="preserve">Marcus </w:t>
            </w:r>
            <w:proofErr w:type="spellStart"/>
            <w:r w:rsidRPr="00656821">
              <w:rPr>
                <w:rFonts w:ascii="Times New Roman" w:hAnsi="Times New Roman"/>
                <w:color w:val="000000"/>
                <w:szCs w:val="24"/>
              </w:rPr>
              <w:t>Venicius</w:t>
            </w:r>
            <w:proofErr w:type="spellEnd"/>
            <w:r w:rsidRPr="00656821">
              <w:rPr>
                <w:rFonts w:ascii="Times New Roman" w:hAnsi="Times New Roman"/>
                <w:color w:val="000000"/>
                <w:szCs w:val="24"/>
              </w:rPr>
              <w:t xml:space="preserve"> Bellinello da Rocha</w:t>
            </w:r>
          </w:p>
        </w:tc>
      </w:tr>
      <w:tr w:rsidR="00781558" w:rsidRPr="00162CA7" w:rsidTr="00781558">
        <w:trPr>
          <w:jc w:val="center"/>
        </w:trPr>
        <w:tc>
          <w:tcPr>
            <w:tcW w:w="4716" w:type="dxa"/>
          </w:tcPr>
          <w:p w:rsidR="00781558" w:rsidRPr="00656821" w:rsidRDefault="00781558" w:rsidP="00162CA7">
            <w:pPr>
              <w:widowControl w:val="0"/>
              <w:suppressAutoHyphens/>
              <w:spacing w:line="320" w:lineRule="exact"/>
              <w:rPr>
                <w:rFonts w:ascii="Times New Roman" w:hAnsi="Times New Roman"/>
                <w:color w:val="000000"/>
                <w:szCs w:val="24"/>
              </w:rPr>
            </w:pPr>
            <w:r w:rsidRPr="00656821">
              <w:rPr>
                <w:rFonts w:ascii="Times New Roman" w:hAnsi="Times New Roman"/>
                <w:color w:val="000000"/>
                <w:szCs w:val="24"/>
              </w:rPr>
              <w:t>RG</w:t>
            </w:r>
            <w:r w:rsidR="00446A42" w:rsidRPr="00656821">
              <w:rPr>
                <w:rFonts w:ascii="Times New Roman" w:hAnsi="Times New Roman"/>
                <w:color w:val="000000"/>
                <w:szCs w:val="24"/>
              </w:rPr>
              <w:t>:</w:t>
            </w:r>
            <w:r w:rsidRPr="00656821">
              <w:rPr>
                <w:rFonts w:ascii="Times New Roman" w:hAnsi="Times New Roman"/>
                <w:color w:val="000000"/>
                <w:szCs w:val="24"/>
              </w:rPr>
              <w:t xml:space="preserve"> 04538389/0 DETRAN/RJ</w:t>
            </w:r>
          </w:p>
          <w:p w:rsidR="00781558" w:rsidRPr="00656821" w:rsidRDefault="00781558" w:rsidP="00162CA7">
            <w:pPr>
              <w:widowControl w:val="0"/>
              <w:suppressAutoHyphens/>
              <w:spacing w:line="320" w:lineRule="exact"/>
              <w:rPr>
                <w:rFonts w:ascii="Times New Roman" w:hAnsi="Times New Roman"/>
                <w:color w:val="000000"/>
                <w:szCs w:val="24"/>
              </w:rPr>
            </w:pPr>
            <w:r w:rsidRPr="00656821">
              <w:rPr>
                <w:rFonts w:ascii="Times New Roman" w:hAnsi="Times New Roman"/>
                <w:color w:val="000000"/>
                <w:szCs w:val="24"/>
              </w:rPr>
              <w:t>CPF:</w:t>
            </w:r>
            <w:r w:rsidR="00446A42" w:rsidRPr="00656821">
              <w:rPr>
                <w:rFonts w:ascii="Times New Roman" w:hAnsi="Times New Roman"/>
                <w:color w:val="000000"/>
                <w:szCs w:val="24"/>
              </w:rPr>
              <w:t xml:space="preserve"> </w:t>
            </w:r>
            <w:r w:rsidRPr="00656821">
              <w:rPr>
                <w:rFonts w:ascii="Times New Roman" w:hAnsi="Times New Roman"/>
                <w:color w:val="000000"/>
                <w:szCs w:val="24"/>
              </w:rPr>
              <w:t>961.101.807-00</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8"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6"/>
  </w:num>
  <w:num w:numId="5">
    <w:abstractNumId w:val="6"/>
  </w:num>
  <w:num w:numId="6">
    <w:abstractNumId w:val="14"/>
  </w:num>
  <w:num w:numId="7">
    <w:abstractNumId w:val="15"/>
  </w:num>
  <w:num w:numId="8">
    <w:abstractNumId w:val="8"/>
  </w:num>
  <w:num w:numId="9">
    <w:abstractNumId w:val="3"/>
  </w:num>
  <w:num w:numId="10">
    <w:abstractNumId w:val="2"/>
  </w:num>
  <w:num w:numId="11">
    <w:abstractNumId w:val="4"/>
  </w:num>
  <w:num w:numId="12">
    <w:abstractNumId w:val="11"/>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7"/>
  </w:num>
  <w:num w:numId="15">
    <w:abstractNumId w:val="7"/>
  </w:num>
  <w:num w:numId="16">
    <w:abstractNumId w:val="5"/>
  </w:num>
  <w:num w:numId="17">
    <w:abstractNumId w:val="1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D3AA85"/>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85CA7-F7A0-44A3-8739-2B9EBD67CB93}">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www.w3.org/XML/1998/namespace"/>
    <ds:schemaRef ds:uri="http://purl.org/dc/dcmitype/"/>
  </ds:schemaRefs>
</ds:datastoreItem>
</file>

<file path=customXml/itemProps10.xml><?xml version="1.0" encoding="utf-8"?>
<ds:datastoreItem xmlns:ds="http://schemas.openxmlformats.org/officeDocument/2006/customXml" ds:itemID="{8234557D-44DE-4509-AFF0-90FB88FC7134}">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46343-EA63-469A-810D-A8EC4E8A3DA8}">
  <ds:schemaRefs>
    <ds:schemaRef ds:uri="http://schemas.openxmlformats.org/officeDocument/2006/bibliography"/>
  </ds:schemaRefs>
</ds:datastoreItem>
</file>

<file path=customXml/itemProps5.xml><?xml version="1.0" encoding="utf-8"?>
<ds:datastoreItem xmlns:ds="http://schemas.openxmlformats.org/officeDocument/2006/customXml" ds:itemID="{9CF8067F-7E77-4059-8352-CA463C2C2D5D}">
  <ds:schemaRefs>
    <ds:schemaRef ds:uri="http://schemas.openxmlformats.org/officeDocument/2006/bibliography"/>
  </ds:schemaRefs>
</ds:datastoreItem>
</file>

<file path=customXml/itemProps6.xml><?xml version="1.0" encoding="utf-8"?>
<ds:datastoreItem xmlns:ds="http://schemas.openxmlformats.org/officeDocument/2006/customXml" ds:itemID="{B9403CC5-8101-4CFB-B647-F25405A7E9E3}">
  <ds:schemaRefs>
    <ds:schemaRef ds:uri="http://schemas.openxmlformats.org/officeDocument/2006/bibliography"/>
  </ds:schemaRefs>
</ds:datastoreItem>
</file>

<file path=customXml/itemProps7.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8.xml><?xml version="1.0" encoding="utf-8"?>
<ds:datastoreItem xmlns:ds="http://schemas.openxmlformats.org/officeDocument/2006/customXml" ds:itemID="{59ECCDE9-5DC5-421E-9BF3-8322837ED691}">
  <ds:schemaRefs>
    <ds:schemaRef ds:uri="http://schemas.openxmlformats.org/officeDocument/2006/bibliography"/>
  </ds:schemaRefs>
</ds:datastoreItem>
</file>

<file path=customXml/itemProps9.xml><?xml version="1.0" encoding="utf-8"?>
<ds:datastoreItem xmlns:ds="http://schemas.openxmlformats.org/officeDocument/2006/customXml" ds:itemID="{B2D2F88F-6427-4811-9B88-7E9D66FA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8259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2019-04-25T13:52:00Z</dcterms:created>
  <dcterms:modified xsi:type="dcterms:W3CDTF">2019-04-25T13:52:00Z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