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n.</w:t>
      </w:r>
      <w:r w:rsidRPr="00B5701E">
        <w:rPr>
          <w:sz w:val="24"/>
          <w:szCs w:val="24"/>
          <w:vertAlign w:val="superscript"/>
        </w:rPr>
        <w:t>o</w:t>
      </w:r>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n.</w:t>
      </w:r>
      <w:r w:rsidR="00AB65A5" w:rsidRPr="00B5701E">
        <w:rPr>
          <w:sz w:val="24"/>
          <w:szCs w:val="24"/>
          <w:vertAlign w:val="superscript"/>
        </w:rPr>
        <w:t>os</w:t>
      </w:r>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n.</w:t>
      </w:r>
      <w:r w:rsidRPr="00B5701E">
        <w:rPr>
          <w:sz w:val="24"/>
          <w:szCs w:val="24"/>
          <w:vertAlign w:val="superscript"/>
        </w:rPr>
        <w:t>o</w:t>
      </w:r>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w:t>
      </w:r>
      <w:r w:rsidRPr="009F03E0">
        <w:rPr>
          <w:sz w:val="24"/>
          <w:szCs w:val="24"/>
        </w:rPr>
        <w:lastRenderedPageBreak/>
        <w:t xml:space="preserve">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w:t>
      </w:r>
      <w:r w:rsidRPr="00B5701E">
        <w:rPr>
          <w:sz w:val="24"/>
          <w:szCs w:val="24"/>
        </w:rPr>
        <w:lastRenderedPageBreak/>
        <w:t>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(iii)</w:t>
      </w:r>
      <w:r w:rsidR="00516CD3">
        <w:rPr>
          <w:sz w:val="24"/>
          <w:szCs w:val="24"/>
        </w:rPr>
        <w:t xml:space="preserve"> </w:t>
      </w:r>
      <w:r w:rsidRPr="00B5701E">
        <w:rPr>
          <w:sz w:val="24"/>
          <w:szCs w:val="24"/>
        </w:rPr>
        <w:t xml:space="preserve">a qualquer diretor, conselheiro, cônjuge, companheiro ou </w:t>
      </w:r>
      <w:r w:rsidRPr="00B5701E">
        <w:rPr>
          <w:sz w:val="24"/>
          <w:szCs w:val="24"/>
        </w:rPr>
        <w:lastRenderedPageBreak/>
        <w:t>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4213FD7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r w:rsidR="00C3186D">
        <w:rPr>
          <w:sz w:val="24"/>
          <w:szCs w:val="24"/>
        </w:rPr>
        <w:t xml:space="preserve"> 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13EECC6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r w:rsidR="00C3186D">
        <w:rPr>
          <w:sz w:val="24"/>
          <w:szCs w:val="24"/>
        </w:rPr>
        <w:t xml:space="preserve"> 8.1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r w:rsidRPr="003406CE">
        <w:rPr>
          <w:sz w:val="24"/>
          <w:szCs w:val="24"/>
        </w:rPr>
        <w:t>Dokka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lastRenderedPageBreak/>
        <w:t>"</w:t>
      </w:r>
      <w:r w:rsidRPr="00516CD3">
        <w:rPr>
          <w:sz w:val="24"/>
          <w:szCs w:val="24"/>
          <w:u w:val="single"/>
        </w:rPr>
        <w:t>Garantidoras</w:t>
      </w:r>
      <w:r>
        <w:rPr>
          <w:sz w:val="24"/>
          <w:szCs w:val="24"/>
        </w:rPr>
        <w:t>" significam, em conjunto, a Alvear e a Dokka.</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67173FE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Encargos Moratórios e demais encargos, relativos às Debêntures, à Escritura de Emissão e aos demais Documentos das Obrigações Garantidas, quando devidos, seja nas respectivas datas de pagamento</w:t>
      </w:r>
      <w:bookmarkStart w:id="11" w:name="_Hlk56181447"/>
      <w:r w:rsidR="00936143">
        <w:rPr>
          <w:sz w:val="24"/>
          <w:szCs w:val="24"/>
        </w:rPr>
        <w:t>, bem como o Valor Nominal Unitário das Debêntures</w:t>
      </w:r>
      <w:bookmarkEnd w:id="11"/>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2" w:name="_Ref532040236"/>
      <w:r w:rsidRPr="00B5701E">
        <w:rPr>
          <w:smallCaps/>
          <w:sz w:val="24"/>
          <w:szCs w:val="24"/>
          <w:u w:val="single"/>
        </w:rPr>
        <w:t>Autorizaç</w:t>
      </w:r>
      <w:r w:rsidR="001208E3" w:rsidRPr="00B5701E">
        <w:rPr>
          <w:smallCaps/>
          <w:sz w:val="24"/>
          <w:szCs w:val="24"/>
          <w:u w:val="single"/>
        </w:rPr>
        <w:t>ões</w:t>
      </w:r>
    </w:p>
    <w:bookmarkEnd w:id="12"/>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6CC6C187"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w:t>
      </w:r>
    </w:p>
    <w:p w14:paraId="05422005" w14:textId="31BE5CE1"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 de [•] de 2020.</w:t>
      </w:r>
    </w:p>
    <w:p w14:paraId="122C6CBA" w14:textId="404EFDF2"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3" w:name="_Ref330905317"/>
      <w:r w:rsidRPr="00B5701E">
        <w:rPr>
          <w:smallCaps/>
          <w:sz w:val="24"/>
          <w:szCs w:val="24"/>
          <w:u w:val="single"/>
        </w:rPr>
        <w:t>Requisitos</w:t>
      </w:r>
      <w:bookmarkEnd w:id="13"/>
    </w:p>
    <w:p w14:paraId="283E84E9" w14:textId="49D07DD0" w:rsidR="00880FA8" w:rsidRPr="00B5701E" w:rsidRDefault="00880FA8" w:rsidP="00C83225">
      <w:pPr>
        <w:numPr>
          <w:ilvl w:val="1"/>
          <w:numId w:val="3"/>
        </w:numPr>
        <w:rPr>
          <w:sz w:val="24"/>
          <w:szCs w:val="24"/>
        </w:rPr>
      </w:pPr>
      <w:bookmarkStart w:id="14"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4"/>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5E7768F8"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347BE16A" w:rsidR="00AF6023"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r w:rsidR="00CE1319">
        <w:rPr>
          <w:sz w:val="24"/>
          <w:szCs w:val="24"/>
        </w:rPr>
        <w:t>Monitor Mercantil</w:t>
      </w:r>
      <w:r w:rsidRPr="00B5701E">
        <w:rPr>
          <w:sz w:val="24"/>
          <w:szCs w:val="24"/>
        </w:rPr>
        <w:t>".</w:t>
      </w:r>
      <w:r w:rsidR="006B63DC">
        <w:rPr>
          <w:sz w:val="24"/>
          <w:szCs w:val="24"/>
        </w:rPr>
        <w:t xml:space="preserve"> </w:t>
      </w:r>
    </w:p>
    <w:p w14:paraId="2A4E970D" w14:textId="1FF17360" w:rsidR="003406CE" w:rsidRPr="003406CE" w:rsidRDefault="003406CE">
      <w:pPr>
        <w:pStyle w:val="PargrafodaLista"/>
        <w:numPr>
          <w:ilvl w:val="3"/>
          <w:numId w:val="3"/>
        </w:numPr>
        <w:contextualSpacing w:val="0"/>
        <w:rPr>
          <w:sz w:val="24"/>
          <w:szCs w:val="24"/>
        </w:rPr>
      </w:pPr>
      <w:r w:rsidRPr="003406CE">
        <w:rPr>
          <w:sz w:val="24"/>
          <w:szCs w:val="24"/>
        </w:rPr>
        <w:t>a ata da assembleia geral extraordinária da Dokka realizada em [•] de [•] 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15"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6" w:name="_Ref201729546"/>
      <w:bookmarkEnd w:id="15"/>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6"/>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 xml:space="preserve">do artigo 6º da </w:t>
      </w:r>
      <w:r w:rsidR="007B1E71" w:rsidRPr="00B5701E">
        <w:rPr>
          <w:sz w:val="24"/>
          <w:szCs w:val="24"/>
        </w:rPr>
        <w:lastRenderedPageBreak/>
        <w:t>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7" w:name="_Ref368578037"/>
      <w:r w:rsidRPr="00B5701E">
        <w:rPr>
          <w:smallCaps/>
          <w:sz w:val="24"/>
          <w:szCs w:val="24"/>
          <w:u w:val="single"/>
        </w:rPr>
        <w:t>Destinação dos Recursos</w:t>
      </w:r>
      <w:bookmarkEnd w:id="17"/>
    </w:p>
    <w:p w14:paraId="519337D3" w14:textId="2602E76F" w:rsidR="001A2C36" w:rsidRPr="00B5701E" w:rsidRDefault="00880FA8" w:rsidP="00C83225">
      <w:pPr>
        <w:numPr>
          <w:ilvl w:val="1"/>
          <w:numId w:val="3"/>
        </w:numPr>
        <w:autoSpaceDE w:val="0"/>
        <w:autoSpaceDN w:val="0"/>
        <w:adjustRightInd w:val="0"/>
        <w:rPr>
          <w:sz w:val="24"/>
          <w:szCs w:val="24"/>
        </w:rPr>
      </w:pPr>
      <w:bookmarkStart w:id="18" w:name="_Ref264564155"/>
      <w:bookmarkStart w:id="19"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8"/>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9"/>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0"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w:t>
      </w:r>
      <w:r w:rsidR="00604CD2" w:rsidRPr="00B5701E">
        <w:rPr>
          <w:sz w:val="24"/>
          <w:szCs w:val="24"/>
        </w:rPr>
        <w:lastRenderedPageBreak/>
        <w:t>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0"/>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1" w:name="_Ref408992126"/>
      <w:bookmarkStart w:id="22" w:name="_Ref408997578"/>
      <w:bookmarkStart w:id="23" w:name="_Ref423022752"/>
      <w:bookmarkStart w:id="24"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1"/>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2"/>
      <w:r w:rsidR="00F23955" w:rsidRPr="00B5701E">
        <w:rPr>
          <w:sz w:val="24"/>
          <w:szCs w:val="24"/>
        </w:rPr>
        <w:t>.</w:t>
      </w:r>
      <w:bookmarkEnd w:id="23"/>
      <w:r w:rsidR="00EA63B9" w:rsidRPr="00B5701E">
        <w:rPr>
          <w:sz w:val="24"/>
          <w:szCs w:val="24"/>
        </w:rPr>
        <w:t xml:space="preserve"> </w:t>
      </w:r>
      <w:bookmarkEnd w:id="24"/>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5"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6" w:name="_Hlk536798598"/>
      <w:bookmarkStart w:id="27"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5"/>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8" w:name="_Hlk512337082"/>
      <w:r w:rsidR="00C546D9" w:rsidRPr="00B5701E">
        <w:rPr>
          <w:sz w:val="24"/>
          <w:szCs w:val="24"/>
        </w:rPr>
        <w:t xml:space="preserve">em qualquer Data de Integralização, </w:t>
      </w:r>
      <w:bookmarkEnd w:id="28"/>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6"/>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29" w:name="_Ref264481789"/>
      <w:bookmarkStart w:id="30" w:name="_Ref310606049"/>
      <w:bookmarkEnd w:id="27"/>
      <w:r w:rsidRPr="00B5701E">
        <w:rPr>
          <w:i/>
          <w:sz w:val="24"/>
          <w:szCs w:val="24"/>
        </w:rPr>
        <w:t>Negociação</w:t>
      </w:r>
      <w:r w:rsidRPr="00B5701E">
        <w:rPr>
          <w:sz w:val="24"/>
          <w:szCs w:val="24"/>
        </w:rPr>
        <w:t>.</w:t>
      </w:r>
      <w:r w:rsidR="008771F4" w:rsidRPr="00B5701E">
        <w:rPr>
          <w:sz w:val="24"/>
          <w:szCs w:val="24"/>
        </w:rPr>
        <w:t xml:space="preserve"> </w:t>
      </w:r>
      <w:bookmarkStart w:id="31"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9"/>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2"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2"/>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1"/>
      <w:r w:rsidR="00520644" w:rsidRPr="00B5701E">
        <w:rPr>
          <w:sz w:val="24"/>
          <w:szCs w:val="24"/>
        </w:rPr>
        <w:t xml:space="preserve"> </w:t>
      </w:r>
      <w:bookmarkEnd w:id="30"/>
    </w:p>
    <w:p w14:paraId="36CF7F3B" w14:textId="3B1A98A3" w:rsidR="003411DC" w:rsidRPr="00B5701E" w:rsidRDefault="003411DC" w:rsidP="00C83225">
      <w:pPr>
        <w:numPr>
          <w:ilvl w:val="1"/>
          <w:numId w:val="3"/>
        </w:numPr>
        <w:rPr>
          <w:sz w:val="24"/>
          <w:szCs w:val="24"/>
        </w:rPr>
      </w:pPr>
      <w:bookmarkStart w:id="33"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w:t>
      </w:r>
      <w:r w:rsidRPr="00B5701E">
        <w:rPr>
          <w:sz w:val="24"/>
          <w:szCs w:val="24"/>
        </w:rPr>
        <w:lastRenderedPageBreak/>
        <w:t xml:space="preserve">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xml:space="preserve">, desde a Primeira Data de Integralização até a data de sua efetiva aquisição. </w:t>
      </w:r>
      <w:bookmarkEnd w:id="33"/>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4" w:name="_Hlk536798700"/>
      <w:bookmarkStart w:id="35"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4"/>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6"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5"/>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37" w:name="_Ref130282609"/>
      <w:bookmarkStart w:id="38" w:name="_Ref191891558"/>
      <w:bookmarkStart w:id="39" w:name="_Ref310951543"/>
      <w:bookmarkEnd w:id="36"/>
      <w:r w:rsidRPr="00B5701E">
        <w:rPr>
          <w:i/>
          <w:sz w:val="24"/>
          <w:szCs w:val="24"/>
        </w:rPr>
        <w:t>Quantidade</w:t>
      </w:r>
      <w:r w:rsidRPr="00B5701E">
        <w:rPr>
          <w:sz w:val="24"/>
          <w:szCs w:val="24"/>
        </w:rPr>
        <w:t>.</w:t>
      </w:r>
      <w:r w:rsidR="008771F4" w:rsidRPr="00B5701E">
        <w:rPr>
          <w:sz w:val="24"/>
          <w:szCs w:val="24"/>
        </w:rPr>
        <w:t xml:space="preserve"> </w:t>
      </w:r>
      <w:bookmarkStart w:id="40"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7"/>
      <w:bookmarkEnd w:id="38"/>
      <w:r w:rsidR="00B70EFC" w:rsidRPr="00B5701E">
        <w:rPr>
          <w:sz w:val="24"/>
          <w:szCs w:val="24"/>
        </w:rPr>
        <w:t>.</w:t>
      </w:r>
      <w:bookmarkEnd w:id="39"/>
      <w:bookmarkEnd w:id="40"/>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1"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1"/>
    </w:p>
    <w:p w14:paraId="3234A478" w14:textId="77777777" w:rsidR="00880FA8" w:rsidRPr="00B5701E" w:rsidRDefault="00880FA8" w:rsidP="00C83225">
      <w:pPr>
        <w:numPr>
          <w:ilvl w:val="1"/>
          <w:numId w:val="3"/>
        </w:numPr>
        <w:rPr>
          <w:sz w:val="24"/>
          <w:szCs w:val="24"/>
        </w:rPr>
      </w:pPr>
      <w:bookmarkStart w:id="42" w:name="_Ref137548372"/>
      <w:bookmarkStart w:id="43" w:name="_Ref168458019"/>
      <w:bookmarkStart w:id="44" w:name="_Ref191891571"/>
      <w:bookmarkStart w:id="45" w:name="_Ref130363099"/>
      <w:r w:rsidRPr="00B5701E">
        <w:rPr>
          <w:i/>
          <w:sz w:val="24"/>
          <w:szCs w:val="24"/>
        </w:rPr>
        <w:t>Séries</w:t>
      </w:r>
      <w:r w:rsidRPr="00B5701E">
        <w:rPr>
          <w:sz w:val="24"/>
          <w:szCs w:val="24"/>
        </w:rPr>
        <w:t>.</w:t>
      </w:r>
      <w:r w:rsidR="008771F4" w:rsidRPr="00B5701E">
        <w:rPr>
          <w:sz w:val="24"/>
          <w:szCs w:val="24"/>
        </w:rPr>
        <w:t xml:space="preserve"> </w:t>
      </w:r>
      <w:bookmarkStart w:id="46" w:name="_Hlk536798800"/>
      <w:bookmarkEnd w:id="42"/>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3"/>
      <w:bookmarkEnd w:id="44"/>
      <w:bookmarkEnd w:id="46"/>
    </w:p>
    <w:bookmarkEnd w:id="45"/>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7"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7"/>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48" w:name="_Hlk56155590"/>
      <w:r w:rsidRPr="00313FDE">
        <w:rPr>
          <w:i/>
          <w:sz w:val="24"/>
          <w:szCs w:val="24"/>
        </w:rPr>
        <w:t>Espécie</w:t>
      </w:r>
      <w:r w:rsidRPr="00313FDE">
        <w:rPr>
          <w:sz w:val="24"/>
          <w:szCs w:val="24"/>
        </w:rPr>
        <w:t>.</w:t>
      </w:r>
      <w:r w:rsidR="008771F4" w:rsidRPr="00313FDE">
        <w:rPr>
          <w:sz w:val="24"/>
          <w:szCs w:val="24"/>
        </w:rPr>
        <w:t xml:space="preserve"> </w:t>
      </w:r>
      <w:bookmarkStart w:id="49"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50" w:name="_Hlk56155703"/>
      <w:bookmarkEnd w:id="48"/>
      <w:r w:rsidRPr="00B5701E">
        <w:rPr>
          <w:i/>
          <w:iCs/>
          <w:sz w:val="24"/>
          <w:szCs w:val="24"/>
          <w:u w:val="single"/>
        </w:rPr>
        <w:t>Garantias</w:t>
      </w:r>
      <w:bookmarkStart w:id="51" w:name="_Ref279826046"/>
      <w:bookmarkStart w:id="52" w:name="_Ref487645411"/>
      <w:bookmarkStart w:id="53" w:name="_Ref279826043"/>
      <w:bookmarkStart w:id="54" w:name="_Ref264653840"/>
      <w:bookmarkStart w:id="55" w:name="_Ref278297550"/>
      <w:bookmarkEnd w:id="49"/>
      <w:r w:rsidRPr="00B5701E">
        <w:rPr>
          <w:sz w:val="24"/>
          <w:szCs w:val="24"/>
        </w:rPr>
        <w:t xml:space="preserve">. </w:t>
      </w:r>
      <w:bookmarkStart w:id="56" w:name="_Hlk38643133"/>
      <w:bookmarkStart w:id="57"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lastRenderedPageBreak/>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comprovação, pela 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1"/>
      <w:bookmarkEnd w:id="52"/>
      <w:bookmarkEnd w:id="56"/>
      <w:bookmarkEnd w:id="57"/>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58" w:name="_Ref488948143"/>
      <w:bookmarkEnd w:id="50"/>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(ii)</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58"/>
      <w:r w:rsidR="007A1520">
        <w:rPr>
          <w:i/>
          <w:iCs/>
          <w:sz w:val="24"/>
          <w:szCs w:val="24"/>
        </w:rPr>
        <w:t xml:space="preserve"> </w:t>
      </w:r>
    </w:p>
    <w:p w14:paraId="32F175FF" w14:textId="3B97CE7B"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59"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59"/>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w:t>
      </w:r>
      <w:r w:rsidR="00327B90" w:rsidRPr="00B5701E">
        <w:rPr>
          <w:sz w:val="24"/>
          <w:szCs w:val="24"/>
        </w:rPr>
        <w:lastRenderedPageBreak/>
        <w:t xml:space="preserve">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1C4B8DC8" w:rsidR="00A15273" w:rsidRDefault="00A15273" w:rsidP="00C83225">
      <w:pPr>
        <w:numPr>
          <w:ilvl w:val="5"/>
          <w:numId w:val="3"/>
        </w:numPr>
        <w:ind w:firstLine="0"/>
        <w:rPr>
          <w:sz w:val="24"/>
          <w:szCs w:val="24"/>
        </w:rPr>
      </w:pPr>
      <w:r>
        <w:rPr>
          <w:sz w:val="24"/>
          <w:szCs w:val="24"/>
        </w:rPr>
        <w:t xml:space="preserve">Na mesma data em que for celebrado o Contrato de Cessão Fiduciária, o Agente Fiduciário, na qualidade de representante dos Debenturistas, </w:t>
      </w:r>
      <w:r w:rsidR="00133300">
        <w:rPr>
          <w:sz w:val="24"/>
          <w:szCs w:val="24"/>
        </w:rPr>
        <w:t xml:space="preserve">a Companhia e a Alvear </w:t>
      </w:r>
      <w:r>
        <w:rPr>
          <w:sz w:val="24"/>
          <w:szCs w:val="24"/>
        </w:rPr>
        <w:t>celebrar</w:t>
      </w:r>
      <w:r w:rsidR="00133300">
        <w:rPr>
          <w:sz w:val="24"/>
          <w:szCs w:val="24"/>
        </w:rPr>
        <w:t>ão</w:t>
      </w:r>
      <w:r>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023447A1" w:rsidR="00880FA8" w:rsidRPr="00B5701E" w:rsidRDefault="00880FA8" w:rsidP="00C83225">
      <w:pPr>
        <w:numPr>
          <w:ilvl w:val="1"/>
          <w:numId w:val="3"/>
        </w:numPr>
        <w:rPr>
          <w:sz w:val="24"/>
          <w:szCs w:val="24"/>
        </w:rPr>
      </w:pPr>
      <w:bookmarkStart w:id="60" w:name="_Ref279826913"/>
      <w:bookmarkEnd w:id="53"/>
      <w:r w:rsidRPr="00B5701E">
        <w:rPr>
          <w:i/>
          <w:sz w:val="24"/>
          <w:szCs w:val="24"/>
        </w:rPr>
        <w:t>Data de Emissão</w:t>
      </w:r>
      <w:r w:rsidRPr="00B5701E">
        <w:rPr>
          <w:sz w:val="24"/>
          <w:szCs w:val="24"/>
        </w:rPr>
        <w:t>.</w:t>
      </w:r>
      <w:r w:rsidR="008771F4" w:rsidRPr="00B5701E">
        <w:rPr>
          <w:sz w:val="24"/>
          <w:szCs w:val="24"/>
        </w:rPr>
        <w:t xml:space="preserve"> </w:t>
      </w:r>
      <w:bookmarkStart w:id="61" w:name="_Hlk536798872"/>
      <w:r w:rsidRPr="00B5701E">
        <w:rPr>
          <w:sz w:val="24"/>
          <w:szCs w:val="24"/>
        </w:rPr>
        <w:t xml:space="preserve">Para todos os efeitos legais, a data de emissão das Debêntures será </w:t>
      </w:r>
      <w:r w:rsidR="00313FDE">
        <w:rPr>
          <w:sz w:val="24"/>
          <w:szCs w:val="24"/>
        </w:rPr>
        <w:t>4</w:t>
      </w:r>
      <w:r w:rsidR="006D4A9A" w:rsidRPr="00B5701E">
        <w:rPr>
          <w:sz w:val="24"/>
          <w:szCs w:val="24"/>
        </w:rPr>
        <w:t> de </w:t>
      </w:r>
      <w:r w:rsidR="00313FDE">
        <w:rPr>
          <w:sz w:val="24"/>
          <w:szCs w:val="24"/>
        </w:rPr>
        <w:t>dezembro</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2" w:name="_Ref535067474"/>
      <w:bookmarkEnd w:id="54"/>
      <w:bookmarkEnd w:id="55"/>
      <w:bookmarkEnd w:id="60"/>
      <w:bookmarkEnd w:id="61"/>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63" w:name="_Ref272250319"/>
      <w:r w:rsidRPr="00B5701E">
        <w:rPr>
          <w:i/>
          <w:sz w:val="24"/>
          <w:szCs w:val="24"/>
        </w:rPr>
        <w:t>Prazo</w:t>
      </w:r>
      <w:r w:rsidRPr="00B5701E">
        <w:rPr>
          <w:sz w:val="24"/>
          <w:szCs w:val="24"/>
        </w:rPr>
        <w:t>.</w:t>
      </w:r>
      <w:r w:rsidR="008771F4" w:rsidRPr="00B5701E">
        <w:rPr>
          <w:sz w:val="24"/>
          <w:szCs w:val="24"/>
        </w:rPr>
        <w:t xml:space="preserve"> </w:t>
      </w:r>
      <w:bookmarkStart w:id="64"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3"/>
      <w:bookmarkEnd w:id="64"/>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5" w:name="_Ref137107211"/>
      <w:bookmarkStart w:id="66" w:name="_Ref264551489"/>
      <w:bookmarkStart w:id="67" w:name="_Ref279826774"/>
      <w:r w:rsidRPr="00B5701E">
        <w:rPr>
          <w:i/>
          <w:sz w:val="24"/>
          <w:szCs w:val="24"/>
        </w:rPr>
        <w:t>Remuneração</w:t>
      </w:r>
      <w:r w:rsidRPr="00B5701E">
        <w:rPr>
          <w:sz w:val="24"/>
          <w:szCs w:val="24"/>
        </w:rPr>
        <w:t>.</w:t>
      </w:r>
      <w:bookmarkEnd w:id="65"/>
      <w:bookmarkEnd w:id="66"/>
      <w:r w:rsidR="008771F4" w:rsidRPr="00B5701E">
        <w:rPr>
          <w:sz w:val="24"/>
          <w:szCs w:val="24"/>
        </w:rPr>
        <w:t xml:space="preserve"> </w:t>
      </w:r>
      <w:bookmarkStart w:id="68" w:name="_Ref260242522"/>
      <w:bookmarkStart w:id="69" w:name="_Ref130286776"/>
      <w:bookmarkStart w:id="70" w:name="_Ref130611431"/>
      <w:bookmarkStart w:id="71" w:name="_Ref168843122"/>
      <w:bookmarkStart w:id="72"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7"/>
      <w:bookmarkEnd w:id="68"/>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3" w:name="_Hlk536799021"/>
      <w:bookmarkStart w:id="74"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3"/>
    </w:p>
    <w:p w14:paraId="31B9E2C5" w14:textId="51816F41" w:rsidR="00BD1AA0" w:rsidRPr="00B5701E" w:rsidRDefault="00C92AFF" w:rsidP="00C83225">
      <w:pPr>
        <w:numPr>
          <w:ilvl w:val="2"/>
          <w:numId w:val="3"/>
        </w:numPr>
        <w:tabs>
          <w:tab w:val="clear" w:pos="1701"/>
          <w:tab w:val="num" w:pos="993"/>
        </w:tabs>
        <w:ind w:left="709" w:firstLine="0"/>
        <w:rPr>
          <w:sz w:val="24"/>
          <w:szCs w:val="24"/>
        </w:rPr>
      </w:pPr>
      <w:bookmarkStart w:id="75" w:name="_Ref328665579"/>
      <w:bookmarkStart w:id="76" w:name="_Ref488948415"/>
      <w:bookmarkStart w:id="77" w:name="_Ref279828381"/>
      <w:bookmarkStart w:id="78"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79" w:name="_Hlk536799067"/>
      <w:r w:rsidR="009A42E6" w:rsidRPr="00B5701E">
        <w:rPr>
          <w:sz w:val="24"/>
          <w:szCs w:val="24"/>
        </w:rPr>
        <w:t>sobre o Valor Nominal Unitário</w:t>
      </w:r>
      <w:r w:rsidR="009A42E6">
        <w:rPr>
          <w:sz w:val="24"/>
          <w:szCs w:val="24"/>
        </w:rPr>
        <w:t xml:space="preserve"> </w:t>
      </w:r>
      <w:bookmarkStart w:id="80" w:name="_Hlk56060678"/>
      <w:r w:rsidR="009A42E6">
        <w:rPr>
          <w:sz w:val="24"/>
          <w:szCs w:val="24"/>
        </w:rPr>
        <w:t>ou saldo do Valor Nominal Unitário, conforme o caso,</w:t>
      </w:r>
      <w:r w:rsidR="009A42E6" w:rsidRPr="00B5701E">
        <w:rPr>
          <w:sz w:val="24"/>
          <w:szCs w:val="24"/>
        </w:rPr>
        <w:t xml:space="preserve"> </w:t>
      </w:r>
      <w:bookmarkEnd w:id="80"/>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w:t>
      </w:r>
      <w:r w:rsidR="009A42E6" w:rsidRPr="000B6633">
        <w:rPr>
          <w:sz w:val="24"/>
          <w:szCs w:val="24"/>
        </w:rPr>
        <w:lastRenderedPageBreak/>
        <w:t>a Primeira Data de Integralização (inclusive) 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de 2021 (inclusive) 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Dias Úteis no período entre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de 2021 (inclusive) 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de 2022 (inclusive) 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p.p. (um ponto percentual) a cada período semestral, cumulativa e sucessivamente, sempre </w:t>
      </w:r>
      <w:r w:rsidR="009A42E6">
        <w:rPr>
          <w:sz w:val="24"/>
          <w:szCs w:val="24"/>
        </w:rPr>
        <w:t>no dia</w:t>
      </w:r>
      <w:r w:rsidR="009A42E6" w:rsidRPr="000B6633">
        <w:rPr>
          <w:sz w:val="24"/>
          <w:szCs w:val="24"/>
        </w:rPr>
        <w:t xml:space="preserve"> [</w:t>
      </w:r>
      <w:r w:rsidR="009A42E6">
        <w:rPr>
          <w:sz w:val="24"/>
          <w:szCs w:val="24"/>
        </w:rPr>
        <w:t>4</w:t>
      </w:r>
      <w:r w:rsidR="009A42E6" w:rsidRPr="000B6633">
        <w:rPr>
          <w:sz w:val="24"/>
          <w:szCs w:val="24"/>
        </w:rPr>
        <w:t>] dos meses de [</w:t>
      </w:r>
      <w:r w:rsidR="009A42E6">
        <w:rPr>
          <w:sz w:val="24"/>
          <w:szCs w:val="24"/>
        </w:rPr>
        <w:t>junho</w:t>
      </w:r>
      <w:r w:rsidR="009A42E6" w:rsidRPr="000B6633">
        <w:rPr>
          <w:sz w:val="24"/>
          <w:szCs w:val="24"/>
        </w:rPr>
        <w:t>] e [</w:t>
      </w:r>
      <w:r w:rsidR="009A42E6">
        <w:rPr>
          <w:sz w:val="24"/>
          <w:szCs w:val="24"/>
        </w:rPr>
        <w:t>dezembro</w:t>
      </w:r>
      <w:r w:rsidR="009A42E6" w:rsidRPr="000B6633">
        <w:rPr>
          <w:sz w:val="24"/>
          <w:szCs w:val="24"/>
        </w:rPr>
        <w:t>] de cada ano (inclusive), limitado a 12,00% (doze por cento) ao ano, base 252 (duzentos e cinquenta e dois) Dias Úteis, a partir de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xml:space="preserve">] de </w:t>
      </w:r>
      <w:r w:rsidR="009A42E6">
        <w:rPr>
          <w:sz w:val="24"/>
          <w:szCs w:val="24"/>
        </w:rPr>
        <w:t>[2026]</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pro rata temporis</w:t>
      </w:r>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 dos meses de [•] e [•] de cada ano, sendo o primeiro pagamento devido em [•] de [•]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79"/>
      <w:r w:rsidR="00BD1AA0" w:rsidRPr="00B5701E">
        <w:rPr>
          <w:sz w:val="24"/>
          <w:szCs w:val="24"/>
        </w:rPr>
        <w:t>:</w:t>
      </w:r>
      <w:bookmarkEnd w:id="75"/>
      <w:r w:rsidR="00673866" w:rsidRPr="00B5701E">
        <w:rPr>
          <w:sz w:val="24"/>
          <w:szCs w:val="24"/>
        </w:rPr>
        <w:t xml:space="preserve"> </w:t>
      </w:r>
      <w:bookmarkEnd w:id="76"/>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6.5pt" o:ole="" fillcolor="window">
            <v:imagedata r:id="rId8" o:title=""/>
          </v:shape>
          <o:OLEObject Type="Embed" ProgID="Equation.3" ShapeID="_x0000_i1025" DrawAspect="Content" ObjectID="_1666808930" r:id="rId9"/>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25pt;height:52.5pt" o:ole="">
            <v:imagedata r:id="rId12" o:title=""/>
          </v:shape>
          <o:OLEObject Type="Embed" ProgID="Equation.3" ShapeID="_x0000_i1026" DrawAspect="Content" ObjectID="_1666808931" r:id="rId13"/>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B77140">
            <w:pPr>
              <w:jc w:val="center"/>
              <w:rPr>
                <w:sz w:val="22"/>
              </w:rPr>
            </w:pPr>
            <w:r>
              <w:rPr>
                <w:b/>
                <w:bCs/>
                <w:i/>
                <w:iCs/>
                <w:sz w:val="20"/>
              </w:rPr>
              <w:t>De (inclusive)</w:t>
            </w:r>
          </w:p>
        </w:tc>
        <w:tc>
          <w:tcPr>
            <w:tcW w:w="3685" w:type="dxa"/>
            <w:hideMark/>
          </w:tcPr>
          <w:p w14:paraId="0639A730" w14:textId="77777777" w:rsidR="00493369" w:rsidRPr="00B77140" w:rsidRDefault="00493369" w:rsidP="00B77140">
            <w:pPr>
              <w:jc w:val="center"/>
            </w:pPr>
            <w:r>
              <w:rPr>
                <w:b/>
                <w:bCs/>
                <w:i/>
                <w:iCs/>
                <w:sz w:val="20"/>
              </w:rPr>
              <w:t>Até (exclusive)</w:t>
            </w:r>
          </w:p>
        </w:tc>
        <w:tc>
          <w:tcPr>
            <w:tcW w:w="1134" w:type="dxa"/>
            <w:hideMark/>
          </w:tcPr>
          <w:p w14:paraId="6CCF9408" w14:textId="77777777" w:rsidR="00493369" w:rsidRPr="00B77140" w:rsidRDefault="00493369" w:rsidP="00B77140">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lastRenderedPageBreak/>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lastRenderedPageBreak/>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1" w:name="_Hlk55986972"/>
      <w:bookmarkStart w:id="82"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1"/>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3" w:name="_Ref495492067"/>
      <w:bookmarkStart w:id="84" w:name="_Ref286154048"/>
      <w:bookmarkEnd w:id="69"/>
      <w:bookmarkEnd w:id="70"/>
      <w:bookmarkEnd w:id="71"/>
      <w:bookmarkEnd w:id="74"/>
      <w:bookmarkEnd w:id="77"/>
      <w:bookmarkEnd w:id="78"/>
      <w:bookmarkEnd w:id="82"/>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3"/>
    </w:p>
    <w:p w14:paraId="5036297E" w14:textId="3811AFFF" w:rsidR="0052473B" w:rsidRPr="00B5701E" w:rsidRDefault="00151253" w:rsidP="00C83225">
      <w:pPr>
        <w:numPr>
          <w:ilvl w:val="5"/>
          <w:numId w:val="3"/>
        </w:numPr>
        <w:ind w:firstLine="0"/>
        <w:rPr>
          <w:sz w:val="24"/>
          <w:szCs w:val="24"/>
        </w:rPr>
      </w:pPr>
      <w:bookmarkStart w:id="85"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5"/>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6"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 xml:space="preserve">volte </w:t>
      </w:r>
      <w:r w:rsidRPr="00B5701E">
        <w:rPr>
          <w:sz w:val="24"/>
          <w:szCs w:val="24"/>
        </w:rPr>
        <w:lastRenderedPageBreak/>
        <w:t>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6"/>
      <w:r w:rsidR="00451125" w:rsidRPr="00B5701E">
        <w:rPr>
          <w:sz w:val="24"/>
          <w:szCs w:val="24"/>
        </w:rPr>
        <w:t xml:space="preserve"> </w:t>
      </w:r>
    </w:p>
    <w:bookmarkEnd w:id="84"/>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2E66B240" w:rsidR="00DB2AAF" w:rsidRDefault="00123214" w:rsidP="00C83225">
      <w:pPr>
        <w:numPr>
          <w:ilvl w:val="1"/>
          <w:numId w:val="3"/>
        </w:numPr>
        <w:rPr>
          <w:sz w:val="24"/>
          <w:szCs w:val="24"/>
        </w:rPr>
      </w:pPr>
      <w:bookmarkStart w:id="87" w:name="_Ref488955249"/>
      <w:bookmarkStart w:id="88" w:name="_Ref534176584"/>
      <w:bookmarkEnd w:id="62"/>
      <w:bookmarkEnd w:id="72"/>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89"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0" w:name="_Hlk54879117"/>
      <w:r w:rsidR="006F3B11">
        <w:rPr>
          <w:sz w:val="24"/>
          <w:szCs w:val="24"/>
        </w:rPr>
        <w:t>(sendo vedado o resgate parcial)</w:t>
      </w:r>
      <w:bookmarkEnd w:id="90"/>
      <w:r w:rsidR="005F2BBA" w:rsidRPr="00B5701E">
        <w:rPr>
          <w:sz w:val="24"/>
          <w:szCs w:val="24"/>
        </w:rPr>
        <w:t>, com o consequente cancelamento de tais Debêntures, mediante</w:t>
      </w:r>
      <w:bookmarkEnd w:id="87"/>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89"/>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p>
    <w:p w14:paraId="35B19795" w14:textId="0D41AF20" w:rsidR="00ED1F8A" w:rsidRPr="003E3870" w:rsidRDefault="00F85DE0" w:rsidP="00C83225">
      <w:pPr>
        <w:numPr>
          <w:ilvl w:val="1"/>
          <w:numId w:val="3"/>
        </w:numPr>
        <w:rPr>
          <w:i/>
          <w:sz w:val="24"/>
          <w:szCs w:val="24"/>
          <w:u w:val="single"/>
        </w:rPr>
      </w:pPr>
      <w:bookmarkStart w:id="91" w:name="_Hlk54692611"/>
      <w:bookmarkStart w:id="92" w:name="_Ref285570716"/>
      <w:bookmarkStart w:id="93" w:name="_Ref366061184"/>
      <w:bookmarkStart w:id="94"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5" w:name="_Hlk54879131"/>
      <w:r w:rsidR="00147AAC" w:rsidRPr="00147AAC">
        <w:rPr>
          <w:sz w:val="24"/>
          <w:szCs w:val="24"/>
        </w:rPr>
        <w:t xml:space="preserve">A Companhia poderá, a seu exclusivo critério, realizar, a qualquer tempo a partir, inclusive, de </w:t>
      </w:r>
      <w:r w:rsidR="00147AAC" w:rsidRPr="00B5701E">
        <w:rPr>
          <w:sz w:val="24"/>
          <w:szCs w:val="24"/>
        </w:rPr>
        <w:t>[•]</w:t>
      </w:r>
      <w:r w:rsidR="00147AAC" w:rsidRPr="00147AAC">
        <w:rPr>
          <w:sz w:val="24"/>
          <w:szCs w:val="24"/>
        </w:rPr>
        <w:t> de </w:t>
      </w:r>
      <w:r w:rsidR="00147AAC" w:rsidRPr="00B5701E">
        <w:rPr>
          <w:sz w:val="24"/>
          <w:szCs w:val="24"/>
        </w:rPr>
        <w:t>[•]</w:t>
      </w:r>
      <w:r w:rsidR="00147AAC" w:rsidRPr="00147AAC">
        <w:rPr>
          <w:sz w:val="24"/>
          <w:szCs w:val="24"/>
        </w:rPr>
        <w:t xml:space="preserve"> de 2021, e com </w:t>
      </w:r>
      <w:r w:rsidR="00147AAC" w:rsidRPr="00147AAC">
        <w:rPr>
          <w:sz w:val="24"/>
          <w:szCs w:val="24"/>
        </w:rPr>
        <w:lastRenderedPageBreak/>
        <w:t xml:space="preserve">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91"/>
      <w:bookmarkEnd w:id="95"/>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6"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0DBE2049" w:rsidR="00757A2E" w:rsidRPr="00B5701E" w:rsidRDefault="001D28DD" w:rsidP="00C83225">
      <w:pPr>
        <w:numPr>
          <w:ilvl w:val="1"/>
          <w:numId w:val="3"/>
        </w:numPr>
        <w:rPr>
          <w:sz w:val="24"/>
          <w:szCs w:val="24"/>
        </w:rPr>
      </w:pPr>
      <w:bookmarkStart w:id="97" w:name="_Ref286439163"/>
      <w:bookmarkStart w:id="98" w:name="_Ref302744040"/>
      <w:bookmarkStart w:id="99" w:name="_Ref306628854"/>
      <w:bookmarkEnd w:id="92"/>
      <w:bookmarkEnd w:id="93"/>
      <w:bookmarkEnd w:id="94"/>
      <w:bookmarkEnd w:id="96"/>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7"/>
      <w:bookmarkEnd w:id="98"/>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99"/>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0" w:name="_Ref488942306"/>
      <w:bookmarkStart w:id="101"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w:t>
      </w:r>
      <w:r w:rsidRPr="00B5701E">
        <w:rPr>
          <w:sz w:val="24"/>
          <w:szCs w:val="24"/>
        </w:rPr>
        <w:lastRenderedPageBreak/>
        <w:t xml:space="preserve">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0"/>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lastRenderedPageBreak/>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2"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1"/>
    </w:p>
    <w:p w14:paraId="09AF7D77" w14:textId="77777777" w:rsidR="00AC5A5C" w:rsidRPr="00B5701E" w:rsidRDefault="00AC5A5C" w:rsidP="00C83225">
      <w:pPr>
        <w:numPr>
          <w:ilvl w:val="1"/>
          <w:numId w:val="3"/>
        </w:numPr>
        <w:rPr>
          <w:sz w:val="24"/>
          <w:szCs w:val="24"/>
        </w:rPr>
      </w:pPr>
      <w:bookmarkStart w:id="103" w:name="_Hlk54692836"/>
      <w:bookmarkEnd w:id="102"/>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3"/>
      <w:r w:rsidRPr="00B5701E">
        <w:rPr>
          <w:sz w:val="24"/>
          <w:szCs w:val="24"/>
        </w:rPr>
        <w:t>.</w:t>
      </w:r>
    </w:p>
    <w:p w14:paraId="2C6CFCB9" w14:textId="5F336B25" w:rsidR="00AC5A5C" w:rsidRPr="00B5701E" w:rsidRDefault="00AC5A5C" w:rsidP="00C83225">
      <w:pPr>
        <w:numPr>
          <w:ilvl w:val="1"/>
          <w:numId w:val="3"/>
        </w:numPr>
        <w:rPr>
          <w:sz w:val="24"/>
          <w:szCs w:val="24"/>
        </w:rPr>
      </w:pPr>
      <w:bookmarkStart w:id="104" w:name="_Hlk54692869"/>
      <w:bookmarkStart w:id="105"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4"/>
      <w:r w:rsidR="00845659" w:rsidRPr="00B5701E">
        <w:rPr>
          <w:sz w:val="24"/>
          <w:szCs w:val="24"/>
        </w:rPr>
        <w:t xml:space="preserve">. </w:t>
      </w:r>
      <w:bookmarkEnd w:id="105"/>
    </w:p>
    <w:p w14:paraId="6C280B6A" w14:textId="06C537A9" w:rsidR="00AC5A5C" w:rsidRPr="00B5701E" w:rsidRDefault="00AC5A5C" w:rsidP="00C83225">
      <w:pPr>
        <w:numPr>
          <w:ilvl w:val="1"/>
          <w:numId w:val="3"/>
        </w:numPr>
        <w:rPr>
          <w:sz w:val="24"/>
          <w:szCs w:val="24"/>
        </w:rPr>
      </w:pPr>
      <w:bookmarkStart w:id="106"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6"/>
    </w:p>
    <w:p w14:paraId="574AC2EA" w14:textId="77777777" w:rsidR="00880FA8" w:rsidRPr="00B5701E" w:rsidRDefault="00880FA8" w:rsidP="00C83225">
      <w:pPr>
        <w:numPr>
          <w:ilvl w:val="1"/>
          <w:numId w:val="3"/>
        </w:numPr>
        <w:rPr>
          <w:sz w:val="24"/>
          <w:szCs w:val="24"/>
        </w:rPr>
      </w:pPr>
      <w:bookmarkStart w:id="107"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xml:space="preserve">, independentemente de aviso, </w:t>
      </w:r>
      <w:r w:rsidRPr="00B5701E">
        <w:rPr>
          <w:sz w:val="24"/>
          <w:szCs w:val="24"/>
        </w:rPr>
        <w:lastRenderedPageBreak/>
        <w:t>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7"/>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88"/>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08" w:name="_Ref534176672"/>
      <w:bookmarkStart w:id="109"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08"/>
      <w:r w:rsidR="003A548D" w:rsidRPr="00B5701E">
        <w:rPr>
          <w:sz w:val="24"/>
          <w:szCs w:val="24"/>
        </w:rPr>
        <w:t>.</w:t>
      </w:r>
      <w:bookmarkEnd w:id="109"/>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0"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0"/>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houver a falta de cumprimento pela Companhia, ou o vencimento antecipado de qualquer obrigação pecuniária firmada com instituições financeiras ou contratos celebrados no âmbito do mercado de capitais, </w:t>
      </w:r>
      <w:r w:rsidRPr="00B5701E">
        <w:rPr>
          <w:sz w:val="24"/>
          <w:szCs w:val="24"/>
        </w:rPr>
        <w:lastRenderedPageBreak/>
        <w:t>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1" w:name="_DV_M45"/>
      <w:bookmarkStart w:id="112" w:name="_Ref356481704"/>
      <w:bookmarkStart w:id="113" w:name="_Ref359943338"/>
      <w:bookmarkStart w:id="114" w:name="_Ref130283254"/>
      <w:bookmarkEnd w:id="111"/>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2"/>
      <w:bookmarkEnd w:id="113"/>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115"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w:t>
      </w:r>
      <w:r w:rsidRPr="00B5701E">
        <w:rPr>
          <w:sz w:val="24"/>
          <w:szCs w:val="24"/>
        </w:rPr>
        <w:lastRenderedPageBreak/>
        <w:t xml:space="preserve">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w:t>
      </w:r>
      <w:r w:rsidRPr="00F806F3">
        <w:rPr>
          <w:sz w:val="24"/>
          <w:szCs w:val="24"/>
        </w:rPr>
        <w:lastRenderedPageBreak/>
        <w:t xml:space="preserve">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6" w:name="_DV_M123"/>
      <w:bookmarkStart w:id="117" w:name="_DV_M285"/>
      <w:bookmarkStart w:id="118" w:name="_DV_M126"/>
      <w:bookmarkStart w:id="119" w:name="_Ref130283217"/>
      <w:bookmarkStart w:id="120" w:name="_Ref169028300"/>
      <w:bookmarkStart w:id="121" w:name="_Ref278369126"/>
      <w:bookmarkStart w:id="122" w:name="_Ref534176562"/>
      <w:bookmarkEnd w:id="114"/>
      <w:bookmarkEnd w:id="115"/>
      <w:bookmarkEnd w:id="116"/>
      <w:bookmarkEnd w:id="117"/>
      <w:bookmarkEnd w:id="118"/>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w:t>
      </w:r>
      <w:r w:rsidR="008A27CF" w:rsidRPr="00B5701E">
        <w:rPr>
          <w:sz w:val="24"/>
          <w:szCs w:val="24"/>
        </w:rPr>
        <w:lastRenderedPageBreak/>
        <w:t xml:space="preserve">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19"/>
      <w:bookmarkEnd w:id="120"/>
      <w:bookmarkEnd w:id="121"/>
    </w:p>
    <w:p w14:paraId="4991B1BB" w14:textId="09E0DEA4" w:rsidR="003A1BA4" w:rsidRPr="00B5701E" w:rsidRDefault="00794F0E" w:rsidP="00B5701E">
      <w:pPr>
        <w:ind w:left="709"/>
        <w:rPr>
          <w:sz w:val="24"/>
          <w:szCs w:val="24"/>
        </w:rPr>
      </w:pPr>
      <w:bookmarkStart w:id="123" w:name="_DV_C174"/>
      <w:bookmarkStart w:id="124"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2"/>
      <w:bookmarkEnd w:id="123"/>
      <w:bookmarkEnd w:id="124"/>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125" w:name="_Ref130283221"/>
      <w:bookmarkStart w:id="126" w:name="_Ref534176563"/>
      <w:bookmarkStart w:id="127"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5"/>
      <w:bookmarkEnd w:id="126"/>
      <w:bookmarkEnd w:id="127"/>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28" w:name="_Ref130286395"/>
      <w:bookmarkStart w:id="129"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 xml:space="preserve">não sejam suficientes para quitar simultaneamente todas as </w:t>
      </w:r>
      <w:r w:rsidR="00B13ED1" w:rsidRPr="00B5701E">
        <w:rPr>
          <w:sz w:val="24"/>
          <w:szCs w:val="24"/>
        </w:rPr>
        <w:lastRenderedPageBreak/>
        <w:t>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28"/>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29"/>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0" w:name="_Ref130390982"/>
    </w:p>
    <w:p w14:paraId="289AEAFD" w14:textId="4EAA8800" w:rsidR="00880FA8" w:rsidRPr="00B5701E" w:rsidRDefault="00794F0E" w:rsidP="00B5701E">
      <w:pPr>
        <w:ind w:left="709" w:hanging="709"/>
        <w:rPr>
          <w:sz w:val="24"/>
          <w:szCs w:val="24"/>
        </w:rPr>
      </w:pPr>
      <w:bookmarkStart w:id="131" w:name="_Ref279333767"/>
      <w:r w:rsidRPr="00B5701E">
        <w:rPr>
          <w:sz w:val="24"/>
          <w:szCs w:val="24"/>
        </w:rPr>
        <w:t>8.1.</w:t>
      </w:r>
      <w:r w:rsidRPr="00B5701E">
        <w:rPr>
          <w:sz w:val="24"/>
          <w:szCs w:val="24"/>
        </w:rPr>
        <w:tab/>
      </w:r>
      <w:bookmarkStart w:id="132"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0"/>
      <w:bookmarkEnd w:id="131"/>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3" w:name="_Hlk54879577"/>
      <w:r w:rsidR="00667C6F" w:rsidRPr="00B5701E">
        <w:rPr>
          <w:b/>
          <w:sz w:val="24"/>
          <w:szCs w:val="24"/>
        </w:rPr>
        <w:t xml:space="preserve"> </w:t>
      </w:r>
      <w:bookmarkEnd w:id="133"/>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xml:space="preserve">; e fornecer ao Agente Fiduciário, sempre </w:t>
      </w:r>
      <w:r w:rsidRPr="00B5701E">
        <w:rPr>
          <w:sz w:val="24"/>
          <w:szCs w:val="24"/>
        </w:rPr>
        <w:lastRenderedPageBreak/>
        <w:t>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4"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4"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5" w:name="_DV_M376"/>
      <w:bookmarkEnd w:id="134"/>
      <w:bookmarkEnd w:id="135"/>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6" w:name="_DV_C426"/>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de 60 (sessenta) dias consecutivos após o término de cada trimestre, exceto pelo 4º </w:t>
      </w:r>
      <w:r w:rsidRPr="00B5701E">
        <w:rPr>
          <w:sz w:val="24"/>
          <w:szCs w:val="24"/>
        </w:rPr>
        <w:lastRenderedPageBreak/>
        <w:t>trimestre que observará o prazo previsto no item (</w:t>
      </w:r>
      <w:r w:rsidR="00D93F23">
        <w:rPr>
          <w:sz w:val="24"/>
          <w:szCs w:val="24"/>
        </w:rPr>
        <w:t>b</w:t>
      </w:r>
      <w:r w:rsidRPr="00B5701E">
        <w:rPr>
          <w:sz w:val="24"/>
          <w:szCs w:val="24"/>
        </w:rPr>
        <w:t>) acima, ou a data da efetiva divulgação,</w:t>
      </w:r>
      <w:bookmarkEnd w:id="136"/>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7"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7"/>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5"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38" w:name="_DV_M403"/>
      <w:bookmarkEnd w:id="138"/>
      <w:r w:rsidR="009B25E7" w:rsidRPr="00B5701E">
        <w:rPr>
          <w:sz w:val="24"/>
          <w:szCs w:val="24"/>
        </w:rPr>
        <w:t xml:space="preserve"> </w:t>
      </w:r>
      <w:r w:rsidR="001F4C4F" w:rsidRPr="00B5701E">
        <w:rPr>
          <w:sz w:val="24"/>
          <w:szCs w:val="24"/>
        </w:rPr>
        <w:t>aos</w:t>
      </w:r>
      <w:bookmarkStart w:id="139"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39"/>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xml:space="preserve">, conforme Instrução CVM 583, informações financeiras, atos societários e organograma do grupo societário da Companhia (que deverá conter todas as Afiliadas e integrantes do bloco de Controle no encerramento de cada exercício social) e </w:t>
      </w:r>
      <w:r w:rsidR="00124180" w:rsidRPr="00B5701E">
        <w:rPr>
          <w:sz w:val="24"/>
          <w:szCs w:val="24"/>
        </w:rPr>
        <w:lastRenderedPageBreak/>
        <w:t>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0" w:name="_Ref350442302"/>
      <w:r w:rsidRPr="00B5701E">
        <w:rPr>
          <w:sz w:val="24"/>
          <w:szCs w:val="24"/>
        </w:rPr>
        <w:t>manter sempre atualizado o seu registro de companhia aberta junto à CVM, nos termos das normas, regulamentos e instruções da CVM aplicáveis;</w:t>
      </w:r>
      <w:bookmarkEnd w:id="140"/>
      <w:r w:rsidR="00375022">
        <w:rPr>
          <w:sz w:val="24"/>
          <w:szCs w:val="24"/>
        </w:rPr>
        <w:t xml:space="preserve"> </w:t>
      </w:r>
      <w:bookmarkStart w:id="141" w:name="_Hlk54879670"/>
      <w:r w:rsidR="009F0FB6">
        <w:rPr>
          <w:i/>
          <w:iCs/>
          <w:sz w:val="24"/>
          <w:szCs w:val="24"/>
        </w:rPr>
        <w:t xml:space="preserve"> </w:t>
      </w:r>
      <w:bookmarkEnd w:id="141"/>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obter, observar os termos, e praticar todos os atos necessários para </w:t>
      </w:r>
      <w:r w:rsidRPr="00B5701E">
        <w:rPr>
          <w:sz w:val="24"/>
          <w:szCs w:val="24"/>
        </w:rPr>
        <w:lastRenderedPageBreak/>
        <w:t>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2" w:name="_DV_M293"/>
      <w:bookmarkStart w:id="143" w:name="_DV_M294"/>
      <w:bookmarkStart w:id="144" w:name="_DV_M295"/>
      <w:bookmarkEnd w:id="142"/>
      <w:bookmarkEnd w:id="143"/>
      <w:bookmarkEnd w:id="144"/>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w:t>
      </w:r>
      <w:r w:rsidR="00065960" w:rsidRPr="00B5701E">
        <w:rPr>
          <w:sz w:val="24"/>
          <w:szCs w:val="24"/>
        </w:rPr>
        <w:lastRenderedPageBreak/>
        <w:t>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45"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 xml:space="preserve">divulgar as demonstrações financeiras subsequentes, acompanhadas de notas explicativas e relatório dos auditores </w:t>
      </w:r>
      <w:r w:rsidRPr="00B5701E">
        <w:rPr>
          <w:sz w:val="24"/>
          <w:szCs w:val="24"/>
        </w:rPr>
        <w:lastRenderedPageBreak/>
        <w:t>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132"/>
    <w:bookmarkEnd w:id="145"/>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w:t>
      </w:r>
      <w:r w:rsidR="000F6479" w:rsidRPr="00B5701E">
        <w:rPr>
          <w:sz w:val="24"/>
          <w:szCs w:val="24"/>
        </w:rPr>
        <w:lastRenderedPageBreak/>
        <w:t>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 xml:space="preserve">não tem, sob as penas de lei, qualquer impedimento legal, conforme o artigo 66, parágrafo 3º, da Lei das Sociedades por Ações, a </w:t>
      </w:r>
      <w:r w:rsidRPr="00B5701E">
        <w:rPr>
          <w:sz w:val="24"/>
          <w:szCs w:val="24"/>
        </w:rPr>
        <w:lastRenderedPageBreak/>
        <w:t>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6"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6"/>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7" w:name="_Ref130285900"/>
      <w:r w:rsidRPr="00B5701E">
        <w:rPr>
          <w:sz w:val="24"/>
          <w:szCs w:val="24"/>
        </w:rPr>
        <w:lastRenderedPageBreak/>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7"/>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48"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48"/>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49" w:name="_Ref264564354"/>
      <w:bookmarkStart w:id="150"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w:t>
      </w:r>
      <w:r w:rsidRPr="00B5701E">
        <w:rPr>
          <w:sz w:val="24"/>
          <w:szCs w:val="24"/>
        </w:rPr>
        <w:lastRenderedPageBreak/>
        <w:t>Emissão, ou enquanto o Agente Fiduciário representar os interesses dos Debenturistas, a qual será</w:t>
      </w:r>
      <w:r w:rsidR="00240E8D" w:rsidRPr="00B5701E">
        <w:rPr>
          <w:sz w:val="24"/>
          <w:szCs w:val="24"/>
        </w:rPr>
        <w:t>:</w:t>
      </w:r>
      <w:bookmarkEnd w:id="149"/>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1"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151"/>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lastRenderedPageBreak/>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3" w:name="_Ref130284022"/>
      <w:bookmarkEnd w:id="150"/>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 aprovação da Companhia</w:t>
      </w:r>
      <w:r w:rsidR="007B30F2" w:rsidRPr="00B5701E">
        <w:rPr>
          <w:sz w:val="24"/>
          <w:szCs w:val="24"/>
        </w:rPr>
        <w:t>, incluindo despesas com</w:t>
      </w:r>
      <w:r w:rsidRPr="00B5701E">
        <w:rPr>
          <w:sz w:val="24"/>
          <w:szCs w:val="24"/>
        </w:rPr>
        <w:t>:</w:t>
      </w:r>
      <w:bookmarkStart w:id="154" w:name="_Hlk1411411"/>
      <w:bookmarkEnd w:id="153"/>
      <w:r w:rsidR="001E5BB1">
        <w:rPr>
          <w:sz w:val="24"/>
          <w:szCs w:val="24"/>
        </w:rPr>
        <w:t xml:space="preserve"> </w:t>
      </w:r>
    </w:p>
    <w:bookmarkEnd w:id="15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lastRenderedPageBreak/>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5"/>
      <w:bookmarkEnd w:id="156"/>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7" w:name="_Ref164589409"/>
      <w:r w:rsidRPr="00B5701E">
        <w:rPr>
          <w:sz w:val="24"/>
          <w:szCs w:val="24"/>
        </w:rPr>
        <w:lastRenderedPageBreak/>
        <w:t>Além de outros previstos em lei, na regulamentação da CVM e nesta Escritura de Emissão, constituem deveres e atribuições do Agente Fiduciário:</w:t>
      </w:r>
      <w:bookmarkEnd w:id="157"/>
    </w:p>
    <w:p w14:paraId="074125BF" w14:textId="77777777" w:rsidR="00F07CEA" w:rsidRPr="00B5701E" w:rsidRDefault="00C72A7C" w:rsidP="00C83225">
      <w:pPr>
        <w:numPr>
          <w:ilvl w:val="2"/>
          <w:numId w:val="12"/>
        </w:numPr>
        <w:rPr>
          <w:sz w:val="24"/>
          <w:szCs w:val="24"/>
        </w:rPr>
      </w:pPr>
      <w:bookmarkStart w:id="15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lastRenderedPageBreak/>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59" w:name="_Ref480236077"/>
      <w:r w:rsidRPr="00B5701E">
        <w:rPr>
          <w:sz w:val="24"/>
          <w:szCs w:val="24"/>
        </w:rPr>
        <w:lastRenderedPageBreak/>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0" w:name="_Ref264564739"/>
      <w:bookmarkStart w:id="16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58"/>
      <w:bookmarkEnd w:id="160"/>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161"/>
    </w:p>
    <w:p w14:paraId="5F9777B6" w14:textId="0EE20166" w:rsidR="00880FA8" w:rsidRPr="00B5701E" w:rsidRDefault="00A14B52" w:rsidP="00B5701E">
      <w:pPr>
        <w:ind w:left="1701" w:hanging="992"/>
        <w:rPr>
          <w:sz w:val="24"/>
          <w:szCs w:val="24"/>
        </w:rPr>
      </w:pPr>
      <w:bookmarkStart w:id="16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3" w:name="_Ref130286643"/>
      <w:r w:rsidRPr="00B5701E">
        <w:rPr>
          <w:sz w:val="24"/>
          <w:szCs w:val="24"/>
        </w:rPr>
        <w:t>tomar quaisquer outras providências necessárias para que os Debenturistas realizem seus créditos; e</w:t>
      </w:r>
      <w:bookmarkEnd w:id="163"/>
    </w:p>
    <w:p w14:paraId="00B14DAD" w14:textId="2FF95BAF" w:rsidR="00880FA8" w:rsidRPr="00B5701E" w:rsidRDefault="00880FA8" w:rsidP="00C83225">
      <w:pPr>
        <w:numPr>
          <w:ilvl w:val="2"/>
          <w:numId w:val="10"/>
        </w:numPr>
        <w:tabs>
          <w:tab w:val="clear" w:pos="1701"/>
          <w:tab w:val="num" w:pos="709"/>
        </w:tabs>
        <w:rPr>
          <w:sz w:val="24"/>
          <w:szCs w:val="24"/>
        </w:rPr>
      </w:pPr>
      <w:bookmarkStart w:id="16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4"/>
    </w:p>
    <w:p w14:paraId="19C7419E" w14:textId="77777777" w:rsidR="002761AA" w:rsidRPr="00B5701E" w:rsidRDefault="002761AA" w:rsidP="00C83225">
      <w:pPr>
        <w:numPr>
          <w:ilvl w:val="1"/>
          <w:numId w:val="13"/>
        </w:numPr>
        <w:ind w:left="709" w:hanging="709"/>
        <w:rPr>
          <w:sz w:val="24"/>
          <w:szCs w:val="24"/>
        </w:rPr>
      </w:pPr>
      <w:r w:rsidRPr="00B5701E">
        <w:rPr>
          <w:sz w:val="24"/>
          <w:szCs w:val="24"/>
        </w:rPr>
        <w:lastRenderedPageBreak/>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5"/>
    </w:p>
    <w:p w14:paraId="780D78AF" w14:textId="58E38A40" w:rsidR="00880FA8" w:rsidRPr="00B5701E" w:rsidRDefault="009D1E6C" w:rsidP="00C83225">
      <w:pPr>
        <w:numPr>
          <w:ilvl w:val="1"/>
          <w:numId w:val="14"/>
        </w:numPr>
        <w:ind w:left="709" w:hanging="709"/>
        <w:rPr>
          <w:sz w:val="24"/>
          <w:szCs w:val="24"/>
        </w:rPr>
      </w:pPr>
      <w:bookmarkStart w:id="16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7"/>
    </w:p>
    <w:p w14:paraId="4447C72D" w14:textId="6B426BB9" w:rsidR="00880FA8" w:rsidRPr="00B5701E" w:rsidRDefault="002400F1" w:rsidP="00C83225">
      <w:pPr>
        <w:numPr>
          <w:ilvl w:val="1"/>
          <w:numId w:val="14"/>
        </w:numPr>
        <w:ind w:left="709" w:hanging="709"/>
        <w:rPr>
          <w:sz w:val="24"/>
          <w:szCs w:val="24"/>
        </w:rPr>
      </w:pPr>
      <w:r w:rsidRPr="00B5701E">
        <w:rPr>
          <w:sz w:val="24"/>
          <w:szCs w:val="24"/>
        </w:rPr>
        <w:lastRenderedPageBreak/>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67D4B3D" w:rsidR="00880FA8" w:rsidRPr="00B5701E" w:rsidRDefault="002400F1" w:rsidP="00C83225">
      <w:pPr>
        <w:numPr>
          <w:ilvl w:val="1"/>
          <w:numId w:val="14"/>
        </w:numPr>
        <w:ind w:left="709" w:hanging="709"/>
        <w:rPr>
          <w:sz w:val="24"/>
          <w:szCs w:val="24"/>
        </w:rPr>
      </w:pPr>
      <w:bookmarkStart w:id="16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w:t>
      </w:r>
      <w:r w:rsidR="009A42E6">
        <w:rPr>
          <w:sz w:val="24"/>
          <w:szCs w:val="24"/>
        </w:rPr>
        <w:t>est</w:t>
      </w:r>
      <w:r w:rsidRPr="00B5701E">
        <w:rPr>
          <w:sz w:val="24"/>
          <w:szCs w:val="24"/>
        </w:rPr>
        <w:t xml:space="preserve">a </w:t>
      </w:r>
      <w:r w:rsidR="00880FA8" w:rsidRPr="00B5701E">
        <w:rPr>
          <w:sz w:val="24"/>
          <w:szCs w:val="24"/>
        </w:rPr>
        <w:t>Cláusula </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6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w:t>
      </w:r>
      <w:r w:rsidRPr="00B5701E">
        <w:rPr>
          <w:sz w:val="24"/>
          <w:szCs w:val="24"/>
        </w:rPr>
        <w:lastRenderedPageBreak/>
        <w:t>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6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0" w:name="_Ref147910921"/>
      <w:r w:rsidRPr="00B5701E">
        <w:rPr>
          <w:smallCaps/>
          <w:sz w:val="24"/>
          <w:szCs w:val="24"/>
          <w:u w:val="single"/>
        </w:rPr>
        <w:t>Declarações da Co</w:t>
      </w:r>
      <w:r w:rsidRPr="00670106">
        <w:rPr>
          <w:smallCaps/>
          <w:sz w:val="24"/>
          <w:szCs w:val="24"/>
          <w:u w:val="single"/>
        </w:rPr>
        <w:t>mpanhia</w:t>
      </w:r>
      <w:bookmarkEnd w:id="170"/>
    </w:p>
    <w:p w14:paraId="040D208D" w14:textId="1E0E50DD" w:rsidR="00880FA8" w:rsidRPr="0000021D" w:rsidRDefault="00880FA8" w:rsidP="00C83225">
      <w:pPr>
        <w:numPr>
          <w:ilvl w:val="1"/>
          <w:numId w:val="14"/>
        </w:numPr>
        <w:ind w:left="709" w:hanging="709"/>
        <w:rPr>
          <w:b/>
          <w:bCs/>
          <w:sz w:val="24"/>
          <w:szCs w:val="24"/>
        </w:rPr>
      </w:pPr>
      <w:bookmarkStart w:id="17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69"/>
      <w:bookmarkEnd w:id="171"/>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2"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w:t>
      </w:r>
      <w:r w:rsidRPr="00B5701E">
        <w:rPr>
          <w:rFonts w:ascii="Times New Roman" w:hAnsi="Times New Roman" w:cs="Times New Roman"/>
        </w:rPr>
        <w:lastRenderedPageBreak/>
        <w:t>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73"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173"/>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74"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74"/>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inexiste, no melhor do seu conhecimento, violação ou indício de violação de qualquer dispositivo da Legislação Anticorrupção pela Companhia e/ou por qualquer de suas Controladas, Controladoras ou sociedades sob Controle comum;</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175" w:name="_Hlk536810430"/>
      <w:bookmarkEnd w:id="172"/>
      <w:r w:rsidRPr="00B5701E" w:rsidDel="00933D1E">
        <w:rPr>
          <w:sz w:val="24"/>
          <w:szCs w:val="24"/>
        </w:rPr>
        <w:t xml:space="preserve"> </w:t>
      </w:r>
      <w:bookmarkStart w:id="176"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76"/>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75"/>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77" w:name="_Ref384312323"/>
      <w:r w:rsidRPr="00B5701E">
        <w:rPr>
          <w:smallCaps/>
          <w:sz w:val="24"/>
          <w:szCs w:val="24"/>
          <w:u w:val="single"/>
        </w:rPr>
        <w:t>Comunicações</w:t>
      </w:r>
      <w:bookmarkEnd w:id="177"/>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xml:space="preserve">, e serão consideradas </w:t>
      </w:r>
      <w:r w:rsidRPr="00B5701E">
        <w:rPr>
          <w:sz w:val="24"/>
          <w:szCs w:val="24"/>
        </w:rPr>
        <w:lastRenderedPageBreak/>
        <w:t>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78" w:name="_Hlk536811816"/>
      <w:r w:rsidRPr="00B5701E">
        <w:rPr>
          <w:smallCaps/>
          <w:sz w:val="24"/>
          <w:szCs w:val="24"/>
        </w:rPr>
        <w:t>BR Malls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6"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7"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78"/>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lastRenderedPageBreak/>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79" w:name="_Ref279318438"/>
      <w:r w:rsidRPr="00B5701E">
        <w:rPr>
          <w:smallCaps/>
          <w:sz w:val="24"/>
          <w:szCs w:val="24"/>
          <w:u w:val="single"/>
        </w:rPr>
        <w:lastRenderedPageBreak/>
        <w:t>Foro</w:t>
      </w:r>
      <w:bookmarkEnd w:id="179"/>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429066BA"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9A42E6">
        <w:rPr>
          <w:sz w:val="24"/>
          <w:szCs w:val="24"/>
        </w:rPr>
        <w:t>3</w:t>
      </w:r>
      <w:r w:rsidR="00AB7751" w:rsidRPr="00B5701E">
        <w:rPr>
          <w:sz w:val="24"/>
          <w:szCs w:val="24"/>
        </w:rPr>
        <w:t> (</w:t>
      </w:r>
      <w:r w:rsidR="009A42E6">
        <w:rPr>
          <w:sz w:val="24"/>
          <w:szCs w:val="24"/>
        </w:rPr>
        <w:t>três</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FA0D07">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tcPr>
          <w:p w14:paraId="33CE1EC0" w14:textId="38C1C6D0" w:rsidR="00050786" w:rsidRPr="00B5701E" w:rsidRDefault="00050786"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CF4D9D9"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58565430"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19"/>
      <w:headerReference w:type="default" r:id="rId20"/>
      <w:footerReference w:type="even" r:id="rId21"/>
      <w:footerReference w:type="default" r:id="rId22"/>
      <w:headerReference w:type="first" r:id="rId23"/>
      <w:footerReference w:type="first" r:id="rId24"/>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DE35" w14:textId="77777777" w:rsidR="005672DD" w:rsidRDefault="005672DD">
      <w:r>
        <w:separator/>
      </w:r>
    </w:p>
  </w:endnote>
  <w:endnote w:type="continuationSeparator" w:id="0">
    <w:p w14:paraId="1524C200" w14:textId="77777777" w:rsidR="005672DD" w:rsidRDefault="005672DD">
      <w:r>
        <w:continuationSeparator/>
      </w:r>
    </w:p>
  </w:endnote>
  <w:endnote w:type="continuationNotice" w:id="1">
    <w:p w14:paraId="4B398071" w14:textId="77777777" w:rsidR="005672DD" w:rsidRDefault="005672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936143" w:rsidRDefault="00936143">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936143" w:rsidRDefault="0093614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BA22" w14:textId="77777777" w:rsidR="00936143" w:rsidRPr="008D0F9C" w:rsidRDefault="00936143"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17FD0" w14:textId="77777777" w:rsidR="00E140F5" w:rsidRDefault="00E140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2362" w14:textId="77777777" w:rsidR="005672DD" w:rsidRDefault="005672DD">
      <w:r>
        <w:separator/>
      </w:r>
    </w:p>
  </w:footnote>
  <w:footnote w:type="continuationSeparator" w:id="0">
    <w:p w14:paraId="0EC5C4B8" w14:textId="77777777" w:rsidR="005672DD" w:rsidRDefault="005672DD">
      <w:r>
        <w:continuationSeparator/>
      </w:r>
    </w:p>
  </w:footnote>
  <w:footnote w:type="continuationNotice" w:id="1">
    <w:p w14:paraId="4AEE23E4" w14:textId="77777777" w:rsidR="005672DD" w:rsidRDefault="005672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936143" w:rsidRDefault="00936143">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936143" w:rsidRDefault="0093614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FADD" w14:textId="77777777" w:rsidR="00E140F5" w:rsidRDefault="00E140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BE41D" w14:textId="2AE7DC3D" w:rsidR="00936143" w:rsidRDefault="00936143"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Versão Sign Off</w:t>
    </w:r>
  </w:p>
  <w:p w14:paraId="7CA8C5B6" w14:textId="02E8A71C" w:rsidR="00936143" w:rsidRDefault="00936143" w:rsidP="000F2A45">
    <w:pPr>
      <w:pStyle w:val="Cabealho"/>
      <w:spacing w:after="0"/>
      <w:jc w:val="right"/>
      <w:rPr>
        <w:smallCaps/>
        <w:sz w:val="24"/>
        <w:szCs w:val="24"/>
      </w:rPr>
    </w:pPr>
    <w:r>
      <w:rPr>
        <w:bCs/>
        <w:smallCaps/>
        <w:sz w:val="24"/>
        <w:szCs w:val="24"/>
      </w:rPr>
      <w:t>13</w:t>
    </w:r>
    <w:r w:rsidRPr="000F444A">
      <w:rPr>
        <w:smallCaps/>
        <w:sz w:val="24"/>
        <w:szCs w:val="24"/>
      </w:rPr>
      <w:t>.11.2020</w:t>
    </w:r>
  </w:p>
  <w:p w14:paraId="6DA8A5A6" w14:textId="04388640" w:rsidR="00936143" w:rsidRPr="00B5701E" w:rsidRDefault="00936143"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936143" w:rsidRPr="00B31825" w:rsidRDefault="00936143"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3A31"/>
    <w:rsid w:val="003D4F0E"/>
    <w:rsid w:val="003D57E0"/>
    <w:rsid w:val="003D5D07"/>
    <w:rsid w:val="003D5E9F"/>
    <w:rsid w:val="003D5F51"/>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oleObject" Target="embeddings/oleObject2.bin" Id="rId13" /><Relationship Type="http://schemas.openxmlformats.org/officeDocument/2006/relationships/hyperlink" Target="mailto:gd_juridico@brmalls.com.br"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hyperlink" Target="mailto:gd_financeiro@brmalls.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frederico.villa@brmalls.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http://www.brmalls.com.br/ri"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brmalls.com.br/ri" TargetMode="External" Id="rId14" /><Relationship Type="http://schemas.openxmlformats.org/officeDocument/2006/relationships/footer" Target="footer2.xml" Id="rId22"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 R J ! 1 9 0 4 2 5 6 . 2 4 < / d o c u m e n t i d >  
     < s e n d e r i d > R A N N A . F R O T A < / s e n d e r i d >  
     < s e n d e r e m a i l > R F R O T A @ P I N H E I R O G U I M A R A E S . C O M . B R < / s e n d e r e m a i l >  
     < l a s t m o d i f i e d > 2 0 2 0 - 1 1 - 1 3 T 2 1 : 4 1 : 0 0 . 0 0 0 0 0 0 0 - 0 3 : 0 0 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0938-5440-4BD1-928D-9832B5F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18610</Words>
  <Characters>100496</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118869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Ranna Frota Vianna</cp:lastModifiedBy>
  <cp:revision>4</cp:revision>
  <cp:lastPrinted>2019-03-07T16:17:00Z</cp:lastPrinted>
  <dcterms:created xsi:type="dcterms:W3CDTF">2020-11-14T00:41:00Z</dcterms:created>
  <dcterms:modified xsi:type="dcterms:W3CDTF">2020-11-14T00:41:00Z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1904256v11</vt:lpwstr>
  </property>
</Properties>
</file>