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4540" w14:textId="4F139529" w:rsidR="00CD5BB0" w:rsidRPr="00A82435" w:rsidRDefault="006233C8" w:rsidP="00CD5BB0">
      <w:pPr>
        <w:jc w:val="right"/>
      </w:pPr>
      <w:r>
        <w:t>São Paulo</w:t>
      </w:r>
      <w:r w:rsidR="00CD5BB0" w:rsidRPr="00A82435">
        <w:t xml:space="preserve">, </w:t>
      </w:r>
      <w:r w:rsidR="00CD5BB0">
        <w:t>[</w:t>
      </w:r>
      <w:r w:rsidR="004450CF" w:rsidRPr="004450CF">
        <w:rPr>
          <w:highlight w:val="yellow"/>
        </w:rPr>
        <w:t>data</w:t>
      </w:r>
      <w:r w:rsidR="00CD5BB0">
        <w:t>]</w:t>
      </w:r>
      <w:r w:rsidR="00CD5BB0" w:rsidRPr="00A82435">
        <w:t>.</w:t>
      </w:r>
    </w:p>
    <w:p w14:paraId="7E67A674" w14:textId="2B48323D" w:rsidR="001C4DA1" w:rsidRPr="001C4DA1" w:rsidRDefault="00CD5BB0" w:rsidP="001C4DA1">
      <w:pPr>
        <w:spacing w:after="0"/>
      </w:pPr>
      <w:r w:rsidRPr="00CD5BB0">
        <w:rPr>
          <w:bCs/>
        </w:rPr>
        <w:t>À</w:t>
      </w:r>
      <w:r>
        <w:rPr>
          <w:bCs/>
        </w:rPr>
        <w:br/>
      </w:r>
      <w:r w:rsidR="001C4DA1">
        <w:rPr>
          <w:b/>
        </w:rPr>
        <w:t>Simplific Pavarini Distribuidora de Títulos e Valores Mobiliários Ltda.</w:t>
      </w:r>
      <w:r>
        <w:rPr>
          <w:b/>
        </w:rPr>
        <w:br/>
      </w:r>
      <w:r w:rsidR="001C4DA1" w:rsidRPr="001C4DA1">
        <w:t>Rua Joaquim Floriano 466, sala 1401 - Itaim Bibi</w:t>
      </w:r>
    </w:p>
    <w:p w14:paraId="0BBC27A1" w14:textId="2B38BA3A" w:rsidR="001C4DA1" w:rsidRPr="001C4DA1" w:rsidRDefault="001C4DA1" w:rsidP="001C4DA1">
      <w:pPr>
        <w:spacing w:after="0"/>
      </w:pPr>
      <w:r w:rsidRPr="001C4DA1">
        <w:t>04534-002 – São Paulo - SP</w:t>
      </w:r>
    </w:p>
    <w:p w14:paraId="64A28DC7" w14:textId="7DC7B4DD" w:rsidR="00CD5BB0" w:rsidRDefault="00CD5BB0" w:rsidP="00CD5BB0">
      <w:pPr>
        <w:rPr>
          <w:bCs/>
        </w:rPr>
      </w:pPr>
      <w:r w:rsidRPr="00CD5BB0">
        <w:rPr>
          <w:bCs/>
        </w:rPr>
        <w:t xml:space="preserve">A/C: </w:t>
      </w:r>
      <w:r w:rsidR="001C4DA1">
        <w:rPr>
          <w:bCs/>
        </w:rPr>
        <w:t>Matheus Gomes Faria e Pedro Paulo Oliveira</w:t>
      </w:r>
    </w:p>
    <w:p w14:paraId="088932E1" w14:textId="357CE872" w:rsidR="00CD5BB0" w:rsidRPr="001C4DA1" w:rsidRDefault="00CD5BB0" w:rsidP="00D457F3">
      <w:pPr>
        <w:spacing w:before="480" w:after="480"/>
        <w:ind w:left="2829"/>
        <w:jc w:val="both"/>
        <w:rPr>
          <w:b/>
        </w:rPr>
      </w:pPr>
      <w:r w:rsidRPr="004450CF">
        <w:rPr>
          <w:b/>
        </w:rPr>
        <w:t xml:space="preserve">Ref.: </w:t>
      </w:r>
      <w:r w:rsidR="001C4DA1">
        <w:rPr>
          <w:b/>
        </w:rPr>
        <w:t xml:space="preserve">Valor </w:t>
      </w:r>
      <w:r w:rsidR="001C4DA1" w:rsidRPr="001C4DA1">
        <w:rPr>
          <w:b/>
        </w:rPr>
        <w:t xml:space="preserve">das Ações Alienadas Fiduciariamente no âmbito da 2ª(Segunda) Emissão de Debêntures da </w:t>
      </w:r>
      <w:proofErr w:type="spellStart"/>
      <w:r w:rsidR="001C4DA1" w:rsidRPr="001C4DA1">
        <w:rPr>
          <w:b/>
        </w:rPr>
        <w:t>BRVias</w:t>
      </w:r>
      <w:proofErr w:type="spellEnd"/>
      <w:r w:rsidR="001C4DA1" w:rsidRPr="001C4DA1">
        <w:rPr>
          <w:b/>
        </w:rPr>
        <w:t xml:space="preserve"> Holding TBR S.A.</w:t>
      </w:r>
    </w:p>
    <w:p w14:paraId="12719DAF" w14:textId="00218F6F" w:rsidR="00CD5BB0" w:rsidRPr="00A82435" w:rsidRDefault="00CD5BB0" w:rsidP="00CD5BB0">
      <w:r>
        <w:tab/>
      </w:r>
      <w:r w:rsidRPr="00A82435">
        <w:t>Prezados Senhores</w:t>
      </w:r>
      <w:r w:rsidR="005201CB">
        <w:t>,</w:t>
      </w:r>
    </w:p>
    <w:p w14:paraId="1EFBA823" w14:textId="29C0A907" w:rsidR="00804A37" w:rsidRDefault="00CD5BB0" w:rsidP="0055426A">
      <w:pPr>
        <w:jc w:val="both"/>
      </w:pPr>
      <w:r>
        <w:tab/>
      </w:r>
      <w:r w:rsidRPr="00A82435">
        <w:t>Fazemos referência</w:t>
      </w:r>
      <w:r w:rsidR="007D6222">
        <w:t xml:space="preserve"> </w:t>
      </w:r>
      <w:r w:rsidR="00804A37">
        <w:t xml:space="preserve">ao </w:t>
      </w:r>
      <w:r w:rsidR="0055426A">
        <w:t>(i) </w:t>
      </w:r>
      <w:r w:rsidR="00804A37">
        <w:t>“</w:t>
      </w:r>
      <w:r w:rsidR="00804A37" w:rsidRPr="00804A37">
        <w:rPr>
          <w:i/>
          <w:iCs/>
        </w:rPr>
        <w:t xml:space="preserve">Instrumento Particular de Escritura da </w:t>
      </w:r>
      <w:r w:rsidR="00804A37">
        <w:rPr>
          <w:i/>
          <w:iCs/>
        </w:rPr>
        <w:t>2</w:t>
      </w:r>
      <w:r w:rsidR="00804A37" w:rsidRPr="00804A37">
        <w:rPr>
          <w:i/>
          <w:iCs/>
        </w:rPr>
        <w:t>ª(</w:t>
      </w:r>
      <w:r w:rsidR="00804A37">
        <w:rPr>
          <w:i/>
          <w:iCs/>
        </w:rPr>
        <w:t>Segunda</w:t>
      </w:r>
      <w:r w:rsidR="00804A37" w:rsidRPr="00804A37">
        <w:rPr>
          <w:i/>
          <w:iCs/>
        </w:rPr>
        <w:t xml:space="preserve">) Emissão de Debêntures Simples, Não Conversíveis em Ações, da Espécie Com Garantia Real, Com Garantia Adicional Fidejussória, em Série Única, para Colocação Privada, </w:t>
      </w:r>
      <w:r w:rsidR="00804A37">
        <w:rPr>
          <w:i/>
          <w:iCs/>
        </w:rPr>
        <w:t>d</w:t>
      </w:r>
      <w:r w:rsidR="00804A37" w:rsidRPr="00804A37">
        <w:rPr>
          <w:i/>
          <w:iCs/>
        </w:rPr>
        <w:t xml:space="preserve">a </w:t>
      </w:r>
      <w:proofErr w:type="spellStart"/>
      <w:r w:rsidR="001E1A8E">
        <w:rPr>
          <w:i/>
          <w:iCs/>
        </w:rPr>
        <w:t>BRVias</w:t>
      </w:r>
      <w:proofErr w:type="spellEnd"/>
      <w:r w:rsidR="001E1A8E">
        <w:rPr>
          <w:i/>
          <w:iCs/>
        </w:rPr>
        <w:t xml:space="preserve"> Holding TBR</w:t>
      </w:r>
      <w:r w:rsidR="00804A37" w:rsidRPr="00804A37">
        <w:rPr>
          <w:i/>
          <w:iCs/>
        </w:rPr>
        <w:t xml:space="preserve"> S.A.</w:t>
      </w:r>
      <w:r w:rsidR="00804A37">
        <w:t>”</w:t>
      </w:r>
      <w:r w:rsidR="001E1A8E">
        <w:t>, celebrada em [</w:t>
      </w:r>
      <w:r w:rsidR="001E1A8E" w:rsidRPr="00804A37">
        <w:rPr>
          <w:highlight w:val="yellow"/>
        </w:rPr>
        <w:t>20 de julho de 2021</w:t>
      </w:r>
      <w:r w:rsidR="001E1A8E">
        <w:t xml:space="preserve">], entre a </w:t>
      </w:r>
      <w:proofErr w:type="spellStart"/>
      <w:r w:rsidR="001E1A8E">
        <w:t>BRVias</w:t>
      </w:r>
      <w:proofErr w:type="spellEnd"/>
      <w:r w:rsidR="001E1A8E">
        <w:t xml:space="preserve"> Holding TBR S.A. (“</w:t>
      </w:r>
      <w:proofErr w:type="spellStart"/>
      <w:r w:rsidR="001E1A8E" w:rsidRPr="001E1A8E">
        <w:rPr>
          <w:u w:val="single"/>
        </w:rPr>
        <w:t>BRVias</w:t>
      </w:r>
      <w:proofErr w:type="spellEnd"/>
      <w:r w:rsidR="001E1A8E">
        <w:t>”), na qualidade de emissora, a Juno</w:t>
      </w:r>
      <w:r w:rsidR="005E16D5">
        <w:t xml:space="preserve"> Participações e Investimentos S.A. (“</w:t>
      </w:r>
      <w:r w:rsidR="005E16D5" w:rsidRPr="00804A37">
        <w:rPr>
          <w:u w:val="single"/>
        </w:rPr>
        <w:t>Juno</w:t>
      </w:r>
      <w:r w:rsidR="005E16D5">
        <w:t>”);</w:t>
      </w:r>
      <w:r w:rsidR="001E1A8E">
        <w:t xml:space="preserve"> a </w:t>
      </w:r>
      <w:proofErr w:type="spellStart"/>
      <w:r w:rsidR="001E1A8E">
        <w:t>Dable</w:t>
      </w:r>
      <w:proofErr w:type="spellEnd"/>
      <w:r w:rsidR="001E1A8E">
        <w:t xml:space="preserve"> Participações Ltda. e a TPI</w:t>
      </w:r>
      <w:r w:rsidR="001B64D2">
        <w:t xml:space="preserve"> – Triunfo Participações e Investimentos S.A. (“TPI”)</w:t>
      </w:r>
      <w:r w:rsidR="001E1A8E">
        <w:t xml:space="preserve">, na qualidade de fiadoras, </w:t>
      </w:r>
      <w:r w:rsidR="001B64D2">
        <w:t>a Simplific Pavarini Distribuidora de Títulos e Valores Mobiliários Ltda. (</w:t>
      </w:r>
      <w:r w:rsidR="00072C43">
        <w:t>“</w:t>
      </w:r>
      <w:r w:rsidR="001E1A8E" w:rsidRPr="00072C43">
        <w:rPr>
          <w:u w:val="single"/>
        </w:rPr>
        <w:t>Agente Fiduciário</w:t>
      </w:r>
      <w:r w:rsidR="001B64D2">
        <w:t>”), na qualidade de agente fiduciário</w:t>
      </w:r>
      <w:r w:rsidR="00072C43">
        <w:t>,</w:t>
      </w:r>
      <w:r w:rsidR="001B64D2">
        <w:t xml:space="preserve"> e a</w:t>
      </w:r>
      <w:r w:rsidR="001E1A8E">
        <w:t xml:space="preserve"> </w:t>
      </w:r>
      <w:r w:rsidR="001B64D2" w:rsidRPr="00804A37">
        <w:rPr>
          <w:highlight w:val="yellow"/>
        </w:rPr>
        <w:t>[</w:t>
      </w:r>
      <w:r w:rsidR="001B64D2">
        <w:t>BRV – Fundo de Investimento em Direitos Creditórios</w:t>
      </w:r>
      <w:r w:rsidR="001B64D2" w:rsidRPr="00804A37">
        <w:rPr>
          <w:highlight w:val="yellow"/>
        </w:rPr>
        <w:t>]</w:t>
      </w:r>
      <w:r w:rsidR="001B64D2">
        <w:t xml:space="preserve"> (“</w:t>
      </w:r>
      <w:r w:rsidR="001B64D2" w:rsidRPr="00804A37">
        <w:rPr>
          <w:u w:val="single"/>
        </w:rPr>
        <w:t>Debenturista</w:t>
      </w:r>
      <w:r w:rsidR="001B64D2">
        <w:t xml:space="preserve">”), na qualidade de debenturista </w:t>
      </w:r>
      <w:r w:rsidR="001E1A8E">
        <w:t>(“</w:t>
      </w:r>
      <w:r w:rsidR="001E1A8E" w:rsidRPr="001E1A8E">
        <w:rPr>
          <w:u w:val="single"/>
        </w:rPr>
        <w:t>E</w:t>
      </w:r>
      <w:r w:rsidR="001E1A8E">
        <w:rPr>
          <w:u w:val="single"/>
        </w:rPr>
        <w:t>scritura</w:t>
      </w:r>
      <w:r w:rsidR="00072C43">
        <w:rPr>
          <w:u w:val="single"/>
        </w:rPr>
        <w:t xml:space="preserve"> de Emissão</w:t>
      </w:r>
      <w:r w:rsidR="001E1A8E">
        <w:t>”</w:t>
      </w:r>
      <w:r w:rsidR="001B64D2">
        <w:t>)</w:t>
      </w:r>
      <w:r w:rsidR="004850AC">
        <w:t>;</w:t>
      </w:r>
      <w:r w:rsidR="005E16D5">
        <w:t xml:space="preserve"> </w:t>
      </w:r>
      <w:r w:rsidR="001E1A8E">
        <w:t>(</w:t>
      </w:r>
      <w:proofErr w:type="spellStart"/>
      <w:r w:rsidR="001E1A8E">
        <w:t>ii</w:t>
      </w:r>
      <w:proofErr w:type="spellEnd"/>
      <w:r w:rsidR="001E1A8E">
        <w:t>) </w:t>
      </w:r>
      <w:r w:rsidR="00804A37">
        <w:t>“Contrato de Alienação Fiduciária de Ações e Cessão Fiduciária em Garantia e Outras Avenças”, celebrado em [</w:t>
      </w:r>
      <w:r w:rsidR="00804A37" w:rsidRPr="00804A37">
        <w:rPr>
          <w:highlight w:val="yellow"/>
        </w:rPr>
        <w:t>20 de julho de 2021</w:t>
      </w:r>
      <w:r w:rsidR="00804A37">
        <w:t>], entre a Juno, na qualidade de alienante, o Agente Fiduciário, e a Debenturista, na qualidade de fiduciário (“</w:t>
      </w:r>
      <w:r w:rsidR="002E4E69" w:rsidRPr="002E4E69">
        <w:rPr>
          <w:u w:val="single"/>
        </w:rPr>
        <w:t xml:space="preserve">Contrato de </w:t>
      </w:r>
      <w:r w:rsidR="00804A37" w:rsidRPr="002E4E69">
        <w:rPr>
          <w:u w:val="single"/>
        </w:rPr>
        <w:t>Alienação</w:t>
      </w:r>
      <w:r w:rsidR="00804A37" w:rsidRPr="00804A37">
        <w:rPr>
          <w:u w:val="single"/>
        </w:rPr>
        <w:t xml:space="preserve"> Fiduciária </w:t>
      </w:r>
      <w:proofErr w:type="spellStart"/>
      <w:r w:rsidR="00804A37" w:rsidRPr="00804A37">
        <w:rPr>
          <w:u w:val="single"/>
        </w:rPr>
        <w:t>Tijoá</w:t>
      </w:r>
      <w:proofErr w:type="spellEnd"/>
      <w:r w:rsidR="00804A37">
        <w:t>”);</w:t>
      </w:r>
      <w:r w:rsidR="001E1A8E">
        <w:t xml:space="preserve"> e (</w:t>
      </w:r>
      <w:proofErr w:type="spellStart"/>
      <w:r w:rsidR="001E1A8E">
        <w:t>i</w:t>
      </w:r>
      <w:r w:rsidR="001B64D2">
        <w:t>ii</w:t>
      </w:r>
      <w:proofErr w:type="spellEnd"/>
      <w:r w:rsidR="001E1A8E">
        <w:t>) “Contrato de Alienação Fiduciária de Ações e Cessão Fiduciária Sob Condição Suspensiva em Garantia e Outras Avenças”, celebrado em [</w:t>
      </w:r>
      <w:r w:rsidR="001E1A8E" w:rsidRPr="00804A37">
        <w:rPr>
          <w:highlight w:val="yellow"/>
        </w:rPr>
        <w:t>20 de julho de 2021</w:t>
      </w:r>
      <w:r w:rsidR="001E1A8E">
        <w:t>], entre a TPI e a Mercúrio Participações e Investimentos S.A., na qualidade de alienantes, o Agente Fiduciário, e a Debenturista, na qualidade de fiduciário (“</w:t>
      </w:r>
      <w:r w:rsidR="002E4E69" w:rsidRPr="002E4E69">
        <w:rPr>
          <w:u w:val="single"/>
        </w:rPr>
        <w:t xml:space="preserve">Contrato de </w:t>
      </w:r>
      <w:r w:rsidR="001E1A8E" w:rsidRPr="002E4E69">
        <w:rPr>
          <w:u w:val="single"/>
        </w:rPr>
        <w:t>Alienação</w:t>
      </w:r>
      <w:r w:rsidR="001E1A8E" w:rsidRPr="00804A37">
        <w:rPr>
          <w:u w:val="single"/>
        </w:rPr>
        <w:t xml:space="preserve"> Fiduciária </w:t>
      </w:r>
      <w:r w:rsidR="001E1A8E">
        <w:rPr>
          <w:u w:val="single"/>
        </w:rPr>
        <w:t>Juno</w:t>
      </w:r>
      <w:r w:rsidR="001E1A8E">
        <w:t xml:space="preserve">”, e quando em conjunto com </w:t>
      </w:r>
      <w:r w:rsidR="002E4E69">
        <w:t>o Contrato de</w:t>
      </w:r>
      <w:r w:rsidR="001E1A8E">
        <w:t xml:space="preserve"> Alienação Fiduciária </w:t>
      </w:r>
      <w:proofErr w:type="spellStart"/>
      <w:r w:rsidR="001E1A8E">
        <w:t>Tijoá</w:t>
      </w:r>
      <w:proofErr w:type="spellEnd"/>
      <w:r w:rsidR="001E1A8E">
        <w:t xml:space="preserve">, </w:t>
      </w:r>
      <w:r w:rsidR="002E4E69">
        <w:t>o</w:t>
      </w:r>
      <w:r w:rsidR="001E1A8E">
        <w:t>s “</w:t>
      </w:r>
      <w:r w:rsidR="002E4E69" w:rsidRPr="000F7AAE">
        <w:rPr>
          <w:u w:val="single"/>
        </w:rPr>
        <w:t xml:space="preserve">Contratos de </w:t>
      </w:r>
      <w:r w:rsidR="001E1A8E" w:rsidRPr="000F7AAE">
        <w:rPr>
          <w:u w:val="single"/>
        </w:rPr>
        <w:t>Alienações Fiduciárias</w:t>
      </w:r>
      <w:r w:rsidR="001E1A8E">
        <w:t>”).</w:t>
      </w:r>
    </w:p>
    <w:p w14:paraId="319D055A" w14:textId="118B665B" w:rsidR="00CD5BB0" w:rsidRDefault="00D457F3" w:rsidP="002024A7">
      <w:pPr>
        <w:jc w:val="both"/>
      </w:pPr>
      <w:r>
        <w:tab/>
      </w:r>
      <w:r w:rsidR="00CD5BB0" w:rsidRPr="00A82435">
        <w:t>Termos iniciados em letra maiúscula e não expressamente definidos nesta carta terão os significados a eles atribuídos n</w:t>
      </w:r>
      <w:r w:rsidR="002E4E69">
        <w:t>a</w:t>
      </w:r>
      <w:r w:rsidR="00CD5BB0" w:rsidRPr="00A82435">
        <w:t xml:space="preserve"> </w:t>
      </w:r>
      <w:r w:rsidR="002E4E69">
        <w:t>Escritura</w:t>
      </w:r>
      <w:r w:rsidR="000F7AAE">
        <w:t xml:space="preserve"> de Emissão</w:t>
      </w:r>
      <w:r w:rsidR="002E4E69">
        <w:t xml:space="preserve"> ou nos </w:t>
      </w:r>
      <w:r w:rsidR="002024A7">
        <w:t>Contratos</w:t>
      </w:r>
      <w:r>
        <w:t xml:space="preserve"> de </w:t>
      </w:r>
      <w:r w:rsidR="002E4E69">
        <w:t>Alienações Fiduciárias</w:t>
      </w:r>
      <w:r w:rsidR="00CD5BB0" w:rsidRPr="00A82435">
        <w:t>.</w:t>
      </w:r>
    </w:p>
    <w:p w14:paraId="5570F5D0" w14:textId="289C1D68" w:rsidR="000F7AAE" w:rsidRDefault="00D457F3" w:rsidP="007F22F1">
      <w:pPr>
        <w:jc w:val="both"/>
      </w:pPr>
      <w:r>
        <w:tab/>
      </w:r>
      <w:r w:rsidR="002E4E69">
        <w:t>Cientes do disposto no artigo 11, inciso X, da Resolução da Comissão de Valores Mobiliários (“</w:t>
      </w:r>
      <w:r w:rsidR="002E4E69" w:rsidRPr="002E4E69">
        <w:rPr>
          <w:u w:val="single"/>
        </w:rPr>
        <w:t>CVM</w:t>
      </w:r>
      <w:r w:rsidR="002E4E69">
        <w:t>”) nº 17, de 9 de fevereiro de 2021 (“</w:t>
      </w:r>
      <w:r w:rsidR="002E4E69" w:rsidRPr="002E4E69">
        <w:rPr>
          <w:u w:val="single"/>
        </w:rPr>
        <w:t>Resolução CVM 17</w:t>
      </w:r>
      <w:r w:rsidR="002E4E69">
        <w:t>”)</w:t>
      </w:r>
      <w:r w:rsidR="00207C50">
        <w:t xml:space="preserve">, </w:t>
      </w:r>
      <w:r w:rsidR="000F7AAE">
        <w:t>que estabelece, dentre outras obrigações, o dever de diligência do Agente Fiduciário em verificar o valor dos bens dados em garantia na Escritura de Emissão, em especial o valor das ações alienadas fiduciariamente no âmbito dos Contratos de Alienações Fiduciárias, viemos por meio da presente declarar o que se segue:</w:t>
      </w:r>
    </w:p>
    <w:p w14:paraId="2178567A" w14:textId="7A8B7A4E" w:rsidR="000F7AAE" w:rsidRDefault="00A56A27" w:rsidP="00A56A27">
      <w:pPr>
        <w:pStyle w:val="PargrafodaLista"/>
        <w:numPr>
          <w:ilvl w:val="0"/>
          <w:numId w:val="13"/>
        </w:numPr>
        <w:jc w:val="both"/>
      </w:pPr>
      <w:r>
        <w:t>p</w:t>
      </w:r>
      <w:r w:rsidR="000F7AAE">
        <w:t>ara fins exclusivos de verificação do valor das Ações Alienadas Fiduciariamente pelo Agente Fiduciário</w:t>
      </w:r>
      <w:r>
        <w:t>,</w:t>
      </w:r>
      <w:r w:rsidR="000F7AAE">
        <w:t xml:space="preserve"> no </w:t>
      </w:r>
      <w:r>
        <w:t xml:space="preserve">âmbito do </w:t>
      </w:r>
      <w:r w:rsidR="000F7AAE">
        <w:t>Contrato de Alienação Fiduciária Juno,</w:t>
      </w:r>
      <w:r>
        <w:t xml:space="preserve"> na presente data, essas Ações Alienadas Fiduciariamente representam o valor total de </w:t>
      </w:r>
      <w:r w:rsidR="008F2921">
        <w:t xml:space="preserve">R$ </w:t>
      </w:r>
      <w:r w:rsidR="008F2921" w:rsidRPr="00F17F5A">
        <w:t>33.240</w:t>
      </w:r>
      <w:r w:rsidR="008F2921">
        <w:t>.</w:t>
      </w:r>
      <w:r w:rsidR="008F2921" w:rsidRPr="00F17F5A">
        <w:t>576,47</w:t>
      </w:r>
      <w:r w:rsidR="008F2921" w:rsidRPr="00F17F5A" w:rsidDel="00F17F5A">
        <w:t xml:space="preserve"> </w:t>
      </w:r>
      <w:r w:rsidR="008F2921">
        <w:t>(trinta e três milhões, duzentos e quarenta mil, quinhentos e setenta e seis reais e quarenta e sete centavos) (“</w:t>
      </w:r>
      <w:r w:rsidR="008F2921" w:rsidRPr="00A56A27">
        <w:rPr>
          <w:u w:val="single"/>
        </w:rPr>
        <w:t>Valor das Ações Alienadas Juno</w:t>
      </w:r>
      <w:r w:rsidR="008F2921">
        <w:t>”), com base no montante do patrimônio líquido da Juno com data base de 30 de março de 2021</w:t>
      </w:r>
      <w:r>
        <w:t>; e</w:t>
      </w:r>
    </w:p>
    <w:p w14:paraId="548F3BEE" w14:textId="77777777" w:rsidR="00A56A27" w:rsidRDefault="00A56A27" w:rsidP="00A56A27">
      <w:pPr>
        <w:pStyle w:val="PargrafodaLista"/>
        <w:ind w:left="1080"/>
        <w:jc w:val="both"/>
      </w:pPr>
    </w:p>
    <w:p w14:paraId="5EAFD9E6" w14:textId="51B6BE16" w:rsidR="00A56A27" w:rsidRDefault="00A56A27" w:rsidP="00A56A27">
      <w:pPr>
        <w:pStyle w:val="PargrafodaLista"/>
        <w:numPr>
          <w:ilvl w:val="0"/>
          <w:numId w:val="13"/>
        </w:numPr>
        <w:jc w:val="both"/>
      </w:pPr>
      <w:r>
        <w:t xml:space="preserve">para fins exclusivos de verificação do valor das Ações Alienadas Fiduciariamente pelo Agente Fiduciário, no âmbito do Contrato de Alienação Fiduciária </w:t>
      </w:r>
      <w:proofErr w:type="spellStart"/>
      <w:r>
        <w:t>Tijoá</w:t>
      </w:r>
      <w:proofErr w:type="spellEnd"/>
      <w:r>
        <w:t xml:space="preserve">, na presente data, essas Ações Alienadas Fiduciariamente representam o valor total de </w:t>
      </w:r>
      <w:r w:rsidR="008F2921">
        <w:t xml:space="preserve">R$ 266.532.000,00 </w:t>
      </w:r>
      <w:r w:rsidR="004B54C4">
        <w:t xml:space="preserve">(duzentos e sessenta e seis milhões e quinhentos e trinta e dois mil reais) </w:t>
      </w:r>
      <w:r w:rsidR="008F2921">
        <w:t>(“</w:t>
      </w:r>
      <w:r w:rsidR="008F2921" w:rsidRPr="00A56A27">
        <w:rPr>
          <w:u w:val="single"/>
        </w:rPr>
        <w:t xml:space="preserve">Valor das Ações Alienadas </w:t>
      </w:r>
      <w:proofErr w:type="spellStart"/>
      <w:r w:rsidR="008F2921">
        <w:rPr>
          <w:u w:val="single"/>
        </w:rPr>
        <w:t>Tijoá</w:t>
      </w:r>
      <w:proofErr w:type="spellEnd"/>
      <w:r w:rsidR="008F2921">
        <w:t>”, e quando em conjunto com as Ações Alienadas Juno, o “</w:t>
      </w:r>
      <w:r w:rsidR="008F2921" w:rsidRPr="00A56A27">
        <w:rPr>
          <w:u w:val="single"/>
        </w:rPr>
        <w:t>Valor das Ações Alienadas Fiduciariamente</w:t>
      </w:r>
      <w:r w:rsidR="008F2921">
        <w:t>”), equivalente a</w:t>
      </w:r>
      <w:r w:rsidR="004B54C4">
        <w:t xml:space="preserve"> 50</w:t>
      </w:r>
      <w:r w:rsidR="00E63A7D">
        <w:t>,1</w:t>
      </w:r>
      <w:r w:rsidR="004B54C4">
        <w:t xml:space="preserve">% (cinquenta </w:t>
      </w:r>
      <w:r w:rsidR="00E63A7D">
        <w:t xml:space="preserve">inteiros e um décimo </w:t>
      </w:r>
      <w:r w:rsidR="004B54C4">
        <w:t>por cento) do</w:t>
      </w:r>
      <w:r w:rsidR="004B54C4" w:rsidDel="004B54C4">
        <w:t xml:space="preserve"> </w:t>
      </w:r>
      <w:r w:rsidR="008F2921">
        <w:t xml:space="preserve"> fluxo de caixa da </w:t>
      </w:r>
      <w:proofErr w:type="spellStart"/>
      <w:r w:rsidR="008F2921">
        <w:t>Tijoá</w:t>
      </w:r>
      <w:proofErr w:type="spellEnd"/>
      <w:r w:rsidR="008F2921">
        <w:t xml:space="preserve"> trazido ao valor presente.</w:t>
      </w:r>
    </w:p>
    <w:p w14:paraId="180EEF67" w14:textId="17FE225C" w:rsidR="00A56A27" w:rsidRDefault="00A56A27" w:rsidP="00A56A27">
      <w:pPr>
        <w:jc w:val="both"/>
      </w:pPr>
      <w:r>
        <w:tab/>
        <w:t>Adicionalmente,</w:t>
      </w:r>
      <w:r w:rsidR="001C4DA1">
        <w:t xml:space="preserve"> ressaltamos que </w:t>
      </w:r>
      <w:r w:rsidRPr="00A56A27">
        <w:t xml:space="preserve">durante a vigência das </w:t>
      </w:r>
      <w:r>
        <w:t>Debêntures (conforme definido na Escritura de Emissão)</w:t>
      </w:r>
      <w:r w:rsidRPr="00A56A27">
        <w:t xml:space="preserve">, </w:t>
      </w:r>
      <w:r>
        <w:t xml:space="preserve">o Valor das Ações Alienadas Fiduciariamente pode </w:t>
      </w:r>
      <w:r w:rsidRPr="00A56A27">
        <w:t xml:space="preserve">deteriorar-se ou ter o seu </w:t>
      </w:r>
      <w:r w:rsidRPr="00A56A27">
        <w:lastRenderedPageBreak/>
        <w:t>valor reduzido. Exceto nas hipóteses de Eventos de Inadimplemento</w:t>
      </w:r>
      <w:r>
        <w:t xml:space="preserve"> previstas na Escritura de Emissão</w:t>
      </w:r>
      <w:r w:rsidRPr="00A56A27">
        <w:t>, caso</w:t>
      </w:r>
      <w:r>
        <w:t xml:space="preserve"> o Valor das Ações Alienadas Fiduciariamente </w:t>
      </w:r>
      <w:r w:rsidRPr="00A56A27">
        <w:t xml:space="preserve">venha a se deteriorar ou a ter o seu valor reduzido, as Debêntures não vencerão antecipadamente e </w:t>
      </w:r>
      <w:r>
        <w:t xml:space="preserve">a </w:t>
      </w:r>
      <w:proofErr w:type="spellStart"/>
      <w:r>
        <w:t>BRVias</w:t>
      </w:r>
      <w:proofErr w:type="spellEnd"/>
      <w:r w:rsidR="00072C43">
        <w:t xml:space="preserve"> </w:t>
      </w:r>
      <w:r w:rsidRPr="00A56A27">
        <w:t>não ter</w:t>
      </w:r>
      <w:r w:rsidR="005E16D5">
        <w:t>á</w:t>
      </w:r>
      <w:r w:rsidRPr="00A56A27">
        <w:t xml:space="preserve"> a obrigação de reforçar as Garantias</w:t>
      </w:r>
      <w:r>
        <w:t xml:space="preserve"> (conforme definido na Escritura de Emissão)</w:t>
      </w:r>
      <w:r w:rsidRPr="00A56A27">
        <w:t>.</w:t>
      </w:r>
    </w:p>
    <w:p w14:paraId="4E77062E" w14:textId="572D5A52" w:rsidR="001C4DA1" w:rsidRDefault="0020256E" w:rsidP="004450CF">
      <w:pPr>
        <w:jc w:val="both"/>
      </w:pPr>
      <w:r>
        <w:tab/>
      </w:r>
      <w:r w:rsidR="00A56A27">
        <w:t xml:space="preserve">A presente declaração possui como único fim informar o valor presente e mutável do Valor das Ações Alienadas Fiduciariamente, não podendo, sem </w:t>
      </w:r>
      <w:r w:rsidR="00832598">
        <w:t xml:space="preserve">prévia </w:t>
      </w:r>
      <w:r w:rsidR="00A56A27">
        <w:t xml:space="preserve">concordância dos seus signatários, ser cedida e/ou utilizada para outro fim que não </w:t>
      </w:r>
      <w:r w:rsidR="001C4DA1">
        <w:t xml:space="preserve">o atendimento </w:t>
      </w:r>
      <w:r w:rsidR="00832598">
        <w:t xml:space="preserve">exclusivo </w:t>
      </w:r>
      <w:r w:rsidR="001C4DA1">
        <w:t>do disposto no artigo 11, inciso X, da Resolução CVM 17.</w:t>
      </w:r>
    </w:p>
    <w:p w14:paraId="0AB0EA70" w14:textId="61211D89" w:rsidR="00A67F88" w:rsidRPr="00A82435" w:rsidRDefault="004450CF" w:rsidP="004450CF">
      <w:pPr>
        <w:jc w:val="both"/>
      </w:pPr>
      <w:r>
        <w:t xml:space="preserve"> </w:t>
      </w:r>
    </w:p>
    <w:p w14:paraId="72F87CD8" w14:textId="43DD6A05" w:rsidR="00CD5BB0" w:rsidRDefault="00A67F88" w:rsidP="00610960">
      <w:pPr>
        <w:jc w:val="center"/>
      </w:pPr>
      <w:r>
        <w:t>Cordialmente</w:t>
      </w:r>
      <w:r w:rsidR="00CD5BB0" w:rsidRPr="00A82435">
        <w:t>,</w:t>
      </w:r>
    </w:p>
    <w:p w14:paraId="32B7C5D4" w14:textId="77777777" w:rsidR="004850AC" w:rsidRDefault="004850AC" w:rsidP="004850AC"/>
    <w:p w14:paraId="4F2D1867" w14:textId="77777777" w:rsidR="004850AC" w:rsidRDefault="004850AC" w:rsidP="004850AC">
      <w:r>
        <w:t>Alienantes:</w:t>
      </w:r>
    </w:p>
    <w:p w14:paraId="1F3E43B2" w14:textId="77777777" w:rsidR="004850AC" w:rsidRPr="00BB049E" w:rsidRDefault="004850AC" w:rsidP="00610960">
      <w:pPr>
        <w:jc w:val="center"/>
      </w:pPr>
    </w:p>
    <w:p w14:paraId="41DA5E9C" w14:textId="77777777" w:rsidR="00CD5BB0" w:rsidRDefault="00CD5BB0" w:rsidP="00CD5BB0"/>
    <w:p w14:paraId="26CE97C6" w14:textId="77777777" w:rsidR="004850AC" w:rsidRDefault="004850AC" w:rsidP="004850AC">
      <w:pPr>
        <w:jc w:val="center"/>
      </w:pPr>
      <w:r>
        <w:t>TPI – Triunfo Participações e Investimentos S.A.</w:t>
      </w:r>
    </w:p>
    <w:p w14:paraId="5EA148A4" w14:textId="77777777" w:rsidR="004850AC" w:rsidRDefault="004850AC" w:rsidP="004850AC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4850AC" w14:paraId="1B50263C" w14:textId="77777777" w:rsidTr="00AA3DB2">
        <w:tc>
          <w:tcPr>
            <w:tcW w:w="4247" w:type="dxa"/>
          </w:tcPr>
          <w:p w14:paraId="6C6CA0E1" w14:textId="77777777" w:rsidR="004850AC" w:rsidRDefault="004850AC" w:rsidP="00AA3DB2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1E64C7C2" w14:textId="77777777" w:rsidR="004850AC" w:rsidRDefault="004850AC" w:rsidP="00AA3DB2">
            <w:pPr>
              <w:spacing w:after="0"/>
            </w:pPr>
            <w:r>
              <w:t>____________________________________</w:t>
            </w:r>
          </w:p>
        </w:tc>
      </w:tr>
      <w:tr w:rsidR="004850AC" w14:paraId="7DC12A06" w14:textId="77777777" w:rsidTr="00AA3DB2">
        <w:tc>
          <w:tcPr>
            <w:tcW w:w="4247" w:type="dxa"/>
          </w:tcPr>
          <w:p w14:paraId="6CD78D95" w14:textId="77777777" w:rsidR="004850AC" w:rsidRDefault="004850AC" w:rsidP="00AA3DB2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245F7967" w14:textId="77777777" w:rsidR="004850AC" w:rsidRDefault="004850AC" w:rsidP="00AA3DB2">
            <w:pPr>
              <w:spacing w:after="0"/>
            </w:pPr>
            <w:r>
              <w:t>Nome:</w:t>
            </w:r>
          </w:p>
        </w:tc>
      </w:tr>
      <w:tr w:rsidR="004850AC" w14:paraId="31806C38" w14:textId="77777777" w:rsidTr="00AA3DB2">
        <w:tc>
          <w:tcPr>
            <w:tcW w:w="4247" w:type="dxa"/>
          </w:tcPr>
          <w:p w14:paraId="76761E90" w14:textId="77777777" w:rsidR="004850AC" w:rsidRDefault="004850AC" w:rsidP="00AA3DB2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2C7F7A37" w14:textId="77777777" w:rsidR="004850AC" w:rsidRDefault="004850AC" w:rsidP="00AA3DB2">
            <w:pPr>
              <w:spacing w:after="0"/>
            </w:pPr>
            <w:r>
              <w:t>Cargo:</w:t>
            </w:r>
          </w:p>
        </w:tc>
      </w:tr>
    </w:tbl>
    <w:p w14:paraId="26C46AD3" w14:textId="77777777" w:rsidR="004850AC" w:rsidRPr="00BB049E" w:rsidRDefault="004850AC" w:rsidP="004850AC">
      <w:pPr>
        <w:jc w:val="center"/>
      </w:pPr>
    </w:p>
    <w:p w14:paraId="5842E942" w14:textId="77777777" w:rsidR="004850AC" w:rsidRDefault="004850AC" w:rsidP="004850AC"/>
    <w:p w14:paraId="63247143" w14:textId="305BB7FC" w:rsidR="00A67F88" w:rsidRDefault="004850AC" w:rsidP="00610960">
      <w:pPr>
        <w:jc w:val="center"/>
      </w:pPr>
      <w:r>
        <w:t>Mercúrio Participações e Investimentos S.A.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67F88" w14:paraId="494D74D2" w14:textId="77777777" w:rsidTr="00610960">
        <w:tc>
          <w:tcPr>
            <w:tcW w:w="4247" w:type="dxa"/>
          </w:tcPr>
          <w:p w14:paraId="081A1440" w14:textId="77777777" w:rsidR="00A67F88" w:rsidRDefault="00A67F88" w:rsidP="00610960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6B8786DB" w14:textId="77777777" w:rsidR="00A67F88" w:rsidRDefault="00A67F88" w:rsidP="00610960">
            <w:pPr>
              <w:spacing w:after="0"/>
            </w:pPr>
            <w:r>
              <w:t>____________________________________</w:t>
            </w:r>
          </w:p>
        </w:tc>
      </w:tr>
      <w:tr w:rsidR="00A67F88" w14:paraId="4EFABEB2" w14:textId="77777777" w:rsidTr="00610960">
        <w:tc>
          <w:tcPr>
            <w:tcW w:w="4247" w:type="dxa"/>
          </w:tcPr>
          <w:p w14:paraId="3B878078" w14:textId="77777777" w:rsidR="00A67F88" w:rsidRDefault="00A67F88" w:rsidP="00610960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58584FD0" w14:textId="77777777" w:rsidR="00A67F88" w:rsidRDefault="00A67F88" w:rsidP="00610960">
            <w:pPr>
              <w:spacing w:after="0"/>
            </w:pPr>
            <w:r>
              <w:t>Nome:</w:t>
            </w:r>
          </w:p>
        </w:tc>
      </w:tr>
      <w:tr w:rsidR="00A67F88" w14:paraId="27129EA5" w14:textId="77777777" w:rsidTr="00610960">
        <w:tc>
          <w:tcPr>
            <w:tcW w:w="4247" w:type="dxa"/>
          </w:tcPr>
          <w:p w14:paraId="04728E3B" w14:textId="77777777" w:rsidR="00A67F88" w:rsidRDefault="00A67F88" w:rsidP="00610960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39C71F90" w14:textId="77777777" w:rsidR="00A67F88" w:rsidRDefault="00A67F88" w:rsidP="00610960">
            <w:pPr>
              <w:spacing w:after="0"/>
            </w:pPr>
            <w:r>
              <w:t>Cargo:</w:t>
            </w:r>
          </w:p>
        </w:tc>
      </w:tr>
      <w:tr w:rsidR="001C4DA1" w14:paraId="2E914A0C" w14:textId="77777777" w:rsidTr="00610960">
        <w:tc>
          <w:tcPr>
            <w:tcW w:w="4247" w:type="dxa"/>
          </w:tcPr>
          <w:p w14:paraId="29757993" w14:textId="1569390D" w:rsidR="001C4DA1" w:rsidRDefault="001C4DA1" w:rsidP="001C4DA1">
            <w:pPr>
              <w:spacing w:after="0"/>
            </w:pPr>
          </w:p>
        </w:tc>
        <w:tc>
          <w:tcPr>
            <w:tcW w:w="4248" w:type="dxa"/>
          </w:tcPr>
          <w:p w14:paraId="1AC5BA85" w14:textId="77777777" w:rsidR="001C4DA1" w:rsidRDefault="001C4DA1" w:rsidP="00610960">
            <w:pPr>
              <w:spacing w:after="0"/>
            </w:pPr>
          </w:p>
        </w:tc>
      </w:tr>
    </w:tbl>
    <w:p w14:paraId="105CF6C9" w14:textId="68A493F4" w:rsidR="00A67F88" w:rsidRDefault="00A67F88" w:rsidP="00CD5BB0"/>
    <w:p w14:paraId="25C5634D" w14:textId="0BBF1A9F" w:rsidR="001C4DA1" w:rsidRPr="001C4DA1" w:rsidRDefault="001C4DA1" w:rsidP="001C4DA1">
      <w:pPr>
        <w:jc w:val="center"/>
      </w:pPr>
      <w:r>
        <w:t>Juno Participações e Investimentos S.A.</w:t>
      </w:r>
    </w:p>
    <w:p w14:paraId="207F39C5" w14:textId="77777777" w:rsidR="001C4DA1" w:rsidRDefault="001C4DA1" w:rsidP="001C4DA1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1C4DA1" w14:paraId="6296583E" w14:textId="77777777" w:rsidTr="00B74F21">
        <w:tc>
          <w:tcPr>
            <w:tcW w:w="4247" w:type="dxa"/>
          </w:tcPr>
          <w:p w14:paraId="4BD80844" w14:textId="77777777" w:rsidR="001C4DA1" w:rsidRDefault="001C4DA1" w:rsidP="00B74F21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39C20068" w14:textId="77777777" w:rsidR="001C4DA1" w:rsidRDefault="001C4DA1" w:rsidP="00B74F21">
            <w:pPr>
              <w:spacing w:after="0"/>
            </w:pPr>
            <w:r>
              <w:t>____________________________________</w:t>
            </w:r>
          </w:p>
        </w:tc>
      </w:tr>
      <w:tr w:rsidR="001C4DA1" w14:paraId="395CE271" w14:textId="77777777" w:rsidTr="00B74F21">
        <w:tc>
          <w:tcPr>
            <w:tcW w:w="4247" w:type="dxa"/>
          </w:tcPr>
          <w:p w14:paraId="3CC420C9" w14:textId="77777777" w:rsidR="001C4DA1" w:rsidRDefault="001C4DA1" w:rsidP="00B74F21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4B2A85D4" w14:textId="77777777" w:rsidR="001C4DA1" w:rsidRDefault="001C4DA1" w:rsidP="00B74F21">
            <w:pPr>
              <w:spacing w:after="0"/>
            </w:pPr>
            <w:r>
              <w:t>Nome:</w:t>
            </w:r>
          </w:p>
        </w:tc>
      </w:tr>
      <w:tr w:rsidR="001C4DA1" w14:paraId="3785EE95" w14:textId="77777777" w:rsidTr="00B74F21">
        <w:tc>
          <w:tcPr>
            <w:tcW w:w="4247" w:type="dxa"/>
          </w:tcPr>
          <w:p w14:paraId="3B67ED61" w14:textId="77777777" w:rsidR="001C4DA1" w:rsidRDefault="001C4DA1" w:rsidP="00B74F21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1D0A8466" w14:textId="77777777" w:rsidR="001C4DA1" w:rsidRDefault="001C4DA1" w:rsidP="00B74F21">
            <w:pPr>
              <w:spacing w:after="0"/>
            </w:pPr>
            <w:r>
              <w:t>Cargo:</w:t>
            </w:r>
          </w:p>
        </w:tc>
      </w:tr>
    </w:tbl>
    <w:p w14:paraId="0CCCD78D" w14:textId="297602E2" w:rsidR="001C4DA1" w:rsidRDefault="001C4DA1" w:rsidP="00CD5BB0"/>
    <w:sectPr w:rsidR="001C4DA1" w:rsidSect="00C15D65">
      <w:footerReference w:type="default" r:id="rId16"/>
      <w:pgSz w:w="11907" w:h="16840" w:code="9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0D9D" w14:textId="77777777" w:rsidR="00906125" w:rsidRDefault="00906125" w:rsidP="00CD5BB0">
      <w:pPr>
        <w:spacing w:after="0"/>
      </w:pPr>
      <w:r>
        <w:separator/>
      </w:r>
    </w:p>
  </w:endnote>
  <w:endnote w:type="continuationSeparator" w:id="0">
    <w:p w14:paraId="3CE58282" w14:textId="77777777" w:rsidR="00906125" w:rsidRDefault="00906125" w:rsidP="00CD5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</w:rPr>
      <w:id w:val="20724631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88917E" w14:textId="27A2698A" w:rsidR="00BB049E" w:rsidRPr="00D457F3" w:rsidRDefault="00610960" w:rsidP="00A82435">
        <w:pPr>
          <w:pStyle w:val="Rodap"/>
          <w:jc w:val="right"/>
          <w:rPr>
            <w:rFonts w:cs="Times New Roman"/>
            <w:sz w:val="20"/>
            <w:szCs w:val="20"/>
          </w:rPr>
        </w:pPr>
        <w:r w:rsidRPr="00D457F3">
          <w:rPr>
            <w:rFonts w:cs="Times New Roman"/>
            <w:sz w:val="20"/>
            <w:szCs w:val="20"/>
          </w:rPr>
          <w:fldChar w:fldCharType="begin"/>
        </w:r>
        <w:r w:rsidRPr="007F22F1">
          <w:rPr>
            <w:rFonts w:cs="Times New Roman"/>
            <w:sz w:val="20"/>
            <w:szCs w:val="20"/>
          </w:rPr>
          <w:instrText>PAGE   \* MERGEFORMAT</w:instrText>
        </w:r>
        <w:r w:rsidRPr="00D457F3">
          <w:rPr>
            <w:rFonts w:cs="Times New Roman"/>
            <w:sz w:val="20"/>
            <w:szCs w:val="20"/>
          </w:rPr>
          <w:fldChar w:fldCharType="separate"/>
        </w:r>
        <w:r w:rsidR="00E33281">
          <w:rPr>
            <w:rFonts w:cs="Times New Roman"/>
            <w:noProof/>
            <w:sz w:val="20"/>
            <w:szCs w:val="20"/>
          </w:rPr>
          <w:t>- 1 -</w:t>
        </w:r>
        <w:r w:rsidRPr="00D457F3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F647" w14:textId="77777777" w:rsidR="00906125" w:rsidRDefault="00906125" w:rsidP="00CD5BB0">
      <w:pPr>
        <w:spacing w:after="0"/>
      </w:pPr>
      <w:r>
        <w:separator/>
      </w:r>
    </w:p>
  </w:footnote>
  <w:footnote w:type="continuationSeparator" w:id="0">
    <w:p w14:paraId="1FFC8122" w14:textId="77777777" w:rsidR="00906125" w:rsidRDefault="00906125" w:rsidP="00CD5B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5103"/>
    <w:multiLevelType w:val="hybridMultilevel"/>
    <w:tmpl w:val="27007886"/>
    <w:lvl w:ilvl="0" w:tplc="25D6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1C8D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6143F"/>
    <w:multiLevelType w:val="hybridMultilevel"/>
    <w:tmpl w:val="D8863826"/>
    <w:lvl w:ilvl="0" w:tplc="9B5697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2FE6"/>
    <w:multiLevelType w:val="hybridMultilevel"/>
    <w:tmpl w:val="03C615EC"/>
    <w:lvl w:ilvl="0" w:tplc="2E024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11D77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5603A"/>
    <w:multiLevelType w:val="hybridMultilevel"/>
    <w:tmpl w:val="F21E33A0"/>
    <w:lvl w:ilvl="0" w:tplc="EE7E16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3CF1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8366C9"/>
    <w:multiLevelType w:val="multilevel"/>
    <w:tmpl w:val="1B4463F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18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59751803"/>
    <w:multiLevelType w:val="hybridMultilevel"/>
    <w:tmpl w:val="6BF62420"/>
    <w:lvl w:ilvl="0" w:tplc="36AA700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E3CD0"/>
    <w:multiLevelType w:val="hybridMultilevel"/>
    <w:tmpl w:val="47DAF226"/>
    <w:lvl w:ilvl="0" w:tplc="03C28034">
      <w:start w:val="1"/>
      <w:numFmt w:val="lowerRoman"/>
      <w:lvlText w:val="(%1)"/>
      <w:lvlJc w:val="left"/>
      <w:pPr>
        <w:ind w:left="1429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C2569"/>
    <w:multiLevelType w:val="hybridMultilevel"/>
    <w:tmpl w:val="8416A3E0"/>
    <w:lvl w:ilvl="0" w:tplc="65B8B9D4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54396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F54CFD"/>
    <w:multiLevelType w:val="hybridMultilevel"/>
    <w:tmpl w:val="319ED9C2"/>
    <w:lvl w:ilvl="0" w:tplc="939A1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B0"/>
    <w:rsid w:val="0001646B"/>
    <w:rsid w:val="00072C43"/>
    <w:rsid w:val="00096CE2"/>
    <w:rsid w:val="000D2DEB"/>
    <w:rsid w:val="000F580B"/>
    <w:rsid w:val="000F7AAE"/>
    <w:rsid w:val="001B64D2"/>
    <w:rsid w:val="001C4DA1"/>
    <w:rsid w:val="001E1A8E"/>
    <w:rsid w:val="001E3AE5"/>
    <w:rsid w:val="001E609E"/>
    <w:rsid w:val="00201C6E"/>
    <w:rsid w:val="002024A7"/>
    <w:rsid w:val="0020256E"/>
    <w:rsid w:val="00207C50"/>
    <w:rsid w:val="002206FC"/>
    <w:rsid w:val="002B50FD"/>
    <w:rsid w:val="002E4E69"/>
    <w:rsid w:val="00367D25"/>
    <w:rsid w:val="00383BFD"/>
    <w:rsid w:val="003A78B0"/>
    <w:rsid w:val="003B04A1"/>
    <w:rsid w:val="003C0FDD"/>
    <w:rsid w:val="004450CF"/>
    <w:rsid w:val="004850AC"/>
    <w:rsid w:val="004B54C4"/>
    <w:rsid w:val="004D0818"/>
    <w:rsid w:val="005201CB"/>
    <w:rsid w:val="0055426A"/>
    <w:rsid w:val="005C4B78"/>
    <w:rsid w:val="005E16D5"/>
    <w:rsid w:val="00603445"/>
    <w:rsid w:val="00610960"/>
    <w:rsid w:val="006233C8"/>
    <w:rsid w:val="00757ED5"/>
    <w:rsid w:val="0078349A"/>
    <w:rsid w:val="0078556F"/>
    <w:rsid w:val="007C4498"/>
    <w:rsid w:val="007D6222"/>
    <w:rsid w:val="007F22F1"/>
    <w:rsid w:val="00804A37"/>
    <w:rsid w:val="00832598"/>
    <w:rsid w:val="008F2921"/>
    <w:rsid w:val="00906125"/>
    <w:rsid w:val="00907EFB"/>
    <w:rsid w:val="00912A75"/>
    <w:rsid w:val="00953560"/>
    <w:rsid w:val="009740DE"/>
    <w:rsid w:val="009C2922"/>
    <w:rsid w:val="00A56A27"/>
    <w:rsid w:val="00A67F88"/>
    <w:rsid w:val="00AA0707"/>
    <w:rsid w:val="00AB3C89"/>
    <w:rsid w:val="00AF5B4F"/>
    <w:rsid w:val="00B02ABC"/>
    <w:rsid w:val="00B26AD1"/>
    <w:rsid w:val="00BA0374"/>
    <w:rsid w:val="00C15D65"/>
    <w:rsid w:val="00CA7EC8"/>
    <w:rsid w:val="00CD5BB0"/>
    <w:rsid w:val="00D064E4"/>
    <w:rsid w:val="00D457F3"/>
    <w:rsid w:val="00DC3C4E"/>
    <w:rsid w:val="00DE5895"/>
    <w:rsid w:val="00DE7243"/>
    <w:rsid w:val="00DF71EE"/>
    <w:rsid w:val="00E33281"/>
    <w:rsid w:val="00E63A7D"/>
    <w:rsid w:val="00F553B3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A085C"/>
  <w15:chartTrackingRefBased/>
  <w15:docId w15:val="{80166FC1-A866-4212-86D6-9CFDF1A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B0"/>
    <w:pPr>
      <w:spacing w:after="120" w:line="240" w:lineRule="auto"/>
    </w:pPr>
    <w:rPr>
      <w:rFonts w:ascii="Times New Roman" w:eastAsia="Times New Roman" w:hAnsi="Times New Roman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D5B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BB0"/>
    <w:rPr>
      <w:rFonts w:ascii="Times New Roman" w:eastAsia="Times New Roman" w:hAnsi="Times New Roman" w:cs="Arial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5BB0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5BB0"/>
    <w:rPr>
      <w:rFonts w:ascii="Times New Roman" w:eastAsia="Times New Roman" w:hAnsi="Times New Roman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D5BB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B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BB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CD5B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57F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457F3"/>
    <w:rPr>
      <w:rFonts w:ascii="Times New Roman" w:eastAsia="Times New Roman" w:hAnsi="Times New Roman" w:cs="Arial"/>
      <w:szCs w:val="24"/>
      <w:lang w:eastAsia="pt-BR"/>
    </w:rPr>
  </w:style>
  <w:style w:type="table" w:styleId="Tabelacomgrade">
    <w:name w:val="Table Grid"/>
    <w:basedOn w:val="Tabelanormal"/>
    <w:uiPriority w:val="39"/>
    <w:rsid w:val="00A6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15D65"/>
    <w:rPr>
      <w:rFonts w:ascii="Times New Roman" w:hAnsi="Times New Roman" w:cs="Times New Roman"/>
      <w:color w:val="auto"/>
      <w:spacing w:val="0"/>
      <w:sz w:val="20"/>
      <w:szCs w:val="20"/>
      <w:u w:val="single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C15D65"/>
    <w:rPr>
      <w:rFonts w:ascii="Times New Roman" w:eastAsia="Times New Roman" w:hAnsi="Times New Roman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 S C B F - R J ! 5 3 4 6 6 1 4 . 2 < / d o c u m e n t i d >  
     < s e n d e r i d > R M O R G A D O < / s e n d e r i d >  
     < s e n d e r e m a i l / >  
     < l a s t m o d i f i e d > 2 0 2 1 - 0 5 - 2 0 T 0 0 : 0 7 : 0 0 . 0 0 0 0 0 0 0 - 0 3 : 0 0 < / l a s t m o d i f i e d >  
     < d a t a b a s e > S C B F - R J 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 S C B F - S P ! 1 5 6 9 7 2 5 9 . 3 < / d o c u m e n t i d >  
     < s e n d e r i d > R M O R G A D O < / s e n d e r i d >  
     < s e n d e r e m a i l / >  
     < l a s t m o d i f i e d > 2 0 2 1 - 0 7 - 2 2 T 1 8 : 1 7 : 0 0 . 0 0 0 0 0 0 0 - 0 3 : 0 0 < / l a s t m o d i f i e d >  
     < d a t a b a s e > S C B F - S P 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 S C B F - R J ! 5 3 3 3 8 2 6 . 4 < / d o c u m e n t i d >  
     < s e n d e r i d > F G O M E S < / s e n d e r i d >  
     < s e n d e r e m a i l > F E R N A N D O . G O M E S @ C E S C O N B A R R I E U . C O M . B R < / s e n d e r e m a i l >  
     < l a s t m o d i f i e d > 2 0 2 1 - 0 3 - 0 9 T 1 7 : 0 0 : 0 0 . 0 0 0 0 0 0 0 - 0 3 : 0 0 < / l a s t m o d i f i e d >  
     < d a t a b a s e > S C B F - R J < / d a t a b a s e >  
 < / p r o p e r t i e s > 
</file>

<file path=customXml/item4.xml>��< ? x m l   v e r s i o n = " 1 . 0 "   e n c o d i n g = " u t f - 1 6 " ? > < p r o p e r t i e s   x m l n s = " h t t p : / / w w w . i m a n a g e . c o m / w o r k / x m l s c h e m a " >  
     < d o c u m e n t i d > S C B F - S P ! 1 5 6 9 7 2 5 9 . 2 < / d o c u m e n t i d >  
     < s e n d e r i d > R M O R G A D O < / s e n d e r i d >  
     < s e n d e r e m a i l / >  
     < l a s t m o d i f i e d > 2 0 2 1 - 0 7 - 2 0 T 2 3 : 5 3 : 0 0 . 0 0 0 0 0 0 0 - 0 3 : 0 0 < / l a s t m o d i f i e d >  
     < d a t a b a s e > S C B F - S P < / d a t a b a s e >  
 < / p r o p e r t i e s > 
</file>

<file path=customXml/item5.xml>��< ? x m l   v e r s i o n = " 1 . 0 "   e n c o d i n g = " u t f - 1 6 " ? > < p r o p e r t i e s   x m l n s = " h t t p : / / w w w . i m a n a g e . c o m / w o r k / x m l s c h e m a " >  
     < d o c u m e n t i d > S C B F - R J ! 5 3 4 6 6 1 4 . 1 < / d o c u m e n t i d >  
     < s e n d e r i d > R M O R G A D O < / s e n d e r i d >  
     < s e n d e r e m a i l / >  
     < l a s t m o d i f i e d > 2 0 2 1 - 0 5 - 1 9 T 2 3 : 4 7 : 0 0 . 0 0 0 0 0 0 0 - 0 3 : 0 0 < / l a s t m o d i f i e d >  
     < d a t a b a s e > S C B F - R J < / d a t a b a s e >  
 < / p r o p e r t i e s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��< ? x m l   v e r s i o n = " 1 . 0 "   e n c o d i n g = " u t f - 1 6 " ? > < p r o p e r t i e s   x m l n s = " h t t p : / / w w w . i m a n a g e . c o m / w o r k / x m l s c h e m a " >  
     < d o c u m e n t i d > S C B F - S P ! 1 5 6 9 7 2 5 9 . 1 < / d o c u m e n t i d >  
     < s e n d e r i d > R M O R G A D O < / s e n d e r i d >  
     < s e n d e r e m a i l / >  
     < l a s t m o d i f i e d > 2 0 2 1 - 0 7 - 2 0 T 1 8 : 4 4 : 0 0 . 0 0 0 0 0 0 0 - 0 3 : 0 0 < / l a s t m o d i f i e d >  
     < d a t a b a s e > S C B F - S P < / d a t a b a s e >  
 < / p r o p e r t i e s > 
</file>

<file path=customXml/item8.xml>��< ? x m l   v e r s i o n = " 1 . 0 "   e n c o d i n g = " u t f - 1 6 " ? > < p r o p e r t i e s   x m l n s = " h t t p : / / w w w . i m a n a g e . c o m / w o r k / x m l s c h e m a " >  
     < d o c u m e n t i d > S C B F - R J ! 5 3 4 6 6 1 4 . 3 < / d o c u m e n t i d >  
     < s e n d e r i d > R M O R G A D O < / s e n d e r i d >  
     < s e n d e r e m a i l / >  
     < l a s t m o d i f i e d > 2 0 2 1 - 0 5 - 2 0 T 1 1 : 0 7 : 0 0 . 0 0 0 0 0 0 0 - 0 3 : 0 0 < / l a s t m o d i f i e d >  
     < d a t a b a s e > S C B F - R J < / d a t a b a s e >  
 < / p r o p e r t i e s > 
</file>

<file path=customXml/item9.xml>��< ? x m l   v e r s i o n = " 1 . 0 "   e n c o d i n g = " u t f - 1 6 " ? > < p r o p e r t i e s   x m l n s = " h t t p : / / w w w . i m a n a g e . c o m / w o r k / x m l s c h e m a " >  
     < d o c u m e n t i d > S C B F - S P ! 1 5 6 9 6 3 3 4 . 1 < / d o c u m e n t i d >  
     < s e n d e r i d > R M O R G A D O < / s e n d e r i d >  
     < s e n d e r e m a i l / >  
     < l a s t m o d i f i e d > 2 0 2 1 - 0 7 - 2 0 T 1 6 : 0 7 : 0 0 . 0 0 0 0 0 0 0 - 0 3 : 0 0 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{5178C1C7-6D4C-49F1-80F2-477FFC81135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655F516-062F-4112-A8A6-A0FB90DA4B9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C17E614-8DE6-440E-B9BA-BFB2E129F04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F41C5E7-0D52-4E9D-BBE5-7E22DAEA4A3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BBBA7BF-9801-461B-AE1B-FB6E44212F2D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75E8840-70CC-4CCE-9D02-6A7E4CCEF56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536E59-D85A-46AE-8246-70F9A2E5EFF1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730A861C-714E-4941-B8A5-31D8E20F6AA6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D8B9E77A-514D-46EC-971C-40188378116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Cescon Barrieu Advogados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Gomes</dc:creator>
  <cp:keywords/>
  <dc:description/>
  <cp:lastModifiedBy>Bruna Salim</cp:lastModifiedBy>
  <cp:revision>2</cp:revision>
  <dcterms:created xsi:type="dcterms:W3CDTF">2021-07-23T13:03:00Z</dcterms:created>
  <dcterms:modified xsi:type="dcterms:W3CDTF">2021-07-23T13:03:00Z</dcterms:modified>
</cp:coreProperties>
</file>