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AC3F8" w14:textId="77777777" w:rsidR="00410A94" w:rsidRPr="00E7079A" w:rsidRDefault="00410A94" w:rsidP="00E7079A">
      <w:pPr>
        <w:pStyle w:val="Corpodetexto3"/>
        <w:tabs>
          <w:tab w:val="left" w:pos="4536"/>
        </w:tabs>
        <w:jc w:val="center"/>
        <w:rPr>
          <w:rFonts w:ascii="Arial Narrow" w:hAnsi="Arial Narrow"/>
          <w:b w:val="0"/>
          <w:sz w:val="22"/>
        </w:rPr>
      </w:pPr>
    </w:p>
    <w:p w14:paraId="677CC799" w14:textId="77777777" w:rsidR="00410A94" w:rsidRPr="00E7079A" w:rsidRDefault="00410A94" w:rsidP="00780DDF">
      <w:pPr>
        <w:pStyle w:val="Corpodetexto3"/>
        <w:tabs>
          <w:tab w:val="left" w:pos="4536"/>
        </w:tabs>
        <w:rPr>
          <w:rFonts w:ascii="Arial Narrow" w:hAnsi="Arial Narrow"/>
          <w:b w:val="0"/>
          <w:sz w:val="22"/>
        </w:rPr>
      </w:pPr>
    </w:p>
    <w:p w14:paraId="390235DD" w14:textId="77777777" w:rsidR="00410A94" w:rsidRPr="00E7079A" w:rsidRDefault="00795A08" w:rsidP="00780DDF">
      <w:pPr>
        <w:pStyle w:val="Corpodetexto3"/>
        <w:tabs>
          <w:tab w:val="left" w:pos="240"/>
        </w:tabs>
        <w:jc w:val="left"/>
        <w:rPr>
          <w:rFonts w:ascii="Arial Narrow" w:hAnsi="Arial Narrow"/>
          <w:b w:val="0"/>
          <w:sz w:val="22"/>
        </w:rPr>
      </w:pPr>
      <w:r>
        <w:rPr>
          <w:rFonts w:ascii="Arial Narrow" w:hAnsi="Arial Narrow"/>
          <w:b w:val="0"/>
          <w:sz w:val="22"/>
        </w:rPr>
        <w:tab/>
      </w:r>
    </w:p>
    <w:p w14:paraId="24D92DBD" w14:textId="77777777" w:rsidR="00410A94" w:rsidRPr="00E7079A" w:rsidRDefault="00780DDF" w:rsidP="005F45D1">
      <w:pPr>
        <w:pStyle w:val="Corpodetexto3"/>
        <w:tabs>
          <w:tab w:val="left" w:pos="4536"/>
        </w:tabs>
        <w:rPr>
          <w:rFonts w:ascii="Arial Narrow" w:hAnsi="Arial Narrow"/>
          <w:b w:val="0"/>
          <w:sz w:val="22"/>
        </w:rPr>
      </w:pPr>
      <w:r>
        <w:rPr>
          <w:rFonts w:ascii="Arial Narrow" w:hAnsi="Arial Narrow"/>
          <w:b w:val="0"/>
          <w:sz w:val="22"/>
        </w:rPr>
        <w:t xml:space="preserve"> </w:t>
      </w:r>
    </w:p>
    <w:p w14:paraId="3ABC65F4" w14:textId="77777777" w:rsidR="00607EF0" w:rsidRDefault="00607EF0" w:rsidP="00972F40">
      <w:pPr>
        <w:pStyle w:val="Corpodetexto3"/>
        <w:tabs>
          <w:tab w:val="left" w:pos="4536"/>
        </w:tabs>
        <w:jc w:val="center"/>
        <w:rPr>
          <w:rFonts w:ascii="Arial Narrow" w:hAnsi="Arial Narrow"/>
          <w:sz w:val="22"/>
          <w:szCs w:val="22"/>
        </w:rPr>
      </w:pPr>
    </w:p>
    <w:p w14:paraId="7F8146FB" w14:textId="77777777" w:rsidR="0070051C" w:rsidRPr="00B228BA" w:rsidRDefault="0070051C" w:rsidP="0070051C">
      <w:pPr>
        <w:spacing w:line="300" w:lineRule="exact"/>
        <w:jc w:val="center"/>
        <w:rPr>
          <w:rFonts w:ascii="Arial Narrow" w:hAnsi="Arial Narrow" w:cs="Arial"/>
          <w:b/>
          <w:bCs/>
          <w:sz w:val="22"/>
          <w:szCs w:val="22"/>
        </w:rPr>
      </w:pPr>
      <w:r w:rsidRPr="00B228BA">
        <w:rPr>
          <w:rFonts w:ascii="Arial Narrow" w:hAnsi="Arial Narrow" w:cs="Arial"/>
          <w:b/>
          <w:bCs/>
          <w:sz w:val="22"/>
          <w:szCs w:val="22"/>
        </w:rPr>
        <w:t>CELESC GERAÇÃO S.A.</w:t>
      </w:r>
    </w:p>
    <w:p w14:paraId="1D8D13C8" w14:textId="77777777" w:rsidR="0070051C" w:rsidRPr="00B228BA" w:rsidRDefault="0070051C" w:rsidP="0070051C">
      <w:pPr>
        <w:spacing w:line="300" w:lineRule="exact"/>
        <w:jc w:val="center"/>
        <w:rPr>
          <w:rFonts w:ascii="Arial Narrow" w:hAnsi="Arial Narrow"/>
          <w:sz w:val="22"/>
          <w:szCs w:val="22"/>
        </w:rPr>
      </w:pPr>
      <w:r w:rsidRPr="00B228BA">
        <w:rPr>
          <w:rFonts w:ascii="Arial Narrow" w:hAnsi="Arial Narrow"/>
          <w:sz w:val="22"/>
          <w:szCs w:val="22"/>
        </w:rPr>
        <w:t>Sociedade Anônima Sem Registro de Companhia Aberta</w:t>
      </w:r>
    </w:p>
    <w:p w14:paraId="483C983A" w14:textId="77777777" w:rsidR="0070051C" w:rsidRPr="00B228BA" w:rsidRDefault="0070051C" w:rsidP="0070051C">
      <w:pPr>
        <w:spacing w:line="300" w:lineRule="exact"/>
        <w:jc w:val="center"/>
        <w:rPr>
          <w:rFonts w:ascii="Arial Narrow" w:hAnsi="Arial Narrow"/>
          <w:sz w:val="22"/>
          <w:szCs w:val="22"/>
        </w:rPr>
      </w:pPr>
      <w:r w:rsidRPr="00B228BA">
        <w:rPr>
          <w:rFonts w:ascii="Arial Narrow" w:hAnsi="Arial Narrow"/>
          <w:sz w:val="22"/>
          <w:szCs w:val="22"/>
        </w:rPr>
        <w:t>CNPJ/ME 08.336.804/0001-78</w:t>
      </w:r>
    </w:p>
    <w:p w14:paraId="57A8C83A" w14:textId="77777777" w:rsidR="0070051C" w:rsidRPr="00B228BA" w:rsidRDefault="0070051C" w:rsidP="0070051C">
      <w:pPr>
        <w:spacing w:line="300" w:lineRule="exact"/>
        <w:jc w:val="center"/>
        <w:rPr>
          <w:rFonts w:ascii="Arial Narrow" w:hAnsi="Arial Narrow"/>
          <w:b/>
          <w:bCs/>
          <w:sz w:val="22"/>
          <w:szCs w:val="22"/>
        </w:rPr>
      </w:pPr>
      <w:r w:rsidRPr="00B228BA">
        <w:rPr>
          <w:rFonts w:ascii="Arial Narrow" w:hAnsi="Arial Narrow"/>
          <w:sz w:val="22"/>
          <w:szCs w:val="22"/>
        </w:rPr>
        <w:t>NIRE 42.300.030.767</w:t>
      </w:r>
    </w:p>
    <w:p w14:paraId="01164D23" w14:textId="77777777" w:rsidR="0070051C" w:rsidRPr="00B228BA" w:rsidRDefault="0070051C" w:rsidP="0070051C">
      <w:pPr>
        <w:spacing w:line="300" w:lineRule="exact"/>
        <w:jc w:val="center"/>
        <w:rPr>
          <w:rFonts w:ascii="Arial Narrow" w:hAnsi="Arial Narrow"/>
          <w:sz w:val="22"/>
          <w:szCs w:val="22"/>
        </w:rPr>
      </w:pPr>
    </w:p>
    <w:p w14:paraId="4F99F90D" w14:textId="77777777" w:rsidR="0070051C" w:rsidRPr="00B228BA" w:rsidRDefault="0070051C" w:rsidP="0070051C">
      <w:pPr>
        <w:spacing w:line="300" w:lineRule="exact"/>
        <w:jc w:val="center"/>
        <w:rPr>
          <w:rFonts w:ascii="Arial Narrow" w:hAnsi="Arial Narrow"/>
          <w:b/>
          <w:bCs/>
          <w:sz w:val="22"/>
          <w:szCs w:val="22"/>
        </w:rPr>
      </w:pPr>
      <w:r w:rsidRPr="00B228BA">
        <w:rPr>
          <w:rFonts w:ascii="Arial Narrow" w:hAnsi="Arial Narrow"/>
          <w:b/>
          <w:bCs/>
          <w:sz w:val="22"/>
          <w:szCs w:val="22"/>
        </w:rPr>
        <w:t>AVISO AOS DEBENTURISTAS</w:t>
      </w:r>
    </w:p>
    <w:p w14:paraId="60F4508C" w14:textId="77777777" w:rsidR="0070051C" w:rsidRPr="00B228BA" w:rsidRDefault="0070051C" w:rsidP="0070051C">
      <w:pPr>
        <w:spacing w:line="300" w:lineRule="exact"/>
        <w:jc w:val="center"/>
        <w:rPr>
          <w:rFonts w:ascii="Arial Narrow" w:hAnsi="Arial Narrow"/>
          <w:b/>
          <w:bCs/>
          <w:sz w:val="22"/>
          <w:szCs w:val="22"/>
        </w:rPr>
      </w:pPr>
      <w:r w:rsidRPr="00B228BA">
        <w:rPr>
          <w:rFonts w:ascii="Arial Narrow" w:hAnsi="Arial Narrow"/>
          <w:b/>
          <w:bCs/>
          <w:sz w:val="22"/>
          <w:szCs w:val="22"/>
        </w:rPr>
        <w:t>DA 2ª EMISSÃO CLGR12 / BRCLGRDBS027</w:t>
      </w:r>
    </w:p>
    <w:p w14:paraId="17C2F496" w14:textId="77777777" w:rsidR="0070051C" w:rsidRPr="00B228BA" w:rsidRDefault="0070051C" w:rsidP="0070051C">
      <w:pPr>
        <w:spacing w:line="300" w:lineRule="exact"/>
        <w:jc w:val="center"/>
        <w:rPr>
          <w:rFonts w:ascii="Arial Narrow" w:hAnsi="Arial Narrow"/>
          <w:b/>
          <w:bCs/>
          <w:sz w:val="22"/>
          <w:szCs w:val="22"/>
        </w:rPr>
      </w:pPr>
    </w:p>
    <w:p w14:paraId="2D2DDD49" w14:textId="77777777" w:rsidR="0070051C" w:rsidRPr="00B228BA" w:rsidRDefault="0070051C" w:rsidP="0070051C">
      <w:pPr>
        <w:spacing w:line="300" w:lineRule="exact"/>
        <w:jc w:val="center"/>
        <w:rPr>
          <w:rFonts w:ascii="Arial Narrow" w:hAnsi="Arial Narrow"/>
          <w:b/>
          <w:bCs/>
          <w:sz w:val="22"/>
          <w:szCs w:val="22"/>
        </w:rPr>
      </w:pPr>
      <w:r w:rsidRPr="00B228BA">
        <w:rPr>
          <w:rFonts w:ascii="Arial Narrow" w:hAnsi="Arial Narrow"/>
          <w:b/>
          <w:bCs/>
          <w:sz w:val="22"/>
          <w:szCs w:val="22"/>
        </w:rPr>
        <w:t>COMUNICAÇÃO DE RESGATE ANTECIPADO FACULTATIVO TOTAL</w:t>
      </w:r>
    </w:p>
    <w:p w14:paraId="538EF53D" w14:textId="77777777" w:rsidR="0070051C" w:rsidRPr="00B228BA" w:rsidRDefault="0070051C" w:rsidP="0070051C">
      <w:pPr>
        <w:spacing w:line="300" w:lineRule="exact"/>
        <w:jc w:val="both"/>
        <w:rPr>
          <w:rFonts w:ascii="Arial Narrow" w:hAnsi="Arial Narrow"/>
          <w:sz w:val="22"/>
          <w:szCs w:val="22"/>
        </w:rPr>
      </w:pPr>
    </w:p>
    <w:p w14:paraId="2E62F616" w14:textId="4351E52A" w:rsidR="0070051C" w:rsidRDefault="0070051C" w:rsidP="0070051C">
      <w:pPr>
        <w:spacing w:line="300" w:lineRule="exact"/>
        <w:jc w:val="both"/>
        <w:rPr>
          <w:rFonts w:ascii="Arial Narrow" w:hAnsi="Arial Narrow"/>
          <w:sz w:val="22"/>
          <w:szCs w:val="22"/>
        </w:rPr>
      </w:pPr>
      <w:r w:rsidRPr="00B228BA">
        <w:rPr>
          <w:rFonts w:ascii="Arial Narrow" w:hAnsi="Arial Narrow"/>
          <w:sz w:val="22"/>
          <w:szCs w:val="22"/>
        </w:rPr>
        <w:t xml:space="preserve">A </w:t>
      </w:r>
      <w:r w:rsidRPr="00B228BA">
        <w:rPr>
          <w:rFonts w:ascii="Arial Narrow" w:hAnsi="Arial Narrow"/>
          <w:b/>
          <w:bCs/>
          <w:sz w:val="22"/>
          <w:szCs w:val="22"/>
        </w:rPr>
        <w:t xml:space="preserve">CELESC GERAÇÃO S.A. </w:t>
      </w:r>
      <w:r>
        <w:rPr>
          <w:rFonts w:ascii="Arial Narrow" w:hAnsi="Arial Narrow"/>
          <w:b/>
          <w:bCs/>
          <w:sz w:val="22"/>
          <w:szCs w:val="22"/>
        </w:rPr>
        <w:t xml:space="preserve">(“Emissora”) </w:t>
      </w:r>
      <w:r w:rsidRPr="00B228BA">
        <w:rPr>
          <w:rFonts w:ascii="Arial Narrow" w:hAnsi="Arial Narrow"/>
          <w:sz w:val="22"/>
          <w:szCs w:val="22"/>
        </w:rPr>
        <w:t>vem comunicar aos Debenturistas da 2ª (segunda) emissão de debêntures simples, não conversíveis em ações, da espécie com garantia real, com garantia adicional fidejussória, em série única (“</w:t>
      </w:r>
      <w:r w:rsidRPr="00B228BA">
        <w:rPr>
          <w:rFonts w:ascii="Arial Narrow" w:hAnsi="Arial Narrow"/>
          <w:b/>
          <w:bCs/>
          <w:sz w:val="22"/>
          <w:szCs w:val="22"/>
        </w:rPr>
        <w:t>Debêntures</w:t>
      </w:r>
      <w:r w:rsidRPr="00B228BA">
        <w:rPr>
          <w:rFonts w:ascii="Arial Narrow" w:hAnsi="Arial Narrow"/>
          <w:sz w:val="22"/>
          <w:szCs w:val="22"/>
        </w:rPr>
        <w:t>”), emitidas nos termos do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 celebrado em 15 de maio de 2018, conforme aditado (“</w:t>
      </w:r>
      <w:r w:rsidRPr="00B228BA">
        <w:rPr>
          <w:rFonts w:ascii="Arial Narrow" w:hAnsi="Arial Narrow"/>
          <w:b/>
          <w:bCs/>
          <w:sz w:val="22"/>
          <w:szCs w:val="22"/>
        </w:rPr>
        <w:t>Escritura de Emissão</w:t>
      </w:r>
      <w:r w:rsidRPr="00B228BA">
        <w:rPr>
          <w:rFonts w:ascii="Arial Narrow" w:hAnsi="Arial Narrow"/>
          <w:sz w:val="22"/>
          <w:szCs w:val="22"/>
        </w:rPr>
        <w:t>”) que, em 0</w:t>
      </w:r>
      <w:r w:rsidR="0050253F">
        <w:rPr>
          <w:rFonts w:ascii="Arial Narrow" w:hAnsi="Arial Narrow"/>
          <w:sz w:val="22"/>
          <w:szCs w:val="22"/>
        </w:rPr>
        <w:t>3</w:t>
      </w:r>
      <w:r w:rsidRPr="00B228BA">
        <w:rPr>
          <w:rFonts w:ascii="Arial Narrow" w:hAnsi="Arial Narrow"/>
          <w:sz w:val="22"/>
          <w:szCs w:val="22"/>
        </w:rPr>
        <w:t xml:space="preserve"> de novembro de 2022, realizará o Resgate Antecipado Facultativo Total das Debêntures (“</w:t>
      </w:r>
      <w:r w:rsidRPr="00B228BA">
        <w:rPr>
          <w:rFonts w:ascii="Arial Narrow" w:hAnsi="Arial Narrow"/>
          <w:b/>
          <w:bCs/>
          <w:sz w:val="22"/>
          <w:szCs w:val="22"/>
        </w:rPr>
        <w:t>Resgate</w:t>
      </w:r>
      <w:r w:rsidRPr="00B228BA">
        <w:rPr>
          <w:rFonts w:ascii="Arial Narrow" w:hAnsi="Arial Narrow"/>
          <w:sz w:val="22"/>
          <w:szCs w:val="22"/>
        </w:rPr>
        <w:t xml:space="preserve">”), nos termos da Cláusula </w:t>
      </w:r>
      <w:bookmarkStart w:id="0" w:name="_Hlk112055636"/>
      <w:r w:rsidRPr="00B228BA">
        <w:rPr>
          <w:rFonts w:ascii="Arial Narrow" w:hAnsi="Arial Narrow"/>
          <w:sz w:val="22"/>
          <w:szCs w:val="22"/>
        </w:rPr>
        <w:t xml:space="preserve">5.1 </w:t>
      </w:r>
      <w:bookmarkEnd w:id="0"/>
      <w:r w:rsidRPr="00B228BA">
        <w:rPr>
          <w:rFonts w:ascii="Arial Narrow" w:hAnsi="Arial Narrow"/>
          <w:sz w:val="22"/>
          <w:szCs w:val="22"/>
        </w:rPr>
        <w:t>da Escritura de Emissão, nos valores abaixo informados, sendo certo que farão jus ao recebimento os debenturistas que ao final do dia útil anterior à data de pagamento forem titulares das Debêntures:</w:t>
      </w:r>
    </w:p>
    <w:p w14:paraId="25876410" w14:textId="77777777" w:rsidR="0070051C" w:rsidRPr="00B228BA" w:rsidRDefault="0070051C" w:rsidP="0070051C">
      <w:pPr>
        <w:spacing w:line="300" w:lineRule="exact"/>
        <w:jc w:val="both"/>
        <w:rPr>
          <w:rFonts w:ascii="Arial Narrow" w:hAnsi="Arial Narrow"/>
          <w:sz w:val="22"/>
          <w:szCs w:val="22"/>
        </w:rPr>
      </w:pPr>
    </w:p>
    <w:p w14:paraId="56168AE2" w14:textId="77777777" w:rsidR="0070051C" w:rsidRPr="00B228BA" w:rsidRDefault="0070051C" w:rsidP="0070051C">
      <w:pPr>
        <w:pStyle w:val="TabRoman"/>
        <w:numPr>
          <w:ilvl w:val="0"/>
          <w:numId w:val="38"/>
        </w:numPr>
        <w:rPr>
          <w:rFonts w:ascii="Arial Narrow" w:hAnsi="Arial Narrow"/>
          <w:sz w:val="22"/>
        </w:rPr>
      </w:pPr>
      <w:r w:rsidRPr="00B228BA">
        <w:rPr>
          <w:rFonts w:ascii="Arial Narrow" w:hAnsi="Arial Narrow"/>
          <w:b/>
          <w:bCs/>
          <w:sz w:val="22"/>
        </w:rPr>
        <w:t>Valor Nominal Unitário</w:t>
      </w:r>
      <w:r w:rsidRPr="00B228BA">
        <w:rPr>
          <w:rFonts w:ascii="Arial Narrow" w:hAnsi="Arial Narrow"/>
          <w:sz w:val="22"/>
        </w:rPr>
        <w:t>: R$ 1.764,72 (um mil e setecentos e sessenta e quatro reais e setenta e dois centavos);</w:t>
      </w:r>
    </w:p>
    <w:p w14:paraId="39DAEE79" w14:textId="0077673C" w:rsidR="0070051C" w:rsidRPr="00B228BA" w:rsidRDefault="0070051C" w:rsidP="0050253F">
      <w:pPr>
        <w:pStyle w:val="TabRoman"/>
        <w:numPr>
          <w:ilvl w:val="0"/>
          <w:numId w:val="38"/>
        </w:numPr>
        <w:rPr>
          <w:rFonts w:ascii="Arial Narrow" w:hAnsi="Arial Narrow"/>
          <w:sz w:val="22"/>
        </w:rPr>
      </w:pPr>
      <w:r w:rsidRPr="00B228BA">
        <w:rPr>
          <w:rFonts w:ascii="Arial Narrow" w:hAnsi="Arial Narrow"/>
          <w:b/>
          <w:bCs/>
          <w:sz w:val="22"/>
        </w:rPr>
        <w:t>Remuneração</w:t>
      </w:r>
      <w:r w:rsidRPr="00B228BA">
        <w:rPr>
          <w:rFonts w:ascii="Arial Narrow" w:hAnsi="Arial Narrow"/>
          <w:sz w:val="22"/>
        </w:rPr>
        <w:t xml:space="preserve">: Calculada </w:t>
      </w:r>
      <w:r w:rsidRPr="00B228BA">
        <w:rPr>
          <w:rFonts w:ascii="Arial Narrow" w:hAnsi="Arial Narrow"/>
          <w:i/>
          <w:iCs/>
          <w:sz w:val="22"/>
        </w:rPr>
        <w:t xml:space="preserve">pro rata </w:t>
      </w:r>
      <w:proofErr w:type="spellStart"/>
      <w:r w:rsidRPr="00B228BA">
        <w:rPr>
          <w:rFonts w:ascii="Arial Narrow" w:hAnsi="Arial Narrow"/>
          <w:i/>
          <w:iCs/>
          <w:sz w:val="22"/>
        </w:rPr>
        <w:t>temporis</w:t>
      </w:r>
      <w:proofErr w:type="spellEnd"/>
      <w:r w:rsidRPr="00B228BA">
        <w:rPr>
          <w:rFonts w:ascii="Arial Narrow" w:hAnsi="Arial Narrow"/>
          <w:sz w:val="22"/>
        </w:rPr>
        <w:t xml:space="preserve"> desde a Data de Pagamento de Remuneração imediatamente anterior, ou seja, 01 de setembro de 2022, até a data do Resgate, cuja prévia do valor unitário é de R$ </w:t>
      </w:r>
      <w:r w:rsidR="0050253F" w:rsidRPr="0050253F">
        <w:rPr>
          <w:rFonts w:ascii="Arial Narrow" w:hAnsi="Arial Narrow"/>
          <w:sz w:val="22"/>
        </w:rPr>
        <w:t>45,47218259</w:t>
      </w:r>
      <w:r w:rsidRPr="00B228BA">
        <w:rPr>
          <w:rFonts w:ascii="Arial Narrow" w:hAnsi="Arial Narrow"/>
          <w:sz w:val="22"/>
        </w:rPr>
        <w:t xml:space="preserve">; e </w:t>
      </w:r>
    </w:p>
    <w:p w14:paraId="1EFB60CA" w14:textId="74297F67" w:rsidR="0070051C" w:rsidRPr="00B228BA" w:rsidRDefault="0070051C" w:rsidP="0050253F">
      <w:pPr>
        <w:pStyle w:val="TabRoman"/>
        <w:numPr>
          <w:ilvl w:val="0"/>
          <w:numId w:val="38"/>
        </w:numPr>
        <w:rPr>
          <w:rFonts w:ascii="Arial Narrow" w:hAnsi="Arial Narrow"/>
          <w:sz w:val="22"/>
        </w:rPr>
      </w:pPr>
      <w:r w:rsidRPr="00B228BA">
        <w:rPr>
          <w:rFonts w:ascii="Arial Narrow" w:hAnsi="Arial Narrow"/>
          <w:b/>
          <w:bCs/>
          <w:sz w:val="22"/>
        </w:rPr>
        <w:t>Prêmio</w:t>
      </w:r>
      <w:r w:rsidRPr="00B228BA">
        <w:rPr>
          <w:rFonts w:ascii="Arial Narrow" w:hAnsi="Arial Narrow"/>
          <w:sz w:val="22"/>
        </w:rPr>
        <w:t>: correspondente a 0,35% (trinta e cinco centésimos por cento) flat, incidente sobre o Valor Nominal Unitário acrescido da Remuneração</w:t>
      </w:r>
      <w:r>
        <w:rPr>
          <w:rFonts w:ascii="Arial Narrow" w:hAnsi="Arial Narrow"/>
          <w:sz w:val="22"/>
        </w:rPr>
        <w:t xml:space="preserve"> descrita no item (b.)</w:t>
      </w:r>
      <w:r w:rsidRPr="00B228BA">
        <w:rPr>
          <w:rFonts w:ascii="Arial Narrow" w:hAnsi="Arial Narrow"/>
          <w:sz w:val="22"/>
        </w:rPr>
        <w:t xml:space="preserve"> acima, cuja prévia do valor unitário é de R$ </w:t>
      </w:r>
      <w:r w:rsidR="0050253F" w:rsidRPr="0050253F">
        <w:rPr>
          <w:rFonts w:ascii="Arial Narrow" w:hAnsi="Arial Narrow"/>
          <w:sz w:val="22"/>
        </w:rPr>
        <w:t>6,33567264</w:t>
      </w:r>
      <w:r w:rsidRPr="00B228BA">
        <w:rPr>
          <w:rFonts w:ascii="Arial Narrow" w:hAnsi="Arial Narrow"/>
          <w:sz w:val="22"/>
        </w:rPr>
        <w:t>.</w:t>
      </w:r>
      <w:bookmarkStart w:id="1" w:name="_GoBack"/>
      <w:bookmarkEnd w:id="1"/>
    </w:p>
    <w:p w14:paraId="2CBCEE24" w14:textId="77777777" w:rsidR="0070051C" w:rsidRDefault="0070051C" w:rsidP="0070051C">
      <w:pPr>
        <w:spacing w:line="300" w:lineRule="exact"/>
        <w:jc w:val="both"/>
        <w:rPr>
          <w:rFonts w:ascii="Arial Narrow" w:hAnsi="Arial Narrow"/>
          <w:sz w:val="22"/>
          <w:szCs w:val="22"/>
        </w:rPr>
      </w:pPr>
    </w:p>
    <w:p w14:paraId="67089CDD" w14:textId="77777777" w:rsidR="0070051C" w:rsidRPr="00B228BA" w:rsidRDefault="0070051C" w:rsidP="0070051C">
      <w:pPr>
        <w:spacing w:line="300" w:lineRule="exact"/>
        <w:jc w:val="both"/>
        <w:rPr>
          <w:rFonts w:ascii="Arial Narrow" w:hAnsi="Arial Narrow"/>
          <w:sz w:val="22"/>
          <w:szCs w:val="22"/>
        </w:rPr>
      </w:pPr>
      <w:r w:rsidRPr="00B228BA">
        <w:rPr>
          <w:rFonts w:ascii="Arial Narrow" w:hAnsi="Arial Narrow"/>
          <w:sz w:val="22"/>
          <w:szCs w:val="22"/>
        </w:rPr>
        <w:t xml:space="preserve">O pagamento do Resgate Antecipado Facultativo será realizado de acordo com </w:t>
      </w:r>
      <w:r w:rsidRPr="00B228BA">
        <w:rPr>
          <w:rFonts w:ascii="Arial Narrow" w:hAnsi="Arial Narrow"/>
          <w:b/>
          <w:bCs/>
          <w:sz w:val="22"/>
          <w:szCs w:val="22"/>
        </w:rPr>
        <w:t>(i)</w:t>
      </w:r>
      <w:r w:rsidRPr="00B228BA">
        <w:rPr>
          <w:rFonts w:ascii="Arial Narrow" w:hAnsi="Arial Narrow"/>
          <w:sz w:val="22"/>
          <w:szCs w:val="22"/>
        </w:rPr>
        <w:t xml:space="preserve"> os procedimentos estabelecidos pela B3, para as Debêntures que estiverem custodiadas eletronicamente na B3; ou </w:t>
      </w:r>
      <w:r w:rsidRPr="00B228BA">
        <w:rPr>
          <w:rFonts w:ascii="Arial Narrow" w:hAnsi="Arial Narrow"/>
          <w:b/>
          <w:bCs/>
          <w:sz w:val="22"/>
          <w:szCs w:val="22"/>
        </w:rPr>
        <w:t>(</w:t>
      </w:r>
      <w:proofErr w:type="spellStart"/>
      <w:r w:rsidRPr="00B228BA">
        <w:rPr>
          <w:rFonts w:ascii="Arial Narrow" w:hAnsi="Arial Narrow"/>
          <w:b/>
          <w:bCs/>
          <w:sz w:val="22"/>
          <w:szCs w:val="22"/>
        </w:rPr>
        <w:t>ii</w:t>
      </w:r>
      <w:proofErr w:type="spellEnd"/>
      <w:r w:rsidRPr="00B228BA">
        <w:rPr>
          <w:rFonts w:ascii="Arial Narrow" w:hAnsi="Arial Narrow"/>
          <w:b/>
          <w:bCs/>
          <w:sz w:val="22"/>
          <w:szCs w:val="22"/>
        </w:rPr>
        <w:t>)</w:t>
      </w:r>
      <w:r w:rsidRPr="00B228BA">
        <w:rPr>
          <w:rFonts w:ascii="Arial Narrow" w:hAnsi="Arial Narrow"/>
          <w:sz w:val="22"/>
          <w:szCs w:val="22"/>
        </w:rPr>
        <w:t xml:space="preserve"> os procedimentos adotados pelo Banco Liquidante, para as Debêntures que não estiverem custodiadas eletronicamente na B3.</w:t>
      </w:r>
    </w:p>
    <w:p w14:paraId="5076B68E" w14:textId="77777777" w:rsidR="0070051C" w:rsidRPr="00B228BA" w:rsidRDefault="0070051C" w:rsidP="0070051C">
      <w:pPr>
        <w:spacing w:line="300" w:lineRule="exact"/>
        <w:jc w:val="both"/>
        <w:rPr>
          <w:rFonts w:ascii="Arial Narrow" w:hAnsi="Arial Narrow"/>
          <w:sz w:val="22"/>
          <w:szCs w:val="22"/>
        </w:rPr>
      </w:pPr>
    </w:p>
    <w:p w14:paraId="7546517B" w14:textId="77777777" w:rsidR="0070051C" w:rsidRPr="00B228BA" w:rsidRDefault="0070051C" w:rsidP="0070051C">
      <w:pPr>
        <w:spacing w:line="300" w:lineRule="exact"/>
        <w:jc w:val="both"/>
        <w:rPr>
          <w:rFonts w:ascii="Arial Narrow" w:hAnsi="Arial Narrow"/>
          <w:sz w:val="22"/>
          <w:szCs w:val="22"/>
        </w:rPr>
      </w:pPr>
      <w:r w:rsidRPr="00B228BA">
        <w:rPr>
          <w:rFonts w:ascii="Arial Narrow" w:hAnsi="Arial Narrow"/>
          <w:sz w:val="22"/>
          <w:szCs w:val="22"/>
        </w:rPr>
        <w:t>As Debêntures resgatadas serão canceladas pela Emissora.</w:t>
      </w:r>
    </w:p>
    <w:p w14:paraId="25B0CB1B" w14:textId="77777777" w:rsidR="0070051C" w:rsidRPr="00B228BA" w:rsidRDefault="0070051C" w:rsidP="0070051C">
      <w:pPr>
        <w:spacing w:line="300" w:lineRule="exact"/>
        <w:jc w:val="both"/>
        <w:rPr>
          <w:rFonts w:ascii="Arial Narrow" w:hAnsi="Arial Narrow"/>
          <w:sz w:val="22"/>
          <w:szCs w:val="22"/>
        </w:rPr>
      </w:pPr>
    </w:p>
    <w:p w14:paraId="0A6C822F" w14:textId="77777777" w:rsidR="0070051C" w:rsidRPr="00B228BA" w:rsidRDefault="0070051C" w:rsidP="0070051C">
      <w:pPr>
        <w:spacing w:line="300" w:lineRule="exact"/>
        <w:jc w:val="both"/>
        <w:rPr>
          <w:rFonts w:ascii="Arial Narrow" w:hAnsi="Arial Narrow"/>
          <w:sz w:val="22"/>
          <w:szCs w:val="22"/>
        </w:rPr>
      </w:pPr>
      <w:r w:rsidRPr="00B228BA">
        <w:rPr>
          <w:rFonts w:ascii="Arial Narrow" w:hAnsi="Arial Narrow"/>
          <w:sz w:val="22"/>
          <w:szCs w:val="22"/>
        </w:rPr>
        <w:t xml:space="preserve">Tão logo o pagamento seja efetivado, a </w:t>
      </w:r>
      <w:r>
        <w:rPr>
          <w:rFonts w:ascii="Arial Narrow" w:hAnsi="Arial Narrow"/>
          <w:sz w:val="22"/>
          <w:szCs w:val="22"/>
        </w:rPr>
        <w:t>Celesc</w:t>
      </w:r>
      <w:r w:rsidRPr="00B228BA">
        <w:rPr>
          <w:rFonts w:ascii="Arial Narrow" w:hAnsi="Arial Narrow"/>
          <w:sz w:val="22"/>
          <w:szCs w:val="22"/>
        </w:rPr>
        <w:t xml:space="preserve"> realizará um Comunicado ao Mercado, a ser disponibilizado em </w:t>
      </w:r>
      <w:r>
        <w:rPr>
          <w:rFonts w:ascii="Arial Narrow" w:hAnsi="Arial Narrow"/>
          <w:sz w:val="22"/>
          <w:szCs w:val="22"/>
        </w:rPr>
        <w:t xml:space="preserve">seu site: </w:t>
      </w:r>
      <w:hyperlink r:id="rId8" w:history="1">
        <w:r w:rsidRPr="00B228BA">
          <w:rPr>
            <w:rStyle w:val="Hyperlink"/>
            <w:rFonts w:ascii="Arial Narrow" w:hAnsi="Arial Narrow"/>
            <w:sz w:val="22"/>
            <w:szCs w:val="22"/>
          </w:rPr>
          <w:t>https://ri.celesc.com.br/</w:t>
        </w:r>
      </w:hyperlink>
    </w:p>
    <w:p w14:paraId="7FCB0176" w14:textId="77777777" w:rsidR="0070051C" w:rsidRDefault="0070051C" w:rsidP="0070051C">
      <w:pPr>
        <w:spacing w:line="300" w:lineRule="exact"/>
        <w:jc w:val="center"/>
      </w:pPr>
    </w:p>
    <w:p w14:paraId="2A041B82" w14:textId="77777777" w:rsidR="0070051C" w:rsidRPr="00B228BA" w:rsidRDefault="0070051C" w:rsidP="0070051C">
      <w:pPr>
        <w:spacing w:line="300" w:lineRule="exact"/>
        <w:jc w:val="center"/>
        <w:rPr>
          <w:rFonts w:ascii="Arial Narrow" w:hAnsi="Arial Narrow" w:cs="Arial"/>
          <w:b/>
          <w:bCs/>
          <w:sz w:val="22"/>
          <w:szCs w:val="22"/>
        </w:rPr>
      </w:pPr>
      <w:r w:rsidRPr="00B228BA">
        <w:rPr>
          <w:rFonts w:ascii="Arial Narrow" w:hAnsi="Arial Narrow" w:cs="Arial"/>
          <w:b/>
          <w:bCs/>
          <w:sz w:val="22"/>
          <w:szCs w:val="22"/>
        </w:rPr>
        <w:t>CELESC GERAÇÃO S.A.</w:t>
      </w:r>
    </w:p>
    <w:p w14:paraId="7AA005A4" w14:textId="77777777" w:rsidR="0070051C" w:rsidRPr="00B228BA" w:rsidRDefault="0070051C" w:rsidP="0070051C">
      <w:pPr>
        <w:spacing w:line="300" w:lineRule="exact"/>
        <w:jc w:val="center"/>
        <w:rPr>
          <w:rFonts w:ascii="Arial Narrow" w:hAnsi="Arial Narrow"/>
          <w:sz w:val="22"/>
          <w:szCs w:val="22"/>
        </w:rPr>
      </w:pPr>
      <w:r w:rsidRPr="00B228BA">
        <w:rPr>
          <w:rFonts w:ascii="Arial Narrow" w:hAnsi="Arial Narrow"/>
          <w:sz w:val="22"/>
          <w:szCs w:val="22"/>
        </w:rPr>
        <w:t>Florianópolis, 25 de outubro de 2022.</w:t>
      </w:r>
    </w:p>
    <w:p w14:paraId="6805665A" w14:textId="77777777" w:rsidR="0070051C" w:rsidRPr="00110C3E" w:rsidRDefault="0070051C" w:rsidP="0070051C">
      <w:pPr>
        <w:pStyle w:val="Corpodetexto3"/>
        <w:tabs>
          <w:tab w:val="left" w:pos="4536"/>
        </w:tabs>
        <w:jc w:val="center"/>
        <w:rPr>
          <w:rFonts w:ascii="Arial Narrow" w:hAnsi="Arial Narrow"/>
          <w:sz w:val="20"/>
        </w:rPr>
      </w:pPr>
    </w:p>
    <w:p w14:paraId="1D89D7B6" w14:textId="6D5F63B7" w:rsidR="00D948BA" w:rsidRPr="00F710B6" w:rsidRDefault="00D948BA" w:rsidP="0070051C">
      <w:pPr>
        <w:pStyle w:val="Corpodetexto3"/>
        <w:tabs>
          <w:tab w:val="left" w:pos="4536"/>
        </w:tabs>
        <w:jc w:val="center"/>
        <w:rPr>
          <w:rFonts w:ascii="Arial Narrow" w:hAnsi="Arial Narrow"/>
          <w:snapToGrid w:val="0"/>
          <w:sz w:val="18"/>
          <w:szCs w:val="18"/>
        </w:rPr>
      </w:pPr>
    </w:p>
    <w:sectPr w:rsidR="00D948BA" w:rsidRPr="00F710B6" w:rsidSect="00442BBF">
      <w:headerReference w:type="default" r:id="rId9"/>
      <w:footerReference w:type="default" r:id="rId10"/>
      <w:endnotePr>
        <w:numFmt w:val="decimal"/>
      </w:endnotePr>
      <w:pgSz w:w="11907" w:h="16840" w:code="9"/>
      <w:pgMar w:top="680" w:right="1418" w:bottom="284"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DF9A" w14:textId="77777777" w:rsidR="008C5441" w:rsidRDefault="008C5441">
      <w:r>
        <w:separator/>
      </w:r>
    </w:p>
  </w:endnote>
  <w:endnote w:type="continuationSeparator" w:id="0">
    <w:p w14:paraId="299E7079" w14:textId="77777777" w:rsidR="008C5441" w:rsidRDefault="008C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0779" w14:textId="6005EE8E" w:rsidR="00341B85" w:rsidRDefault="002C33A9">
    <w:pPr>
      <w:pStyle w:val="Rodap"/>
      <w:widowControl/>
    </w:pPr>
    <w:r>
      <w:rPr>
        <w:noProof/>
      </w:rPr>
      <w:drawing>
        <wp:anchor distT="0" distB="0" distL="114300" distR="114300" simplePos="0" relativeHeight="251659264" behindDoc="0" locked="0" layoutInCell="1" allowOverlap="1" wp14:anchorId="5E9DB53F" wp14:editId="02F52DCA">
          <wp:simplePos x="0" y="0"/>
          <wp:positionH relativeFrom="column">
            <wp:posOffset>-1090930</wp:posOffset>
          </wp:positionH>
          <wp:positionV relativeFrom="paragraph">
            <wp:posOffset>-1740535</wp:posOffset>
          </wp:positionV>
          <wp:extent cx="8115300" cy="2359172"/>
          <wp:effectExtent l="0" t="0" r="0"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alho e rodapé__Prancheta 1 cópia.png"/>
                  <pic:cNvPicPr/>
                </pic:nvPicPr>
                <pic:blipFill>
                  <a:blip r:embed="rId1">
                    <a:extLst>
                      <a:ext uri="{28A0092B-C50C-407E-A947-70E740481C1C}">
                        <a14:useLocalDpi xmlns:a14="http://schemas.microsoft.com/office/drawing/2010/main" val="0"/>
                      </a:ext>
                    </a:extLst>
                  </a:blip>
                  <a:stretch>
                    <a:fillRect/>
                  </a:stretch>
                </pic:blipFill>
                <pic:spPr>
                  <a:xfrm>
                    <a:off x="0" y="0"/>
                    <a:ext cx="8115300" cy="235917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F2E3D" w14:textId="77777777" w:rsidR="008C5441" w:rsidRDefault="008C5441">
      <w:r>
        <w:separator/>
      </w:r>
    </w:p>
  </w:footnote>
  <w:footnote w:type="continuationSeparator" w:id="0">
    <w:p w14:paraId="2724CE28" w14:textId="77777777" w:rsidR="008C5441" w:rsidRDefault="008C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DB64" w14:textId="3729F76D" w:rsidR="00341B85" w:rsidRDefault="002C33A9" w:rsidP="00552AF6">
    <w:pPr>
      <w:jc w:val="center"/>
      <w:rPr>
        <w:noProof/>
      </w:rPr>
    </w:pPr>
    <w:r>
      <w:rPr>
        <w:noProof/>
      </w:rPr>
      <w:drawing>
        <wp:anchor distT="0" distB="0" distL="114300" distR="114300" simplePos="0" relativeHeight="251658240" behindDoc="0" locked="0" layoutInCell="1" allowOverlap="1" wp14:anchorId="79541BE7" wp14:editId="710F867A">
          <wp:simplePos x="0" y="0"/>
          <wp:positionH relativeFrom="column">
            <wp:posOffset>-1002030</wp:posOffset>
          </wp:positionH>
          <wp:positionV relativeFrom="paragraph">
            <wp:posOffset>-723900</wp:posOffset>
          </wp:positionV>
          <wp:extent cx="7727463" cy="34544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e rodapé__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727463" cy="3454400"/>
                  </a:xfrm>
                  <a:prstGeom prst="rect">
                    <a:avLst/>
                  </a:prstGeom>
                </pic:spPr>
              </pic:pic>
            </a:graphicData>
          </a:graphic>
          <wp14:sizeRelH relativeFrom="page">
            <wp14:pctWidth>0</wp14:pctWidth>
          </wp14:sizeRelH>
          <wp14:sizeRelV relativeFrom="page">
            <wp14:pctHeight>0</wp14:pctHeight>
          </wp14:sizeRelV>
        </wp:anchor>
      </w:drawing>
    </w:r>
    <w:r w:rsidR="00341B85">
      <w:rPr>
        <w:noProof/>
      </w:rPr>
      <w:t xml:space="preserve">               </w:t>
    </w:r>
  </w:p>
  <w:p w14:paraId="26A759A1" w14:textId="77777777" w:rsidR="00341B85" w:rsidRDefault="00341B85" w:rsidP="00C15D9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CD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EA0E1D"/>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060E7FDD"/>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C27E2D"/>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80346E"/>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14290FF1"/>
    <w:multiLevelType w:val="singleLevel"/>
    <w:tmpl w:val="89BEB692"/>
    <w:lvl w:ilvl="0">
      <w:start w:val="3"/>
      <w:numFmt w:val="bullet"/>
      <w:lvlText w:val="-"/>
      <w:lvlJc w:val="left"/>
      <w:pPr>
        <w:tabs>
          <w:tab w:val="num" w:pos="780"/>
        </w:tabs>
        <w:ind w:left="780" w:hanging="360"/>
      </w:pPr>
      <w:rPr>
        <w:rFonts w:hint="default"/>
      </w:rPr>
    </w:lvl>
  </w:abstractNum>
  <w:abstractNum w:abstractNumId="6" w15:restartNumberingAfterBreak="0">
    <w:nsid w:val="16D051A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2C761E"/>
    <w:multiLevelType w:val="multilevel"/>
    <w:tmpl w:val="7CBA4AF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1D306DE5"/>
    <w:multiLevelType w:val="singleLevel"/>
    <w:tmpl w:val="5C1ACB4A"/>
    <w:lvl w:ilvl="0">
      <w:start w:val="1"/>
      <w:numFmt w:val="lowerLetter"/>
      <w:lvlText w:val="%1)"/>
      <w:lvlJc w:val="left"/>
      <w:pPr>
        <w:tabs>
          <w:tab w:val="num" w:pos="786"/>
        </w:tabs>
        <w:ind w:left="786" w:hanging="360"/>
      </w:pPr>
      <w:rPr>
        <w:rFonts w:hint="default"/>
      </w:rPr>
    </w:lvl>
  </w:abstractNum>
  <w:abstractNum w:abstractNumId="9" w15:restartNumberingAfterBreak="0">
    <w:nsid w:val="1F791F8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B937DE"/>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2AC86AC1"/>
    <w:multiLevelType w:val="singleLevel"/>
    <w:tmpl w:val="0416000F"/>
    <w:lvl w:ilvl="0">
      <w:start w:val="1"/>
      <w:numFmt w:val="decimal"/>
      <w:lvlText w:val="%1."/>
      <w:lvlJc w:val="left"/>
      <w:pPr>
        <w:tabs>
          <w:tab w:val="num" w:pos="360"/>
        </w:tabs>
        <w:ind w:left="360" w:hanging="360"/>
      </w:pPr>
    </w:lvl>
  </w:abstractNum>
  <w:abstractNum w:abstractNumId="12" w15:restartNumberingAfterBreak="0">
    <w:nsid w:val="2E202D1C"/>
    <w:multiLevelType w:val="singleLevel"/>
    <w:tmpl w:val="940C2FF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5336E7"/>
    <w:multiLevelType w:val="multilevel"/>
    <w:tmpl w:val="FDEE5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2F93162"/>
    <w:multiLevelType w:val="singleLevel"/>
    <w:tmpl w:val="8FFC5502"/>
    <w:lvl w:ilvl="0">
      <w:start w:val="4"/>
      <w:numFmt w:val="bullet"/>
      <w:lvlText w:val="-"/>
      <w:lvlJc w:val="left"/>
      <w:pPr>
        <w:tabs>
          <w:tab w:val="num" w:pos="816"/>
        </w:tabs>
        <w:ind w:left="816" w:hanging="360"/>
      </w:pPr>
      <w:rPr>
        <w:rFonts w:hint="default"/>
      </w:rPr>
    </w:lvl>
  </w:abstractNum>
  <w:abstractNum w:abstractNumId="15" w15:restartNumberingAfterBreak="0">
    <w:nsid w:val="335626F6"/>
    <w:multiLevelType w:val="singleLevel"/>
    <w:tmpl w:val="BE4E4DF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34351589"/>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4E86A90"/>
    <w:multiLevelType w:val="multilevel"/>
    <w:tmpl w:val="AEA8D16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537462F"/>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37C24C7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1D6C87"/>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8C8004B"/>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B4F7F6D"/>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3F283220"/>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3FFF565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1440B8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4BA57E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CA47D9"/>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36045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FC7393A"/>
    <w:multiLevelType w:val="multilevel"/>
    <w:tmpl w:val="4296E04E"/>
    <w:lvl w:ilvl="0">
      <w:start w:val="1"/>
      <w:numFmt w:val="lowerLetter"/>
      <w:lvlText w:val="%1."/>
      <w:lvlJc w:val="left"/>
      <w:pPr>
        <w:tabs>
          <w:tab w:val="num" w:pos="425"/>
        </w:tabs>
        <w:ind w:left="425" w:hanging="425"/>
      </w:pPr>
      <w:rPr>
        <w:b/>
        <w:bCs/>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14935C5"/>
    <w:multiLevelType w:val="hybridMultilevel"/>
    <w:tmpl w:val="FA704C1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1CB253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7AE6D27"/>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23A0957"/>
    <w:multiLevelType w:val="multilevel"/>
    <w:tmpl w:val="24FC2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D867B04"/>
    <w:multiLevelType w:val="singleLevel"/>
    <w:tmpl w:val="5572548C"/>
    <w:lvl w:ilvl="0">
      <w:numFmt w:val="bullet"/>
      <w:lvlText w:val="-"/>
      <w:lvlJc w:val="left"/>
      <w:pPr>
        <w:tabs>
          <w:tab w:val="num" w:pos="1500"/>
        </w:tabs>
        <w:ind w:left="1500" w:hanging="360"/>
      </w:pPr>
      <w:rPr>
        <w:rFonts w:ascii="Times New Roman" w:hAnsi="Times New Roman" w:hint="default"/>
      </w:rPr>
    </w:lvl>
  </w:abstractNum>
  <w:abstractNum w:abstractNumId="35" w15:restartNumberingAfterBreak="0">
    <w:nsid w:val="6F30416B"/>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34271F5"/>
    <w:multiLevelType w:val="singleLevel"/>
    <w:tmpl w:val="4894B85E"/>
    <w:lvl w:ilvl="0">
      <w:start w:val="1"/>
      <w:numFmt w:val="decimal"/>
      <w:lvlText w:val="%1."/>
      <w:lvlJc w:val="left"/>
      <w:pPr>
        <w:tabs>
          <w:tab w:val="num" w:pos="1068"/>
        </w:tabs>
        <w:ind w:left="1068" w:hanging="360"/>
      </w:pPr>
      <w:rPr>
        <w:rFonts w:hint="default"/>
      </w:rPr>
    </w:lvl>
  </w:abstractNum>
  <w:abstractNum w:abstractNumId="37" w15:restartNumberingAfterBreak="0">
    <w:nsid w:val="740533D3"/>
    <w:multiLevelType w:val="singleLevel"/>
    <w:tmpl w:val="0416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6"/>
  </w:num>
  <w:num w:numId="3">
    <w:abstractNumId w:val="12"/>
  </w:num>
  <w:num w:numId="4">
    <w:abstractNumId w:val="19"/>
  </w:num>
  <w:num w:numId="5">
    <w:abstractNumId w:val="15"/>
  </w:num>
  <w:num w:numId="6">
    <w:abstractNumId w:val="14"/>
  </w:num>
  <w:num w:numId="7">
    <w:abstractNumId w:val="6"/>
  </w:num>
  <w:num w:numId="8">
    <w:abstractNumId w:val="18"/>
  </w:num>
  <w:num w:numId="9">
    <w:abstractNumId w:val="22"/>
  </w:num>
  <w:num w:numId="10">
    <w:abstractNumId w:val="32"/>
  </w:num>
  <w:num w:numId="11">
    <w:abstractNumId w:val="31"/>
  </w:num>
  <w:num w:numId="12">
    <w:abstractNumId w:val="1"/>
  </w:num>
  <w:num w:numId="13">
    <w:abstractNumId w:val="11"/>
  </w:num>
  <w:num w:numId="14">
    <w:abstractNumId w:val="23"/>
  </w:num>
  <w:num w:numId="15">
    <w:abstractNumId w:val="10"/>
  </w:num>
  <w:num w:numId="16">
    <w:abstractNumId w:val="4"/>
  </w:num>
  <w:num w:numId="17">
    <w:abstractNumId w:val="25"/>
  </w:num>
  <w:num w:numId="18">
    <w:abstractNumId w:val="24"/>
  </w:num>
  <w:num w:numId="19">
    <w:abstractNumId w:val="3"/>
  </w:num>
  <w:num w:numId="20">
    <w:abstractNumId w:val="35"/>
  </w:num>
  <w:num w:numId="21">
    <w:abstractNumId w:val="20"/>
  </w:num>
  <w:num w:numId="22">
    <w:abstractNumId w:val="21"/>
  </w:num>
  <w:num w:numId="23">
    <w:abstractNumId w:val="34"/>
  </w:num>
  <w:num w:numId="24">
    <w:abstractNumId w:val="27"/>
  </w:num>
  <w:num w:numId="25">
    <w:abstractNumId w:val="9"/>
  </w:num>
  <w:num w:numId="26">
    <w:abstractNumId w:val="16"/>
  </w:num>
  <w:num w:numId="27">
    <w:abstractNumId w:val="28"/>
  </w:num>
  <w:num w:numId="28">
    <w:abstractNumId w:val="8"/>
  </w:num>
  <w:num w:numId="29">
    <w:abstractNumId w:val="0"/>
  </w:num>
  <w:num w:numId="30">
    <w:abstractNumId w:val="37"/>
  </w:num>
  <w:num w:numId="31">
    <w:abstractNumId w:val="36"/>
  </w:num>
  <w:num w:numId="32">
    <w:abstractNumId w:val="2"/>
  </w:num>
  <w:num w:numId="33">
    <w:abstractNumId w:val="33"/>
  </w:num>
  <w:num w:numId="34">
    <w:abstractNumId w:val="13"/>
  </w:num>
  <w:num w:numId="35">
    <w:abstractNumId w:val="17"/>
  </w:num>
  <w:num w:numId="36">
    <w:abstractNumId w:val="30"/>
  </w:num>
  <w:num w:numId="37">
    <w:abstractNumId w:val="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F9"/>
    <w:rsid w:val="00002F2D"/>
    <w:rsid w:val="00006D13"/>
    <w:rsid w:val="00021257"/>
    <w:rsid w:val="0002274D"/>
    <w:rsid w:val="00046B53"/>
    <w:rsid w:val="00056381"/>
    <w:rsid w:val="0006093E"/>
    <w:rsid w:val="00072D4A"/>
    <w:rsid w:val="00086B3F"/>
    <w:rsid w:val="00092A27"/>
    <w:rsid w:val="00094EF9"/>
    <w:rsid w:val="000961FB"/>
    <w:rsid w:val="000C651C"/>
    <w:rsid w:val="000E4095"/>
    <w:rsid w:val="000F6EE4"/>
    <w:rsid w:val="000F7B33"/>
    <w:rsid w:val="001110B9"/>
    <w:rsid w:val="0011390D"/>
    <w:rsid w:val="00115063"/>
    <w:rsid w:val="00115481"/>
    <w:rsid w:val="00135184"/>
    <w:rsid w:val="0013549D"/>
    <w:rsid w:val="00141505"/>
    <w:rsid w:val="00143973"/>
    <w:rsid w:val="00144326"/>
    <w:rsid w:val="00174F73"/>
    <w:rsid w:val="00175122"/>
    <w:rsid w:val="00181646"/>
    <w:rsid w:val="001851AB"/>
    <w:rsid w:val="0019493E"/>
    <w:rsid w:val="001B04EF"/>
    <w:rsid w:val="001B6FAE"/>
    <w:rsid w:val="001C1042"/>
    <w:rsid w:val="001C5B51"/>
    <w:rsid w:val="001C77B6"/>
    <w:rsid w:val="001E7756"/>
    <w:rsid w:val="001F232A"/>
    <w:rsid w:val="002047F6"/>
    <w:rsid w:val="002079E5"/>
    <w:rsid w:val="00207FE6"/>
    <w:rsid w:val="00211632"/>
    <w:rsid w:val="0021548B"/>
    <w:rsid w:val="00224D69"/>
    <w:rsid w:val="00231536"/>
    <w:rsid w:val="002329E1"/>
    <w:rsid w:val="0023358E"/>
    <w:rsid w:val="0023736D"/>
    <w:rsid w:val="00247905"/>
    <w:rsid w:val="00251BD1"/>
    <w:rsid w:val="00263308"/>
    <w:rsid w:val="00266B86"/>
    <w:rsid w:val="00275694"/>
    <w:rsid w:val="0029031F"/>
    <w:rsid w:val="00295BDC"/>
    <w:rsid w:val="002A29BF"/>
    <w:rsid w:val="002A3014"/>
    <w:rsid w:val="002A3D9E"/>
    <w:rsid w:val="002B4504"/>
    <w:rsid w:val="002B5437"/>
    <w:rsid w:val="002C23C9"/>
    <w:rsid w:val="002C33A9"/>
    <w:rsid w:val="002D0895"/>
    <w:rsid w:val="002E34BB"/>
    <w:rsid w:val="002E5FFD"/>
    <w:rsid w:val="002F16E8"/>
    <w:rsid w:val="002F316B"/>
    <w:rsid w:val="002F7BE0"/>
    <w:rsid w:val="003005AA"/>
    <w:rsid w:val="00302AE1"/>
    <w:rsid w:val="0030306D"/>
    <w:rsid w:val="003041C4"/>
    <w:rsid w:val="00306BB3"/>
    <w:rsid w:val="00341B85"/>
    <w:rsid w:val="00342A5B"/>
    <w:rsid w:val="003459F1"/>
    <w:rsid w:val="00350E9C"/>
    <w:rsid w:val="00350FB3"/>
    <w:rsid w:val="00356268"/>
    <w:rsid w:val="003664DC"/>
    <w:rsid w:val="00366CBF"/>
    <w:rsid w:val="00372572"/>
    <w:rsid w:val="00372B16"/>
    <w:rsid w:val="00377741"/>
    <w:rsid w:val="00382C97"/>
    <w:rsid w:val="00384000"/>
    <w:rsid w:val="003A04F6"/>
    <w:rsid w:val="003A74F9"/>
    <w:rsid w:val="003A7B2D"/>
    <w:rsid w:val="003B72E7"/>
    <w:rsid w:val="003C0D8B"/>
    <w:rsid w:val="003C1402"/>
    <w:rsid w:val="003C17C6"/>
    <w:rsid w:val="003D000A"/>
    <w:rsid w:val="003E6D73"/>
    <w:rsid w:val="003E7BA2"/>
    <w:rsid w:val="003F73A6"/>
    <w:rsid w:val="004056CF"/>
    <w:rsid w:val="00410A94"/>
    <w:rsid w:val="00410D94"/>
    <w:rsid w:val="004237BB"/>
    <w:rsid w:val="00430CD4"/>
    <w:rsid w:val="004425BF"/>
    <w:rsid w:val="00442BBF"/>
    <w:rsid w:val="00443CF7"/>
    <w:rsid w:val="004668CC"/>
    <w:rsid w:val="004719FC"/>
    <w:rsid w:val="00475F28"/>
    <w:rsid w:val="00485688"/>
    <w:rsid w:val="00490B66"/>
    <w:rsid w:val="004A1FB9"/>
    <w:rsid w:val="004B1B9F"/>
    <w:rsid w:val="004B6F90"/>
    <w:rsid w:val="004D3FC4"/>
    <w:rsid w:val="004D6CA8"/>
    <w:rsid w:val="004E15DC"/>
    <w:rsid w:val="004E5A77"/>
    <w:rsid w:val="004E7A6B"/>
    <w:rsid w:val="004F4AAD"/>
    <w:rsid w:val="004F554C"/>
    <w:rsid w:val="004F6DAB"/>
    <w:rsid w:val="0050253F"/>
    <w:rsid w:val="005060CA"/>
    <w:rsid w:val="005102BC"/>
    <w:rsid w:val="005153DC"/>
    <w:rsid w:val="005251E0"/>
    <w:rsid w:val="00543469"/>
    <w:rsid w:val="00546AE5"/>
    <w:rsid w:val="00552AF6"/>
    <w:rsid w:val="00565BE0"/>
    <w:rsid w:val="00567A71"/>
    <w:rsid w:val="00575966"/>
    <w:rsid w:val="00587966"/>
    <w:rsid w:val="00590147"/>
    <w:rsid w:val="005977F1"/>
    <w:rsid w:val="005A5979"/>
    <w:rsid w:val="005B1952"/>
    <w:rsid w:val="005B2C8A"/>
    <w:rsid w:val="005C1968"/>
    <w:rsid w:val="005D7023"/>
    <w:rsid w:val="005F13A6"/>
    <w:rsid w:val="005F45D1"/>
    <w:rsid w:val="00606EC7"/>
    <w:rsid w:val="00607EF0"/>
    <w:rsid w:val="00611C0D"/>
    <w:rsid w:val="006146E6"/>
    <w:rsid w:val="0061738F"/>
    <w:rsid w:val="00620451"/>
    <w:rsid w:val="00627D25"/>
    <w:rsid w:val="00627DFB"/>
    <w:rsid w:val="006300A7"/>
    <w:rsid w:val="00632DB7"/>
    <w:rsid w:val="0065317D"/>
    <w:rsid w:val="00675FE7"/>
    <w:rsid w:val="006937B8"/>
    <w:rsid w:val="006969A0"/>
    <w:rsid w:val="006973AF"/>
    <w:rsid w:val="006A5BE7"/>
    <w:rsid w:val="006B50BB"/>
    <w:rsid w:val="006B61E0"/>
    <w:rsid w:val="006C07CB"/>
    <w:rsid w:val="006D002E"/>
    <w:rsid w:val="006E00F1"/>
    <w:rsid w:val="006E5E6D"/>
    <w:rsid w:val="006F029C"/>
    <w:rsid w:val="006F22F8"/>
    <w:rsid w:val="006F2D2E"/>
    <w:rsid w:val="006F632B"/>
    <w:rsid w:val="0070051C"/>
    <w:rsid w:val="007019A1"/>
    <w:rsid w:val="007052E0"/>
    <w:rsid w:val="0071241F"/>
    <w:rsid w:val="00712B85"/>
    <w:rsid w:val="007135BE"/>
    <w:rsid w:val="00717332"/>
    <w:rsid w:val="0072093F"/>
    <w:rsid w:val="007247B5"/>
    <w:rsid w:val="007247C3"/>
    <w:rsid w:val="007370EE"/>
    <w:rsid w:val="0074760B"/>
    <w:rsid w:val="007526A5"/>
    <w:rsid w:val="00780DDF"/>
    <w:rsid w:val="007929A4"/>
    <w:rsid w:val="00795A08"/>
    <w:rsid w:val="007B2821"/>
    <w:rsid w:val="007B291C"/>
    <w:rsid w:val="007C08A7"/>
    <w:rsid w:val="007C342D"/>
    <w:rsid w:val="007C7328"/>
    <w:rsid w:val="007E06CB"/>
    <w:rsid w:val="007E2E5C"/>
    <w:rsid w:val="007E3579"/>
    <w:rsid w:val="007F0B73"/>
    <w:rsid w:val="00802AE8"/>
    <w:rsid w:val="008163D7"/>
    <w:rsid w:val="0082001F"/>
    <w:rsid w:val="00826EE8"/>
    <w:rsid w:val="00837770"/>
    <w:rsid w:val="008377C2"/>
    <w:rsid w:val="00837A9F"/>
    <w:rsid w:val="00852CBB"/>
    <w:rsid w:val="00855019"/>
    <w:rsid w:val="00860A49"/>
    <w:rsid w:val="00864335"/>
    <w:rsid w:val="0087199A"/>
    <w:rsid w:val="00873C40"/>
    <w:rsid w:val="008A6119"/>
    <w:rsid w:val="008B23CB"/>
    <w:rsid w:val="008C22D6"/>
    <w:rsid w:val="008C22F8"/>
    <w:rsid w:val="008C5441"/>
    <w:rsid w:val="008E62BA"/>
    <w:rsid w:val="00906817"/>
    <w:rsid w:val="00913DC3"/>
    <w:rsid w:val="00917A52"/>
    <w:rsid w:val="00923213"/>
    <w:rsid w:val="00930A0B"/>
    <w:rsid w:val="00933F15"/>
    <w:rsid w:val="00951993"/>
    <w:rsid w:val="0095589F"/>
    <w:rsid w:val="00957C02"/>
    <w:rsid w:val="009656BB"/>
    <w:rsid w:val="009659B8"/>
    <w:rsid w:val="00972F40"/>
    <w:rsid w:val="00973ED8"/>
    <w:rsid w:val="00986F85"/>
    <w:rsid w:val="009931C7"/>
    <w:rsid w:val="009C0778"/>
    <w:rsid w:val="009E3B46"/>
    <w:rsid w:val="009F0763"/>
    <w:rsid w:val="009F51BD"/>
    <w:rsid w:val="00A003B9"/>
    <w:rsid w:val="00A13B30"/>
    <w:rsid w:val="00A27ECF"/>
    <w:rsid w:val="00A31BCA"/>
    <w:rsid w:val="00A32381"/>
    <w:rsid w:val="00A47D70"/>
    <w:rsid w:val="00A643A1"/>
    <w:rsid w:val="00A64B35"/>
    <w:rsid w:val="00A6525B"/>
    <w:rsid w:val="00A671D3"/>
    <w:rsid w:val="00A74636"/>
    <w:rsid w:val="00A7712C"/>
    <w:rsid w:val="00A91963"/>
    <w:rsid w:val="00A93356"/>
    <w:rsid w:val="00A95382"/>
    <w:rsid w:val="00AA0A42"/>
    <w:rsid w:val="00AA6C55"/>
    <w:rsid w:val="00AA76E3"/>
    <w:rsid w:val="00AB0906"/>
    <w:rsid w:val="00AB6DF4"/>
    <w:rsid w:val="00AB7DCD"/>
    <w:rsid w:val="00AC40DE"/>
    <w:rsid w:val="00AD2F25"/>
    <w:rsid w:val="00AD42CA"/>
    <w:rsid w:val="00AE4D0B"/>
    <w:rsid w:val="00AF0AD8"/>
    <w:rsid w:val="00AF47FD"/>
    <w:rsid w:val="00B06861"/>
    <w:rsid w:val="00B125EB"/>
    <w:rsid w:val="00B20C75"/>
    <w:rsid w:val="00B22E57"/>
    <w:rsid w:val="00B2366E"/>
    <w:rsid w:val="00B25632"/>
    <w:rsid w:val="00B31FA4"/>
    <w:rsid w:val="00B41D51"/>
    <w:rsid w:val="00B42218"/>
    <w:rsid w:val="00B4354E"/>
    <w:rsid w:val="00B436A9"/>
    <w:rsid w:val="00B47FCE"/>
    <w:rsid w:val="00B53FB4"/>
    <w:rsid w:val="00B633D6"/>
    <w:rsid w:val="00B66CBA"/>
    <w:rsid w:val="00B70E88"/>
    <w:rsid w:val="00B772F4"/>
    <w:rsid w:val="00B773F2"/>
    <w:rsid w:val="00B83864"/>
    <w:rsid w:val="00B84F75"/>
    <w:rsid w:val="00B90EC1"/>
    <w:rsid w:val="00B95BAF"/>
    <w:rsid w:val="00BA3F8F"/>
    <w:rsid w:val="00BA4B1C"/>
    <w:rsid w:val="00BB68F3"/>
    <w:rsid w:val="00BB7B80"/>
    <w:rsid w:val="00BD0BD5"/>
    <w:rsid w:val="00BD1550"/>
    <w:rsid w:val="00BD2349"/>
    <w:rsid w:val="00BD58E4"/>
    <w:rsid w:val="00BD5B22"/>
    <w:rsid w:val="00BE3870"/>
    <w:rsid w:val="00BF07DF"/>
    <w:rsid w:val="00BF0BB5"/>
    <w:rsid w:val="00BF4243"/>
    <w:rsid w:val="00BF58EC"/>
    <w:rsid w:val="00C03CAB"/>
    <w:rsid w:val="00C15D94"/>
    <w:rsid w:val="00C253BD"/>
    <w:rsid w:val="00C3142C"/>
    <w:rsid w:val="00C319F4"/>
    <w:rsid w:val="00C35372"/>
    <w:rsid w:val="00C426BD"/>
    <w:rsid w:val="00C52F87"/>
    <w:rsid w:val="00C632C4"/>
    <w:rsid w:val="00C63F7A"/>
    <w:rsid w:val="00C849ED"/>
    <w:rsid w:val="00C949AF"/>
    <w:rsid w:val="00CC10D2"/>
    <w:rsid w:val="00CC50A8"/>
    <w:rsid w:val="00CE03C5"/>
    <w:rsid w:val="00CF7CDD"/>
    <w:rsid w:val="00D013C5"/>
    <w:rsid w:val="00D06BBE"/>
    <w:rsid w:val="00D142A3"/>
    <w:rsid w:val="00D15DA5"/>
    <w:rsid w:val="00D2428B"/>
    <w:rsid w:val="00D37CF9"/>
    <w:rsid w:val="00D41D77"/>
    <w:rsid w:val="00D47380"/>
    <w:rsid w:val="00D50700"/>
    <w:rsid w:val="00D5076F"/>
    <w:rsid w:val="00D51A82"/>
    <w:rsid w:val="00D535E7"/>
    <w:rsid w:val="00D65A7B"/>
    <w:rsid w:val="00D90F54"/>
    <w:rsid w:val="00D92690"/>
    <w:rsid w:val="00D948BA"/>
    <w:rsid w:val="00DA12C9"/>
    <w:rsid w:val="00DA2F0D"/>
    <w:rsid w:val="00DD0FFB"/>
    <w:rsid w:val="00DD4BB7"/>
    <w:rsid w:val="00DE299C"/>
    <w:rsid w:val="00DE2AF5"/>
    <w:rsid w:val="00DF0448"/>
    <w:rsid w:val="00DF19E5"/>
    <w:rsid w:val="00DF59B9"/>
    <w:rsid w:val="00E037B9"/>
    <w:rsid w:val="00E0433A"/>
    <w:rsid w:val="00E05074"/>
    <w:rsid w:val="00E1033D"/>
    <w:rsid w:val="00E16757"/>
    <w:rsid w:val="00E20AD1"/>
    <w:rsid w:val="00E46D15"/>
    <w:rsid w:val="00E5761C"/>
    <w:rsid w:val="00E57E4D"/>
    <w:rsid w:val="00E6068A"/>
    <w:rsid w:val="00E6166E"/>
    <w:rsid w:val="00E7079A"/>
    <w:rsid w:val="00E752E9"/>
    <w:rsid w:val="00E808D3"/>
    <w:rsid w:val="00E8714D"/>
    <w:rsid w:val="00E931FD"/>
    <w:rsid w:val="00EA24B7"/>
    <w:rsid w:val="00EA7741"/>
    <w:rsid w:val="00EA7FA9"/>
    <w:rsid w:val="00EB335B"/>
    <w:rsid w:val="00EC3A73"/>
    <w:rsid w:val="00EC69BB"/>
    <w:rsid w:val="00EC70D5"/>
    <w:rsid w:val="00ED2F1E"/>
    <w:rsid w:val="00ED307C"/>
    <w:rsid w:val="00EE0BE1"/>
    <w:rsid w:val="00EE667B"/>
    <w:rsid w:val="00F01D05"/>
    <w:rsid w:val="00F0595B"/>
    <w:rsid w:val="00F24EA1"/>
    <w:rsid w:val="00F26BD3"/>
    <w:rsid w:val="00F33D07"/>
    <w:rsid w:val="00F61131"/>
    <w:rsid w:val="00F657CA"/>
    <w:rsid w:val="00F66A45"/>
    <w:rsid w:val="00F710B6"/>
    <w:rsid w:val="00F8633C"/>
    <w:rsid w:val="00FA3748"/>
    <w:rsid w:val="00FB4293"/>
    <w:rsid w:val="00FD12D2"/>
    <w:rsid w:val="00FE6123"/>
    <w:rsid w:val="00FE6481"/>
    <w:rsid w:val="00FE7165"/>
    <w:rsid w:val="00FF6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4B281"/>
  <w15:docId w15:val="{86079142-488B-4454-9528-920C346E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966"/>
    <w:pPr>
      <w:widowControl w:val="0"/>
    </w:pPr>
  </w:style>
  <w:style w:type="paragraph" w:styleId="Ttulo1">
    <w:name w:val="heading 1"/>
    <w:basedOn w:val="Normal"/>
    <w:next w:val="Normal"/>
    <w:qFormat/>
    <w:rsid w:val="00587966"/>
    <w:pPr>
      <w:keepNext/>
      <w:outlineLvl w:val="0"/>
    </w:pPr>
    <w:rPr>
      <w:sz w:val="24"/>
      <w:u w:val="single"/>
    </w:rPr>
  </w:style>
  <w:style w:type="paragraph" w:styleId="Ttulo2">
    <w:name w:val="heading 2"/>
    <w:basedOn w:val="Normal"/>
    <w:next w:val="Normal"/>
    <w:qFormat/>
    <w:rsid w:val="00587966"/>
    <w:pPr>
      <w:keepNext/>
      <w:widowControl/>
      <w:numPr>
        <w:ilvl w:val="1"/>
        <w:numId w:val="37"/>
      </w:numPr>
      <w:jc w:val="both"/>
      <w:outlineLvl w:val="1"/>
    </w:pPr>
    <w:rPr>
      <w:rFonts w:ascii="Arial" w:hAnsi="Arial"/>
      <w:b/>
      <w:color w:val="FF0000"/>
      <w:sz w:val="22"/>
    </w:rPr>
  </w:style>
  <w:style w:type="paragraph" w:styleId="Ttulo3">
    <w:name w:val="heading 3"/>
    <w:basedOn w:val="Normal"/>
    <w:next w:val="Normal"/>
    <w:qFormat/>
    <w:rsid w:val="00587966"/>
    <w:pPr>
      <w:keepNext/>
      <w:widowControl/>
      <w:numPr>
        <w:ilvl w:val="2"/>
        <w:numId w:val="37"/>
      </w:numPr>
      <w:jc w:val="center"/>
      <w:outlineLvl w:val="2"/>
    </w:pPr>
    <w:rPr>
      <w:rFonts w:ascii="Arial" w:hAnsi="Arial"/>
      <w:b/>
      <w:sz w:val="22"/>
    </w:rPr>
  </w:style>
  <w:style w:type="paragraph" w:styleId="Ttulo4">
    <w:name w:val="heading 4"/>
    <w:basedOn w:val="Normal"/>
    <w:next w:val="Normal"/>
    <w:qFormat/>
    <w:rsid w:val="00587966"/>
    <w:pPr>
      <w:keepNext/>
      <w:widowControl/>
      <w:jc w:val="center"/>
      <w:outlineLvl w:val="3"/>
    </w:pPr>
    <w:rPr>
      <w:b/>
      <w:sz w:val="22"/>
    </w:rPr>
  </w:style>
  <w:style w:type="paragraph" w:styleId="Ttulo5">
    <w:name w:val="heading 5"/>
    <w:basedOn w:val="Normal"/>
    <w:next w:val="Normal"/>
    <w:qFormat/>
    <w:rsid w:val="00587966"/>
    <w:pPr>
      <w:keepNext/>
      <w:widowControl/>
      <w:jc w:val="center"/>
      <w:outlineLvl w:val="4"/>
    </w:pPr>
    <w:rPr>
      <w:b/>
      <w:sz w:val="24"/>
      <w:u w:val="single"/>
    </w:rPr>
  </w:style>
  <w:style w:type="paragraph" w:styleId="Ttulo6">
    <w:name w:val="heading 6"/>
    <w:basedOn w:val="Normal"/>
    <w:next w:val="Normal"/>
    <w:qFormat/>
    <w:rsid w:val="00587966"/>
    <w:pPr>
      <w:keepNext/>
      <w:widowControl/>
      <w:numPr>
        <w:ilvl w:val="5"/>
        <w:numId w:val="37"/>
      </w:numPr>
      <w:outlineLvl w:val="5"/>
    </w:pPr>
    <w:rPr>
      <w:sz w:val="24"/>
    </w:rPr>
  </w:style>
  <w:style w:type="paragraph" w:styleId="Ttulo7">
    <w:name w:val="heading 7"/>
    <w:basedOn w:val="Normal"/>
    <w:next w:val="Normal"/>
    <w:qFormat/>
    <w:rsid w:val="00587966"/>
    <w:pPr>
      <w:keepNext/>
      <w:widowControl/>
      <w:numPr>
        <w:ilvl w:val="6"/>
        <w:numId w:val="37"/>
      </w:numPr>
      <w:spacing w:line="360" w:lineRule="auto"/>
      <w:jc w:val="center"/>
      <w:outlineLvl w:val="6"/>
    </w:pPr>
    <w:rPr>
      <w:rFonts w:ascii="Arial" w:hAnsi="Arial"/>
      <w:b/>
      <w:sz w:val="24"/>
    </w:rPr>
  </w:style>
  <w:style w:type="paragraph" w:styleId="Ttulo8">
    <w:name w:val="heading 8"/>
    <w:basedOn w:val="Normal"/>
    <w:next w:val="Normal"/>
    <w:qFormat/>
    <w:rsid w:val="00587966"/>
    <w:pPr>
      <w:keepNext/>
      <w:widowControl/>
      <w:numPr>
        <w:ilvl w:val="7"/>
        <w:numId w:val="37"/>
      </w:numPr>
      <w:jc w:val="both"/>
      <w:outlineLvl w:val="7"/>
    </w:pPr>
    <w:rPr>
      <w:color w:val="FF0000"/>
      <w:sz w:val="24"/>
    </w:rPr>
  </w:style>
  <w:style w:type="paragraph" w:styleId="Ttulo9">
    <w:name w:val="heading 9"/>
    <w:basedOn w:val="Normal"/>
    <w:next w:val="Normal"/>
    <w:qFormat/>
    <w:rsid w:val="00587966"/>
    <w:pPr>
      <w:keepNext/>
      <w:widowControl/>
      <w:numPr>
        <w:ilvl w:val="8"/>
        <w:numId w:val="37"/>
      </w:numPr>
      <w:outlineLvl w:val="8"/>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87966"/>
    <w:pPr>
      <w:tabs>
        <w:tab w:val="center" w:pos="4419"/>
        <w:tab w:val="right" w:pos="8838"/>
      </w:tabs>
    </w:pPr>
  </w:style>
  <w:style w:type="paragraph" w:styleId="Rodap">
    <w:name w:val="footer"/>
    <w:basedOn w:val="Normal"/>
    <w:rsid w:val="00587966"/>
    <w:pPr>
      <w:tabs>
        <w:tab w:val="center" w:pos="4419"/>
        <w:tab w:val="right" w:pos="8838"/>
      </w:tabs>
    </w:pPr>
  </w:style>
  <w:style w:type="paragraph" w:styleId="Recuodecorpodetexto2">
    <w:name w:val="Body Text Indent 2"/>
    <w:basedOn w:val="Normal"/>
    <w:rsid w:val="00587966"/>
    <w:pPr>
      <w:widowControl/>
      <w:ind w:left="1843" w:hanging="1701"/>
      <w:jc w:val="both"/>
    </w:pPr>
    <w:rPr>
      <w:sz w:val="28"/>
    </w:rPr>
  </w:style>
  <w:style w:type="paragraph" w:styleId="Recuodecorpodetexto">
    <w:name w:val="Body Text Indent"/>
    <w:basedOn w:val="Normal"/>
    <w:rsid w:val="00587966"/>
    <w:pPr>
      <w:widowControl/>
      <w:tabs>
        <w:tab w:val="left" w:pos="709"/>
      </w:tabs>
      <w:ind w:left="709" w:hanging="709"/>
      <w:jc w:val="both"/>
    </w:pPr>
    <w:rPr>
      <w:sz w:val="22"/>
    </w:rPr>
  </w:style>
  <w:style w:type="paragraph" w:styleId="Corpodetexto">
    <w:name w:val="Body Text"/>
    <w:basedOn w:val="Normal"/>
    <w:rsid w:val="00587966"/>
    <w:pPr>
      <w:widowControl/>
      <w:jc w:val="both"/>
    </w:pPr>
    <w:rPr>
      <w:sz w:val="28"/>
      <w:u w:val="single"/>
    </w:rPr>
  </w:style>
  <w:style w:type="paragraph" w:styleId="Recuodecorpodetexto3">
    <w:name w:val="Body Text Indent 3"/>
    <w:basedOn w:val="Normal"/>
    <w:rsid w:val="00587966"/>
    <w:pPr>
      <w:widowControl/>
      <w:spacing w:line="240" w:lineRule="atLeast"/>
      <w:ind w:left="1701"/>
      <w:jc w:val="both"/>
    </w:pPr>
    <w:rPr>
      <w:snapToGrid w:val="0"/>
      <w:color w:val="000000"/>
      <w:sz w:val="28"/>
    </w:rPr>
  </w:style>
  <w:style w:type="paragraph" w:styleId="Corpodetexto2">
    <w:name w:val="Body Text 2"/>
    <w:basedOn w:val="Normal"/>
    <w:rsid w:val="00587966"/>
    <w:pPr>
      <w:jc w:val="both"/>
    </w:pPr>
  </w:style>
  <w:style w:type="paragraph" w:styleId="Corpodetexto3">
    <w:name w:val="Body Text 3"/>
    <w:basedOn w:val="Normal"/>
    <w:rsid w:val="00587966"/>
    <w:pPr>
      <w:widowControl/>
      <w:jc w:val="both"/>
    </w:pPr>
    <w:rPr>
      <w:b/>
      <w:sz w:val="24"/>
    </w:rPr>
  </w:style>
  <w:style w:type="paragraph" w:styleId="Textoembloco">
    <w:name w:val="Block Text"/>
    <w:basedOn w:val="Normal"/>
    <w:rsid w:val="00587966"/>
    <w:pPr>
      <w:widowControl/>
      <w:ind w:left="-284" w:right="-568"/>
      <w:jc w:val="both"/>
    </w:pPr>
    <w:rPr>
      <w:rFonts w:ascii="Arial" w:hAnsi="Arial"/>
      <w:sz w:val="28"/>
    </w:rPr>
  </w:style>
  <w:style w:type="paragraph" w:customStyle="1" w:styleId="H1">
    <w:name w:val="H1"/>
    <w:basedOn w:val="Normal"/>
    <w:next w:val="Normal"/>
    <w:rsid w:val="00587966"/>
    <w:pPr>
      <w:keepNext/>
      <w:widowControl/>
      <w:spacing w:before="100" w:after="100"/>
      <w:outlineLvl w:val="1"/>
    </w:pPr>
    <w:rPr>
      <w:b/>
      <w:snapToGrid w:val="0"/>
      <w:kern w:val="36"/>
      <w:sz w:val="48"/>
    </w:rPr>
  </w:style>
  <w:style w:type="table" w:styleId="Tabelacomgrade">
    <w:name w:val="Table Grid"/>
    <w:basedOn w:val="Tabelanormal"/>
    <w:rsid w:val="00627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E5761C"/>
    <w:rPr>
      <w:rFonts w:ascii="Tahoma" w:hAnsi="Tahoma" w:cs="Tahoma"/>
      <w:sz w:val="16"/>
      <w:szCs w:val="16"/>
    </w:rPr>
  </w:style>
  <w:style w:type="character" w:styleId="Hyperlink">
    <w:name w:val="Hyperlink"/>
    <w:basedOn w:val="Fontepargpadro"/>
    <w:uiPriority w:val="99"/>
    <w:rsid w:val="00B20C75"/>
    <w:rPr>
      <w:color w:val="0000FF"/>
      <w:u w:val="single"/>
    </w:rPr>
  </w:style>
  <w:style w:type="character" w:styleId="Refdecomentrio">
    <w:name w:val="annotation reference"/>
    <w:basedOn w:val="Fontepargpadro"/>
    <w:semiHidden/>
    <w:unhideWhenUsed/>
    <w:rsid w:val="007C08A7"/>
    <w:rPr>
      <w:sz w:val="16"/>
      <w:szCs w:val="16"/>
    </w:rPr>
  </w:style>
  <w:style w:type="paragraph" w:styleId="Textodecomentrio">
    <w:name w:val="annotation text"/>
    <w:basedOn w:val="Normal"/>
    <w:link w:val="TextodecomentrioChar"/>
    <w:semiHidden/>
    <w:unhideWhenUsed/>
    <w:rsid w:val="007C08A7"/>
  </w:style>
  <w:style w:type="character" w:customStyle="1" w:styleId="TextodecomentrioChar">
    <w:name w:val="Texto de comentário Char"/>
    <w:basedOn w:val="Fontepargpadro"/>
    <w:link w:val="Textodecomentrio"/>
    <w:semiHidden/>
    <w:rsid w:val="007C08A7"/>
  </w:style>
  <w:style w:type="paragraph" w:styleId="Assuntodocomentrio">
    <w:name w:val="annotation subject"/>
    <w:basedOn w:val="Textodecomentrio"/>
    <w:next w:val="Textodecomentrio"/>
    <w:link w:val="AssuntodocomentrioChar"/>
    <w:semiHidden/>
    <w:unhideWhenUsed/>
    <w:rsid w:val="007C08A7"/>
    <w:rPr>
      <w:b/>
      <w:bCs/>
    </w:rPr>
  </w:style>
  <w:style w:type="character" w:customStyle="1" w:styleId="AssuntodocomentrioChar">
    <w:name w:val="Assunto do comentário Char"/>
    <w:basedOn w:val="TextodecomentrioChar"/>
    <w:link w:val="Assuntodocomentrio"/>
    <w:semiHidden/>
    <w:rsid w:val="007C08A7"/>
    <w:rPr>
      <w:b/>
      <w:bCs/>
    </w:rPr>
  </w:style>
  <w:style w:type="paragraph" w:customStyle="1" w:styleId="TabRoman">
    <w:name w:val="TabRoman"/>
    <w:basedOn w:val="Normal"/>
    <w:rsid w:val="0070051C"/>
    <w:pPr>
      <w:widowControl/>
      <w:tabs>
        <w:tab w:val="num" w:pos="425"/>
      </w:tabs>
      <w:spacing w:before="60" w:after="60" w:line="240" w:lineRule="exact"/>
      <w:ind w:left="425" w:hanging="425"/>
      <w:jc w:val="both"/>
    </w:pPr>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47">
      <w:bodyDiv w:val="1"/>
      <w:marLeft w:val="0"/>
      <w:marRight w:val="0"/>
      <w:marTop w:val="0"/>
      <w:marBottom w:val="0"/>
      <w:divBdr>
        <w:top w:val="none" w:sz="0" w:space="0" w:color="auto"/>
        <w:left w:val="none" w:sz="0" w:space="0" w:color="auto"/>
        <w:bottom w:val="none" w:sz="0" w:space="0" w:color="auto"/>
        <w:right w:val="none" w:sz="0" w:space="0" w:color="auto"/>
      </w:divBdr>
    </w:div>
    <w:div w:id="13575303">
      <w:bodyDiv w:val="1"/>
      <w:marLeft w:val="0"/>
      <w:marRight w:val="0"/>
      <w:marTop w:val="0"/>
      <w:marBottom w:val="0"/>
      <w:divBdr>
        <w:top w:val="none" w:sz="0" w:space="0" w:color="auto"/>
        <w:left w:val="none" w:sz="0" w:space="0" w:color="auto"/>
        <w:bottom w:val="none" w:sz="0" w:space="0" w:color="auto"/>
        <w:right w:val="none" w:sz="0" w:space="0" w:color="auto"/>
      </w:divBdr>
    </w:div>
    <w:div w:id="92632256">
      <w:bodyDiv w:val="1"/>
      <w:marLeft w:val="0"/>
      <w:marRight w:val="0"/>
      <w:marTop w:val="0"/>
      <w:marBottom w:val="0"/>
      <w:divBdr>
        <w:top w:val="none" w:sz="0" w:space="0" w:color="auto"/>
        <w:left w:val="none" w:sz="0" w:space="0" w:color="auto"/>
        <w:bottom w:val="none" w:sz="0" w:space="0" w:color="auto"/>
        <w:right w:val="none" w:sz="0" w:space="0" w:color="auto"/>
      </w:divBdr>
    </w:div>
    <w:div w:id="167913470">
      <w:bodyDiv w:val="1"/>
      <w:marLeft w:val="0"/>
      <w:marRight w:val="0"/>
      <w:marTop w:val="0"/>
      <w:marBottom w:val="0"/>
      <w:divBdr>
        <w:top w:val="none" w:sz="0" w:space="0" w:color="auto"/>
        <w:left w:val="none" w:sz="0" w:space="0" w:color="auto"/>
        <w:bottom w:val="none" w:sz="0" w:space="0" w:color="auto"/>
        <w:right w:val="none" w:sz="0" w:space="0" w:color="auto"/>
      </w:divBdr>
    </w:div>
    <w:div w:id="507060796">
      <w:bodyDiv w:val="1"/>
      <w:marLeft w:val="0"/>
      <w:marRight w:val="0"/>
      <w:marTop w:val="0"/>
      <w:marBottom w:val="0"/>
      <w:divBdr>
        <w:top w:val="none" w:sz="0" w:space="0" w:color="auto"/>
        <w:left w:val="none" w:sz="0" w:space="0" w:color="auto"/>
        <w:bottom w:val="none" w:sz="0" w:space="0" w:color="auto"/>
        <w:right w:val="none" w:sz="0" w:space="0" w:color="auto"/>
      </w:divBdr>
      <w:divsChild>
        <w:div w:id="1967540433">
          <w:marLeft w:val="0"/>
          <w:marRight w:val="0"/>
          <w:marTop w:val="0"/>
          <w:marBottom w:val="0"/>
          <w:divBdr>
            <w:top w:val="none" w:sz="0" w:space="0" w:color="auto"/>
            <w:left w:val="none" w:sz="0" w:space="0" w:color="auto"/>
            <w:bottom w:val="none" w:sz="0" w:space="0" w:color="auto"/>
            <w:right w:val="none" w:sz="0" w:space="0" w:color="auto"/>
          </w:divBdr>
        </w:div>
      </w:divsChild>
    </w:div>
    <w:div w:id="1267663729">
      <w:bodyDiv w:val="1"/>
      <w:marLeft w:val="0"/>
      <w:marRight w:val="0"/>
      <w:marTop w:val="0"/>
      <w:marBottom w:val="0"/>
      <w:divBdr>
        <w:top w:val="none" w:sz="0" w:space="0" w:color="auto"/>
        <w:left w:val="none" w:sz="0" w:space="0" w:color="auto"/>
        <w:bottom w:val="none" w:sz="0" w:space="0" w:color="auto"/>
        <w:right w:val="none" w:sz="0" w:space="0" w:color="auto"/>
      </w:divBdr>
    </w:div>
    <w:div w:id="1833251833">
      <w:bodyDiv w:val="1"/>
      <w:marLeft w:val="0"/>
      <w:marRight w:val="0"/>
      <w:marTop w:val="0"/>
      <w:marBottom w:val="0"/>
      <w:divBdr>
        <w:top w:val="none" w:sz="0" w:space="0" w:color="auto"/>
        <w:left w:val="none" w:sz="0" w:space="0" w:color="auto"/>
        <w:bottom w:val="none" w:sz="0" w:space="0" w:color="auto"/>
        <w:right w:val="none" w:sz="0" w:space="0" w:color="auto"/>
      </w:divBdr>
    </w:div>
    <w:div w:id="20102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celesc.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celesc\CelCartaComLogotipoAC.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28DDD-F8F0-448D-B11F-4241F199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CelCartaComLogotipoAC</Template>
  <TotalTime>1</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PROPOSTA ADM 28042004</vt:lpstr>
    </vt:vector>
  </TitlesOfParts>
  <Company>CELESC</Company>
  <LinksUpToDate>false</LinksUpToDate>
  <CharactersWithSpaces>2359</CharactersWithSpaces>
  <SharedDoc>false</SharedDoc>
  <HLinks>
    <vt:vector size="6" baseType="variant">
      <vt:variant>
        <vt:i4>6225968</vt:i4>
      </vt:variant>
      <vt:variant>
        <vt:i4>0</vt:i4>
      </vt:variant>
      <vt:variant>
        <vt:i4>0</vt:i4>
      </vt:variant>
      <vt:variant>
        <vt:i4>5</vt:i4>
      </vt:variant>
      <vt:variant>
        <vt:lpwstr>mailto:ri@celesc.com.br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ADM 28042004</dc:title>
  <dc:subject>APROVACAO DEMONSTRACOES FINANCEIRAS</dc:subject>
  <dc:creator>GILBERTO ONEZINO DE FARIAS</dc:creator>
  <cp:lastModifiedBy>Diego Guilherme Pena Pascual</cp:lastModifiedBy>
  <cp:revision>6</cp:revision>
  <cp:lastPrinted>2022-04-19T18:00:00Z</cp:lastPrinted>
  <dcterms:created xsi:type="dcterms:W3CDTF">2022-10-19T12:15:00Z</dcterms:created>
  <dcterms:modified xsi:type="dcterms:W3CDTF">2022-10-24T17:58:00Z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5fe0-a40f-439c-959d-8b6d4f89f943_Enabled">
    <vt:lpwstr>true</vt:lpwstr>
  </property>
  <property fmtid="{D5CDD505-2E9C-101B-9397-08002B2CF9AE}" pid="3" name="MSIP_Label_93cd5fe0-a40f-439c-959d-8b6d4f89f943_SetDate">
    <vt:lpwstr>2022-04-18T11:19:53Z</vt:lpwstr>
  </property>
  <property fmtid="{D5CDD505-2E9C-101B-9397-08002B2CF9AE}" pid="4" name="MSIP_Label_93cd5fe0-a40f-439c-959d-8b6d4f89f943_Method">
    <vt:lpwstr>Privileged</vt:lpwstr>
  </property>
  <property fmtid="{D5CDD505-2E9C-101B-9397-08002B2CF9AE}" pid="5" name="MSIP_Label_93cd5fe0-a40f-439c-959d-8b6d4f89f943_Name">
    <vt:lpwstr>Publico</vt:lpwstr>
  </property>
  <property fmtid="{D5CDD505-2E9C-101B-9397-08002B2CF9AE}" pid="6" name="MSIP_Label_93cd5fe0-a40f-439c-959d-8b6d4f89f943_SiteId">
    <vt:lpwstr>eaf038b6-f108-466d-97b9-0e4d36c11ba0</vt:lpwstr>
  </property>
  <property fmtid="{D5CDD505-2E9C-101B-9397-08002B2CF9AE}" pid="7" name="MSIP_Label_93cd5fe0-a40f-439c-959d-8b6d4f89f943_ActionId">
    <vt:lpwstr>f48abf48-7ffa-4c12-b904-f342a622c6bc</vt:lpwstr>
  </property>
  <property fmtid="{D5CDD505-2E9C-101B-9397-08002B2CF9AE}" pid="8" name="MSIP_Label_93cd5fe0-a40f-439c-959d-8b6d4f89f943_ContentBits">
    <vt:lpwstr>0</vt:lpwstr>
  </property>
</Properties>
</file>