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A0022" w14:textId="77777777" w:rsidR="00DF31E7" w:rsidRPr="00284754" w:rsidRDefault="00D44AA9" w:rsidP="00D44AA9">
      <w:pPr>
        <w:spacing w:after="0"/>
        <w:jc w:val="center"/>
        <w:rPr>
          <w:b/>
          <w:sz w:val="28"/>
        </w:rPr>
      </w:pPr>
      <w:bookmarkStart w:id="0" w:name="_GoBack"/>
      <w:bookmarkEnd w:id="0"/>
      <w:r w:rsidRPr="00284754">
        <w:rPr>
          <w:b/>
          <w:sz w:val="28"/>
        </w:rPr>
        <w:t>CELESC GERAÇÃO S.A.</w:t>
      </w:r>
    </w:p>
    <w:p w14:paraId="75A3EB4B" w14:textId="77777777" w:rsidR="00D44AA9" w:rsidRPr="000B63CE" w:rsidRDefault="00D44AA9" w:rsidP="00D44AA9">
      <w:pPr>
        <w:spacing w:after="0"/>
        <w:jc w:val="center"/>
        <w:rPr>
          <w:b/>
        </w:rPr>
      </w:pPr>
      <w:r w:rsidRPr="000B63CE">
        <w:rPr>
          <w:b/>
        </w:rPr>
        <w:t>CNPJ: 08.336.804/0001-78</w:t>
      </w:r>
    </w:p>
    <w:p w14:paraId="2C869F5F" w14:textId="77777777" w:rsidR="00D44AA9" w:rsidRPr="000B63CE" w:rsidRDefault="00D44AA9" w:rsidP="00D44AA9">
      <w:pPr>
        <w:spacing w:after="0"/>
        <w:jc w:val="center"/>
        <w:rPr>
          <w:b/>
        </w:rPr>
      </w:pPr>
      <w:r w:rsidRPr="000B63CE">
        <w:rPr>
          <w:b/>
        </w:rPr>
        <w:t>NIRE: 42.300.030.767</w:t>
      </w:r>
    </w:p>
    <w:p w14:paraId="439CD48E" w14:textId="77777777" w:rsidR="00D44AA9" w:rsidRPr="000B63CE" w:rsidRDefault="00D44AA9" w:rsidP="00D44AA9">
      <w:pPr>
        <w:spacing w:after="0"/>
        <w:jc w:val="center"/>
        <w:rPr>
          <w:b/>
        </w:rPr>
      </w:pPr>
    </w:p>
    <w:p w14:paraId="72932BA4" w14:textId="77777777" w:rsidR="00D44AA9" w:rsidRPr="000B63CE" w:rsidRDefault="00D44AA9" w:rsidP="00D44AA9">
      <w:pPr>
        <w:spacing w:after="0"/>
        <w:jc w:val="center"/>
        <w:rPr>
          <w:b/>
        </w:rPr>
      </w:pPr>
    </w:p>
    <w:p w14:paraId="12FE2D8A" w14:textId="0E1B848E" w:rsidR="00D44AA9" w:rsidRPr="000B63CE" w:rsidRDefault="00D44AA9" w:rsidP="00491283">
      <w:pPr>
        <w:spacing w:after="0" w:line="276" w:lineRule="auto"/>
        <w:jc w:val="center"/>
        <w:rPr>
          <w:b/>
        </w:rPr>
      </w:pPr>
      <w:r w:rsidRPr="000B63CE">
        <w:rPr>
          <w:b/>
        </w:rPr>
        <w:t xml:space="preserve">ATA DA ASSEMBLÉIA GERAL DE DEBENTURISTAS </w:t>
      </w:r>
      <w:r w:rsidR="0083557D">
        <w:rPr>
          <w:b/>
        </w:rPr>
        <w:t xml:space="preserve">(“AGD”) </w:t>
      </w:r>
      <w:r w:rsidRPr="000B63CE">
        <w:rPr>
          <w:b/>
        </w:rPr>
        <w:t xml:space="preserve">DA </w:t>
      </w:r>
      <w:r w:rsidR="00207423">
        <w:rPr>
          <w:b/>
        </w:rPr>
        <w:t>SEGUNDA</w:t>
      </w:r>
      <w:r w:rsidRPr="000B63CE">
        <w:rPr>
          <w:b/>
        </w:rPr>
        <w:t xml:space="preserve"> EMISSÃO DE DEBÊNTURES </w:t>
      </w:r>
      <w:r w:rsidR="00AF7D2B" w:rsidRPr="00AF7D2B">
        <w:rPr>
          <w:b/>
        </w:rPr>
        <w:t xml:space="preserve">SIMPLES, NÃO CONVERSÍVEIS EM AÇÕES, DA ESPÉCIE COM GARANTIA REAL, COM GARANTIA ADICIONAL FIDEJUSSÓRIA, </w:t>
      </w:r>
      <w:r w:rsidR="00B10FD5">
        <w:rPr>
          <w:b/>
        </w:rPr>
        <w:t>EM SÉRIE ÚNICA</w:t>
      </w:r>
      <w:r w:rsidR="00AF7D2B">
        <w:rPr>
          <w:b/>
        </w:rPr>
        <w:t xml:space="preserve">, </w:t>
      </w:r>
      <w:r w:rsidR="00AF7D2B" w:rsidRPr="00AF7D2B">
        <w:rPr>
          <w:b/>
        </w:rPr>
        <w:t>PARA DISTRIBUIÇÃO PÚBLICA, COM ESFORÇOS RESTRITOS DE DISTRIBUIÇÃO,</w:t>
      </w:r>
      <w:r w:rsidR="00B10FD5">
        <w:rPr>
          <w:b/>
        </w:rPr>
        <w:t xml:space="preserve"> DA CELESC GERAÇÃO S.A. </w:t>
      </w:r>
    </w:p>
    <w:p w14:paraId="3C25BD75" w14:textId="77777777" w:rsidR="00D44AA9" w:rsidRDefault="00D44AA9" w:rsidP="00D44AA9">
      <w:pPr>
        <w:spacing w:after="0"/>
        <w:jc w:val="center"/>
      </w:pPr>
    </w:p>
    <w:p w14:paraId="0EE1FF6F" w14:textId="05B91207" w:rsidR="00D44AA9" w:rsidRDefault="00D44AA9" w:rsidP="00F35912">
      <w:pPr>
        <w:pStyle w:val="PargrafodaLista"/>
        <w:numPr>
          <w:ilvl w:val="0"/>
          <w:numId w:val="1"/>
        </w:numPr>
        <w:spacing w:after="0"/>
        <w:ind w:left="0" w:firstLine="284"/>
        <w:jc w:val="both"/>
        <w:rPr>
          <w:b/>
          <w:u w:val="single"/>
        </w:rPr>
      </w:pPr>
      <w:r w:rsidRPr="00D44AA9">
        <w:rPr>
          <w:b/>
          <w:u w:val="single"/>
        </w:rPr>
        <w:t>Data, Hora, e Local:</w:t>
      </w:r>
      <w:r w:rsidR="008F167B" w:rsidRPr="008F167B">
        <w:rPr>
          <w:rFonts w:cs="Arial"/>
        </w:rPr>
        <w:t xml:space="preserve"> </w:t>
      </w:r>
      <w:r w:rsidR="00954301">
        <w:rPr>
          <w:rFonts w:cs="Arial"/>
        </w:rPr>
        <w:t>aos 20 de dezembro</w:t>
      </w:r>
      <w:r w:rsidR="008F167B" w:rsidRPr="00F94C26">
        <w:rPr>
          <w:rFonts w:cs="Arial"/>
        </w:rPr>
        <w:t xml:space="preserve"> de 201</w:t>
      </w:r>
      <w:r w:rsidR="00954301">
        <w:rPr>
          <w:rFonts w:cs="Arial"/>
        </w:rPr>
        <w:t>8</w:t>
      </w:r>
      <w:r w:rsidR="008F167B" w:rsidRPr="00F94C26">
        <w:rPr>
          <w:rFonts w:cs="Arial"/>
        </w:rPr>
        <w:t xml:space="preserve">, às </w:t>
      </w:r>
      <w:r w:rsidR="00954301">
        <w:rPr>
          <w:rFonts w:cs="Arial"/>
        </w:rPr>
        <w:t>10</w:t>
      </w:r>
      <w:r w:rsidR="008F167B" w:rsidRPr="00F94C26">
        <w:rPr>
          <w:rFonts w:cs="Arial"/>
        </w:rPr>
        <w:t xml:space="preserve"> horas, na sede social da </w:t>
      </w:r>
      <w:r w:rsidR="00355EB2" w:rsidRPr="00355EB2">
        <w:rPr>
          <w:rFonts w:cs="Arial"/>
        </w:rPr>
        <w:t xml:space="preserve">CELESC GERAÇÃO S.A. </w:t>
      </w:r>
      <w:r w:rsidR="008F167B" w:rsidRPr="00F94C26">
        <w:rPr>
          <w:rFonts w:cs="Arial"/>
        </w:rPr>
        <w:t>(“</w:t>
      </w:r>
      <w:r w:rsidR="008F167B" w:rsidRPr="00F94C26">
        <w:rPr>
          <w:rFonts w:cs="Arial"/>
          <w:u w:val="single"/>
        </w:rPr>
        <w:t>Companhia</w:t>
      </w:r>
      <w:r w:rsidR="008F167B" w:rsidRPr="00F94C26">
        <w:rPr>
          <w:rFonts w:cs="Arial"/>
        </w:rPr>
        <w:t>”</w:t>
      </w:r>
      <w:r w:rsidR="007B17BF">
        <w:rPr>
          <w:rFonts w:cs="Arial"/>
        </w:rPr>
        <w:t xml:space="preserve"> ou “</w:t>
      </w:r>
      <w:r w:rsidR="007B17BF" w:rsidRPr="001005B3">
        <w:rPr>
          <w:rFonts w:cs="Arial"/>
          <w:u w:val="single"/>
        </w:rPr>
        <w:t>Emissora</w:t>
      </w:r>
      <w:r w:rsidR="007B17BF">
        <w:rPr>
          <w:rFonts w:cs="Arial"/>
        </w:rPr>
        <w:t>”</w:t>
      </w:r>
      <w:r w:rsidR="008F167B" w:rsidRPr="00F94C26">
        <w:rPr>
          <w:rFonts w:cs="Arial"/>
        </w:rPr>
        <w:t xml:space="preserve">), </w:t>
      </w:r>
      <w:r w:rsidR="00A2465B" w:rsidRPr="00A2465B">
        <w:rPr>
          <w:rFonts w:cs="Arial"/>
        </w:rPr>
        <w:t>na Cidade de Florianópolis, Estado de Santa Catarina, na Avenida Itamarati, nº 160, Bairro Itacorubi, Térreo, bloco A1, CEP 88034-900</w:t>
      </w:r>
    </w:p>
    <w:p w14:paraId="0F10F535" w14:textId="77777777" w:rsidR="00D44AA9" w:rsidRPr="00D44AA9" w:rsidRDefault="00D44AA9" w:rsidP="00D44AA9">
      <w:pPr>
        <w:pStyle w:val="PargrafodaLista"/>
        <w:spacing w:after="0"/>
        <w:rPr>
          <w:b/>
          <w:u w:val="single"/>
        </w:rPr>
      </w:pPr>
    </w:p>
    <w:p w14:paraId="189BA85B" w14:textId="77777777" w:rsidR="00D44AA9" w:rsidRDefault="00D44AA9" w:rsidP="00F907E5">
      <w:pPr>
        <w:pStyle w:val="PargrafodaLista"/>
        <w:numPr>
          <w:ilvl w:val="0"/>
          <w:numId w:val="1"/>
        </w:numPr>
        <w:spacing w:after="0"/>
        <w:ind w:left="0" w:firstLine="284"/>
        <w:jc w:val="both"/>
      </w:pPr>
      <w:r w:rsidRPr="00D44AA9">
        <w:rPr>
          <w:b/>
          <w:u w:val="single"/>
        </w:rPr>
        <w:t>Convocação:</w:t>
      </w:r>
      <w:r>
        <w:t xml:space="preserve"> Dispensada a convocação</w:t>
      </w:r>
      <w:r w:rsidR="00AF7D2B">
        <w:t xml:space="preserve"> por edital</w:t>
      </w:r>
      <w:r>
        <w:t xml:space="preserve">, </w:t>
      </w:r>
      <w:r w:rsidR="00C64BAA">
        <w:t xml:space="preserve">nos termos dos artigos 71, §2º e 124 § 4º da Lei nº 6.404 de 15 de dezembro de 1976 </w:t>
      </w:r>
      <w:r w:rsidR="00A567F7">
        <w:t>conforme</w:t>
      </w:r>
      <w:r w:rsidR="00C64BAA">
        <w:t xml:space="preserve"> alterada (“Lei 6.404/76”), </w:t>
      </w:r>
      <w:r>
        <w:t xml:space="preserve">tendo em vista a presença </w:t>
      </w:r>
      <w:r w:rsidR="00AF7D2B">
        <w:t>da totalidade dos</w:t>
      </w:r>
      <w:r>
        <w:t xml:space="preserve"> </w:t>
      </w:r>
      <w:r w:rsidR="00AF7D2B">
        <w:t>D</w:t>
      </w:r>
      <w:r>
        <w:t>ebenturistas</w:t>
      </w:r>
      <w:r w:rsidR="00AF7D2B">
        <w:t xml:space="preserve"> (conforme abaixo definido)</w:t>
      </w:r>
      <w:r>
        <w:t xml:space="preserve"> </w:t>
      </w:r>
      <w:r w:rsidRPr="00A060AB">
        <w:t xml:space="preserve">da </w:t>
      </w:r>
      <w:r w:rsidRPr="00284754">
        <w:rPr>
          <w:b/>
        </w:rPr>
        <w:t>2ª EMISSÃO DE DEBÊNTURES SIMPLES, NÃO CONVERSÍVEIS EM AÇÕES, DA ESPÉCIE COM GARANTIA REAL, COM GARANTIA ADICIONAL FIDEJUSSÓRIA, EM SÉRIE ÚNICA, PARA DISTRIBUIÇÃO PÚBLICA, COM ESFORÇOS RESTRITOS DE DISTRIBUIÇÃO, DA CELESC GERAÇÃO S.A.</w:t>
      </w:r>
      <w:r w:rsidRPr="00D44AA9">
        <w:t xml:space="preserve"> </w:t>
      </w:r>
      <w:r w:rsidRPr="00A060AB">
        <w:t>(“</w:t>
      </w:r>
      <w:r w:rsidR="007B17BF">
        <w:rPr>
          <w:u w:val="single"/>
        </w:rPr>
        <w:t>Emissão</w:t>
      </w:r>
      <w:r w:rsidRPr="00A060AB">
        <w:t>” ou “</w:t>
      </w:r>
      <w:r w:rsidR="007B17BF">
        <w:rPr>
          <w:u w:val="single"/>
        </w:rPr>
        <w:t>Debêntures</w:t>
      </w:r>
      <w:r w:rsidRPr="00A060AB">
        <w:t>”</w:t>
      </w:r>
      <w:r>
        <w:t>)</w:t>
      </w:r>
      <w:r w:rsidRPr="00A060AB">
        <w:t xml:space="preserve">, </w:t>
      </w:r>
      <w:r w:rsidR="00A35321" w:rsidRPr="009C1150">
        <w:t>nos termos da Instrução CVM 476</w:t>
      </w:r>
      <w:r w:rsidR="00355EB2">
        <w:t xml:space="preserve">, </w:t>
      </w:r>
      <w:r>
        <w:t>conforme se atesta pela assinatura dos presentes nesta ata.</w:t>
      </w:r>
    </w:p>
    <w:p w14:paraId="26966415" w14:textId="77777777" w:rsidR="00A35321" w:rsidRDefault="00A35321" w:rsidP="00A35321">
      <w:pPr>
        <w:pStyle w:val="PargrafodaLista"/>
      </w:pPr>
    </w:p>
    <w:p w14:paraId="728A35DE" w14:textId="77777777" w:rsidR="00A35321" w:rsidRDefault="00A35321" w:rsidP="00F907E5">
      <w:pPr>
        <w:pStyle w:val="PargrafodaLista"/>
        <w:numPr>
          <w:ilvl w:val="0"/>
          <w:numId w:val="1"/>
        </w:numPr>
        <w:spacing w:after="0" w:line="300" w:lineRule="exact"/>
        <w:ind w:left="0" w:firstLine="360"/>
        <w:jc w:val="both"/>
      </w:pPr>
      <w:r w:rsidRPr="00A35321">
        <w:rPr>
          <w:b/>
          <w:u w:val="single"/>
        </w:rPr>
        <w:t>Presença</w:t>
      </w:r>
      <w:r w:rsidRPr="00A35321">
        <w:rPr>
          <w:b/>
        </w:rPr>
        <w:t>:</w:t>
      </w:r>
      <w:r w:rsidRPr="00CA6D68">
        <w:t xml:space="preserve"> </w:t>
      </w:r>
      <w:r w:rsidR="00AF7D2B">
        <w:t>Titulares da totalidade das</w:t>
      </w:r>
      <w:r w:rsidRPr="00CA6D68">
        <w:t xml:space="preserve"> </w:t>
      </w:r>
      <w:r>
        <w:t>D</w:t>
      </w:r>
      <w:r w:rsidRPr="00CA6D68">
        <w:t>ebêntures em circulação</w:t>
      </w:r>
      <w:r w:rsidR="00C64BAA">
        <w:t xml:space="preserve"> da </w:t>
      </w:r>
      <w:r w:rsidR="00C64BAA" w:rsidRPr="00C64BAA">
        <w:t>2ª EMISSÃO DE DEBÊNTURES SIMPLES, NÃO CONVERSÍVEIS EM AÇÕES, DA ESPÉCIE COM GARANTIA REAL, COM GARANTIA ADICIONAL FIDEJUSSÓRIA, EM SÉRIE ÚNICA, PARA DISTRIBUIÇÃO PÚBLICA, COM ESFORÇOS RESTRITOS DE DISTRIBUIÇÃO, DA CELESC GERAÇÃO S.A.</w:t>
      </w:r>
      <w:r w:rsidR="00AF7D2B">
        <w:t xml:space="preserve"> (“</w:t>
      </w:r>
      <w:r w:rsidR="00AF7D2B" w:rsidRPr="001005B3">
        <w:rPr>
          <w:u w:val="single"/>
        </w:rPr>
        <w:t>Debenturistas</w:t>
      </w:r>
      <w:r w:rsidR="00AF7D2B">
        <w:t>”).</w:t>
      </w:r>
      <w:r w:rsidR="00C64BAA">
        <w:t xml:space="preserve"> </w:t>
      </w:r>
      <w:r w:rsidRPr="00CA6D68">
        <w:t>Pre</w:t>
      </w:r>
      <w:r>
        <w:t>sentes, ainda, os representantes</w:t>
      </w:r>
      <w:r w:rsidR="00C64BAA">
        <w:t xml:space="preserve"> da Companhia</w:t>
      </w:r>
      <w:r w:rsidR="001819C0">
        <w:t>, da Centrais Elétricas de Santa Catarina S.A.</w:t>
      </w:r>
      <w:r w:rsidR="00A55A97">
        <w:t>, na qualidade de Fiadora da Emissão</w:t>
      </w:r>
      <w:r w:rsidR="00C235DB">
        <w:t>,</w:t>
      </w:r>
      <w:r w:rsidR="00C64BAA">
        <w:t xml:space="preserve"> e</w:t>
      </w:r>
      <w:r>
        <w:t xml:space="preserve"> da Simplific Pavarini Distribuidora de Títulos e</w:t>
      </w:r>
      <w:r w:rsidR="00C64BAA">
        <w:t xml:space="preserve"> Valores Mobiliários Ltda., na qualidade de Agente Fiduciário e representante dos </w:t>
      </w:r>
      <w:r w:rsidR="00AF7D2B">
        <w:t>D</w:t>
      </w:r>
      <w:r w:rsidR="00C64BAA">
        <w:t xml:space="preserve">ebenturistas. </w:t>
      </w:r>
    </w:p>
    <w:p w14:paraId="3B41875A" w14:textId="77777777" w:rsidR="00A35321" w:rsidRDefault="00A35321" w:rsidP="00A35321">
      <w:pPr>
        <w:pStyle w:val="PargrafodaLista"/>
      </w:pPr>
    </w:p>
    <w:p w14:paraId="6292F1CF" w14:textId="5223B5EF" w:rsidR="000F0F15" w:rsidRDefault="00A35321" w:rsidP="000F0F15">
      <w:pPr>
        <w:pStyle w:val="PargrafodaLista"/>
        <w:numPr>
          <w:ilvl w:val="0"/>
          <w:numId w:val="1"/>
        </w:numPr>
        <w:spacing w:after="0" w:line="300" w:lineRule="exact"/>
        <w:ind w:left="0" w:firstLine="426"/>
        <w:jc w:val="both"/>
      </w:pPr>
      <w:r w:rsidRPr="00A35321">
        <w:rPr>
          <w:b/>
          <w:u w:val="single"/>
        </w:rPr>
        <w:t>Mesa</w:t>
      </w:r>
      <w:r w:rsidRPr="00A35321">
        <w:rPr>
          <w:b/>
        </w:rPr>
        <w:t xml:space="preserve">: </w:t>
      </w:r>
      <w:r w:rsidRPr="00A35321">
        <w:rPr>
          <w:u w:val="single"/>
        </w:rPr>
        <w:t>Presidente</w:t>
      </w:r>
      <w:r w:rsidRPr="00CA6D68">
        <w:t xml:space="preserve">: </w:t>
      </w:r>
      <w:r w:rsidR="00954301">
        <w:t>Sr. Valdecir Aparecido Sicchieri</w:t>
      </w:r>
      <w:r w:rsidRPr="00F90355">
        <w:t xml:space="preserve"> </w:t>
      </w:r>
      <w:r>
        <w:t>eleito pelos Debenturistas, conforme abaixo indicado</w:t>
      </w:r>
      <w:r w:rsidRPr="00CA6D68">
        <w:t xml:space="preserve">; e </w:t>
      </w:r>
      <w:r w:rsidRPr="00A35321">
        <w:rPr>
          <w:u w:val="single"/>
        </w:rPr>
        <w:t>Secretário</w:t>
      </w:r>
      <w:r>
        <w:t xml:space="preserve">: </w:t>
      </w:r>
      <w:r w:rsidR="001B511B">
        <w:rPr>
          <w:rFonts w:cs="Arial"/>
        </w:rPr>
        <w:t>Erison Alexandre Furtado</w:t>
      </w:r>
      <w:r w:rsidRPr="00CA6D68">
        <w:t>.</w:t>
      </w:r>
    </w:p>
    <w:p w14:paraId="2F33587C" w14:textId="77777777" w:rsidR="000F0F15" w:rsidRPr="000F0F15" w:rsidRDefault="000F0F15" w:rsidP="000F0F15">
      <w:pPr>
        <w:pStyle w:val="PargrafodaLista"/>
        <w:rPr>
          <w:b/>
          <w:u w:val="single"/>
        </w:rPr>
      </w:pPr>
    </w:p>
    <w:p w14:paraId="33A81DDF" w14:textId="3A53781A" w:rsidR="006239C3" w:rsidRPr="000F0F15" w:rsidRDefault="00A35321" w:rsidP="000F0F15">
      <w:pPr>
        <w:pStyle w:val="PargrafodaLista"/>
        <w:numPr>
          <w:ilvl w:val="0"/>
          <w:numId w:val="1"/>
        </w:numPr>
        <w:spacing w:after="0" w:line="300" w:lineRule="exact"/>
        <w:ind w:left="0" w:firstLine="426"/>
        <w:jc w:val="both"/>
      </w:pPr>
      <w:r w:rsidRPr="000F0F15">
        <w:rPr>
          <w:b/>
          <w:u w:val="single"/>
        </w:rPr>
        <w:t>Ordem do Dia</w:t>
      </w:r>
      <w:r w:rsidRPr="000F0F15">
        <w:rPr>
          <w:b/>
        </w:rPr>
        <w:t>:</w:t>
      </w:r>
      <w:r w:rsidRPr="000F0F15">
        <w:rPr>
          <w:bCs/>
        </w:rPr>
        <w:t xml:space="preserve"> </w:t>
      </w:r>
      <w:r w:rsidR="0006055D" w:rsidRPr="000F0F15">
        <w:rPr>
          <w:bCs/>
        </w:rPr>
        <w:t>D</w:t>
      </w:r>
      <w:r w:rsidR="0006055D" w:rsidRPr="000F0F15">
        <w:rPr>
          <w:rFonts w:cs="Arial"/>
        </w:rPr>
        <w:t>eliberar sobre</w:t>
      </w:r>
      <w:r w:rsidR="0049150D" w:rsidRPr="000F0F15">
        <w:rPr>
          <w:rFonts w:cs="Arial"/>
        </w:rPr>
        <w:t>: (i)</w:t>
      </w:r>
      <w:r w:rsidR="0006055D" w:rsidRPr="000F0F15">
        <w:rPr>
          <w:rFonts w:cs="Arial"/>
        </w:rPr>
        <w:t xml:space="preserve"> a </w:t>
      </w:r>
      <w:r w:rsidR="007B17BF" w:rsidRPr="000F0F15">
        <w:rPr>
          <w:rFonts w:cs="Arial"/>
        </w:rPr>
        <w:t xml:space="preserve">concessão de anuência prévia para a </w:t>
      </w:r>
      <w:r w:rsidR="00B72C6F" w:rsidRPr="000F0F15">
        <w:rPr>
          <w:rFonts w:cs="Arial"/>
        </w:rPr>
        <w:t xml:space="preserve">Emissora prestar </w:t>
      </w:r>
      <w:r w:rsidR="006239C3" w:rsidRPr="000F0F15">
        <w:rPr>
          <w:rFonts w:cs="Arial"/>
        </w:rPr>
        <w:t xml:space="preserve">garantia fidejussória, na forma </w:t>
      </w:r>
      <w:r w:rsidR="003B4D58" w:rsidRPr="000F0F15">
        <w:rPr>
          <w:rFonts w:cs="Arial"/>
        </w:rPr>
        <w:t xml:space="preserve">de </w:t>
      </w:r>
      <w:r w:rsidR="00B72C6F" w:rsidRPr="000F0F15">
        <w:rPr>
          <w:rFonts w:cs="Arial"/>
        </w:rPr>
        <w:t>fiança</w:t>
      </w:r>
      <w:r w:rsidR="00845E64" w:rsidRPr="000F0F15">
        <w:rPr>
          <w:rFonts w:cs="Arial"/>
        </w:rPr>
        <w:t xml:space="preserve"> corporativa</w:t>
      </w:r>
      <w:r w:rsidR="00B72C6F" w:rsidRPr="000F0F15">
        <w:rPr>
          <w:rFonts w:cs="Arial"/>
        </w:rPr>
        <w:t>,</w:t>
      </w:r>
      <w:r w:rsidR="001028B1" w:rsidRPr="000F0F15">
        <w:rPr>
          <w:rFonts w:cs="Arial"/>
        </w:rPr>
        <w:t xml:space="preserve"> à sua controlada, a EDP Transmissão Aliança SC S.A.,</w:t>
      </w:r>
      <w:r w:rsidR="00B72C6F" w:rsidRPr="000F0F15">
        <w:rPr>
          <w:rFonts w:cs="Arial"/>
        </w:rPr>
        <w:t xml:space="preserve"> </w:t>
      </w:r>
      <w:r w:rsidR="001028B1" w:rsidRPr="000F0F15">
        <w:rPr>
          <w:rFonts w:cs="Arial"/>
        </w:rPr>
        <w:t xml:space="preserve">no âmbito da </w:t>
      </w:r>
      <w:r w:rsidR="0006055D" w:rsidRPr="000F0F15">
        <w:rPr>
          <w:rFonts w:cs="Arial"/>
        </w:rPr>
        <w:t>1ª EMISSÃO DE DEBÊNTURES SIMPLES, NÃO CONVERSÍVEIS EM AÇÕES, DA ESPÉCIE COM GARANTIA REAL</w:t>
      </w:r>
      <w:r w:rsidR="00D74092" w:rsidRPr="000F0F15">
        <w:rPr>
          <w:rFonts w:cs="Arial"/>
        </w:rPr>
        <w:t>, A SER CONVOLADA EM ESPÉCIE QUIROGRAFÁRIA,</w:t>
      </w:r>
      <w:r w:rsidR="0006055D" w:rsidRPr="000F0F15">
        <w:rPr>
          <w:rFonts w:cs="Arial"/>
        </w:rPr>
        <w:t xml:space="preserve">  COM GARANTIA FIDEJUSSÓRIA ADICIONAL, EM SÉRIE ÚNICA, PARA DISTRIBUIÇÃO PÚBLICA COM ESFORÇOS RESTRITOS DE DISTRIBUIÇÃO, DA EDP TRANSMISSÃO ALIANÇA SC S.A.</w:t>
      </w:r>
      <w:r w:rsidR="00F436FE" w:rsidRPr="000F0F15">
        <w:rPr>
          <w:rFonts w:cs="Arial"/>
        </w:rPr>
        <w:t>,</w:t>
      </w:r>
      <w:r w:rsidR="00C35A6E" w:rsidRPr="000F0F15">
        <w:rPr>
          <w:rFonts w:cs="Arial"/>
        </w:rPr>
        <w:t xml:space="preserve"> </w:t>
      </w:r>
      <w:r w:rsidR="005934F1" w:rsidRPr="000F0F15">
        <w:rPr>
          <w:rFonts w:cs="Arial"/>
        </w:rPr>
        <w:t>em razão da previsão de hipótese de vencimento antecipado não a</w:t>
      </w:r>
      <w:r w:rsidR="008359DF" w:rsidRPr="000F0F15">
        <w:rPr>
          <w:rFonts w:cs="Arial"/>
        </w:rPr>
        <w:t>utomático</w:t>
      </w:r>
      <w:r w:rsidR="005934F1" w:rsidRPr="000F0F15">
        <w:rPr>
          <w:rFonts w:cs="Arial"/>
        </w:rPr>
        <w:t>,</w:t>
      </w:r>
      <w:r w:rsidR="00C35A6E" w:rsidRPr="000F0F15">
        <w:rPr>
          <w:rFonts w:cs="Arial"/>
        </w:rPr>
        <w:t xml:space="preserve"> </w:t>
      </w:r>
      <w:r w:rsidR="005934F1" w:rsidRPr="000F0F15">
        <w:rPr>
          <w:rFonts w:cs="Arial"/>
        </w:rPr>
        <w:t>conforme</w:t>
      </w:r>
      <w:r w:rsidR="00BE1DA4" w:rsidRPr="000F0F15">
        <w:rPr>
          <w:rFonts w:cs="Arial"/>
        </w:rPr>
        <w:t xml:space="preserve"> </w:t>
      </w:r>
      <w:r w:rsidR="00C1751C" w:rsidRPr="000F0F15">
        <w:rPr>
          <w:rFonts w:cs="Arial"/>
        </w:rPr>
        <w:t xml:space="preserve">inciso </w:t>
      </w:r>
      <w:r w:rsidR="008359DF" w:rsidRPr="000F0F15">
        <w:rPr>
          <w:rFonts w:cs="Arial"/>
        </w:rPr>
        <w:t>xi</w:t>
      </w:r>
      <w:r w:rsidR="0003455C" w:rsidRPr="000F0F15">
        <w:rPr>
          <w:rFonts w:cs="Arial"/>
        </w:rPr>
        <w:t>.</w:t>
      </w:r>
      <w:r w:rsidR="00BE1DA4" w:rsidRPr="000F0F15">
        <w:rPr>
          <w:rFonts w:cs="Arial"/>
        </w:rPr>
        <w:t xml:space="preserve"> da Cláusula 8.2 </w:t>
      </w:r>
      <w:r w:rsidR="008359DF" w:rsidRPr="000F0F15">
        <w:rPr>
          <w:rFonts w:cs="Arial"/>
        </w:rPr>
        <w:t>d</w:t>
      </w:r>
      <w:r w:rsidR="00C1751C" w:rsidRPr="000F0F15">
        <w:rPr>
          <w:rFonts w:cs="Arial"/>
        </w:rPr>
        <w:t xml:space="preserve">o </w:t>
      </w:r>
      <w:r w:rsidR="00BE1DA4" w:rsidRPr="000F0F15">
        <w:rPr>
          <w:rFonts w:cs="Arial"/>
        </w:rPr>
        <w:t>“</w:t>
      </w:r>
      <w:r w:rsidR="00C1751C" w:rsidRPr="000F0F15">
        <w:rPr>
          <w:rFonts w:cs="Arial"/>
        </w:rPr>
        <w:t>Instrumento</w:t>
      </w:r>
      <w:r w:rsidR="00FE45D7" w:rsidRPr="000F0F15">
        <w:rPr>
          <w:rFonts w:cs="Arial"/>
        </w:rPr>
        <w:t xml:space="preserve"> Particular de Escritura da 2ª</w:t>
      </w:r>
      <w:r w:rsidR="00BE1DA4" w:rsidRPr="000F0F15">
        <w:rPr>
          <w:rFonts w:cs="Arial"/>
        </w:rPr>
        <w:t xml:space="preserve"> </w:t>
      </w:r>
      <w:r w:rsidR="00FE45D7" w:rsidRPr="000F0F15">
        <w:rPr>
          <w:rFonts w:cs="Arial"/>
        </w:rPr>
        <w:t>Emissão de Debêntures Simples, Não Conversíveis em Ações, da Espécie com Garantia Real, com Garantia Adicional Fidejussória, em Série Única, para Distribuição Pública, com Esforços Restritos de Distribuição da CELESC GERAÇÃO S.A.</w:t>
      </w:r>
      <w:r w:rsidR="00BE1DA4" w:rsidRPr="000F0F15">
        <w:rPr>
          <w:rFonts w:cs="Arial"/>
        </w:rPr>
        <w:t>”, celebrado em 15 de maio de 2018</w:t>
      </w:r>
      <w:r w:rsidR="00FE45D7" w:rsidRPr="000F0F15">
        <w:rPr>
          <w:rFonts w:cs="Arial"/>
        </w:rPr>
        <w:t xml:space="preserve"> (“</w:t>
      </w:r>
      <w:r w:rsidR="00FE45D7" w:rsidRPr="000F0F15">
        <w:rPr>
          <w:rFonts w:cs="Arial"/>
          <w:u w:val="single"/>
        </w:rPr>
        <w:t>Escritura de Emissão</w:t>
      </w:r>
      <w:r w:rsidR="00FE45D7" w:rsidRPr="000F0F15">
        <w:rPr>
          <w:rFonts w:cs="Arial"/>
        </w:rPr>
        <w:t>”)</w:t>
      </w:r>
      <w:r w:rsidR="0049150D" w:rsidRPr="000F0F15">
        <w:rPr>
          <w:rFonts w:cs="Arial"/>
        </w:rPr>
        <w:t xml:space="preserve"> e (ii) as condições com as quais os Debenturistas anue</w:t>
      </w:r>
      <w:r w:rsidR="004C5F29" w:rsidRPr="000F0F15">
        <w:rPr>
          <w:rFonts w:cs="Arial"/>
        </w:rPr>
        <w:t>m em conceder a prestação da referida</w:t>
      </w:r>
      <w:r w:rsidR="0049150D" w:rsidRPr="000F0F15">
        <w:rPr>
          <w:rFonts w:cs="Arial"/>
        </w:rPr>
        <w:t xml:space="preserve"> garantia</w:t>
      </w:r>
    </w:p>
    <w:p w14:paraId="7DCA6F54" w14:textId="538EB31A" w:rsidR="00491283" w:rsidRPr="006239C3" w:rsidRDefault="00FD53C5" w:rsidP="006239C3">
      <w:pPr>
        <w:pStyle w:val="PargrafodaLista"/>
        <w:spacing w:after="0" w:line="300" w:lineRule="exact"/>
        <w:ind w:left="426"/>
        <w:jc w:val="both"/>
        <w:rPr>
          <w:bCs/>
        </w:rPr>
      </w:pPr>
      <w:r w:rsidRPr="006239C3">
        <w:rPr>
          <w:rFonts w:cs="Arial"/>
        </w:rPr>
        <w:lastRenderedPageBreak/>
        <w:t xml:space="preserve"> </w:t>
      </w:r>
    </w:p>
    <w:p w14:paraId="344DABAA" w14:textId="5C4808A2" w:rsidR="006239C3" w:rsidRPr="006239C3" w:rsidRDefault="00B132FB" w:rsidP="00FD53C5">
      <w:pPr>
        <w:pStyle w:val="PargrafodaLista"/>
        <w:numPr>
          <w:ilvl w:val="0"/>
          <w:numId w:val="1"/>
        </w:numPr>
        <w:spacing w:after="0" w:line="300" w:lineRule="exact"/>
        <w:ind w:left="0" w:firstLine="426"/>
        <w:jc w:val="both"/>
        <w:rPr>
          <w:rFonts w:ascii="Calibri" w:hAnsi="Calibri" w:cs="Calibri"/>
          <w:color w:val="B6082E"/>
        </w:rPr>
      </w:pPr>
      <w:r w:rsidRPr="006239C3">
        <w:rPr>
          <w:b/>
          <w:u w:val="single"/>
        </w:rPr>
        <w:t>Abertura</w:t>
      </w:r>
      <w:r w:rsidR="00A35321" w:rsidRPr="006239C3">
        <w:rPr>
          <w:b/>
        </w:rPr>
        <w:t>:</w:t>
      </w:r>
      <w:r w:rsidR="00FB2023" w:rsidRPr="006239C3">
        <w:t xml:space="preserve"> </w:t>
      </w:r>
      <w:r w:rsidR="00866115" w:rsidRPr="006239C3">
        <w:t>O representante do Agente Fiduciário propôs aos presentes a eleição do Presidente e do Secretário da assembleia para, dentre outras providencias, lavrar a presente ata.  Após a devida eleição, foram abertos os trabalhos</w:t>
      </w:r>
      <w:r w:rsidR="00866115" w:rsidRPr="006239C3">
        <w:rPr>
          <w:rFonts w:ascii="Calibri" w:hAnsi="Calibri" w:cs="Calibri"/>
        </w:rPr>
        <w:t>, tendo sido verificado pelo Secretário os pressupostos de quórum e convocação, bem como os instrumentos de mandato dos representantes dos Debenturistas presentes, declarando o Sr. Presidente instalada a presente Assembleia. Em seguida, foi realizada a leitura da Ordem do Dia</w:t>
      </w:r>
      <w:r w:rsidR="00866115" w:rsidRPr="006239C3">
        <w:rPr>
          <w:rFonts w:ascii="Calibri" w:hAnsi="Calibri" w:cs="Calibri"/>
          <w:color w:val="B6082E"/>
        </w:rPr>
        <w:t>.</w:t>
      </w:r>
      <w:r w:rsidR="006239C3" w:rsidRPr="006239C3" w:rsidDel="00222177">
        <w:rPr>
          <w:rFonts w:cs="Arial"/>
          <w:highlight w:val="yellow"/>
        </w:rPr>
        <w:t xml:space="preserve"> </w:t>
      </w:r>
    </w:p>
    <w:p w14:paraId="5A1DE931" w14:textId="7793F2DE" w:rsidR="00A35321" w:rsidRPr="006239C3" w:rsidRDefault="006239C3" w:rsidP="006239C3">
      <w:pPr>
        <w:spacing w:after="0" w:line="300" w:lineRule="exact"/>
        <w:ind w:firstLine="360"/>
        <w:jc w:val="both"/>
        <w:rPr>
          <w:rFonts w:ascii="Calibri" w:hAnsi="Calibri" w:cs="Calibri"/>
          <w:color w:val="B6082E"/>
        </w:rPr>
      </w:pPr>
      <w:r w:rsidRPr="00CE08C3">
        <w:rPr>
          <w:rFonts w:cs="Arial"/>
        </w:rPr>
        <w:t xml:space="preserve">Aberta a sessão, assumiu a presidência dos trabalhos o Sr. </w:t>
      </w:r>
      <w:r w:rsidR="00D2184F">
        <w:t>Valdecir Aparecido Sicchieri</w:t>
      </w:r>
      <w:r w:rsidR="001B511B">
        <w:rPr>
          <w:rFonts w:cs="Arial"/>
        </w:rPr>
        <w:t>, que convidou o Sr. Erison Alexandre Furtado</w:t>
      </w:r>
      <w:r w:rsidRPr="00CE08C3">
        <w:rPr>
          <w:rFonts w:cs="Arial"/>
        </w:rPr>
        <w:t xml:space="preserve"> para secretariá-lo </w:t>
      </w:r>
    </w:p>
    <w:p w14:paraId="4887EA6C" w14:textId="77777777" w:rsidR="00B132FB" w:rsidRPr="008477C4" w:rsidRDefault="00B132FB" w:rsidP="001005B3">
      <w:pPr>
        <w:spacing w:after="0" w:line="300" w:lineRule="exact"/>
        <w:ind w:left="360"/>
        <w:jc w:val="both"/>
        <w:rPr>
          <w:bCs/>
        </w:rPr>
      </w:pPr>
    </w:p>
    <w:p w14:paraId="2139011C" w14:textId="45AE342E" w:rsidR="00B132FB" w:rsidRPr="00491283" w:rsidRDefault="00B132FB" w:rsidP="00F907E5">
      <w:pPr>
        <w:numPr>
          <w:ilvl w:val="0"/>
          <w:numId w:val="1"/>
        </w:numPr>
        <w:spacing w:after="0" w:line="300" w:lineRule="exact"/>
        <w:ind w:left="0" w:firstLine="360"/>
        <w:jc w:val="both"/>
        <w:rPr>
          <w:bCs/>
        </w:rPr>
      </w:pPr>
      <w:r w:rsidRPr="001005B3">
        <w:rPr>
          <w:b/>
          <w:bCs/>
          <w:u w:val="single"/>
        </w:rPr>
        <w:t>Deliberações</w:t>
      </w:r>
      <w:r>
        <w:rPr>
          <w:bCs/>
        </w:rPr>
        <w:t>: Examinada e debatida a matéria da Ordem do Dia, os Debenturistas</w:t>
      </w:r>
      <w:r w:rsidR="00887002">
        <w:rPr>
          <w:bCs/>
        </w:rPr>
        <w:t xml:space="preserve"> representando 100% (cem por cento) das Debêntures em circulação,</w:t>
      </w:r>
      <w:r>
        <w:rPr>
          <w:bCs/>
        </w:rPr>
        <w:t xml:space="preserve"> </w:t>
      </w:r>
      <w:r w:rsidR="008477C4">
        <w:rPr>
          <w:bCs/>
        </w:rPr>
        <w:t>deliberaram, por unanimidade de votos</w:t>
      </w:r>
      <w:r w:rsidR="00D66379">
        <w:rPr>
          <w:bCs/>
        </w:rPr>
        <w:t xml:space="preserve"> e sem restrições</w:t>
      </w:r>
      <w:r w:rsidR="008477C4">
        <w:rPr>
          <w:bCs/>
        </w:rPr>
        <w:t>, o seguinte</w:t>
      </w:r>
      <w:r>
        <w:rPr>
          <w:bCs/>
        </w:rPr>
        <w:t>:</w:t>
      </w:r>
      <w:r w:rsidR="00FD53C5">
        <w:rPr>
          <w:bCs/>
        </w:rPr>
        <w:t xml:space="preserve"> </w:t>
      </w:r>
    </w:p>
    <w:p w14:paraId="22EC5AC7" w14:textId="77777777" w:rsidR="00491283" w:rsidRDefault="00491283" w:rsidP="00491283">
      <w:pPr>
        <w:pStyle w:val="PargrafodaLista"/>
        <w:rPr>
          <w:bCs/>
        </w:rPr>
      </w:pPr>
    </w:p>
    <w:p w14:paraId="60634255" w14:textId="27F5472C" w:rsidR="00355EB2" w:rsidRDefault="00B132FB" w:rsidP="00211AFC">
      <w:pPr>
        <w:pStyle w:val="PargrafodaLista"/>
        <w:numPr>
          <w:ilvl w:val="0"/>
          <w:numId w:val="4"/>
        </w:numPr>
        <w:overflowPunct w:val="0"/>
        <w:autoSpaceDE w:val="0"/>
        <w:autoSpaceDN w:val="0"/>
        <w:adjustRightInd w:val="0"/>
        <w:spacing w:after="0" w:line="360" w:lineRule="exact"/>
        <w:jc w:val="both"/>
        <w:textAlignment w:val="baseline"/>
        <w:rPr>
          <w:rFonts w:cs="Arial"/>
        </w:rPr>
      </w:pPr>
      <w:r w:rsidRPr="004A15D2">
        <w:rPr>
          <w:rFonts w:cs="Arial"/>
        </w:rPr>
        <w:t xml:space="preserve">anuir previamente </w:t>
      </w:r>
      <w:r w:rsidR="00E6493F">
        <w:rPr>
          <w:rFonts w:cs="Arial"/>
        </w:rPr>
        <w:t xml:space="preserve">com </w:t>
      </w:r>
      <w:r w:rsidRPr="004A15D2">
        <w:rPr>
          <w:rFonts w:cs="Arial"/>
        </w:rPr>
        <w:t xml:space="preserve">a prestação de garantia fidejussória, na forma </w:t>
      </w:r>
      <w:r w:rsidR="003B4D58">
        <w:rPr>
          <w:rFonts w:cs="Arial"/>
        </w:rPr>
        <w:t xml:space="preserve">de </w:t>
      </w:r>
      <w:r w:rsidRPr="004A15D2">
        <w:rPr>
          <w:rFonts w:cs="Arial"/>
        </w:rPr>
        <w:t>fiança</w:t>
      </w:r>
      <w:r w:rsidR="00B934A1">
        <w:rPr>
          <w:rFonts w:cs="Arial"/>
        </w:rPr>
        <w:t xml:space="preserve"> corporativa</w:t>
      </w:r>
      <w:r w:rsidRPr="004A15D2">
        <w:rPr>
          <w:rFonts w:cs="Arial"/>
        </w:rPr>
        <w:t xml:space="preserve">, por parte da Emissora, no âmbito da </w:t>
      </w:r>
      <w:r w:rsidR="00E6493F" w:rsidRPr="004A15D2">
        <w:rPr>
          <w:rFonts w:cs="Arial"/>
        </w:rPr>
        <w:t>1ª EMISSÃO DE DEBÊNTURES SIMPLES, NÃO CONVERSÍVEIS EM AÇÕES, DA ESPÉCIE COM GARANTIA REAL</w:t>
      </w:r>
      <w:r w:rsidR="00211AFC" w:rsidRPr="00211AFC">
        <w:rPr>
          <w:rFonts w:cs="Arial"/>
        </w:rPr>
        <w:t>, A SER CONVOLADA EM ESPÉCIE QUIROGRAFÁRIA,</w:t>
      </w:r>
      <w:r w:rsidR="00E6493F" w:rsidRPr="004A15D2">
        <w:rPr>
          <w:rFonts w:cs="Arial"/>
        </w:rPr>
        <w:t xml:space="preserve"> COM GARANTIA FIDEJUSSÓRIA ADICIONAL, EM SÉRIE ÚNICA, PARA DISTRIBUIÇÃO PÚBLICA COM ESFORÇOS RESTRITOS DE DISTRIBUIÇÃO, DA EDP TRANSMISSÃO ALIANÇA SC S.A.</w:t>
      </w:r>
      <w:r w:rsidR="00A520F9" w:rsidRPr="004A15D2">
        <w:rPr>
          <w:rFonts w:cs="Arial"/>
        </w:rPr>
        <w:t xml:space="preserve"> (</w:t>
      </w:r>
      <w:r w:rsidR="004A15D2" w:rsidRPr="004A15D2">
        <w:rPr>
          <w:rFonts w:cs="Arial"/>
        </w:rPr>
        <w:t>“</w:t>
      </w:r>
      <w:r w:rsidR="004A15D2" w:rsidRPr="001005B3">
        <w:rPr>
          <w:rFonts w:cs="Arial"/>
          <w:u w:val="single"/>
        </w:rPr>
        <w:t>Emissão Consórcio Aliança</w:t>
      </w:r>
      <w:r w:rsidR="004A15D2" w:rsidRPr="004A15D2">
        <w:rPr>
          <w:rFonts w:cs="Arial"/>
        </w:rPr>
        <w:t xml:space="preserve">” e </w:t>
      </w:r>
      <w:r w:rsidR="00A520F9" w:rsidRPr="004A15D2">
        <w:rPr>
          <w:rFonts w:cs="Arial"/>
        </w:rPr>
        <w:t>“</w:t>
      </w:r>
      <w:r w:rsidR="00A520F9" w:rsidRPr="001005B3">
        <w:rPr>
          <w:rFonts w:cs="Arial"/>
          <w:u w:val="single"/>
        </w:rPr>
        <w:t>Controlada</w:t>
      </w:r>
      <w:r w:rsidR="00A520F9" w:rsidRPr="004A15D2">
        <w:rPr>
          <w:rFonts w:cs="Arial"/>
        </w:rPr>
        <w:t>”</w:t>
      </w:r>
      <w:r w:rsidR="004A15D2" w:rsidRPr="004A15D2">
        <w:rPr>
          <w:rFonts w:cs="Arial"/>
        </w:rPr>
        <w:t>, respectivamente</w:t>
      </w:r>
      <w:r w:rsidR="00A520F9" w:rsidRPr="004A15D2">
        <w:rPr>
          <w:rFonts w:cs="Arial"/>
        </w:rPr>
        <w:t>), em valor equivalente a</w:t>
      </w:r>
      <w:r w:rsidR="00455179">
        <w:rPr>
          <w:rFonts w:cs="Arial"/>
        </w:rPr>
        <w:t xml:space="preserve"> até</w:t>
      </w:r>
      <w:r w:rsidR="00A520F9" w:rsidRPr="004A15D2">
        <w:rPr>
          <w:rFonts w:cs="Arial"/>
        </w:rPr>
        <w:t xml:space="preserve"> </w:t>
      </w:r>
      <w:r w:rsidR="004A15D2" w:rsidRPr="004A15D2">
        <w:rPr>
          <w:rFonts w:cs="Arial"/>
        </w:rPr>
        <w:t>10% (dez por cento) do volume total da Emiss</w:t>
      </w:r>
      <w:r w:rsidR="004A15D2">
        <w:rPr>
          <w:rFonts w:cs="Arial"/>
        </w:rPr>
        <w:t>ão Consórcio Aliança,</w:t>
      </w:r>
      <w:r w:rsidR="004A15D2" w:rsidRPr="004A15D2">
        <w:rPr>
          <w:rFonts w:cs="Arial"/>
        </w:rPr>
        <w:t xml:space="preserve"> </w:t>
      </w:r>
      <w:r w:rsidR="00455179">
        <w:rPr>
          <w:rFonts w:cs="Arial"/>
        </w:rPr>
        <w:t xml:space="preserve">percentual este </w:t>
      </w:r>
      <w:r w:rsidR="004A15D2" w:rsidRPr="00FD67F2">
        <w:rPr>
          <w:rFonts w:cs="Arial"/>
        </w:rPr>
        <w:t>corresponde</w:t>
      </w:r>
      <w:r w:rsidR="00682916">
        <w:rPr>
          <w:rFonts w:cs="Arial"/>
        </w:rPr>
        <w:t>nte</w:t>
      </w:r>
      <w:r w:rsidR="00455179">
        <w:rPr>
          <w:rFonts w:cs="Arial"/>
        </w:rPr>
        <w:t xml:space="preserve"> a </w:t>
      </w:r>
      <w:r w:rsidR="00682916">
        <w:rPr>
          <w:rFonts w:cs="Arial"/>
        </w:rPr>
        <w:t xml:space="preserve">sua </w:t>
      </w:r>
      <w:r w:rsidR="004A15D2" w:rsidRPr="00FD67F2">
        <w:rPr>
          <w:rFonts w:cs="Arial"/>
        </w:rPr>
        <w:t>participação na Controlada</w:t>
      </w:r>
      <w:r w:rsidR="004A15D2">
        <w:rPr>
          <w:rFonts w:cs="Arial"/>
        </w:rPr>
        <w:t xml:space="preserve">, limitado a </w:t>
      </w:r>
      <w:r w:rsidR="00A520F9" w:rsidRPr="004A15D2">
        <w:rPr>
          <w:rFonts w:cs="Arial"/>
        </w:rPr>
        <w:t>R$120.000.000,00 (cento e vinte milhões de reais)</w:t>
      </w:r>
      <w:r w:rsidR="00851CAE">
        <w:rPr>
          <w:rFonts w:cs="Arial"/>
        </w:rPr>
        <w:t>;</w:t>
      </w:r>
    </w:p>
    <w:p w14:paraId="5AF4A001" w14:textId="77777777" w:rsidR="00851CAE" w:rsidRDefault="00851CAE" w:rsidP="001005B3">
      <w:pPr>
        <w:pStyle w:val="PargrafodaLista"/>
        <w:overflowPunct w:val="0"/>
        <w:autoSpaceDE w:val="0"/>
        <w:autoSpaceDN w:val="0"/>
        <w:adjustRightInd w:val="0"/>
        <w:spacing w:after="0" w:line="360" w:lineRule="exact"/>
        <w:ind w:left="714"/>
        <w:jc w:val="both"/>
        <w:textAlignment w:val="baseline"/>
        <w:rPr>
          <w:rFonts w:cs="Arial"/>
        </w:rPr>
      </w:pPr>
    </w:p>
    <w:p w14:paraId="75AB1A21" w14:textId="77777777" w:rsidR="00543E71" w:rsidRDefault="00851CAE" w:rsidP="001005B3">
      <w:pPr>
        <w:pStyle w:val="PargrafodaLista"/>
        <w:numPr>
          <w:ilvl w:val="0"/>
          <w:numId w:val="4"/>
        </w:numPr>
        <w:overflowPunct w:val="0"/>
        <w:autoSpaceDE w:val="0"/>
        <w:autoSpaceDN w:val="0"/>
        <w:adjustRightInd w:val="0"/>
        <w:spacing w:after="0" w:line="360" w:lineRule="exact"/>
        <w:ind w:left="714" w:hanging="357"/>
        <w:jc w:val="both"/>
        <w:textAlignment w:val="baseline"/>
        <w:rPr>
          <w:rFonts w:cs="Arial"/>
        </w:rPr>
      </w:pPr>
      <w:r>
        <w:rPr>
          <w:rFonts w:cs="Arial"/>
        </w:rPr>
        <w:t xml:space="preserve">em decorrência da </w:t>
      </w:r>
      <w:r w:rsidR="00671197">
        <w:rPr>
          <w:rFonts w:cs="Arial"/>
        </w:rPr>
        <w:t xml:space="preserve">anuência </w:t>
      </w:r>
      <w:r w:rsidR="00FE1EB8">
        <w:rPr>
          <w:rFonts w:cs="Arial"/>
        </w:rPr>
        <w:t>prévia aprovada</w:t>
      </w:r>
      <w:r w:rsidR="00671197">
        <w:rPr>
          <w:rFonts w:cs="Arial"/>
        </w:rPr>
        <w:t xml:space="preserve"> n</w:t>
      </w:r>
      <w:r>
        <w:rPr>
          <w:rFonts w:cs="Arial"/>
        </w:rPr>
        <w:t>o item (i) acima,</w:t>
      </w:r>
      <w:r w:rsidR="00C235DB">
        <w:rPr>
          <w:rFonts w:cs="Arial"/>
        </w:rPr>
        <w:t xml:space="preserve"> </w:t>
      </w:r>
      <w:r w:rsidR="00543E71">
        <w:rPr>
          <w:rFonts w:cs="Arial"/>
        </w:rPr>
        <w:t>inseri</w:t>
      </w:r>
      <w:r w:rsidR="00D66379">
        <w:rPr>
          <w:rFonts w:cs="Arial"/>
        </w:rPr>
        <w:t xml:space="preserve">r </w:t>
      </w:r>
      <w:r w:rsidR="00543E71">
        <w:rPr>
          <w:rFonts w:cs="Arial"/>
        </w:rPr>
        <w:t>na Escritura de Emissão obrigação adicional à Emissora, de modo que a Cláusula 9.1</w:t>
      </w:r>
      <w:r w:rsidR="00A32AAD">
        <w:rPr>
          <w:rFonts w:cs="Arial"/>
        </w:rPr>
        <w:t>,</w:t>
      </w:r>
      <w:r w:rsidR="00A32AAD" w:rsidRPr="00A32AAD">
        <w:rPr>
          <w:rFonts w:cs="Arial"/>
        </w:rPr>
        <w:t xml:space="preserve"> </w:t>
      </w:r>
      <w:r w:rsidR="00A32AAD">
        <w:rPr>
          <w:rFonts w:cs="Arial"/>
        </w:rPr>
        <w:t>inciso “i”,</w:t>
      </w:r>
      <w:r w:rsidR="00543E71">
        <w:rPr>
          <w:rFonts w:cs="Arial"/>
        </w:rPr>
        <w:t xml:space="preserve"> passe a vigorar com </w:t>
      </w:r>
      <w:r w:rsidR="00DE0EB2">
        <w:rPr>
          <w:rFonts w:cs="Arial"/>
        </w:rPr>
        <w:t xml:space="preserve">o acréscimo </w:t>
      </w:r>
      <w:r w:rsidR="00543E71">
        <w:rPr>
          <w:rFonts w:cs="Arial"/>
        </w:rPr>
        <w:t>d</w:t>
      </w:r>
      <w:r w:rsidR="00DE0EB2">
        <w:rPr>
          <w:rFonts w:cs="Arial"/>
        </w:rPr>
        <w:t>a alínea (n) a seguir</w:t>
      </w:r>
      <w:r w:rsidR="00543E71">
        <w:rPr>
          <w:rFonts w:cs="Arial"/>
        </w:rPr>
        <w:t>:</w:t>
      </w:r>
    </w:p>
    <w:p w14:paraId="4016670A" w14:textId="77777777" w:rsidR="00543E71" w:rsidRDefault="00543E71" w:rsidP="001005B3">
      <w:pPr>
        <w:ind w:left="714"/>
        <w:rPr>
          <w:rFonts w:cs="Arial"/>
        </w:rPr>
      </w:pPr>
    </w:p>
    <w:p w14:paraId="367BB8A2" w14:textId="77777777" w:rsidR="003F3CC3" w:rsidRDefault="003F3CC3" w:rsidP="001005B3">
      <w:pPr>
        <w:spacing w:after="0" w:line="360" w:lineRule="exact"/>
        <w:ind w:left="708"/>
        <w:rPr>
          <w:rFonts w:cs="Arial"/>
          <w:i/>
        </w:rPr>
      </w:pPr>
      <w:r w:rsidRPr="001005B3">
        <w:rPr>
          <w:rFonts w:cs="Arial"/>
          <w:i/>
        </w:rPr>
        <w:t>“i.</w:t>
      </w:r>
      <w:r w:rsidRPr="001005B3">
        <w:rPr>
          <w:rFonts w:cs="Arial"/>
          <w:i/>
        </w:rPr>
        <w:tab/>
        <w:t>.................................................................................................................:</w:t>
      </w:r>
    </w:p>
    <w:p w14:paraId="4366FC10" w14:textId="77777777" w:rsidR="00183B55" w:rsidRPr="001005B3" w:rsidRDefault="00183B55" w:rsidP="001005B3">
      <w:pPr>
        <w:spacing w:after="0" w:line="360" w:lineRule="exact"/>
        <w:ind w:left="708"/>
        <w:rPr>
          <w:rFonts w:cs="Arial"/>
          <w:i/>
        </w:rPr>
      </w:pPr>
    </w:p>
    <w:p w14:paraId="7DFCD261" w14:textId="0BB18318" w:rsidR="006239C3" w:rsidRDefault="006239C3" w:rsidP="001005B3">
      <w:pPr>
        <w:spacing w:after="0" w:line="360" w:lineRule="exact"/>
        <w:ind w:left="1417" w:hanging="709"/>
        <w:jc w:val="both"/>
        <w:rPr>
          <w:rFonts w:cs="Arial"/>
          <w:i/>
        </w:rPr>
      </w:pPr>
      <w:r w:rsidRPr="006239C3">
        <w:rPr>
          <w:rFonts w:cs="Arial"/>
          <w:i/>
        </w:rPr>
        <w:t>(n)        dentro de, no máximo,</w:t>
      </w:r>
      <w:r w:rsidR="0025597E">
        <w:rPr>
          <w:rFonts w:cs="Arial"/>
          <w:i/>
        </w:rPr>
        <w:t xml:space="preserve"> </w:t>
      </w:r>
      <w:r w:rsidR="0025597E" w:rsidRPr="00F17A65">
        <w:rPr>
          <w:rFonts w:cs="Arial"/>
          <w:b/>
          <w:i/>
        </w:rPr>
        <w:t>120 (cento e vinte)</w:t>
      </w:r>
      <w:r w:rsidRPr="00F17A65">
        <w:rPr>
          <w:rFonts w:cs="Arial"/>
          <w:b/>
          <w:i/>
        </w:rPr>
        <w:t xml:space="preserve"> </w:t>
      </w:r>
      <w:r w:rsidRPr="006239C3">
        <w:rPr>
          <w:rFonts w:cs="Arial"/>
          <w:i/>
        </w:rPr>
        <w:t xml:space="preserve">dias após o término de cada exercício social, ou na data de sua divulgação, o que ocorrer primeiro, (i) cópia das demonstrações financeiras consolidadas de qualquer empresa controlada da Emissora, incluindo a EDP Transmissão Aliança SC S.A., para a qual a Emissora tenha prestado e/ou constituído garantia fidejussória e/ou garantia corporativa durante o prazo de vigência das Debêntures, relativas ao exercício social então encerrado, preparadas de acordo com os princípios contábeis geralmente aceitos no Brasil, acompanhadas do relatório da administração e do parecer dos auditores independentes, e (ii) cópia do relatório de rating, se houver, da(s) dívida(s) da(s) respectiva(s) controlada(s) para a(s) qual(is) a Emissora tenha </w:t>
      </w:r>
      <w:r w:rsidRPr="006239C3">
        <w:rPr>
          <w:rFonts w:cs="Arial"/>
          <w:i/>
        </w:rPr>
        <w:lastRenderedPageBreak/>
        <w:t>prestado e/ou constituído garantia fidejussória e/ou garantia corporativa durante o prazo de vigência das Debêntures, emitido por agência de classificação de risco durante o exercício social então encerrado.</w:t>
      </w:r>
    </w:p>
    <w:p w14:paraId="751BAF60" w14:textId="77777777" w:rsidR="00E029E6" w:rsidRDefault="00E029E6" w:rsidP="001005B3">
      <w:pPr>
        <w:spacing w:after="0" w:line="360" w:lineRule="exact"/>
        <w:ind w:left="1417" w:hanging="709"/>
        <w:jc w:val="both"/>
        <w:rPr>
          <w:rFonts w:cs="Arial"/>
          <w:i/>
        </w:rPr>
      </w:pPr>
    </w:p>
    <w:p w14:paraId="39A57744" w14:textId="77777777" w:rsidR="00083A67" w:rsidRDefault="00083A67" w:rsidP="00D442B7">
      <w:pPr>
        <w:spacing w:after="0" w:line="360" w:lineRule="atLeast"/>
        <w:jc w:val="both"/>
        <w:rPr>
          <w:rFonts w:cs="Arial"/>
          <w:i/>
        </w:rPr>
      </w:pPr>
    </w:p>
    <w:p w14:paraId="6436CA69" w14:textId="0096ADFF" w:rsidR="003B4D58" w:rsidRDefault="003B4D58" w:rsidP="003B4D58">
      <w:pPr>
        <w:pStyle w:val="PargrafodaLista"/>
        <w:numPr>
          <w:ilvl w:val="0"/>
          <w:numId w:val="4"/>
        </w:numPr>
        <w:overflowPunct w:val="0"/>
        <w:autoSpaceDE w:val="0"/>
        <w:autoSpaceDN w:val="0"/>
        <w:adjustRightInd w:val="0"/>
        <w:spacing w:after="0" w:line="360" w:lineRule="exact"/>
        <w:jc w:val="both"/>
        <w:textAlignment w:val="baseline"/>
        <w:rPr>
          <w:rFonts w:cs="Arial"/>
        </w:rPr>
      </w:pPr>
      <w:r>
        <w:rPr>
          <w:rFonts w:cs="Arial"/>
        </w:rPr>
        <w:t xml:space="preserve">Como condicionante à prévia anuência para aprovação da prestação da garantia pela </w:t>
      </w:r>
      <w:r w:rsidR="0025597E">
        <w:rPr>
          <w:rFonts w:cs="Arial"/>
        </w:rPr>
        <w:t>E</w:t>
      </w:r>
      <w:r>
        <w:rPr>
          <w:rFonts w:cs="Arial"/>
        </w:rPr>
        <w:t>missora f</w:t>
      </w:r>
      <w:r w:rsidRPr="00083A67">
        <w:rPr>
          <w:rFonts w:cs="Arial"/>
        </w:rPr>
        <w:t>ica</w:t>
      </w:r>
      <w:r>
        <w:rPr>
          <w:rFonts w:cs="Arial"/>
        </w:rPr>
        <w:t>, desde já,</w:t>
      </w:r>
      <w:r w:rsidRPr="00083A67">
        <w:rPr>
          <w:rFonts w:cs="Arial"/>
        </w:rPr>
        <w:t xml:space="preserve"> </w:t>
      </w:r>
      <w:r>
        <w:rPr>
          <w:rFonts w:cs="Arial"/>
        </w:rPr>
        <w:t xml:space="preserve">certo e </w:t>
      </w:r>
      <w:r w:rsidRPr="00083A67">
        <w:rPr>
          <w:rFonts w:cs="Arial"/>
        </w:rPr>
        <w:t>acordado</w:t>
      </w:r>
      <w:r>
        <w:rPr>
          <w:rFonts w:cs="Arial"/>
        </w:rPr>
        <w:t xml:space="preserve"> o pagamento de</w:t>
      </w:r>
      <w:r w:rsidR="00E8627D">
        <w:rPr>
          <w:rFonts w:cs="Arial"/>
          <w:i/>
        </w:rPr>
        <w:t xml:space="preserve"> </w:t>
      </w:r>
      <w:r w:rsidRPr="0025597E">
        <w:rPr>
          <w:rFonts w:cs="Arial"/>
          <w:i/>
        </w:rPr>
        <w:t>fee</w:t>
      </w:r>
      <w:r>
        <w:rPr>
          <w:rFonts w:cs="Arial"/>
        </w:rPr>
        <w:t xml:space="preserve">, </w:t>
      </w:r>
      <w:r w:rsidRPr="00083A67">
        <w:rPr>
          <w:rFonts w:cs="Arial"/>
        </w:rPr>
        <w:t>pela Emissora a cada um dos Debenturistas</w:t>
      </w:r>
      <w:r>
        <w:rPr>
          <w:rFonts w:cs="Arial"/>
        </w:rPr>
        <w:t xml:space="preserve">, </w:t>
      </w:r>
      <w:r w:rsidRPr="00083A67">
        <w:rPr>
          <w:rFonts w:cs="Arial"/>
        </w:rPr>
        <w:t xml:space="preserve">no valor de </w:t>
      </w:r>
      <w:r w:rsidRPr="0025597E">
        <w:rPr>
          <w:rFonts w:cs="Arial"/>
        </w:rPr>
        <w:t>R$ 225.000,00 (duzentos e vinte cinco mil reais)</w:t>
      </w:r>
      <w:r>
        <w:rPr>
          <w:rFonts w:cs="Arial"/>
        </w:rPr>
        <w:t xml:space="preserve"> (“Prêmio Extraordinário</w:t>
      </w:r>
      <w:r w:rsidRPr="00083A67">
        <w:rPr>
          <w:rFonts w:cs="Arial"/>
        </w:rPr>
        <w:t>”</w:t>
      </w:r>
      <w:r>
        <w:rPr>
          <w:rFonts w:cs="Arial"/>
        </w:rPr>
        <w:t>)</w:t>
      </w:r>
      <w:r w:rsidR="00F62261">
        <w:rPr>
          <w:rFonts w:cs="Arial"/>
        </w:rPr>
        <w:t>, perfazendo um valor total de prêmio de R$ 450.000,00 (quatrocentos e cinquenta mil reais)</w:t>
      </w:r>
      <w:r w:rsidR="0025597E">
        <w:rPr>
          <w:rFonts w:cs="Arial"/>
        </w:rPr>
        <w:t xml:space="preserve">, </w:t>
      </w:r>
      <w:r w:rsidR="00954301">
        <w:rPr>
          <w:rFonts w:cs="Arial"/>
          <w:i/>
          <w:u w:val="single"/>
        </w:rPr>
        <w:t>a ocorrer em até 5 (cinco)</w:t>
      </w:r>
      <w:r w:rsidR="0025597E" w:rsidRPr="00954301">
        <w:rPr>
          <w:rFonts w:cs="Arial"/>
          <w:i/>
          <w:u w:val="single"/>
        </w:rPr>
        <w:t xml:space="preserve"> dias úteis da data de realização da presente Assembleia</w:t>
      </w:r>
      <w:r w:rsidRPr="00954301">
        <w:rPr>
          <w:rFonts w:cs="Arial"/>
        </w:rPr>
        <w:t>,</w:t>
      </w:r>
      <w:r>
        <w:rPr>
          <w:rFonts w:cs="Arial"/>
        </w:rPr>
        <w:t xml:space="preserve"> utilizando-se, para realização do referido pagamento, os procedimentos adotados pela B3 S.A. – Brasil, Bolsa, Balcão – Segmento Cetip UTVM (“B3”), a qual deverá ser comunicada com, no mínimo, 03 (três) dias úteis de antecedência da data de pagamento do prêmio extraordinário.</w:t>
      </w:r>
    </w:p>
    <w:p w14:paraId="33E6847D" w14:textId="77777777" w:rsidR="00B55496" w:rsidRDefault="00B55496" w:rsidP="00D442B7">
      <w:pPr>
        <w:pStyle w:val="PargrafodaLista"/>
        <w:overflowPunct w:val="0"/>
        <w:autoSpaceDE w:val="0"/>
        <w:autoSpaceDN w:val="0"/>
        <w:adjustRightInd w:val="0"/>
        <w:spacing w:after="0" w:line="360" w:lineRule="exact"/>
        <w:ind w:left="1080"/>
        <w:jc w:val="both"/>
        <w:textAlignment w:val="baseline"/>
        <w:rPr>
          <w:rFonts w:cs="Arial"/>
        </w:rPr>
      </w:pPr>
    </w:p>
    <w:p w14:paraId="73C7782E" w14:textId="55086BEA" w:rsidR="00851CAE" w:rsidRPr="00E20A1D" w:rsidRDefault="00376904" w:rsidP="001005B3">
      <w:pPr>
        <w:pStyle w:val="PargrafodaLista"/>
        <w:numPr>
          <w:ilvl w:val="0"/>
          <w:numId w:val="4"/>
        </w:numPr>
        <w:overflowPunct w:val="0"/>
        <w:autoSpaceDE w:val="0"/>
        <w:autoSpaceDN w:val="0"/>
        <w:adjustRightInd w:val="0"/>
        <w:spacing w:after="0" w:line="360" w:lineRule="exact"/>
        <w:ind w:left="714" w:hanging="357"/>
        <w:jc w:val="both"/>
        <w:textAlignment w:val="baseline"/>
        <w:rPr>
          <w:rFonts w:cs="Arial"/>
        </w:rPr>
      </w:pPr>
      <w:r w:rsidRPr="00F45059">
        <w:t>A autorização para o Agente Fiduciário</w:t>
      </w:r>
      <w:r>
        <w:t>, em conjunto à Companhia,</w:t>
      </w:r>
      <w:r w:rsidRPr="00F45059">
        <w:t xml:space="preserve"> praticar todas as providências </w:t>
      </w:r>
      <w:r>
        <w:t xml:space="preserve">estritamente </w:t>
      </w:r>
      <w:r w:rsidRPr="00F45059">
        <w:t xml:space="preserve">necessárias para o cumprimento integral das deliberações tomadas acima, incluindo, mas não se limitando, a celebração do </w:t>
      </w:r>
      <w:r>
        <w:t xml:space="preserve">Primeiro </w:t>
      </w:r>
      <w:r w:rsidR="00E8627D" w:rsidRPr="00F45059">
        <w:t>Aditamento</w:t>
      </w:r>
      <w:r w:rsidR="00E8627D">
        <w:rPr>
          <w:rFonts w:cs="Arial"/>
        </w:rPr>
        <w:t>.</w:t>
      </w:r>
      <w:r w:rsidR="002E13A9">
        <w:rPr>
          <w:rFonts w:cs="Arial"/>
        </w:rPr>
        <w:t xml:space="preserve"> Referido aditamento deverá ser celebrado em prazo não superior a</w:t>
      </w:r>
      <w:r w:rsidR="00C651B7">
        <w:rPr>
          <w:rFonts w:cs="Arial"/>
        </w:rPr>
        <w:t xml:space="preserve"> </w:t>
      </w:r>
      <w:r w:rsidR="00CE08C3">
        <w:rPr>
          <w:rFonts w:cs="Arial"/>
        </w:rPr>
        <w:t>60</w:t>
      </w:r>
      <w:r w:rsidR="00305D43">
        <w:rPr>
          <w:rFonts w:cs="Arial"/>
        </w:rPr>
        <w:t xml:space="preserve"> (</w:t>
      </w:r>
      <w:r w:rsidR="009225A3">
        <w:rPr>
          <w:rFonts w:cs="Arial"/>
        </w:rPr>
        <w:t xml:space="preserve">sessenta </w:t>
      </w:r>
      <w:r w:rsidR="00F17A65">
        <w:rPr>
          <w:rFonts w:cs="Arial"/>
        </w:rPr>
        <w:t>dias) Dias</w:t>
      </w:r>
      <w:r w:rsidR="00C651B7">
        <w:rPr>
          <w:rFonts w:cs="Arial"/>
        </w:rPr>
        <w:t xml:space="preserve"> Úteis, contados da </w:t>
      </w:r>
      <w:r w:rsidR="00AA3943">
        <w:rPr>
          <w:rFonts w:cs="Arial"/>
        </w:rPr>
        <w:t>data de encerramento da presente assembleia.</w:t>
      </w:r>
      <w:r w:rsidR="00FD53C5">
        <w:rPr>
          <w:rFonts w:cs="Arial"/>
        </w:rPr>
        <w:t xml:space="preserve"> </w:t>
      </w:r>
    </w:p>
    <w:p w14:paraId="465A69CE" w14:textId="77777777" w:rsidR="00355EB2" w:rsidRDefault="00355EB2" w:rsidP="00A567F7">
      <w:pPr>
        <w:overflowPunct w:val="0"/>
        <w:autoSpaceDE w:val="0"/>
        <w:autoSpaceDN w:val="0"/>
        <w:adjustRightInd w:val="0"/>
        <w:spacing w:after="0" w:line="360" w:lineRule="exact"/>
        <w:ind w:right="57"/>
        <w:jc w:val="both"/>
        <w:textAlignment w:val="baseline"/>
        <w:rPr>
          <w:rFonts w:cs="Arial"/>
        </w:rPr>
      </w:pPr>
    </w:p>
    <w:p w14:paraId="1599EFA9" w14:textId="6BDB353B" w:rsidR="00A567F7" w:rsidRPr="00F94C26" w:rsidRDefault="00A567F7" w:rsidP="00A567F7">
      <w:pPr>
        <w:overflowPunct w:val="0"/>
        <w:autoSpaceDE w:val="0"/>
        <w:autoSpaceDN w:val="0"/>
        <w:adjustRightInd w:val="0"/>
        <w:spacing w:after="0" w:line="360" w:lineRule="exact"/>
        <w:ind w:right="57"/>
        <w:jc w:val="both"/>
        <w:textAlignment w:val="baseline"/>
        <w:rPr>
          <w:rFonts w:cs="Arial"/>
        </w:rPr>
      </w:pPr>
      <w:r w:rsidRPr="00F94C26">
        <w:rPr>
          <w:rFonts w:cs="Arial"/>
        </w:rPr>
        <w:t xml:space="preserve">As Deliberações acima </w:t>
      </w:r>
      <w:r w:rsidR="009418BC">
        <w:rPr>
          <w:rFonts w:cs="Arial"/>
        </w:rPr>
        <w:t xml:space="preserve">devem ser interpretadas restritivamente como liberalidade dos Debenturistas e, portanto, </w:t>
      </w:r>
      <w:r w:rsidRPr="00F94C26">
        <w:rPr>
          <w:rFonts w:cs="Arial"/>
        </w:rPr>
        <w:t xml:space="preserve">não </w:t>
      </w:r>
      <w:r w:rsidR="005804E8">
        <w:rPr>
          <w:rFonts w:cs="Arial"/>
        </w:rPr>
        <w:t>devem ser</w:t>
      </w:r>
      <w:r w:rsidR="005804E8" w:rsidRPr="00F94C26">
        <w:rPr>
          <w:rFonts w:cs="Arial"/>
        </w:rPr>
        <w:t xml:space="preserve"> </w:t>
      </w:r>
      <w:r w:rsidRPr="00F94C26">
        <w:rPr>
          <w:rFonts w:cs="Arial"/>
        </w:rPr>
        <w:t>interpretadas como</w:t>
      </w:r>
      <w:r w:rsidR="009418BC">
        <w:rPr>
          <w:rFonts w:cs="Arial"/>
        </w:rPr>
        <w:t xml:space="preserve"> novação, precedente ou</w:t>
      </w:r>
      <w:r w:rsidRPr="00F94C26">
        <w:rPr>
          <w:rFonts w:cs="Arial"/>
        </w:rPr>
        <w:t xml:space="preserve"> renúncia de qualquer direito dos Debenturistas e/ou deveres da </w:t>
      </w:r>
      <w:r>
        <w:rPr>
          <w:rFonts w:cs="Arial"/>
        </w:rPr>
        <w:t>Companhia</w:t>
      </w:r>
      <w:r w:rsidRPr="00F94C26">
        <w:rPr>
          <w:rFonts w:cs="Arial"/>
        </w:rPr>
        <w:t xml:space="preserve">, decorrentes de lei e/ou </w:t>
      </w:r>
      <w:r w:rsidR="009418BC">
        <w:rPr>
          <w:rFonts w:cs="Arial"/>
        </w:rPr>
        <w:t>previstos na</w:t>
      </w:r>
      <w:r w:rsidR="009418BC" w:rsidRPr="00F94C26">
        <w:rPr>
          <w:rFonts w:cs="Arial"/>
        </w:rPr>
        <w:t xml:space="preserve"> </w:t>
      </w:r>
      <w:r w:rsidRPr="00F94C26">
        <w:rPr>
          <w:rFonts w:cs="Arial"/>
        </w:rPr>
        <w:t>Escritura</w:t>
      </w:r>
      <w:r w:rsidR="009418BC">
        <w:rPr>
          <w:rFonts w:cs="Arial"/>
        </w:rPr>
        <w:t xml:space="preserve"> de Emissão</w:t>
      </w:r>
      <w:r w:rsidRPr="00F94C26">
        <w:rPr>
          <w:rFonts w:cs="Arial"/>
        </w:rPr>
        <w:t>.</w:t>
      </w:r>
    </w:p>
    <w:p w14:paraId="4D8BE87B" w14:textId="77777777" w:rsidR="00491283" w:rsidRDefault="00491283" w:rsidP="00491283">
      <w:pPr>
        <w:spacing w:after="0" w:line="300" w:lineRule="exact"/>
        <w:jc w:val="both"/>
        <w:rPr>
          <w:bCs/>
        </w:rPr>
      </w:pPr>
    </w:p>
    <w:p w14:paraId="46D75427" w14:textId="77777777" w:rsidR="00F17A65" w:rsidRDefault="00A567F7" w:rsidP="00F17A65">
      <w:pPr>
        <w:spacing w:after="0" w:line="360" w:lineRule="exact"/>
        <w:jc w:val="both"/>
        <w:rPr>
          <w:rFonts w:cs="Arial"/>
        </w:rPr>
      </w:pPr>
      <w:r w:rsidRPr="00F94C26">
        <w:rPr>
          <w:rFonts w:cs="Arial"/>
        </w:rPr>
        <w:t xml:space="preserve">Todos os termos não definidos </w:t>
      </w:r>
      <w:r w:rsidR="00F36014">
        <w:rPr>
          <w:rFonts w:cs="Arial"/>
        </w:rPr>
        <w:t>na</w:t>
      </w:r>
      <w:r w:rsidR="00F36014" w:rsidRPr="00F94C26">
        <w:rPr>
          <w:rFonts w:cs="Arial"/>
        </w:rPr>
        <w:t xml:space="preserve"> </w:t>
      </w:r>
      <w:r w:rsidRPr="00F94C26">
        <w:rPr>
          <w:rFonts w:cs="Arial"/>
        </w:rPr>
        <w:t>ata desta assembleia devem ser interpretados conforme suas definições atribuídas na Escritura</w:t>
      </w:r>
      <w:r w:rsidR="009418BC">
        <w:rPr>
          <w:rFonts w:cs="Arial"/>
        </w:rPr>
        <w:t xml:space="preserve"> de Emissão</w:t>
      </w:r>
      <w:r w:rsidRPr="00F94C26">
        <w:rPr>
          <w:rFonts w:cs="Arial"/>
        </w:rPr>
        <w:t>.</w:t>
      </w:r>
    </w:p>
    <w:p w14:paraId="78BDDA66" w14:textId="77777777" w:rsidR="00F17A65" w:rsidRDefault="00F17A65" w:rsidP="00F17A65">
      <w:pPr>
        <w:spacing w:after="0" w:line="360" w:lineRule="exact"/>
        <w:jc w:val="both"/>
        <w:rPr>
          <w:rFonts w:cs="Arial"/>
        </w:rPr>
      </w:pPr>
    </w:p>
    <w:p w14:paraId="267077D0" w14:textId="77777777" w:rsidR="00F17A65" w:rsidRDefault="00F17A65" w:rsidP="00F17A65">
      <w:pPr>
        <w:spacing w:after="0" w:line="360" w:lineRule="exact"/>
        <w:jc w:val="both"/>
        <w:rPr>
          <w:rFonts w:cs="Arial"/>
        </w:rPr>
      </w:pPr>
    </w:p>
    <w:p w14:paraId="43B12AAC" w14:textId="77777777" w:rsidR="00F17A65" w:rsidRDefault="00F17A65" w:rsidP="00F17A65">
      <w:pPr>
        <w:spacing w:after="0" w:line="360" w:lineRule="exact"/>
        <w:jc w:val="both"/>
        <w:rPr>
          <w:rFonts w:cs="Arial"/>
        </w:rPr>
      </w:pPr>
    </w:p>
    <w:p w14:paraId="7EBEE697" w14:textId="77777777" w:rsidR="00F17A65" w:rsidRDefault="00F17A65" w:rsidP="00F17A65">
      <w:pPr>
        <w:spacing w:after="0" w:line="360" w:lineRule="exact"/>
        <w:jc w:val="both"/>
        <w:rPr>
          <w:rFonts w:cs="Arial"/>
        </w:rPr>
      </w:pPr>
    </w:p>
    <w:p w14:paraId="7CA13473" w14:textId="77777777" w:rsidR="00F17A65" w:rsidRDefault="00F17A65" w:rsidP="00F17A65">
      <w:pPr>
        <w:spacing w:after="0" w:line="360" w:lineRule="exact"/>
        <w:jc w:val="both"/>
        <w:rPr>
          <w:rFonts w:cs="Arial"/>
        </w:rPr>
      </w:pPr>
    </w:p>
    <w:p w14:paraId="4F661AE2" w14:textId="77777777" w:rsidR="00F17A65" w:rsidRDefault="00F17A65" w:rsidP="00F17A65">
      <w:pPr>
        <w:spacing w:after="0" w:line="360" w:lineRule="exact"/>
        <w:jc w:val="both"/>
        <w:rPr>
          <w:rFonts w:cs="Arial"/>
        </w:rPr>
      </w:pPr>
    </w:p>
    <w:p w14:paraId="1B223ABA" w14:textId="77777777" w:rsidR="00F17A65" w:rsidRDefault="00F17A65" w:rsidP="00F17A65">
      <w:pPr>
        <w:spacing w:after="0" w:line="360" w:lineRule="exact"/>
        <w:jc w:val="both"/>
        <w:rPr>
          <w:rFonts w:cs="Arial"/>
        </w:rPr>
      </w:pPr>
    </w:p>
    <w:p w14:paraId="0B33B742" w14:textId="77777777" w:rsidR="00F17A65" w:rsidRDefault="00F17A65" w:rsidP="00F17A65">
      <w:pPr>
        <w:spacing w:after="0" w:line="360" w:lineRule="exact"/>
        <w:jc w:val="both"/>
        <w:rPr>
          <w:rFonts w:cs="Arial"/>
        </w:rPr>
      </w:pPr>
    </w:p>
    <w:p w14:paraId="5A0A0F9B" w14:textId="77777777" w:rsidR="00F17A65" w:rsidRDefault="00F17A65" w:rsidP="00F17A65">
      <w:pPr>
        <w:spacing w:after="0" w:line="360" w:lineRule="exact"/>
        <w:jc w:val="both"/>
        <w:rPr>
          <w:rFonts w:cs="Arial"/>
        </w:rPr>
      </w:pPr>
    </w:p>
    <w:p w14:paraId="4F0582BA" w14:textId="77777777" w:rsidR="00F17A65" w:rsidRDefault="00F17A65" w:rsidP="00F17A65">
      <w:pPr>
        <w:spacing w:after="0" w:line="360" w:lineRule="exact"/>
        <w:jc w:val="both"/>
        <w:rPr>
          <w:rFonts w:cs="Arial"/>
        </w:rPr>
      </w:pPr>
    </w:p>
    <w:p w14:paraId="2174F61C" w14:textId="77777777" w:rsidR="00F17A65" w:rsidRDefault="00F17A65" w:rsidP="00F17A65">
      <w:pPr>
        <w:spacing w:after="0" w:line="360" w:lineRule="exact"/>
        <w:jc w:val="both"/>
        <w:rPr>
          <w:rFonts w:cs="Arial"/>
        </w:rPr>
      </w:pPr>
    </w:p>
    <w:p w14:paraId="1F12502A" w14:textId="77777777" w:rsidR="00F17A65" w:rsidRDefault="00F17A65" w:rsidP="00F17A65">
      <w:pPr>
        <w:spacing w:after="0" w:line="360" w:lineRule="exact"/>
        <w:jc w:val="both"/>
        <w:rPr>
          <w:rFonts w:cs="Arial"/>
        </w:rPr>
      </w:pPr>
    </w:p>
    <w:p w14:paraId="1C9A1362" w14:textId="77777777" w:rsidR="00F17A65" w:rsidRDefault="00F17A65" w:rsidP="00F17A65">
      <w:pPr>
        <w:spacing w:after="0" w:line="360" w:lineRule="exact"/>
        <w:jc w:val="both"/>
        <w:rPr>
          <w:rFonts w:cs="Arial"/>
        </w:rPr>
      </w:pPr>
    </w:p>
    <w:p w14:paraId="0529DD25" w14:textId="328035C9" w:rsidR="00A35321" w:rsidRPr="00CA6D68" w:rsidRDefault="00A35321" w:rsidP="000F0F15">
      <w:pPr>
        <w:pStyle w:val="PargrafodaLista"/>
        <w:numPr>
          <w:ilvl w:val="0"/>
          <w:numId w:val="1"/>
        </w:numPr>
        <w:spacing w:after="0" w:line="360" w:lineRule="exact"/>
        <w:ind w:left="0" w:firstLine="284"/>
        <w:jc w:val="both"/>
      </w:pPr>
      <w:r w:rsidRPr="000F0F15">
        <w:rPr>
          <w:b/>
          <w:u w:val="single"/>
        </w:rPr>
        <w:t>Encerramento</w:t>
      </w:r>
      <w:r w:rsidRPr="000F0F15">
        <w:rPr>
          <w:b/>
        </w:rPr>
        <w:t>:</w:t>
      </w:r>
      <w:r w:rsidRPr="00CA6D68">
        <w:t xml:space="preserve"> </w:t>
      </w:r>
      <w:r w:rsidRPr="000F0F15">
        <w:rPr>
          <w:color w:val="000000"/>
        </w:rPr>
        <w:t xml:space="preserve">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321595B5" w14:textId="77777777" w:rsidR="00A35321" w:rsidRDefault="00A35321" w:rsidP="00A35321">
      <w:pPr>
        <w:spacing w:after="0" w:line="300" w:lineRule="exact"/>
        <w:jc w:val="both"/>
        <w:rPr>
          <w:bCs/>
        </w:rPr>
      </w:pPr>
    </w:p>
    <w:p w14:paraId="5005DF44" w14:textId="77777777" w:rsidR="00A35321" w:rsidRPr="00CA6D68" w:rsidRDefault="00A35321" w:rsidP="00A35321">
      <w:pPr>
        <w:pStyle w:val="PargrafodaLista"/>
        <w:spacing w:line="300" w:lineRule="exact"/>
        <w:ind w:left="0"/>
        <w:contextualSpacing w:val="0"/>
        <w:jc w:val="both"/>
      </w:pPr>
    </w:p>
    <w:p w14:paraId="0C532081" w14:textId="1342C41B" w:rsidR="00A35321" w:rsidRDefault="00A35321" w:rsidP="00A35321">
      <w:pPr>
        <w:spacing w:line="300" w:lineRule="exact"/>
        <w:jc w:val="center"/>
      </w:pPr>
      <w:r w:rsidRPr="00CA6D68">
        <w:t xml:space="preserve">São Paulo, </w:t>
      </w:r>
      <w:r w:rsidR="00954301">
        <w:t>20 de dezembro</w:t>
      </w:r>
      <w:r w:rsidRPr="00CA6D68">
        <w:t xml:space="preserve"> de 201</w:t>
      </w:r>
      <w:r>
        <w:t>8</w:t>
      </w:r>
      <w:r w:rsidRPr="00CA6D68">
        <w:t>.</w:t>
      </w:r>
    </w:p>
    <w:tbl>
      <w:tblPr>
        <w:tblW w:w="0" w:type="auto"/>
        <w:tblLook w:val="04A0" w:firstRow="1" w:lastRow="0" w:firstColumn="1" w:lastColumn="0" w:noHBand="0" w:noVBand="1"/>
      </w:tblPr>
      <w:tblGrid>
        <w:gridCol w:w="4252"/>
        <w:gridCol w:w="4252"/>
      </w:tblGrid>
      <w:tr w:rsidR="00A35321" w:rsidRPr="007F7542" w14:paraId="1F08F16E" w14:textId="77777777" w:rsidTr="00F17A65">
        <w:tc>
          <w:tcPr>
            <w:tcW w:w="4252" w:type="dxa"/>
            <w:shd w:val="clear" w:color="auto" w:fill="auto"/>
          </w:tcPr>
          <w:p w14:paraId="230D4090" w14:textId="77777777" w:rsidR="00A35321" w:rsidRPr="007F7542" w:rsidRDefault="00A35321" w:rsidP="00B72C6F">
            <w:pPr>
              <w:spacing w:line="300" w:lineRule="exact"/>
              <w:jc w:val="center"/>
            </w:pPr>
            <w:r w:rsidRPr="007F7542">
              <w:t>________________________________</w:t>
            </w:r>
          </w:p>
        </w:tc>
        <w:tc>
          <w:tcPr>
            <w:tcW w:w="4252" w:type="dxa"/>
            <w:shd w:val="clear" w:color="auto" w:fill="auto"/>
          </w:tcPr>
          <w:p w14:paraId="4E72A3F6" w14:textId="77777777" w:rsidR="00A35321" w:rsidRPr="007F7542" w:rsidRDefault="00A35321" w:rsidP="00B72C6F">
            <w:pPr>
              <w:spacing w:line="300" w:lineRule="exact"/>
              <w:jc w:val="center"/>
            </w:pPr>
            <w:r w:rsidRPr="007F7542">
              <w:t>________________________________</w:t>
            </w:r>
          </w:p>
        </w:tc>
      </w:tr>
      <w:tr w:rsidR="00A35321" w:rsidRPr="007F7542" w14:paraId="4AF3C35B" w14:textId="77777777" w:rsidTr="00F17A65">
        <w:tc>
          <w:tcPr>
            <w:tcW w:w="4252" w:type="dxa"/>
            <w:shd w:val="clear" w:color="auto" w:fill="auto"/>
          </w:tcPr>
          <w:p w14:paraId="3522D35E" w14:textId="77777777" w:rsidR="00A35321" w:rsidRPr="007F7542" w:rsidRDefault="00A35321" w:rsidP="00B72C6F">
            <w:pPr>
              <w:spacing w:line="300" w:lineRule="exact"/>
              <w:jc w:val="center"/>
            </w:pPr>
            <w:r w:rsidRPr="007F7542">
              <w:t>Presidente</w:t>
            </w:r>
          </w:p>
        </w:tc>
        <w:tc>
          <w:tcPr>
            <w:tcW w:w="4252" w:type="dxa"/>
            <w:shd w:val="clear" w:color="auto" w:fill="auto"/>
          </w:tcPr>
          <w:p w14:paraId="14137ECA" w14:textId="77777777" w:rsidR="00A35321" w:rsidRPr="007F7542" w:rsidRDefault="00A35321" w:rsidP="00B72C6F">
            <w:pPr>
              <w:spacing w:line="300" w:lineRule="exact"/>
              <w:jc w:val="center"/>
            </w:pPr>
            <w:r w:rsidRPr="007F7542">
              <w:t>Secretário</w:t>
            </w:r>
          </w:p>
        </w:tc>
      </w:tr>
      <w:tr w:rsidR="00A35321" w:rsidRPr="007F7542" w14:paraId="1F42A211" w14:textId="77777777" w:rsidTr="00F17A65">
        <w:tc>
          <w:tcPr>
            <w:tcW w:w="4252" w:type="dxa"/>
            <w:shd w:val="clear" w:color="auto" w:fill="auto"/>
          </w:tcPr>
          <w:p w14:paraId="049A47D7" w14:textId="61C06703" w:rsidR="00A35321" w:rsidRPr="007F7542" w:rsidRDefault="00A35321" w:rsidP="00B72C6F">
            <w:pPr>
              <w:spacing w:line="300" w:lineRule="exact"/>
            </w:pPr>
            <w:r w:rsidRPr="007F7542">
              <w:t>Nome:</w:t>
            </w:r>
            <w:r>
              <w:t xml:space="preserve"> </w:t>
            </w:r>
            <w:r w:rsidR="00DC57E5">
              <w:t>Valdecir Aparecido Sicchieri</w:t>
            </w:r>
          </w:p>
        </w:tc>
        <w:tc>
          <w:tcPr>
            <w:tcW w:w="4252" w:type="dxa"/>
            <w:shd w:val="clear" w:color="auto" w:fill="auto"/>
          </w:tcPr>
          <w:p w14:paraId="2DC2A50D" w14:textId="19F399E3" w:rsidR="00A35321" w:rsidRPr="007F7542" w:rsidRDefault="00A35321" w:rsidP="00B72C6F">
            <w:pPr>
              <w:spacing w:line="300" w:lineRule="exact"/>
            </w:pPr>
            <w:r w:rsidRPr="007F7542">
              <w:t>Nome:</w:t>
            </w:r>
            <w:r>
              <w:t xml:space="preserve"> </w:t>
            </w:r>
            <w:r w:rsidR="001B511B">
              <w:rPr>
                <w:rFonts w:cs="Arial"/>
              </w:rPr>
              <w:t>Erison Alexandre Furtado</w:t>
            </w:r>
          </w:p>
        </w:tc>
      </w:tr>
      <w:tr w:rsidR="00A35321" w:rsidRPr="007F7542" w14:paraId="59DC74FF" w14:textId="77777777" w:rsidTr="00F17A65">
        <w:tc>
          <w:tcPr>
            <w:tcW w:w="4252" w:type="dxa"/>
            <w:shd w:val="clear" w:color="auto" w:fill="auto"/>
          </w:tcPr>
          <w:p w14:paraId="5A501E72" w14:textId="77777777" w:rsidR="00A35321" w:rsidRPr="007F7542" w:rsidRDefault="00A35321" w:rsidP="00B72C6F">
            <w:pPr>
              <w:spacing w:line="300" w:lineRule="exact"/>
            </w:pPr>
          </w:p>
        </w:tc>
        <w:tc>
          <w:tcPr>
            <w:tcW w:w="4252" w:type="dxa"/>
            <w:shd w:val="clear" w:color="auto" w:fill="auto"/>
          </w:tcPr>
          <w:p w14:paraId="4EACE510" w14:textId="77777777" w:rsidR="00A35321" w:rsidRPr="007F7542" w:rsidRDefault="00A35321" w:rsidP="00B72C6F">
            <w:pPr>
              <w:spacing w:line="300" w:lineRule="exact"/>
            </w:pPr>
          </w:p>
        </w:tc>
      </w:tr>
    </w:tbl>
    <w:p w14:paraId="798140D6" w14:textId="77777777" w:rsidR="00A35321" w:rsidRDefault="00A35321" w:rsidP="00A35321">
      <w:pPr>
        <w:pStyle w:val="PargrafodaLista"/>
        <w:spacing w:after="0"/>
        <w:jc w:val="both"/>
      </w:pPr>
    </w:p>
    <w:p w14:paraId="5DE64BF3" w14:textId="77777777" w:rsidR="00F17A65" w:rsidRDefault="00F17A65" w:rsidP="00A35321">
      <w:pPr>
        <w:pStyle w:val="PargrafodaLista"/>
        <w:spacing w:after="0"/>
        <w:jc w:val="both"/>
      </w:pPr>
    </w:p>
    <w:p w14:paraId="66FC8FB4" w14:textId="77777777" w:rsidR="00F17A65" w:rsidRDefault="00F17A65" w:rsidP="00A35321">
      <w:pPr>
        <w:pStyle w:val="PargrafodaLista"/>
        <w:spacing w:after="0"/>
        <w:jc w:val="both"/>
      </w:pPr>
    </w:p>
    <w:p w14:paraId="0221D1D9" w14:textId="6FBC4FDD" w:rsidR="00F17A65" w:rsidRDefault="00F17A65" w:rsidP="00F17A65">
      <w:pPr>
        <w:pStyle w:val="PargrafodaLista"/>
        <w:spacing w:after="0"/>
        <w:jc w:val="center"/>
      </w:pPr>
      <w:r>
        <w:t>[Restante da Página Deixada Em Branco Propositalmente]</w:t>
      </w:r>
    </w:p>
    <w:p w14:paraId="667C230F" w14:textId="77777777" w:rsidR="00F17A65" w:rsidRDefault="00F17A65" w:rsidP="00A35321">
      <w:pPr>
        <w:pStyle w:val="PargrafodaLista"/>
        <w:spacing w:after="0"/>
        <w:jc w:val="both"/>
      </w:pPr>
    </w:p>
    <w:p w14:paraId="4359DD41" w14:textId="77777777" w:rsidR="00F17A65" w:rsidRDefault="00F17A65" w:rsidP="00A35321">
      <w:pPr>
        <w:pStyle w:val="PargrafodaLista"/>
        <w:spacing w:after="0"/>
        <w:jc w:val="both"/>
      </w:pPr>
    </w:p>
    <w:p w14:paraId="6989D92F" w14:textId="77777777" w:rsidR="00F17A65" w:rsidRDefault="00F17A65" w:rsidP="00A35321">
      <w:pPr>
        <w:pStyle w:val="PargrafodaLista"/>
        <w:spacing w:after="0"/>
        <w:jc w:val="both"/>
      </w:pPr>
    </w:p>
    <w:p w14:paraId="685DC05B" w14:textId="77777777" w:rsidR="00F17A65" w:rsidRDefault="00F17A65" w:rsidP="00A35321">
      <w:pPr>
        <w:pStyle w:val="PargrafodaLista"/>
        <w:spacing w:after="0"/>
        <w:jc w:val="both"/>
      </w:pPr>
    </w:p>
    <w:p w14:paraId="6FA94C8E" w14:textId="77777777" w:rsidR="00F17A65" w:rsidRDefault="00F17A65" w:rsidP="00A35321">
      <w:pPr>
        <w:pStyle w:val="PargrafodaLista"/>
        <w:spacing w:after="0"/>
        <w:jc w:val="both"/>
      </w:pPr>
    </w:p>
    <w:p w14:paraId="4CEADA32" w14:textId="77777777" w:rsidR="00F17A65" w:rsidRDefault="00F17A65" w:rsidP="00A35321">
      <w:pPr>
        <w:pStyle w:val="PargrafodaLista"/>
        <w:spacing w:after="0"/>
        <w:jc w:val="both"/>
      </w:pPr>
    </w:p>
    <w:p w14:paraId="68C19EAE" w14:textId="77777777" w:rsidR="00F17A65" w:rsidRDefault="00F17A65" w:rsidP="00A35321">
      <w:pPr>
        <w:pStyle w:val="PargrafodaLista"/>
        <w:spacing w:after="0"/>
        <w:jc w:val="both"/>
      </w:pPr>
    </w:p>
    <w:p w14:paraId="66F17657" w14:textId="77777777" w:rsidR="00F17A65" w:rsidRDefault="00F17A65" w:rsidP="00A35321">
      <w:pPr>
        <w:pStyle w:val="PargrafodaLista"/>
        <w:spacing w:after="0"/>
        <w:jc w:val="both"/>
      </w:pPr>
    </w:p>
    <w:p w14:paraId="5855CE7B" w14:textId="77777777" w:rsidR="00F17A65" w:rsidRDefault="00F17A65" w:rsidP="00A35321">
      <w:pPr>
        <w:pStyle w:val="PargrafodaLista"/>
        <w:spacing w:after="0"/>
        <w:jc w:val="both"/>
      </w:pPr>
    </w:p>
    <w:p w14:paraId="6EDF2D95" w14:textId="77777777" w:rsidR="00F17A65" w:rsidRDefault="00F17A65" w:rsidP="00A35321">
      <w:pPr>
        <w:pStyle w:val="PargrafodaLista"/>
        <w:spacing w:after="0"/>
        <w:jc w:val="both"/>
      </w:pPr>
    </w:p>
    <w:p w14:paraId="02E4925C" w14:textId="77777777" w:rsidR="00F17A65" w:rsidRDefault="00F17A65" w:rsidP="00A35321">
      <w:pPr>
        <w:pStyle w:val="PargrafodaLista"/>
        <w:spacing w:after="0"/>
        <w:jc w:val="both"/>
      </w:pPr>
    </w:p>
    <w:p w14:paraId="15CF9630" w14:textId="77777777" w:rsidR="00F17A65" w:rsidRDefault="00F17A65" w:rsidP="00A35321">
      <w:pPr>
        <w:pStyle w:val="PargrafodaLista"/>
        <w:spacing w:after="0"/>
        <w:jc w:val="both"/>
      </w:pPr>
    </w:p>
    <w:p w14:paraId="57C15CD8" w14:textId="77777777" w:rsidR="00F17A65" w:rsidRDefault="00F17A65" w:rsidP="00A35321">
      <w:pPr>
        <w:pStyle w:val="PargrafodaLista"/>
        <w:spacing w:after="0"/>
        <w:jc w:val="both"/>
      </w:pPr>
    </w:p>
    <w:p w14:paraId="3013BE29" w14:textId="77777777" w:rsidR="00F17A65" w:rsidRDefault="00F17A65" w:rsidP="00A35321">
      <w:pPr>
        <w:pStyle w:val="PargrafodaLista"/>
        <w:spacing w:after="0"/>
        <w:jc w:val="both"/>
      </w:pPr>
    </w:p>
    <w:p w14:paraId="0072EFC2" w14:textId="77777777" w:rsidR="00F17A65" w:rsidRDefault="00F17A65" w:rsidP="00A35321">
      <w:pPr>
        <w:pStyle w:val="PargrafodaLista"/>
        <w:spacing w:after="0"/>
        <w:jc w:val="both"/>
      </w:pPr>
    </w:p>
    <w:p w14:paraId="5464962E" w14:textId="77777777" w:rsidR="00F17A65" w:rsidRDefault="00F17A65" w:rsidP="00A35321">
      <w:pPr>
        <w:pStyle w:val="PargrafodaLista"/>
        <w:spacing w:after="0"/>
        <w:jc w:val="both"/>
      </w:pPr>
    </w:p>
    <w:p w14:paraId="31E23F1A" w14:textId="77777777" w:rsidR="00F17A65" w:rsidRDefault="00F17A65" w:rsidP="00A35321">
      <w:pPr>
        <w:pStyle w:val="PargrafodaLista"/>
        <w:spacing w:after="0"/>
        <w:jc w:val="both"/>
      </w:pPr>
    </w:p>
    <w:p w14:paraId="4F9B85F6" w14:textId="77777777" w:rsidR="00F17A65" w:rsidRDefault="00F17A65" w:rsidP="00A35321">
      <w:pPr>
        <w:pStyle w:val="PargrafodaLista"/>
        <w:spacing w:after="0"/>
        <w:jc w:val="both"/>
      </w:pPr>
    </w:p>
    <w:p w14:paraId="1C6F0D14" w14:textId="77777777" w:rsidR="00F17A65" w:rsidRDefault="00F17A65" w:rsidP="00A35321">
      <w:pPr>
        <w:pStyle w:val="PargrafodaLista"/>
        <w:spacing w:after="0"/>
        <w:jc w:val="both"/>
      </w:pPr>
    </w:p>
    <w:p w14:paraId="6B558284" w14:textId="77777777" w:rsidR="00F17A65" w:rsidRDefault="00F17A65" w:rsidP="00A35321">
      <w:pPr>
        <w:pStyle w:val="PargrafodaLista"/>
        <w:spacing w:after="0"/>
        <w:jc w:val="both"/>
      </w:pPr>
    </w:p>
    <w:p w14:paraId="4A7D0261" w14:textId="77777777" w:rsidR="00F17A65" w:rsidRDefault="00F17A65" w:rsidP="00A35321">
      <w:pPr>
        <w:pStyle w:val="PargrafodaLista"/>
        <w:spacing w:after="0"/>
        <w:jc w:val="both"/>
      </w:pPr>
    </w:p>
    <w:p w14:paraId="38D129F7" w14:textId="77777777" w:rsidR="00F17A65" w:rsidRDefault="00F17A65" w:rsidP="00A35321">
      <w:pPr>
        <w:pStyle w:val="PargrafodaLista"/>
        <w:spacing w:after="0"/>
        <w:jc w:val="both"/>
      </w:pPr>
    </w:p>
    <w:p w14:paraId="5EEE5663" w14:textId="77777777" w:rsidR="00305D43" w:rsidRDefault="00305D43" w:rsidP="004C4886">
      <w:pPr>
        <w:pStyle w:val="Default"/>
        <w:spacing w:line="300" w:lineRule="exact"/>
        <w:ind w:left="-142" w:right="-93"/>
        <w:jc w:val="both"/>
        <w:rPr>
          <w:b/>
          <w:sz w:val="22"/>
          <w:szCs w:val="22"/>
        </w:rPr>
      </w:pPr>
    </w:p>
    <w:p w14:paraId="27DCB001" w14:textId="7DE88035" w:rsidR="004C4886" w:rsidRPr="00CA6D68" w:rsidRDefault="004C4886" w:rsidP="004C4886">
      <w:pPr>
        <w:pStyle w:val="Default"/>
        <w:spacing w:line="300" w:lineRule="exact"/>
        <w:ind w:left="-142" w:right="-93"/>
        <w:jc w:val="both"/>
        <w:rPr>
          <w:b/>
          <w:sz w:val="22"/>
          <w:szCs w:val="22"/>
        </w:rPr>
      </w:pPr>
      <w:r w:rsidRPr="00CA6D68">
        <w:rPr>
          <w:b/>
          <w:sz w:val="22"/>
          <w:szCs w:val="22"/>
        </w:rPr>
        <w:t xml:space="preserve">Página de Assinaturas </w:t>
      </w:r>
      <w:r>
        <w:rPr>
          <w:b/>
          <w:sz w:val="22"/>
          <w:szCs w:val="22"/>
        </w:rPr>
        <w:t xml:space="preserve">1/2 </w:t>
      </w:r>
      <w:r w:rsidRPr="00CA6D68">
        <w:rPr>
          <w:b/>
          <w:sz w:val="22"/>
          <w:szCs w:val="22"/>
        </w:rPr>
        <w:t xml:space="preserve">da </w:t>
      </w:r>
      <w:r w:rsidRPr="004C4886">
        <w:rPr>
          <w:b/>
          <w:sz w:val="22"/>
          <w:szCs w:val="22"/>
        </w:rPr>
        <w:t xml:space="preserve">ATA DA ASSEMBLÉIA GERAL DE DEBENTURISTAS DA </w:t>
      </w:r>
      <w:r w:rsidR="00E07B7A">
        <w:rPr>
          <w:b/>
          <w:sz w:val="22"/>
          <w:szCs w:val="22"/>
        </w:rPr>
        <w:t>SEGUNDA</w:t>
      </w:r>
      <w:r w:rsidRPr="004C4886">
        <w:rPr>
          <w:b/>
          <w:sz w:val="22"/>
          <w:szCs w:val="22"/>
        </w:rPr>
        <w:t xml:space="preserve"> EMISSÃO DE DEBÊNTURES </w:t>
      </w:r>
      <w:r w:rsidR="006728AA">
        <w:rPr>
          <w:b/>
          <w:sz w:val="22"/>
          <w:szCs w:val="22"/>
        </w:rPr>
        <w:t>DA</w:t>
      </w:r>
      <w:r w:rsidR="006728AA" w:rsidRPr="006728AA">
        <w:t xml:space="preserve"> </w:t>
      </w:r>
      <w:r w:rsidR="006728AA" w:rsidRPr="006728AA">
        <w:rPr>
          <w:b/>
          <w:sz w:val="22"/>
          <w:szCs w:val="22"/>
        </w:rPr>
        <w:t>CELESC GERAÇÃO S.A.</w:t>
      </w:r>
      <w:r w:rsidR="006728AA">
        <w:rPr>
          <w:b/>
          <w:sz w:val="22"/>
          <w:szCs w:val="22"/>
        </w:rPr>
        <w:t xml:space="preserve"> </w:t>
      </w:r>
      <w:r w:rsidRPr="004C4886">
        <w:rPr>
          <w:b/>
          <w:sz w:val="22"/>
          <w:szCs w:val="22"/>
        </w:rPr>
        <w:t xml:space="preserve">REALIZADA </w:t>
      </w:r>
      <w:r w:rsidR="005B1965">
        <w:rPr>
          <w:b/>
          <w:sz w:val="22"/>
          <w:szCs w:val="22"/>
        </w:rPr>
        <w:t>EM</w:t>
      </w:r>
      <w:r w:rsidRPr="00CA6D68">
        <w:rPr>
          <w:b/>
          <w:sz w:val="22"/>
          <w:szCs w:val="22"/>
        </w:rPr>
        <w:t xml:space="preserve"> </w:t>
      </w:r>
      <w:r w:rsidR="00954301">
        <w:rPr>
          <w:b/>
          <w:sz w:val="22"/>
          <w:szCs w:val="22"/>
        </w:rPr>
        <w:t>20</w:t>
      </w:r>
      <w:r w:rsidR="00954301" w:rsidRPr="00CA6D68">
        <w:rPr>
          <w:b/>
          <w:sz w:val="22"/>
          <w:szCs w:val="22"/>
        </w:rPr>
        <w:t xml:space="preserve"> </w:t>
      </w:r>
      <w:r w:rsidR="00954301">
        <w:rPr>
          <w:b/>
          <w:sz w:val="22"/>
          <w:szCs w:val="22"/>
        </w:rPr>
        <w:t>DE</w:t>
      </w:r>
      <w:r w:rsidR="00954301" w:rsidRPr="00CA6D68">
        <w:rPr>
          <w:b/>
          <w:sz w:val="22"/>
          <w:szCs w:val="22"/>
        </w:rPr>
        <w:t xml:space="preserve"> </w:t>
      </w:r>
      <w:r w:rsidR="00954301">
        <w:rPr>
          <w:b/>
          <w:sz w:val="22"/>
          <w:szCs w:val="22"/>
        </w:rPr>
        <w:t>DEZEMBRO</w:t>
      </w:r>
      <w:r w:rsidR="00954301" w:rsidRPr="00CA6D68">
        <w:rPr>
          <w:b/>
          <w:sz w:val="22"/>
          <w:szCs w:val="22"/>
        </w:rPr>
        <w:t xml:space="preserve"> </w:t>
      </w:r>
      <w:r w:rsidR="00954301">
        <w:rPr>
          <w:b/>
          <w:sz w:val="22"/>
          <w:szCs w:val="22"/>
        </w:rPr>
        <w:t>DE 2018</w:t>
      </w:r>
    </w:p>
    <w:p w14:paraId="5858D4DA" w14:textId="77777777" w:rsidR="004C4886" w:rsidRDefault="004C4886" w:rsidP="004C4886">
      <w:pPr>
        <w:spacing w:line="300" w:lineRule="exact"/>
        <w:jc w:val="center"/>
        <w:rPr>
          <w:b/>
        </w:rPr>
      </w:pPr>
    </w:p>
    <w:p w14:paraId="62EA9BC4" w14:textId="77777777" w:rsidR="004C4886" w:rsidRDefault="004C4886" w:rsidP="004C4886">
      <w:pPr>
        <w:spacing w:line="300" w:lineRule="exact"/>
        <w:jc w:val="center"/>
        <w:rPr>
          <w:b/>
        </w:rPr>
      </w:pPr>
    </w:p>
    <w:p w14:paraId="5D668F9C" w14:textId="77777777" w:rsidR="004C4886" w:rsidRPr="00CA6D68" w:rsidRDefault="004C4886" w:rsidP="004C4886">
      <w:pPr>
        <w:spacing w:line="300" w:lineRule="exact"/>
        <w:jc w:val="center"/>
        <w:rPr>
          <w:b/>
        </w:rPr>
      </w:pPr>
      <w:r>
        <w:rPr>
          <w:b/>
        </w:rPr>
        <w:t>CELESC GERAÇÃO S.A.</w:t>
      </w:r>
    </w:p>
    <w:p w14:paraId="42A0329B" w14:textId="77777777" w:rsidR="004C4886" w:rsidRPr="00CA6D68" w:rsidRDefault="004C4886" w:rsidP="004C4886"/>
    <w:p w14:paraId="16C24378" w14:textId="77777777" w:rsidR="004C4886" w:rsidRPr="00CA6D68" w:rsidRDefault="004C4886" w:rsidP="004C4886"/>
    <w:p w14:paraId="35A3204C" w14:textId="77777777" w:rsidR="004C4886" w:rsidRPr="00CA6D68" w:rsidRDefault="004C4886" w:rsidP="004C4886"/>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4886" w:rsidRPr="00CA6D68" w14:paraId="0D03F4B2" w14:textId="77777777" w:rsidTr="00B72C6F">
        <w:trPr>
          <w:cantSplit/>
        </w:trPr>
        <w:tc>
          <w:tcPr>
            <w:tcW w:w="4253" w:type="dxa"/>
            <w:tcBorders>
              <w:top w:val="single" w:sz="6" w:space="0" w:color="auto"/>
            </w:tcBorders>
          </w:tcPr>
          <w:p w14:paraId="4E1AC4F2" w14:textId="77777777" w:rsidR="004C4886" w:rsidRPr="00CA6D68" w:rsidRDefault="004C4886" w:rsidP="00B72C6F">
            <w:r w:rsidRPr="00CA6D68">
              <w:t>Nome:</w:t>
            </w:r>
            <w:r w:rsidRPr="00CA6D68">
              <w:br/>
              <w:t>Cargo:</w:t>
            </w:r>
          </w:p>
        </w:tc>
        <w:tc>
          <w:tcPr>
            <w:tcW w:w="567" w:type="dxa"/>
          </w:tcPr>
          <w:p w14:paraId="740260BC" w14:textId="77777777" w:rsidR="004C4886" w:rsidRPr="00CA6D68" w:rsidRDefault="004C4886" w:rsidP="00B72C6F"/>
        </w:tc>
        <w:tc>
          <w:tcPr>
            <w:tcW w:w="4253" w:type="dxa"/>
            <w:tcBorders>
              <w:top w:val="single" w:sz="6" w:space="0" w:color="auto"/>
            </w:tcBorders>
          </w:tcPr>
          <w:p w14:paraId="1A4610EC" w14:textId="77777777" w:rsidR="004C4886" w:rsidRPr="00CA6D68" w:rsidRDefault="004C4886" w:rsidP="00B72C6F">
            <w:r w:rsidRPr="00CA6D68">
              <w:t>Nome:</w:t>
            </w:r>
            <w:r w:rsidRPr="00CA6D68">
              <w:br/>
              <w:t>Cargo:</w:t>
            </w:r>
          </w:p>
        </w:tc>
      </w:tr>
    </w:tbl>
    <w:p w14:paraId="6BCF04A9" w14:textId="77777777" w:rsidR="004C4886" w:rsidRDefault="004C4886" w:rsidP="004C4886">
      <w:pPr>
        <w:spacing w:line="300" w:lineRule="exact"/>
        <w:jc w:val="both"/>
        <w:rPr>
          <w:b/>
        </w:rPr>
      </w:pPr>
    </w:p>
    <w:p w14:paraId="7FF2C9D7" w14:textId="77777777" w:rsidR="004C4886" w:rsidRPr="00CA6D68" w:rsidRDefault="004C4886" w:rsidP="004C4886">
      <w:pPr>
        <w:spacing w:line="300" w:lineRule="exact"/>
        <w:jc w:val="both"/>
        <w:rPr>
          <w:b/>
        </w:rPr>
      </w:pPr>
    </w:p>
    <w:p w14:paraId="20364674" w14:textId="77777777" w:rsidR="004C4886" w:rsidRDefault="004C4886" w:rsidP="004C4886">
      <w:pPr>
        <w:spacing w:line="300" w:lineRule="exact"/>
        <w:rPr>
          <w:b/>
        </w:rPr>
      </w:pPr>
    </w:p>
    <w:p w14:paraId="5D3981AB" w14:textId="77777777" w:rsidR="004C4886" w:rsidRDefault="004C4886" w:rsidP="004C4886">
      <w:pPr>
        <w:spacing w:line="300" w:lineRule="exact"/>
        <w:rPr>
          <w:b/>
        </w:rPr>
      </w:pPr>
    </w:p>
    <w:p w14:paraId="02305970" w14:textId="77777777" w:rsidR="004C4886" w:rsidRPr="00CA6D68" w:rsidRDefault="00D12C5F" w:rsidP="004C4886">
      <w:pPr>
        <w:spacing w:line="300" w:lineRule="exact"/>
        <w:jc w:val="center"/>
        <w:rPr>
          <w:b/>
        </w:rPr>
      </w:pPr>
      <w:r w:rsidRPr="00D12C5F">
        <w:rPr>
          <w:b/>
          <w:bCs/>
        </w:rPr>
        <w:t>CENTRAIS ELÉTRICAS DE SANTA CATARINA S.A.</w:t>
      </w:r>
    </w:p>
    <w:p w14:paraId="13E3C8C6" w14:textId="77777777" w:rsidR="004C4886" w:rsidRPr="00CA6D68" w:rsidRDefault="004C4886" w:rsidP="004C4886"/>
    <w:p w14:paraId="249A186B" w14:textId="77777777" w:rsidR="004C4886" w:rsidRPr="00CA6D68" w:rsidRDefault="004C4886" w:rsidP="004C4886"/>
    <w:p w14:paraId="46A78C19" w14:textId="77777777" w:rsidR="004C4886" w:rsidRPr="00CA6D68" w:rsidRDefault="004C4886" w:rsidP="004C4886"/>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4886" w:rsidRPr="00CA6D68" w14:paraId="73A4CA54" w14:textId="77777777" w:rsidTr="00B72C6F">
        <w:trPr>
          <w:cantSplit/>
        </w:trPr>
        <w:tc>
          <w:tcPr>
            <w:tcW w:w="4253" w:type="dxa"/>
            <w:tcBorders>
              <w:top w:val="single" w:sz="6" w:space="0" w:color="auto"/>
            </w:tcBorders>
          </w:tcPr>
          <w:p w14:paraId="24B68302" w14:textId="77777777" w:rsidR="004C4886" w:rsidRPr="00CA6D68" w:rsidRDefault="004C4886" w:rsidP="00B72C6F">
            <w:r w:rsidRPr="00CA6D68">
              <w:t>Nome:</w:t>
            </w:r>
            <w:r w:rsidRPr="00CA6D68">
              <w:br/>
              <w:t>Cargo:</w:t>
            </w:r>
          </w:p>
        </w:tc>
        <w:tc>
          <w:tcPr>
            <w:tcW w:w="567" w:type="dxa"/>
          </w:tcPr>
          <w:p w14:paraId="08CCBB19" w14:textId="77777777" w:rsidR="004C4886" w:rsidRPr="00CA6D68" w:rsidRDefault="004C4886" w:rsidP="00B72C6F"/>
        </w:tc>
        <w:tc>
          <w:tcPr>
            <w:tcW w:w="4253" w:type="dxa"/>
            <w:tcBorders>
              <w:top w:val="single" w:sz="6" w:space="0" w:color="auto"/>
            </w:tcBorders>
          </w:tcPr>
          <w:p w14:paraId="3132599E" w14:textId="77777777" w:rsidR="004C4886" w:rsidRPr="00CA6D68" w:rsidRDefault="004C4886" w:rsidP="00B72C6F">
            <w:r w:rsidRPr="00CA6D68">
              <w:t>Nome:</w:t>
            </w:r>
            <w:r w:rsidRPr="00CA6D68">
              <w:br/>
              <w:t>Cargo:</w:t>
            </w:r>
          </w:p>
        </w:tc>
      </w:tr>
    </w:tbl>
    <w:p w14:paraId="13F2E0BE" w14:textId="77777777" w:rsidR="004C4886" w:rsidRDefault="004C4886" w:rsidP="004C4886">
      <w:pPr>
        <w:spacing w:line="300" w:lineRule="exact"/>
        <w:rPr>
          <w:b/>
        </w:rPr>
      </w:pPr>
    </w:p>
    <w:p w14:paraId="67A4A5F9" w14:textId="77777777" w:rsidR="004C4886" w:rsidRDefault="004C4886" w:rsidP="004C4886">
      <w:pPr>
        <w:spacing w:line="300" w:lineRule="exact"/>
        <w:rPr>
          <w:b/>
        </w:rPr>
      </w:pPr>
    </w:p>
    <w:p w14:paraId="32803034" w14:textId="77777777" w:rsidR="004C4886" w:rsidRDefault="004C4886" w:rsidP="004C4886">
      <w:pPr>
        <w:spacing w:line="300" w:lineRule="exact"/>
        <w:rPr>
          <w:b/>
        </w:rPr>
      </w:pPr>
    </w:p>
    <w:p w14:paraId="7AC60032" w14:textId="77777777" w:rsidR="00C64E93" w:rsidRPr="00CA6D68" w:rsidRDefault="00C64E93" w:rsidP="004C4886">
      <w:pPr>
        <w:spacing w:line="300" w:lineRule="exact"/>
        <w:rPr>
          <w:b/>
        </w:rPr>
      </w:pPr>
    </w:p>
    <w:p w14:paraId="19027F0B" w14:textId="77777777" w:rsidR="004C4886" w:rsidRPr="00CA6D68" w:rsidRDefault="00D12C5F" w:rsidP="004C4886">
      <w:r>
        <w:rPr>
          <w:b/>
          <w:bCs/>
        </w:rPr>
        <w:t>SIMPLIFIC PAVARINI DISTRIBUIDORA DE TÍTULOS E VALORES MOBILIÁRIOS LTDA.</w:t>
      </w:r>
    </w:p>
    <w:p w14:paraId="0FD08CA9" w14:textId="77777777" w:rsidR="004C4886" w:rsidRPr="00CA6D68" w:rsidRDefault="004C4886" w:rsidP="004C4886"/>
    <w:p w14:paraId="4EB0E3B2" w14:textId="77777777" w:rsidR="004C4886" w:rsidRPr="00CA6D68" w:rsidRDefault="004C4886" w:rsidP="004C4886"/>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C4886" w:rsidRPr="00CA6D68" w14:paraId="064E80D2" w14:textId="77777777" w:rsidTr="00B72C6F">
        <w:trPr>
          <w:cantSplit/>
        </w:trPr>
        <w:tc>
          <w:tcPr>
            <w:tcW w:w="4253" w:type="dxa"/>
            <w:tcBorders>
              <w:top w:val="single" w:sz="6" w:space="0" w:color="auto"/>
            </w:tcBorders>
          </w:tcPr>
          <w:p w14:paraId="731BF542" w14:textId="77777777" w:rsidR="004C4886" w:rsidRPr="00CA6D68" w:rsidRDefault="004C4886" w:rsidP="00B72C6F">
            <w:r w:rsidRPr="00CA6D68">
              <w:t>Nome:</w:t>
            </w:r>
            <w:r w:rsidRPr="00CA6D68">
              <w:br/>
              <w:t>Cargo:</w:t>
            </w:r>
          </w:p>
        </w:tc>
        <w:tc>
          <w:tcPr>
            <w:tcW w:w="567" w:type="dxa"/>
          </w:tcPr>
          <w:p w14:paraId="129CDDC4" w14:textId="77777777" w:rsidR="004C4886" w:rsidRPr="00CA6D68" w:rsidRDefault="004C4886" w:rsidP="00B72C6F"/>
        </w:tc>
        <w:tc>
          <w:tcPr>
            <w:tcW w:w="4253" w:type="dxa"/>
            <w:tcBorders>
              <w:top w:val="single" w:sz="6" w:space="0" w:color="auto"/>
            </w:tcBorders>
          </w:tcPr>
          <w:p w14:paraId="26F45430" w14:textId="77777777" w:rsidR="004C4886" w:rsidRPr="00CA6D68" w:rsidRDefault="004C4886" w:rsidP="00B72C6F">
            <w:r w:rsidRPr="00CA6D68">
              <w:t>Nome:</w:t>
            </w:r>
            <w:r w:rsidRPr="00CA6D68">
              <w:br/>
              <w:t>Cargo:</w:t>
            </w:r>
          </w:p>
        </w:tc>
      </w:tr>
    </w:tbl>
    <w:p w14:paraId="0CB0A16E" w14:textId="77777777" w:rsidR="004C4886" w:rsidRDefault="004C4886" w:rsidP="00A35321">
      <w:pPr>
        <w:pStyle w:val="PargrafodaLista"/>
        <w:spacing w:after="0"/>
        <w:jc w:val="both"/>
      </w:pPr>
    </w:p>
    <w:p w14:paraId="6F2DA1B8" w14:textId="77777777" w:rsidR="004C4886" w:rsidRDefault="004C4886" w:rsidP="00A35321">
      <w:pPr>
        <w:pStyle w:val="PargrafodaLista"/>
        <w:spacing w:after="0"/>
        <w:jc w:val="both"/>
      </w:pPr>
    </w:p>
    <w:p w14:paraId="44A208DA" w14:textId="1374CE7A" w:rsidR="00A2465B" w:rsidRPr="00CA6D68" w:rsidRDefault="00A2465B" w:rsidP="00A2465B">
      <w:pPr>
        <w:pStyle w:val="Default"/>
        <w:spacing w:line="300" w:lineRule="exact"/>
        <w:ind w:left="-142" w:right="-93"/>
        <w:jc w:val="both"/>
        <w:rPr>
          <w:b/>
          <w:sz w:val="22"/>
          <w:szCs w:val="22"/>
        </w:rPr>
      </w:pPr>
      <w:r w:rsidRPr="00CA6D68">
        <w:rPr>
          <w:b/>
          <w:sz w:val="22"/>
          <w:szCs w:val="22"/>
        </w:rPr>
        <w:t xml:space="preserve">Página de Assinaturas </w:t>
      </w:r>
      <w:r>
        <w:rPr>
          <w:b/>
          <w:sz w:val="22"/>
          <w:szCs w:val="22"/>
        </w:rPr>
        <w:t xml:space="preserve">2/2 </w:t>
      </w:r>
      <w:r w:rsidRPr="00CA6D68">
        <w:rPr>
          <w:b/>
          <w:sz w:val="22"/>
          <w:szCs w:val="22"/>
        </w:rPr>
        <w:t xml:space="preserve">da </w:t>
      </w:r>
      <w:r w:rsidRPr="004C4886">
        <w:rPr>
          <w:b/>
          <w:sz w:val="22"/>
          <w:szCs w:val="22"/>
        </w:rPr>
        <w:t xml:space="preserve">ATA DA ASSEMBLÉIA GERAL DE DEBENTURISTAS DA </w:t>
      </w:r>
      <w:r w:rsidR="00E07B7A">
        <w:rPr>
          <w:b/>
          <w:sz w:val="22"/>
          <w:szCs w:val="22"/>
        </w:rPr>
        <w:t>SEGUNDA</w:t>
      </w:r>
      <w:r w:rsidRPr="004C4886">
        <w:rPr>
          <w:b/>
          <w:sz w:val="22"/>
          <w:szCs w:val="22"/>
        </w:rPr>
        <w:t xml:space="preserve"> EMISSÃO DE DEBÊNTURES </w:t>
      </w:r>
      <w:r>
        <w:rPr>
          <w:b/>
          <w:sz w:val="22"/>
          <w:szCs w:val="22"/>
        </w:rPr>
        <w:t>DA</w:t>
      </w:r>
      <w:r w:rsidRPr="006728AA">
        <w:t xml:space="preserve"> </w:t>
      </w:r>
      <w:r w:rsidRPr="006728AA">
        <w:rPr>
          <w:b/>
          <w:sz w:val="22"/>
          <w:szCs w:val="22"/>
        </w:rPr>
        <w:t>CELESC GERAÇÃO S.A.</w:t>
      </w:r>
      <w:r>
        <w:rPr>
          <w:b/>
          <w:sz w:val="22"/>
          <w:szCs w:val="22"/>
        </w:rPr>
        <w:t xml:space="preserve"> </w:t>
      </w:r>
      <w:r w:rsidRPr="004C4886">
        <w:rPr>
          <w:b/>
          <w:sz w:val="22"/>
          <w:szCs w:val="22"/>
        </w:rPr>
        <w:t xml:space="preserve">REALIZADA </w:t>
      </w:r>
      <w:r>
        <w:rPr>
          <w:b/>
          <w:sz w:val="22"/>
          <w:szCs w:val="22"/>
        </w:rPr>
        <w:t>EM</w:t>
      </w:r>
      <w:r w:rsidRPr="00CA6D68">
        <w:rPr>
          <w:b/>
          <w:sz w:val="22"/>
          <w:szCs w:val="22"/>
        </w:rPr>
        <w:t xml:space="preserve"> </w:t>
      </w:r>
      <w:r w:rsidR="00954301">
        <w:rPr>
          <w:b/>
          <w:sz w:val="22"/>
          <w:szCs w:val="22"/>
        </w:rPr>
        <w:t>20</w:t>
      </w:r>
      <w:r w:rsidR="00954301" w:rsidRPr="00CA6D68">
        <w:rPr>
          <w:b/>
          <w:sz w:val="22"/>
          <w:szCs w:val="22"/>
        </w:rPr>
        <w:t xml:space="preserve"> </w:t>
      </w:r>
      <w:r w:rsidR="00954301">
        <w:rPr>
          <w:b/>
          <w:sz w:val="22"/>
          <w:szCs w:val="22"/>
        </w:rPr>
        <w:t>DE</w:t>
      </w:r>
      <w:r w:rsidR="00954301" w:rsidRPr="00CA6D68">
        <w:rPr>
          <w:b/>
          <w:sz w:val="22"/>
          <w:szCs w:val="22"/>
        </w:rPr>
        <w:t xml:space="preserve"> </w:t>
      </w:r>
      <w:r w:rsidR="00954301">
        <w:rPr>
          <w:b/>
          <w:sz w:val="22"/>
          <w:szCs w:val="22"/>
        </w:rPr>
        <w:t>DEZEMBRO</w:t>
      </w:r>
      <w:r w:rsidR="00954301" w:rsidRPr="00CA6D68">
        <w:rPr>
          <w:b/>
          <w:sz w:val="22"/>
          <w:szCs w:val="22"/>
        </w:rPr>
        <w:t xml:space="preserve"> </w:t>
      </w:r>
      <w:r w:rsidR="00954301">
        <w:rPr>
          <w:b/>
          <w:sz w:val="22"/>
          <w:szCs w:val="22"/>
        </w:rPr>
        <w:t>DE 2018</w:t>
      </w:r>
    </w:p>
    <w:p w14:paraId="173A7A86" w14:textId="77777777" w:rsidR="004C4886" w:rsidRPr="00CA6D68" w:rsidRDefault="004C4886" w:rsidP="004C4886">
      <w:pPr>
        <w:spacing w:line="300" w:lineRule="exact"/>
        <w:jc w:val="center"/>
        <w:rPr>
          <w:b/>
        </w:rPr>
      </w:pPr>
    </w:p>
    <w:p w14:paraId="397B2CAA" w14:textId="17CA670F" w:rsidR="004C4886" w:rsidRDefault="004C4886" w:rsidP="004C4886">
      <w:pPr>
        <w:spacing w:line="300" w:lineRule="exact"/>
        <w:jc w:val="center"/>
        <w:rPr>
          <w:lang w:val="x-none"/>
        </w:rPr>
      </w:pPr>
      <w:r w:rsidRPr="00791B99">
        <w:rPr>
          <w:lang w:val="x-none"/>
        </w:rPr>
        <w:t xml:space="preserve">LISTA DE PRESENÇA DOS DEBENTURISTAS DA </w:t>
      </w:r>
      <w:r w:rsidR="00BB57E8">
        <w:t>SEGUNDA</w:t>
      </w:r>
      <w:r w:rsidRPr="00791B99">
        <w:rPr>
          <w:lang w:val="x-none"/>
        </w:rPr>
        <w:t xml:space="preserve"> EMISSÃO DE DEBÊNTURES DA </w:t>
      </w:r>
      <w:r>
        <w:t>CELESC GERAÇÃO S.A.</w:t>
      </w:r>
      <w:r w:rsidRPr="00791B99">
        <w:rPr>
          <w:lang w:val="x-none"/>
        </w:rPr>
        <w:t xml:space="preserve"> NA ASSEMBLEIA GERAL DE DEBENTURISTAS REALIZADA EM </w:t>
      </w:r>
      <w:r w:rsidR="00E3163B">
        <w:t>20 DE DEZEMBRO</w:t>
      </w:r>
      <w:r w:rsidR="00E3163B">
        <w:rPr>
          <w:lang w:val="x-none"/>
        </w:rPr>
        <w:t xml:space="preserve"> DE 2018</w:t>
      </w:r>
    </w:p>
    <w:p w14:paraId="456D4242" w14:textId="77777777" w:rsidR="004C4886" w:rsidRDefault="004C4886" w:rsidP="004C4886">
      <w:pPr>
        <w:spacing w:line="300" w:lineRule="exact"/>
        <w:jc w:val="center"/>
        <w:rPr>
          <w:lang w:val="x-none"/>
        </w:rPr>
      </w:pPr>
    </w:p>
    <w:p w14:paraId="0B93C947" w14:textId="77777777" w:rsidR="004C4886" w:rsidRDefault="004C4886" w:rsidP="004C4886">
      <w:pPr>
        <w:spacing w:line="300" w:lineRule="exact"/>
        <w:jc w:val="center"/>
        <w:rPr>
          <w:lang w:val="x-none"/>
        </w:rPr>
      </w:pPr>
    </w:p>
    <w:p w14:paraId="3F9D6077" w14:textId="77777777" w:rsidR="004C4886" w:rsidRDefault="004C4886" w:rsidP="004C4886">
      <w:pPr>
        <w:spacing w:line="300" w:lineRule="exact"/>
        <w:jc w:val="center"/>
        <w:rPr>
          <w:lang w:val="x-none"/>
        </w:rPr>
      </w:pPr>
    </w:p>
    <w:p w14:paraId="138A8D80" w14:textId="77777777" w:rsidR="004C4886" w:rsidRDefault="004C4886" w:rsidP="004C4886">
      <w:pPr>
        <w:spacing w:line="300" w:lineRule="exact"/>
        <w:jc w:val="center"/>
        <w:rPr>
          <w:lang w:val="x-none"/>
        </w:rPr>
      </w:pPr>
    </w:p>
    <w:p w14:paraId="456319ED" w14:textId="77777777" w:rsidR="004C4886" w:rsidRDefault="004C4886" w:rsidP="004C4886">
      <w:pPr>
        <w:spacing w:line="300" w:lineRule="exact"/>
        <w:jc w:val="center"/>
      </w:pPr>
      <w:r>
        <w:t>__________________________________</w:t>
      </w:r>
    </w:p>
    <w:p w14:paraId="05E67C4E" w14:textId="77777777" w:rsidR="004C4886" w:rsidRDefault="004C4886" w:rsidP="004C4886">
      <w:pPr>
        <w:spacing w:line="300" w:lineRule="exact"/>
        <w:jc w:val="center"/>
      </w:pPr>
      <w:r>
        <w:t>Banco do Brasil S.A.</w:t>
      </w:r>
    </w:p>
    <w:p w14:paraId="763B82B1" w14:textId="51B6F2FD" w:rsidR="004C4886" w:rsidRDefault="00384F7D" w:rsidP="004C4886">
      <w:pPr>
        <w:spacing w:line="300" w:lineRule="exact"/>
        <w:jc w:val="center"/>
      </w:pPr>
      <w:r>
        <w:t>Titular de 7.500 DEBÊNTURES</w:t>
      </w:r>
      <w:r w:rsidR="004C4886">
        <w:t xml:space="preserve"> da </w:t>
      </w:r>
      <w:r w:rsidR="004C4886" w:rsidRPr="004C4886">
        <w:t>2ª EMISSÃO DE DEBÊNTURES DA CELESC GERAÇÃO S.A.</w:t>
      </w:r>
    </w:p>
    <w:p w14:paraId="6411AFA4" w14:textId="77777777" w:rsidR="004C4886" w:rsidRDefault="004C4886" w:rsidP="004C4886">
      <w:pPr>
        <w:spacing w:line="300" w:lineRule="exact"/>
        <w:jc w:val="center"/>
      </w:pPr>
    </w:p>
    <w:p w14:paraId="158C23C9" w14:textId="77777777" w:rsidR="004C4886" w:rsidRDefault="004C4886" w:rsidP="004C4886">
      <w:pPr>
        <w:spacing w:line="300" w:lineRule="exact"/>
        <w:jc w:val="center"/>
      </w:pPr>
    </w:p>
    <w:p w14:paraId="3C459D80" w14:textId="77777777" w:rsidR="004C4886" w:rsidRDefault="004C4886" w:rsidP="004C4886">
      <w:pPr>
        <w:spacing w:line="300" w:lineRule="exact"/>
        <w:jc w:val="center"/>
      </w:pPr>
    </w:p>
    <w:p w14:paraId="55B81C47" w14:textId="77777777" w:rsidR="004C4886" w:rsidRDefault="004C4886" w:rsidP="004C4886">
      <w:pPr>
        <w:spacing w:line="300" w:lineRule="exact"/>
        <w:jc w:val="center"/>
      </w:pPr>
    </w:p>
    <w:p w14:paraId="1321B566" w14:textId="77777777" w:rsidR="004C4886" w:rsidRDefault="004C4886" w:rsidP="004C4886">
      <w:pPr>
        <w:spacing w:line="300" w:lineRule="exact"/>
        <w:jc w:val="center"/>
      </w:pPr>
      <w:r>
        <w:t>____________________________________</w:t>
      </w:r>
    </w:p>
    <w:p w14:paraId="0F38C939" w14:textId="77777777" w:rsidR="004C4886" w:rsidRDefault="004C4886" w:rsidP="004C4886">
      <w:pPr>
        <w:spacing w:line="300" w:lineRule="exact"/>
        <w:jc w:val="center"/>
      </w:pPr>
    </w:p>
    <w:p w14:paraId="108C47E8" w14:textId="77777777" w:rsidR="004C4886" w:rsidRDefault="004C4886" w:rsidP="004C4886">
      <w:pPr>
        <w:spacing w:line="300" w:lineRule="exact"/>
        <w:jc w:val="center"/>
      </w:pPr>
      <w:r>
        <w:t>Caixa Econômica Federal</w:t>
      </w:r>
    </w:p>
    <w:p w14:paraId="70AF4B99" w14:textId="6C2BD7FA" w:rsidR="004C4886" w:rsidRDefault="004C4886" w:rsidP="004C4886">
      <w:pPr>
        <w:spacing w:line="300" w:lineRule="exact"/>
        <w:jc w:val="center"/>
      </w:pPr>
      <w:r>
        <w:t xml:space="preserve">Titular de </w:t>
      </w:r>
      <w:r w:rsidR="00384F7D">
        <w:t>7.500 DEBÊNTURES</w:t>
      </w:r>
      <w:r>
        <w:t xml:space="preserve"> da </w:t>
      </w:r>
      <w:r w:rsidRPr="004C4886">
        <w:t>2ª EMISSÃO DE DEBÊNTURES DA CELESC GERAÇÃO S.A.</w:t>
      </w:r>
    </w:p>
    <w:p w14:paraId="0FF40EE4" w14:textId="77777777" w:rsidR="004C4886" w:rsidRPr="004C4886" w:rsidRDefault="004C4886" w:rsidP="004C4886">
      <w:pPr>
        <w:spacing w:line="300" w:lineRule="exact"/>
        <w:jc w:val="center"/>
      </w:pPr>
    </w:p>
    <w:p w14:paraId="20EC004B" w14:textId="77777777" w:rsidR="004C4886" w:rsidRDefault="004C4886" w:rsidP="004C4886">
      <w:pPr>
        <w:spacing w:line="300" w:lineRule="exact"/>
        <w:jc w:val="center"/>
        <w:rPr>
          <w:lang w:val="x-none"/>
        </w:rPr>
      </w:pPr>
    </w:p>
    <w:p w14:paraId="18D41151" w14:textId="77777777" w:rsidR="004C4886" w:rsidRPr="004C4886" w:rsidRDefault="004C4886" w:rsidP="00A35321">
      <w:pPr>
        <w:pStyle w:val="PargrafodaLista"/>
        <w:spacing w:after="0"/>
        <w:jc w:val="both"/>
        <w:rPr>
          <w:lang w:val="x-none"/>
        </w:rPr>
      </w:pPr>
    </w:p>
    <w:p w14:paraId="1AA922A0" w14:textId="77777777" w:rsidR="004C4886" w:rsidRDefault="004C4886" w:rsidP="00A35321">
      <w:pPr>
        <w:pStyle w:val="PargrafodaLista"/>
        <w:spacing w:after="0"/>
        <w:jc w:val="both"/>
      </w:pPr>
    </w:p>
    <w:sectPr w:rsidR="004C488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692DA" w14:textId="77777777" w:rsidR="00780FED" w:rsidRDefault="00780FED" w:rsidP="004C4886">
      <w:pPr>
        <w:spacing w:after="0" w:line="240" w:lineRule="auto"/>
      </w:pPr>
      <w:r>
        <w:separator/>
      </w:r>
    </w:p>
  </w:endnote>
  <w:endnote w:type="continuationSeparator" w:id="0">
    <w:p w14:paraId="6966BD9C" w14:textId="77777777" w:rsidR="00780FED" w:rsidRDefault="00780FED" w:rsidP="004C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0B3F2" w14:textId="77777777" w:rsidR="00780FED" w:rsidRDefault="00780FED" w:rsidP="004C4886">
      <w:pPr>
        <w:spacing w:after="0" w:line="240" w:lineRule="auto"/>
      </w:pPr>
      <w:r>
        <w:separator/>
      </w:r>
    </w:p>
  </w:footnote>
  <w:footnote w:type="continuationSeparator" w:id="0">
    <w:p w14:paraId="425A1738" w14:textId="77777777" w:rsidR="00780FED" w:rsidRDefault="00780FED" w:rsidP="004C4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02669"/>
    <w:multiLevelType w:val="hybridMultilevel"/>
    <w:tmpl w:val="A1DA988C"/>
    <w:lvl w:ilvl="0" w:tplc="BABC58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4E36AD"/>
    <w:multiLevelType w:val="hybridMultilevel"/>
    <w:tmpl w:val="05F6EA74"/>
    <w:lvl w:ilvl="0" w:tplc="191EDECE">
      <w:start w:val="1"/>
      <w:numFmt w:val="decimal"/>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3">
    <w:nsid w:val="3EE21B7D"/>
    <w:multiLevelType w:val="hybridMultilevel"/>
    <w:tmpl w:val="8CB8D9B0"/>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998AD908">
      <w:start w:val="11"/>
      <w:numFmt w:val="lowerRoman"/>
      <w:lvlText w:val="%3."/>
      <w:lvlJc w:val="left"/>
      <w:pPr>
        <w:ind w:left="2160" w:hanging="180"/>
      </w:pPr>
      <w:rPr>
        <w:rFonts w:ascii="Arial" w:hAnsi="Arial" w:cs="Arial" w:hint="default"/>
        <w:sz w:val="20"/>
        <w:szCs w:val="20"/>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A9"/>
    <w:rsid w:val="00000D01"/>
    <w:rsid w:val="0003455C"/>
    <w:rsid w:val="000351EB"/>
    <w:rsid w:val="0006055D"/>
    <w:rsid w:val="00083A67"/>
    <w:rsid w:val="000852B7"/>
    <w:rsid w:val="000B63CE"/>
    <w:rsid w:val="000F0F15"/>
    <w:rsid w:val="001005B3"/>
    <w:rsid w:val="001028B1"/>
    <w:rsid w:val="001819C0"/>
    <w:rsid w:val="00183B55"/>
    <w:rsid w:val="001B511B"/>
    <w:rsid w:val="001F24BC"/>
    <w:rsid w:val="00207423"/>
    <w:rsid w:val="00211AFC"/>
    <w:rsid w:val="00222177"/>
    <w:rsid w:val="00235C4F"/>
    <w:rsid w:val="0025597E"/>
    <w:rsid w:val="00270DB0"/>
    <w:rsid w:val="00284754"/>
    <w:rsid w:val="002A7669"/>
    <w:rsid w:val="002D1E19"/>
    <w:rsid w:val="002D5D14"/>
    <w:rsid w:val="002E13A9"/>
    <w:rsid w:val="00305D43"/>
    <w:rsid w:val="00314AA2"/>
    <w:rsid w:val="00355EB2"/>
    <w:rsid w:val="00357332"/>
    <w:rsid w:val="00376904"/>
    <w:rsid w:val="00383C2F"/>
    <w:rsid w:val="00384F7D"/>
    <w:rsid w:val="0038710C"/>
    <w:rsid w:val="003B3D3D"/>
    <w:rsid w:val="003B4D58"/>
    <w:rsid w:val="003C0B47"/>
    <w:rsid w:val="003D38ED"/>
    <w:rsid w:val="003F3CC3"/>
    <w:rsid w:val="004022D6"/>
    <w:rsid w:val="00455179"/>
    <w:rsid w:val="00486FC1"/>
    <w:rsid w:val="00491283"/>
    <w:rsid w:val="0049150D"/>
    <w:rsid w:val="004A0660"/>
    <w:rsid w:val="004A15D2"/>
    <w:rsid w:val="004C4886"/>
    <w:rsid w:val="004C5F29"/>
    <w:rsid w:val="004D2801"/>
    <w:rsid w:val="004E6693"/>
    <w:rsid w:val="004F744B"/>
    <w:rsid w:val="00507DEB"/>
    <w:rsid w:val="005144FE"/>
    <w:rsid w:val="00542E86"/>
    <w:rsid w:val="00543E71"/>
    <w:rsid w:val="00546E49"/>
    <w:rsid w:val="005804E8"/>
    <w:rsid w:val="00584079"/>
    <w:rsid w:val="005934F1"/>
    <w:rsid w:val="005B1965"/>
    <w:rsid w:val="005C25A7"/>
    <w:rsid w:val="005E351B"/>
    <w:rsid w:val="00610DE9"/>
    <w:rsid w:val="006239C3"/>
    <w:rsid w:val="00671197"/>
    <w:rsid w:val="006728AA"/>
    <w:rsid w:val="00682916"/>
    <w:rsid w:val="006E13F0"/>
    <w:rsid w:val="00717D2D"/>
    <w:rsid w:val="00750F13"/>
    <w:rsid w:val="00762E83"/>
    <w:rsid w:val="00780FED"/>
    <w:rsid w:val="00786BB5"/>
    <w:rsid w:val="007B17BF"/>
    <w:rsid w:val="007F0061"/>
    <w:rsid w:val="008021C0"/>
    <w:rsid w:val="0083557D"/>
    <w:rsid w:val="008359DF"/>
    <w:rsid w:val="00845E64"/>
    <w:rsid w:val="008477C4"/>
    <w:rsid w:val="00851CAE"/>
    <w:rsid w:val="00865870"/>
    <w:rsid w:val="00866115"/>
    <w:rsid w:val="00887002"/>
    <w:rsid w:val="008F167B"/>
    <w:rsid w:val="008F2D18"/>
    <w:rsid w:val="009225A3"/>
    <w:rsid w:val="009418BC"/>
    <w:rsid w:val="00954301"/>
    <w:rsid w:val="00955290"/>
    <w:rsid w:val="009C3BDE"/>
    <w:rsid w:val="009C5C2A"/>
    <w:rsid w:val="009D7719"/>
    <w:rsid w:val="00A2465B"/>
    <w:rsid w:val="00A32AAD"/>
    <w:rsid w:val="00A35321"/>
    <w:rsid w:val="00A520F9"/>
    <w:rsid w:val="00A55A97"/>
    <w:rsid w:val="00A567F7"/>
    <w:rsid w:val="00AA3943"/>
    <w:rsid w:val="00AA4B09"/>
    <w:rsid w:val="00AF7D2B"/>
    <w:rsid w:val="00B05175"/>
    <w:rsid w:val="00B10FD5"/>
    <w:rsid w:val="00B132FB"/>
    <w:rsid w:val="00B534B1"/>
    <w:rsid w:val="00B55496"/>
    <w:rsid w:val="00B60E39"/>
    <w:rsid w:val="00B72C6F"/>
    <w:rsid w:val="00B934A1"/>
    <w:rsid w:val="00BB57E8"/>
    <w:rsid w:val="00BD4181"/>
    <w:rsid w:val="00BE1DA4"/>
    <w:rsid w:val="00C11639"/>
    <w:rsid w:val="00C1751C"/>
    <w:rsid w:val="00C235DB"/>
    <w:rsid w:val="00C35A6E"/>
    <w:rsid w:val="00C64BAA"/>
    <w:rsid w:val="00C64E93"/>
    <w:rsid w:val="00C651B7"/>
    <w:rsid w:val="00CE08C3"/>
    <w:rsid w:val="00D12C5F"/>
    <w:rsid w:val="00D2184F"/>
    <w:rsid w:val="00D2618A"/>
    <w:rsid w:val="00D26CBE"/>
    <w:rsid w:val="00D442B7"/>
    <w:rsid w:val="00D44AA9"/>
    <w:rsid w:val="00D66379"/>
    <w:rsid w:val="00D74092"/>
    <w:rsid w:val="00DC57E5"/>
    <w:rsid w:val="00DE0EB2"/>
    <w:rsid w:val="00DF31E7"/>
    <w:rsid w:val="00E029E6"/>
    <w:rsid w:val="00E07B7A"/>
    <w:rsid w:val="00E20A1D"/>
    <w:rsid w:val="00E2622B"/>
    <w:rsid w:val="00E3163B"/>
    <w:rsid w:val="00E54B82"/>
    <w:rsid w:val="00E6493F"/>
    <w:rsid w:val="00E8627D"/>
    <w:rsid w:val="00F17A65"/>
    <w:rsid w:val="00F35912"/>
    <w:rsid w:val="00F36014"/>
    <w:rsid w:val="00F436FE"/>
    <w:rsid w:val="00F62261"/>
    <w:rsid w:val="00F907E5"/>
    <w:rsid w:val="00FB2023"/>
    <w:rsid w:val="00FD53C5"/>
    <w:rsid w:val="00FE1EB8"/>
    <w:rsid w:val="00FE4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8900"/>
  <w15:docId w15:val="{EF88F7CD-4C71-4C64-9787-F6153D10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D44AA9"/>
    <w:pPr>
      <w:spacing w:after="0" w:line="240" w:lineRule="auto"/>
    </w:pPr>
  </w:style>
  <w:style w:type="paragraph" w:styleId="PargrafodaLista">
    <w:name w:val="List Paragraph"/>
    <w:basedOn w:val="Normal"/>
    <w:uiPriority w:val="34"/>
    <w:qFormat/>
    <w:rsid w:val="00D44AA9"/>
    <w:pPr>
      <w:ind w:left="720"/>
      <w:contextualSpacing/>
    </w:pPr>
  </w:style>
  <w:style w:type="paragraph" w:customStyle="1" w:styleId="Level4">
    <w:name w:val="Level 4"/>
    <w:basedOn w:val="Normal"/>
    <w:rsid w:val="00491283"/>
    <w:pPr>
      <w:spacing w:after="140" w:line="290" w:lineRule="auto"/>
      <w:jc w:val="both"/>
      <w:outlineLvl w:val="3"/>
    </w:pPr>
    <w:rPr>
      <w:rFonts w:ascii="Arial" w:eastAsia="MS Mincho" w:hAnsi="Arial" w:cs="Arial"/>
      <w:sz w:val="20"/>
      <w:szCs w:val="24"/>
      <w:lang w:eastAsia="pt-BR"/>
    </w:rPr>
  </w:style>
  <w:style w:type="paragraph" w:styleId="Cabealho">
    <w:name w:val="header"/>
    <w:basedOn w:val="Normal"/>
    <w:link w:val="CabealhoChar"/>
    <w:uiPriority w:val="99"/>
    <w:unhideWhenUsed/>
    <w:rsid w:val="004C48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4886"/>
  </w:style>
  <w:style w:type="paragraph" w:styleId="Rodap">
    <w:name w:val="footer"/>
    <w:basedOn w:val="Normal"/>
    <w:link w:val="RodapChar"/>
    <w:uiPriority w:val="99"/>
    <w:unhideWhenUsed/>
    <w:rsid w:val="004C4886"/>
    <w:pPr>
      <w:tabs>
        <w:tab w:val="center" w:pos="4252"/>
        <w:tab w:val="right" w:pos="8504"/>
      </w:tabs>
      <w:spacing w:after="0" w:line="240" w:lineRule="auto"/>
    </w:pPr>
  </w:style>
  <w:style w:type="character" w:customStyle="1" w:styleId="RodapChar">
    <w:name w:val="Rodapé Char"/>
    <w:basedOn w:val="Fontepargpadro"/>
    <w:link w:val="Rodap"/>
    <w:uiPriority w:val="99"/>
    <w:rsid w:val="004C4886"/>
  </w:style>
  <w:style w:type="paragraph" w:customStyle="1" w:styleId="Default">
    <w:name w:val="Default"/>
    <w:rsid w:val="004C48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rsid w:val="007B17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17BF"/>
    <w:rPr>
      <w:rFonts w:ascii="Tahoma" w:hAnsi="Tahoma" w:cs="Tahoma"/>
      <w:sz w:val="16"/>
      <w:szCs w:val="16"/>
    </w:rPr>
  </w:style>
  <w:style w:type="character" w:styleId="Refdecomentrio">
    <w:name w:val="annotation reference"/>
    <w:basedOn w:val="Fontepargpadro"/>
    <w:uiPriority w:val="99"/>
    <w:semiHidden/>
    <w:unhideWhenUsed/>
    <w:rsid w:val="001028B1"/>
    <w:rPr>
      <w:sz w:val="16"/>
      <w:szCs w:val="16"/>
    </w:rPr>
  </w:style>
  <w:style w:type="paragraph" w:styleId="Textodecomentrio">
    <w:name w:val="annotation text"/>
    <w:basedOn w:val="Normal"/>
    <w:link w:val="TextodecomentrioChar"/>
    <w:uiPriority w:val="99"/>
    <w:semiHidden/>
    <w:unhideWhenUsed/>
    <w:rsid w:val="001028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28B1"/>
    <w:rPr>
      <w:sz w:val="20"/>
      <w:szCs w:val="20"/>
    </w:rPr>
  </w:style>
  <w:style w:type="paragraph" w:styleId="Assuntodocomentrio">
    <w:name w:val="annotation subject"/>
    <w:basedOn w:val="Textodecomentrio"/>
    <w:next w:val="Textodecomentrio"/>
    <w:link w:val="AssuntodocomentrioChar"/>
    <w:uiPriority w:val="99"/>
    <w:semiHidden/>
    <w:unhideWhenUsed/>
    <w:rsid w:val="001028B1"/>
    <w:rPr>
      <w:b/>
      <w:bCs/>
    </w:rPr>
  </w:style>
  <w:style w:type="character" w:customStyle="1" w:styleId="AssuntodocomentrioChar">
    <w:name w:val="Assunto do comentário Char"/>
    <w:basedOn w:val="TextodecomentrioChar"/>
    <w:link w:val="Assuntodocomentrio"/>
    <w:uiPriority w:val="99"/>
    <w:semiHidden/>
    <w:rsid w:val="001028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27EC-26EA-41B6-AC39-0BEBA75D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Amorim</dc:creator>
  <cp:keywords/>
  <dc:description/>
  <cp:lastModifiedBy>Andre Datte Amorim</cp:lastModifiedBy>
  <cp:revision>2</cp:revision>
  <dcterms:created xsi:type="dcterms:W3CDTF">2018-12-19T17:54:00Z</dcterms:created>
  <dcterms:modified xsi:type="dcterms:W3CDTF">2018-12-19T17:54:00Z</dcterms:modified>
</cp:coreProperties>
</file>