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r w:rsidRPr="00B2481D">
        <w:rPr>
          <w:i/>
          <w:iCs/>
          <w:color w:val="000000"/>
        </w:rPr>
        <w:t>como Garantidora</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Avenida Itamarati, nº 160, Itacorubi</w:t>
      </w:r>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Avenida Itamarati, nº 160, Itacorubi,</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Emis</w:t>
      </w:r>
      <w:bookmarkStart w:id="5" w:name="_GoBack"/>
      <w:bookmarkEnd w:id="5"/>
      <w:r w:rsidR="00DA24CB" w:rsidRPr="00B2481D">
        <w:rPr>
          <w:color w:val="000000"/>
        </w:rPr>
        <w:t xml:space="preserve">sora </w:t>
      </w:r>
      <w:r w:rsidRPr="00B2481D">
        <w:rPr>
          <w:color w:val="000000"/>
        </w:rPr>
        <w:t xml:space="preserve">para adotar todas e quaisquer medidas e celebrar todos os documentos necessários à Emissão, </w:t>
      </w:r>
      <w:r w:rsidRPr="00B2481D">
        <w:rPr>
          <w:color w:val="000000"/>
        </w:rPr>
        <w:lastRenderedPageBreak/>
        <w:t>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w:t>
      </w:r>
      <w:r w:rsidR="000E3C53" w:rsidRPr="00B2481D">
        <w:rPr>
          <w:color w:val="000000"/>
        </w:rPr>
        <w:lastRenderedPageBreak/>
        <w:t xml:space="preserve">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6" w:name="_Toc496113108"/>
      <w:r w:rsidRPr="00B2481D">
        <w:rPr>
          <w:color w:val="000000"/>
          <w:sz w:val="24"/>
          <w:szCs w:val="24"/>
        </w:rPr>
        <w:t>CLÁUSULA II</w:t>
      </w:r>
      <w:r w:rsidRPr="00B2481D">
        <w:rPr>
          <w:color w:val="000000"/>
          <w:sz w:val="24"/>
          <w:szCs w:val="24"/>
        </w:rPr>
        <w:br/>
        <w:t>REQUISITOS</w:t>
      </w:r>
      <w:bookmarkEnd w:id="6"/>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7" w:name="_DV_M27"/>
      <w:bookmarkStart w:id="8" w:name="_DV_M28"/>
      <w:bookmarkStart w:id="9" w:name="_DV_M29"/>
      <w:bookmarkEnd w:id="7"/>
      <w:bookmarkEnd w:id="8"/>
      <w:bookmarkEnd w:id="9"/>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w:t>
      </w:r>
      <w:r w:rsidR="00821E10" w:rsidRPr="00970D71">
        <w:rPr>
          <w:color w:val="000000"/>
          <w:u w:val="single"/>
        </w:rPr>
        <w:t>Diário Catarinense</w:t>
      </w:r>
      <w:r w:rsidR="00821E10" w:rsidRPr="00B2481D">
        <w:rPr>
          <w:color w:val="000000"/>
        </w:rPr>
        <w:t>”</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p>
    <w:p w:rsidR="007D66BD" w:rsidRPr="00B2481D" w:rsidRDefault="007D66BD" w:rsidP="00AC018B">
      <w:pPr>
        <w:spacing w:line="312" w:lineRule="auto"/>
      </w:pPr>
    </w:p>
    <w:p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r w:rsidR="00970D71">
        <w:t>PDF</w:t>
      </w:r>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xml:space="preserve">”), sendo a </w:t>
      </w:r>
      <w:r w:rsidR="00325C14">
        <w:rPr>
          <w:color w:val="000000"/>
        </w:rPr>
        <w:t xml:space="preserve">distribuição, as negociações, a </w:t>
      </w:r>
      <w:r w:rsidRPr="00B2481D">
        <w:rPr>
          <w:color w:val="000000"/>
        </w:rPr>
        <w:t>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subscrição ou aquisição</w:t>
      </w:r>
      <w:r w:rsidR="00325C14">
        <w:rPr>
          <w:color w:val="000000"/>
        </w:rPr>
        <w:t xml:space="preserve"> pelo Investidor </w:t>
      </w:r>
      <w:r w:rsidR="00325C14">
        <w:rPr>
          <w:color w:val="000000"/>
        </w:rPr>
        <w:lastRenderedPageBreak/>
        <w:t>Profissional</w:t>
      </w:r>
      <w:r w:rsidRPr="00B2481D">
        <w:rPr>
          <w:color w:val="000000"/>
        </w:rPr>
        <w:t xml:space="preserve">,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Default="00F96F1E" w:rsidP="00AC018B">
      <w:pPr>
        <w:spacing w:line="312" w:lineRule="auto"/>
        <w:rPr>
          <w:color w:val="000000"/>
        </w:rPr>
      </w:pPr>
    </w:p>
    <w:p w:rsidR="00325C14" w:rsidRDefault="00325C14" w:rsidP="00325C14">
      <w:pPr>
        <w:pStyle w:val="Saudao"/>
        <w:numPr>
          <w:ilvl w:val="0"/>
          <w:numId w:val="5"/>
        </w:numPr>
        <w:tabs>
          <w:tab w:val="left" w:pos="720"/>
          <w:tab w:val="left" w:pos="2366"/>
        </w:tabs>
        <w:spacing w:line="312" w:lineRule="auto"/>
        <w:ind w:left="0" w:firstLine="0"/>
        <w:rPr>
          <w:color w:val="000000"/>
        </w:rPr>
      </w:pPr>
      <w:r w:rsidRPr="002D59E6">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eventual adquirente das Debêntures no mercado secundário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atualizado pela respectiva Remuneração (conforme abaixo definida).</w:t>
      </w:r>
      <w:r>
        <w:t xml:space="preserve"> </w:t>
      </w:r>
    </w:p>
    <w:p w:rsidR="00325C14" w:rsidRPr="00B2481D" w:rsidRDefault="00325C14"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10" w:name="_DV_M65"/>
      <w:bookmarkStart w:id="11" w:name="_DV_M66"/>
      <w:bookmarkStart w:id="12" w:name="_DV_M67"/>
      <w:bookmarkStart w:id="13" w:name="_DV_M68"/>
      <w:bookmarkStart w:id="14" w:name="_DV_M69"/>
      <w:bookmarkStart w:id="15" w:name="_DV_M70"/>
      <w:bookmarkStart w:id="16" w:name="_DV_M71"/>
      <w:bookmarkStart w:id="17" w:name="_DV_M72"/>
      <w:bookmarkStart w:id="18" w:name="_DV_M74"/>
      <w:bookmarkEnd w:id="10"/>
      <w:bookmarkEnd w:id="11"/>
      <w:bookmarkEnd w:id="12"/>
      <w:bookmarkEnd w:id="13"/>
      <w:bookmarkEnd w:id="14"/>
      <w:bookmarkEnd w:id="15"/>
      <w:bookmarkEnd w:id="16"/>
      <w:bookmarkEnd w:id="17"/>
      <w:bookmarkEnd w:id="18"/>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(ii)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19" w:name="_Toc496113109"/>
      <w:r w:rsidRPr="00B2481D">
        <w:rPr>
          <w:color w:val="000000"/>
          <w:sz w:val="24"/>
          <w:szCs w:val="24"/>
        </w:rPr>
        <w:t>CLÁUSULA III</w:t>
      </w:r>
      <w:r w:rsidRPr="00B2481D">
        <w:rPr>
          <w:color w:val="000000"/>
          <w:sz w:val="24"/>
          <w:szCs w:val="24"/>
        </w:rPr>
        <w:br/>
        <w:t>CARACTERÍSTICAS DA EMISSÃO</w:t>
      </w:r>
      <w:bookmarkEnd w:id="19"/>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especificamente à repotenciação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Completa e perfeita implantação da Ampliação da PCH Celso Ramos. A Usina Celso Ramos está localizada no Rio Chapecozinho,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PargrafodaLista"/>
        <w:tabs>
          <w:tab w:val="left" w:pos="2366"/>
        </w:tabs>
        <w:spacing w:line="312" w:lineRule="auto"/>
        <w:ind w:left="720"/>
        <w:jc w:val="both"/>
        <w:rPr>
          <w:rFonts w:eastAsiaTheme="minorEastAsia"/>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lastRenderedPageBreak/>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e </w:t>
      </w:r>
    </w:p>
    <w:p w:rsidR="00844D70" w:rsidRDefault="00844D70" w:rsidP="00844D70">
      <w:pPr>
        <w:pStyle w:val="PargrafodaLista"/>
        <w:tabs>
          <w:tab w:val="left" w:pos="2366"/>
        </w:tabs>
        <w:spacing w:line="312" w:lineRule="auto"/>
        <w:ind w:left="720"/>
        <w:jc w:val="both"/>
        <w:rPr>
          <w:b/>
          <w:bCs/>
          <w:color w:val="000000"/>
        </w:rPr>
      </w:pPr>
    </w:p>
    <w:p w:rsid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E77204" w:rsidP="00844D70">
      <w:pPr>
        <w:tabs>
          <w:tab w:val="left" w:pos="2366"/>
        </w:tabs>
        <w:spacing w:line="312" w:lineRule="auto"/>
        <w:jc w:val="both"/>
      </w:pPr>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20" w:name="_Hlk517351169"/>
      <w:r w:rsidR="001B732C" w:rsidRPr="00B2481D">
        <w:rPr>
          <w:color w:val="000000"/>
        </w:rPr>
        <w:t>Banco BOCOM BBM S.A</w:t>
      </w:r>
      <w:r w:rsidR="00107EA7" w:rsidRPr="00B2481D">
        <w:rPr>
          <w:color w:val="000000"/>
        </w:rPr>
        <w:t>.</w:t>
      </w:r>
      <w:bookmarkEnd w:id="20"/>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1" w:name="_Hlk517351152"/>
      <w:r w:rsidR="005A3246" w:rsidRPr="00B2481D">
        <w:t>.</w:t>
      </w:r>
      <w:bookmarkEnd w:id="21"/>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lastRenderedPageBreak/>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lastRenderedPageBreak/>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PargrafodaLista"/>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(ii) as Debêntures estão sujeitas a restrições de negociação previstas na regulamentação aplicável e nesta Escritura de Emissão; e (iii)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Procedimento de Bookbulding</w:t>
      </w:r>
      <w:r w:rsidR="00CB5A68">
        <w:rPr>
          <w:color w:val="000000"/>
        </w:rPr>
        <w:t xml:space="preserve">”). </w:t>
      </w:r>
      <w:r w:rsidR="00AF57F1" w:rsidRPr="00AF57F1">
        <w:rPr>
          <w:color w:val="000000"/>
        </w:rPr>
        <w:t xml:space="preserve">O resultado do Procedimento de </w:t>
      </w:r>
      <w:r w:rsidR="00AF57F1" w:rsidRPr="00AF57F1">
        <w:rPr>
          <w:i/>
          <w:color w:val="000000"/>
        </w:rPr>
        <w:t>Bookbuilding</w:t>
      </w:r>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970D71">
        <w:rPr>
          <w:color w:val="000000"/>
        </w:rPr>
        <w:t xml:space="preserve"> e os Cartórios de RTD</w:t>
      </w:r>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r w:rsidR="009B4B95" w:rsidRPr="00B2481D">
        <w:rPr>
          <w:b/>
          <w:bCs/>
          <w:color w:val="000000"/>
        </w:rPr>
        <w:t>Escriturador</w:t>
      </w:r>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instituição financeira com sede na Cidade de São Paulo, Estado de São Paulo, na Praça Alfredo Egydio de Souza Aranha 100, Torre Olavo Setubal,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escriturador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r w:rsidRPr="007A3C58">
        <w:rPr>
          <w:color w:val="000000"/>
          <w:u w:val="single"/>
        </w:rPr>
        <w:t>Escriturador</w:t>
      </w:r>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As definições constantes desta Cláusula incluem qualquer outra instituição que venha a suceder o Banco Liquidante e/ou o Escriturador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22" w:name="_DV_M124"/>
      <w:bookmarkEnd w:id="22"/>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 xml:space="preserve">projetos, construção e operação de usinas produtoras de energia elétrica, bem como a celebração de atos de comércio decorrentes dessas atividades; (ii) participar de </w:t>
      </w:r>
      <w:r w:rsidR="00532FA9" w:rsidRPr="00B2481D">
        <w:rPr>
          <w:color w:val="000000"/>
        </w:rPr>
        <w:t xml:space="preserve">pesquisas </w:t>
      </w:r>
      <w:r w:rsidR="00D74835" w:rsidRPr="00B2481D">
        <w:rPr>
          <w:color w:val="000000"/>
        </w:rPr>
        <w:t xml:space="preserve">científicas e tecnológicas de sistemas alternativos ligados à geração de energia elétrica, bem como de estudos de aproveitamento de reservatórios para esse fim; (iii) operar os sistemas diretamente, através de subsidiárias, empresas associadas ou e cooperação; (iv)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(vii)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xml:space="preserve">, os Encargos Moratórios, verbas de caráter </w:t>
      </w:r>
      <w:r w:rsidR="00740C60" w:rsidRPr="00B2481D">
        <w:lastRenderedPageBreak/>
        <w:t>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(ii) da data de declaração de vencimento antecipado das Debêntures</w:t>
      </w:r>
      <w:r w:rsidR="00243E7C" w:rsidRPr="00B2481D">
        <w:t xml:space="preserve">; ou (iii)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3" w:name="_DV_M602"/>
      <w:bookmarkEnd w:id="23"/>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(ii)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r w:rsidR="00970D71" w:rsidRPr="00970D71">
        <w:rPr>
          <w:b/>
          <w:smallCaps/>
        </w:rPr>
        <w:t>[</w:t>
      </w:r>
      <w:r w:rsidR="00970D71" w:rsidRPr="00970D71">
        <w:rPr>
          <w:b/>
          <w:smallCaps/>
          <w:highlight w:val="green"/>
        </w:rPr>
        <w:t xml:space="preserve">Nota BOCOM BBM: </w:t>
      </w:r>
      <w:r w:rsidR="00970D71">
        <w:rPr>
          <w:b/>
          <w:smallCaps/>
          <w:highlight w:val="green"/>
        </w:rPr>
        <w:t>a</w:t>
      </w:r>
      <w:r w:rsidR="00970D71" w:rsidRPr="00970D71">
        <w:rPr>
          <w:b/>
          <w:smallCaps/>
          <w:highlight w:val="green"/>
        </w:rPr>
        <w:t>qui é independente de tal informação/confirmação</w:t>
      </w:r>
      <w:r w:rsidR="00970D71" w:rsidRPr="00970D71">
        <w:rPr>
          <w:b/>
          <w:smallCaps/>
        </w:rPr>
        <w:t>]</w:t>
      </w:r>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r w:rsidR="002B042A" w:rsidRPr="002B042A">
        <w:rPr>
          <w:b/>
          <w:smallCaps/>
        </w:rPr>
        <w:t>[</w:t>
      </w:r>
      <w:r w:rsidR="002B042A" w:rsidRPr="002B042A">
        <w:rPr>
          <w:b/>
          <w:smallCaps/>
          <w:highlight w:val="cyan"/>
        </w:rPr>
        <w:t xml:space="preserve">Nota CELESC: Dúvidas tributárias serão sanadas fora da Escritura, via e-mail. Celesc ainda não </w:t>
      </w:r>
      <w:r w:rsidR="002B042A" w:rsidRPr="002B042A">
        <w:rPr>
          <w:b/>
          <w:smallCaps/>
          <w:highlight w:val="cyan"/>
        </w:rPr>
        <w:lastRenderedPageBreak/>
        <w:t>recebeu essas informações. Aguardando</w:t>
      </w:r>
      <w:r w:rsidR="002B042A" w:rsidRPr="002B042A">
        <w:rPr>
          <w:b/>
          <w:smallCaps/>
        </w:rPr>
        <w:t>]</w:t>
      </w:r>
      <w:r w:rsidR="007079A0">
        <w:rPr>
          <w:b/>
          <w:smallCaps/>
        </w:rPr>
        <w:t xml:space="preserve"> [</w:t>
      </w:r>
      <w:r w:rsidR="007079A0" w:rsidRPr="007079A0">
        <w:rPr>
          <w:b/>
          <w:smallCaps/>
          <w:highlight w:val="yellow"/>
        </w:rPr>
        <w:t>Nota VBSO: Item a ser enviado em e-mail apartado</w:t>
      </w:r>
      <w:r w:rsidR="007079A0">
        <w:rPr>
          <w:b/>
          <w:smallCaps/>
        </w:rPr>
        <w:t>]</w:t>
      </w:r>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24"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4"/>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5" w:name="_Ref147892691"/>
      <w:r w:rsidRPr="00B2481D">
        <w:rPr>
          <w:bCs/>
          <w:i/>
          <w:iCs/>
          <w:color w:val="000000"/>
        </w:rPr>
        <w:lastRenderedPageBreak/>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pro rata temporis</w:t>
      </w:r>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r w:rsidRPr="00A845F1">
        <w:t>VNa = VNe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26" w:name="_DV_M251"/>
      <w:bookmarkEnd w:id="26"/>
      <w:r w:rsidRPr="00A845F1">
        <w:t>VNa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VNe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27" w:name="_DV_M253"/>
      <w:bookmarkEnd w:id="27"/>
      <w:r w:rsidRPr="00A845F1">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BC51A5"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5945775"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lastRenderedPageBreak/>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r w:rsidRPr="00A845F1">
        <w:t xml:space="preserve">dup = número de Dias </w:t>
      </w:r>
      <w:r w:rsidRPr="004625BA">
        <w:t>Úteis entre a Data da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“dup”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4625BA">
        <w:t xml:space="preserve">dut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“dut”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w:t>
      </w:r>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BC51A5"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t>O</w:t>
      </w:r>
      <w:r w:rsidRPr="00A845F1">
        <w:t xml:space="preserve"> produtório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NIk não houver sido divulgado, deverá ser utilizado em substituição ao NIk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r w:rsidRPr="00A845F1">
        <w:rPr>
          <w:vertAlign w:val="subscript"/>
          <w:lang w:val="es-ES_tradnl"/>
        </w:rPr>
        <w:t>kp</w:t>
      </w:r>
      <w:r w:rsidRPr="00A845F1">
        <w:rPr>
          <w:lang w:val="es-ES_tradnl"/>
        </w:rPr>
        <w:t xml:space="preserve"> = NI </w:t>
      </w:r>
      <w:r w:rsidRPr="00A845F1">
        <w:rPr>
          <w:vertAlign w:val="subscript"/>
          <w:lang w:val="es-ES_tradnl"/>
        </w:rPr>
        <w:t>k-1</w:t>
      </w:r>
      <w:r w:rsidRPr="00A845F1">
        <w:rPr>
          <w:lang w:val="es-ES_tradnl"/>
        </w:rPr>
        <w:t xml:space="preserve"> x (1+ </w:t>
      </w:r>
      <w:r w:rsidR="001D2F76">
        <w:rPr>
          <w:lang w:val="es-ES_tradnl"/>
        </w:rPr>
        <w:t>P</w:t>
      </w:r>
      <w:r w:rsidR="001D2F76" w:rsidRPr="00A845F1">
        <w:rPr>
          <w:lang w:val="es-ES_tradnl"/>
        </w:rPr>
        <w:t>rojeção</w:t>
      </w:r>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NI</w:t>
            </w:r>
            <w:r w:rsidRPr="00A845F1">
              <w:rPr>
                <w:iCs/>
                <w:vertAlign w:val="subscript"/>
              </w:rPr>
              <w:t>Kp</w:t>
            </w:r>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9F6F00">
        <w:rPr>
          <w:color w:val="000000"/>
        </w:rPr>
        <w:t>Na ausência de apuração e/ou divulgação do IPCA por prazo superior a 10 (dez) Dias Úteis contados da data esperada para sua apuração e/ou divulgação</w:t>
      </w:r>
      <w:r w:rsidRPr="00A845F1">
        <w:rPr>
          <w:color w:val="000000"/>
        </w:rPr>
        <w:t>,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w:t>
      </w:r>
      <w:r w:rsidRPr="00A845F1">
        <w:rPr>
          <w:color w:val="000000"/>
        </w:rPr>
        <w:lastRenderedPageBreak/>
        <w:t xml:space="preserve">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(ii) deliberar sobre o índice indicado pela ANEEL (em qualquer dos casos indicados nos itens (i) e (ii), “</w:t>
      </w:r>
      <w:r w:rsidRPr="006D49E4">
        <w:rPr>
          <w:color w:val="000000"/>
          <w:u w:val="single"/>
        </w:rPr>
        <w:t>Taxa Substitutiva</w:t>
      </w:r>
      <w:r w:rsidRPr="00A845F1">
        <w:rPr>
          <w:color w:val="00000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r w:rsidR="009F6F00" w:rsidRPr="009F6F00">
        <w:rPr>
          <w:color w:val="000000"/>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r w:rsidR="009F6F00">
        <w:rPr>
          <w:color w:val="000000"/>
        </w:rPr>
        <w:t>.</w:t>
      </w:r>
      <w:r w:rsidR="005F1FBF">
        <w:rPr>
          <w:color w:val="000000"/>
        </w:rPr>
        <w:t xml:space="preserve"> </w:t>
      </w:r>
      <w:r w:rsidR="005F1FBF" w:rsidRPr="005F1FBF">
        <w:rPr>
          <w:b/>
          <w:smallCaps/>
          <w:color w:val="000000"/>
        </w:rPr>
        <w:t>[</w:t>
      </w:r>
      <w:r w:rsidR="009F6F00" w:rsidRPr="009F6F00">
        <w:rPr>
          <w:b/>
          <w:smallCaps/>
          <w:color w:val="000000"/>
          <w:highlight w:val="yellow"/>
        </w:rPr>
        <w:t>Nota VBSO: Ajustes feitos conforme sugestão do BOCOM BBM, referente ao comentário da B3</w:t>
      </w:r>
      <w:r w:rsidR="00A51655">
        <w:rPr>
          <w:b/>
          <w:smallCaps/>
          <w:color w:val="000000"/>
        </w:rPr>
        <w:t>]</w:t>
      </w:r>
      <w:r w:rsidR="009F6F00">
        <w:rPr>
          <w:b/>
          <w:smallCaps/>
          <w:color w:val="000000"/>
        </w:rPr>
        <w:t xml:space="preserve"> </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PargrafodaLista"/>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w:t>
      </w:r>
      <w:r w:rsidRPr="00A845F1">
        <w:rPr>
          <w:color w:val="000000"/>
        </w:rPr>
        <w:lastRenderedPageBreak/>
        <w:t xml:space="preserve">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pro rata temporis</w:t>
      </w:r>
      <w:r w:rsidRPr="00A845F1">
        <w:rPr>
          <w:color w:val="000000"/>
        </w:rPr>
        <w:t>, a partir da Data da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rsidR="006D1F84" w:rsidRPr="00A845F1" w:rsidRDefault="006D1F84" w:rsidP="00AC018B">
      <w:pPr>
        <w:tabs>
          <w:tab w:val="num" w:pos="1080"/>
        </w:tabs>
        <w:spacing w:line="312" w:lineRule="auto"/>
        <w:ind w:left="108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lastRenderedPageBreak/>
        <w:t>Juros Remuneratórios</w:t>
      </w:r>
      <w:r w:rsidR="00E77204" w:rsidRPr="00A845F1">
        <w:rPr>
          <w:color w:val="000000"/>
        </w:rPr>
        <w:t xml:space="preserve">: </w:t>
      </w:r>
      <w:bookmarkStart w:id="28" w:name="_DV_M176"/>
      <w:bookmarkStart w:id="29" w:name="_DV_M182"/>
      <w:bookmarkStart w:id="30" w:name="_DV_M184"/>
      <w:bookmarkEnd w:id="28"/>
      <w:bookmarkEnd w:id="29"/>
      <w:bookmarkEnd w:id="30"/>
      <w:r w:rsidR="006A5BF8" w:rsidRPr="00A845F1">
        <w:t xml:space="preserve">Sobre o Valor Nominal Atualizado das Debêntures </w:t>
      </w:r>
      <w:r w:rsidR="006A5BF8" w:rsidRPr="0008704C">
        <w:t>incidirão juros remuneratórios prefixados, a serem definidos de acordo com o Procedimento de Bookbuilding,</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r w:rsidR="006A5BF8" w:rsidRPr="009A538A">
        <w:rPr>
          <w:i/>
          <w:iCs/>
        </w:rPr>
        <w:t>Bookbuilding</w:t>
      </w:r>
      <w:r w:rsidR="006A5BF8" w:rsidRPr="00A845F1">
        <w:t xml:space="preserve">, acrescida exponencialmente de um </w:t>
      </w:r>
      <w:r w:rsidR="006A5BF8" w:rsidRPr="009A538A">
        <w:rPr>
          <w:i/>
          <w:iCs/>
        </w:rPr>
        <w:t>spread</w:t>
      </w:r>
      <w:r w:rsidR="006A5BF8" w:rsidRPr="00A845F1">
        <w:t xml:space="preserve"> equivalente a 1,60% (um inteiro e sessenta centésimos por cento) ao ano, base 252 (duzentos e cinquenta e dois) Dias Úteis; e (ii) </w:t>
      </w:r>
      <w:r w:rsidR="00970D71">
        <w:t>IPCA acrescid</w:t>
      </w:r>
      <w:r w:rsidR="009A538A">
        <w:t>a</w:t>
      </w:r>
      <w:r w:rsidR="00970D71">
        <w:t xml:space="preserve"> </w:t>
      </w:r>
      <w:r w:rsidR="009A538A">
        <w:t xml:space="preserve">exponencialmente </w:t>
      </w:r>
      <w:r w:rsidR="00970D71">
        <w:t xml:space="preserve">de um </w:t>
      </w:r>
      <w:r w:rsidR="00970D71" w:rsidRPr="00970D71">
        <w:rPr>
          <w:i/>
        </w:rPr>
        <w:t>spread</w:t>
      </w:r>
      <w:r w:rsidR="00970D71">
        <w:t xml:space="preserve"> </w:t>
      </w:r>
      <w:r w:rsidR="009A538A">
        <w:t xml:space="preserve">equivalente a </w:t>
      </w:r>
      <w:r w:rsidR="006A5BF8" w:rsidRPr="00A845F1">
        <w:t>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r w:rsidR="006A4E05" w:rsidRPr="006A4E05">
        <w:rPr>
          <w:b/>
          <w:smallCaps/>
          <w:color w:val="000000"/>
        </w:rPr>
        <w:t>[</w:t>
      </w:r>
      <w:r w:rsidR="006A4E05" w:rsidRPr="006A4E05">
        <w:rPr>
          <w:b/>
          <w:smallCaps/>
          <w:color w:val="000000"/>
          <w:highlight w:val="green"/>
        </w:rPr>
        <w:t>Nota BOCOM BBM: Aqui é o maior entre, portanto, precisamos mencionar qual é o indexador dentro do item (ii)</w:t>
      </w:r>
      <w:r w:rsidR="006A4E05" w:rsidRPr="006A4E05">
        <w:rPr>
          <w:b/>
          <w:smallCaps/>
          <w:color w:val="000000"/>
        </w:rPr>
        <w:t>]</w:t>
      </w:r>
      <w:r w:rsidR="009A538A">
        <w:rPr>
          <w:b/>
          <w:smallCaps/>
          <w:color w:val="000000"/>
        </w:rPr>
        <w:t xml:space="preserve"> [</w:t>
      </w:r>
      <w:r w:rsidR="009A538A" w:rsidRPr="009A538A">
        <w:rPr>
          <w:b/>
          <w:smallCaps/>
          <w:color w:val="000000"/>
          <w:highlight w:val="yellow"/>
        </w:rPr>
        <w:t>Nota VBSO: Ajuste realizado neste sentido.</w:t>
      </w:r>
      <w:r w:rsidR="009A538A">
        <w:rPr>
          <w:b/>
          <w:smallCaps/>
          <w:color w:val="000000"/>
        </w:rPr>
        <w:t>]</w:t>
      </w:r>
    </w:p>
    <w:p w:rsidR="000A6FEB" w:rsidRPr="00A845F1" w:rsidRDefault="000A6FEB" w:rsidP="00AC018B">
      <w:pPr>
        <w:tabs>
          <w:tab w:val="num" w:pos="1004"/>
        </w:tabs>
        <w:spacing w:line="312" w:lineRule="auto"/>
        <w:jc w:val="both"/>
        <w:rPr>
          <w:color w:val="000000"/>
        </w:rPr>
      </w:pPr>
    </w:p>
    <w:p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pro rata temporis</w:t>
      </w:r>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J = VNa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r w:rsidRPr="00A845F1">
        <w:rPr>
          <w:rFonts w:eastAsia="Arial Unicode MS"/>
        </w:rPr>
        <w:t>VNa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75pt;height:58.5pt;mso-width-percent:0;mso-height-percent:0;mso-width-percent:0;mso-height-percent:0" o:ole="" fillcolor="window">
            <v:imagedata r:id="rId12" o:title=""/>
          </v:shape>
          <o:OLEObject Type="Embed" ProgID="Equation.3" ShapeID="_x0000_i1026" DrawAspect="Content" ObjectID="_1645945774"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r w:rsidRPr="00A845F1">
        <w:rPr>
          <w:i/>
        </w:rPr>
        <w:t>Bookbuilding,</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Integralização, a Data de Incorporação imediatamente anterior ou a Data de Pagamento dos Juros Remuneratórios imediatamente anterior, conforme o caso, e a data atual, sendo “DP” um número inteiro.</w:t>
      </w:r>
    </w:p>
    <w:p w:rsidR="00E77204" w:rsidRDefault="00BC51A5" w:rsidP="006D49E4">
      <w:pPr>
        <w:tabs>
          <w:tab w:val="num" w:pos="1004"/>
        </w:tabs>
        <w:spacing w:line="312" w:lineRule="auto"/>
        <w:jc w:val="both"/>
        <w:rPr>
          <w:color w:val="000000"/>
        </w:rPr>
      </w:pPr>
      <w:hyperlink w:history="1"/>
      <w:bookmarkEnd w:id="25"/>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como sendo o intervalo de tempo que se inicia na Data da Integralização, no caso do primeiro Período de Capitalização das Debêntures, ou na Data de Pagamento de Juros Remuneratórios imediatamente anterior, no caso dos demais Períodos de Capitalização das Debêntures,</w:t>
      </w:r>
      <w:r w:rsidR="00865CF1">
        <w:t xml:space="preserve"> inclusive,</w:t>
      </w:r>
      <w:r w:rsidRPr="00A845F1">
        <w:t xml:space="preserve"> e termina na Data de Pagamento de Juros Remuneratórios correspondente ao período em questão</w:t>
      </w:r>
      <w:r w:rsidR="00865CF1">
        <w:t>, exclusive</w:t>
      </w:r>
      <w:r w:rsidRPr="00A845F1">
        <w:t xml:space="preserve">.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r>
      <w:r w:rsidR="00C2448E" w:rsidRPr="00A845F1">
        <w:t xml:space="preserve">Os Juros Remuneratórios das Debêntures serão </w:t>
      </w:r>
      <w:r w:rsidR="00C2448E">
        <w:t xml:space="preserve">devidos </w:t>
      </w:r>
      <w:r w:rsidR="00C2448E" w:rsidRPr="00A845F1">
        <w:t xml:space="preserve">no dia </w:t>
      </w:r>
      <w:r w:rsidR="00C2448E" w:rsidRPr="00A845F1">
        <w:rPr>
          <w:smallCaps/>
        </w:rPr>
        <w:t>15</w:t>
      </w:r>
      <w:r w:rsidR="00C2448E" w:rsidRPr="00A845F1">
        <w:t xml:space="preserve"> (quinze) dos meses de </w:t>
      </w:r>
      <w:r w:rsidR="00C2448E" w:rsidRPr="006A4E05">
        <w:t>junho e dezembro</w:t>
      </w:r>
      <w:r w:rsidR="00C2448E" w:rsidRPr="00A845F1">
        <w:t xml:space="preserve"> de cada ano, sendo </w:t>
      </w:r>
      <w:r w:rsidR="00C2448E">
        <w:t>o primeiro pagamento realizado em</w:t>
      </w:r>
      <w:r w:rsidR="00C2448E" w:rsidRPr="00A845F1">
        <w:t xml:space="preserve"> </w:t>
      </w:r>
      <w:r w:rsidR="00C2448E" w:rsidRPr="006A4E05">
        <w:rPr>
          <w:smallCaps/>
        </w:rPr>
        <w:t xml:space="preserve">15 </w:t>
      </w:r>
      <w:r w:rsidR="00C2448E" w:rsidRPr="006A4E05">
        <w:t>de junho de</w:t>
      </w:r>
      <w:r w:rsidR="00C2448E" w:rsidRPr="006A4E05">
        <w:rPr>
          <w:smallCaps/>
        </w:rPr>
        <w:t xml:space="preserve"> 2020</w:t>
      </w:r>
      <w:r w:rsidR="00C2448E">
        <w:rPr>
          <w:smallCaps/>
        </w:rPr>
        <w:t xml:space="preserve"> </w:t>
      </w:r>
      <w:r w:rsidR="00C2448E">
        <w:t>e</w:t>
      </w:r>
      <w:r w:rsidR="00C2448E" w:rsidRPr="00A845F1">
        <w:t xml:space="preserve"> o último pagamento realizado na Data de Vencimento das Debêntures (cada uma dessas datas, uma “</w:t>
      </w:r>
      <w:r w:rsidR="00C2448E" w:rsidRPr="00A845F1">
        <w:rPr>
          <w:u w:val="single"/>
        </w:rPr>
        <w:t>Data de Pagamento dos Juros Remuneratórios</w:t>
      </w:r>
      <w:r w:rsidR="00C2448E" w:rsidRPr="00A845F1">
        <w:t>”</w:t>
      </w:r>
      <w:r w:rsidR="00EA7DDA">
        <w:t>)</w:t>
      </w:r>
      <w:r w:rsidR="00C2448E" w:rsidRPr="00A845F1">
        <w:t>. Farão jus aos Juros Remuneratórios aqueles que forem titulares de Debêntures ao final do Dia Útil imediatamente anterior à Data de Pagamento dos Juros Remuneratórios.</w:t>
      </w:r>
      <w:r w:rsidRPr="00A845F1">
        <w:t xml:space="preserve"> </w:t>
      </w:r>
      <w:r w:rsidR="00C2448E">
        <w:rPr>
          <w:b/>
          <w:smallCaps/>
        </w:rPr>
        <w:t>[</w:t>
      </w:r>
      <w:r w:rsidR="00C2448E" w:rsidRPr="00C2448E">
        <w:rPr>
          <w:b/>
          <w:smallCaps/>
          <w:highlight w:val="lightGray"/>
        </w:rPr>
        <w:t>Nota VBSO: Ajustes propostos pelo Agente Fiduciário</w:t>
      </w:r>
      <w:r w:rsidR="00C2448E">
        <w:rPr>
          <w:b/>
          <w:smallCaps/>
        </w:rPr>
        <w:t>]</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r w:rsidR="00AB5D91" w:rsidRPr="006A4E05">
        <w:rPr>
          <w:color w:val="000000"/>
        </w:rPr>
        <w:t>semestrais e consecutivas</w:t>
      </w:r>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r w:rsidR="006A4E05" w:rsidRPr="006A4E05">
        <w:rPr>
          <w:b/>
          <w:smallCaps/>
          <w:color w:val="000000"/>
        </w:rPr>
        <w:t>[</w:t>
      </w:r>
      <w:r w:rsidR="006A4E05" w:rsidRPr="006A4E05">
        <w:rPr>
          <w:b/>
          <w:smallCaps/>
          <w:color w:val="000000"/>
          <w:highlight w:val="green"/>
        </w:rPr>
        <w:t>Nota BOCOM BBM: As parcelas serão semestrais, sendo o primeiro pagamento devido no 30º mês contado da Data de Emissão. Time CELESC, favor indicar uma se a data de emissão de 02/03 funciona para vocês</w:t>
      </w:r>
      <w:r w:rsidR="006A4E05" w:rsidRPr="006A4E05">
        <w:rPr>
          <w:b/>
          <w:smallCaps/>
          <w:color w:val="000000"/>
        </w:rPr>
        <w:t>]</w:t>
      </w:r>
      <w:r w:rsidR="0050119F">
        <w:rPr>
          <w:b/>
          <w:smallCaps/>
          <w:color w:val="000000"/>
        </w:rPr>
        <w:t xml:space="preserve"> [</w:t>
      </w:r>
      <w:r w:rsidR="0050119F" w:rsidRPr="0050119F">
        <w:rPr>
          <w:b/>
          <w:smallCaps/>
          <w:color w:val="000000"/>
          <w:highlight w:val="cyan"/>
        </w:rPr>
        <w:t>Nota CELESC: Seria 02/04?</w:t>
      </w:r>
      <w:r w:rsidR="0050119F">
        <w:rPr>
          <w:b/>
          <w:smallCaps/>
          <w:color w:val="000000"/>
        </w:rPr>
        <w:t>]</w:t>
      </w:r>
    </w:p>
    <w:p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rPr>
                <w:smallCaps/>
              </w:rPr>
              <w:t>100,0000%</w:t>
            </w:r>
          </w:p>
        </w:tc>
      </w:tr>
    </w:tbl>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pelo Escriturador</w:t>
      </w:r>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lastRenderedPageBreak/>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w:t>
      </w:r>
      <w:r w:rsidR="00865CF1" w:rsidRPr="00865CF1">
        <w:rPr>
          <w:color w:val="000000"/>
        </w:rPr>
        <w:t xml:space="preserve"> </w:t>
      </w:r>
      <w:r w:rsidR="00865CF1">
        <w:rPr>
          <w:color w:val="000000"/>
        </w:rPr>
        <w:t xml:space="preserve">inclusive para fins de cálculo, </w:t>
      </w:r>
      <w:r w:rsidRPr="00B2481D">
        <w:rPr>
          <w:color w:val="000000"/>
        </w:rPr>
        <w:t>qualquer dia que não seja sábado, domingo ou feriado declarado nacional; (ii) com relação a qualquer obrigação pecuniária que não seja realizada por meio da B3, qualquer dia no qual haja expediente nos bancos comerciais na Cidade de Florianópolis, Estado de Santa Catarina; e (iii)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pro rata temporis</w:t>
      </w:r>
      <w:r w:rsidRPr="00B2481D">
        <w:rPr>
          <w:color w:val="000000"/>
        </w:rPr>
        <w:t>, desde a data de inadimplemento até a data do efetivo pagamento; e (ii)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31" w:name="_DV_M210"/>
      <w:bookmarkEnd w:id="31"/>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lastRenderedPageBreak/>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pelo Escriturador</w:t>
      </w:r>
      <w:r w:rsidRPr="00B2481D">
        <w:rPr>
          <w:color w:val="000000"/>
        </w:rPr>
        <w:t xml:space="preserve">. </w:t>
      </w:r>
      <w:r w:rsidRPr="00B2481D">
        <w:rPr>
          <w:color w:val="000000"/>
        </w:rPr>
        <w:lastRenderedPageBreak/>
        <w:t xml:space="preserve">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32"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 xml:space="preserve">o(s) mesmo(s) deverá(ão)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32"/>
    </w:p>
    <w:p w:rsidR="00AB48E3" w:rsidRPr="00B2481D" w:rsidRDefault="00AB48E3" w:rsidP="00AC018B">
      <w:pPr>
        <w:pStyle w:val="PargrafodaLista"/>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r w:rsidR="0050119F">
        <w:t xml:space="preserve"> </w:t>
      </w:r>
      <w:r w:rsidR="0050119F" w:rsidRPr="0050119F">
        <w:rPr>
          <w:b/>
          <w:smallCaps/>
        </w:rPr>
        <w:t>[</w:t>
      </w:r>
      <w:r w:rsidR="0050119F" w:rsidRPr="0050119F">
        <w:rPr>
          <w:b/>
          <w:smallCaps/>
          <w:highlight w:val="cyan"/>
        </w:rPr>
        <w:t>Nota CELESC: Como é feita essa comprovação?</w:t>
      </w:r>
      <w:r w:rsidR="0050119F" w:rsidRPr="0050119F">
        <w:rPr>
          <w:b/>
          <w:smallCaps/>
        </w:rPr>
        <w:t>]</w:t>
      </w:r>
      <w:r w:rsidR="0050119F">
        <w:rPr>
          <w:b/>
          <w:smallCaps/>
        </w:rPr>
        <w:t xml:space="preserve"> [</w:t>
      </w:r>
      <w:r w:rsidR="0050119F" w:rsidRPr="007A6418">
        <w:rPr>
          <w:b/>
          <w:smallCaps/>
          <w:highlight w:val="yellow"/>
        </w:rPr>
        <w:t xml:space="preserve">Nota VBSO: </w:t>
      </w:r>
      <w:r w:rsidR="007A6418" w:rsidRPr="007A6418">
        <w:rPr>
          <w:b/>
          <w:smallCaps/>
          <w:highlight w:val="yellow"/>
        </w:rPr>
        <w:t>Ponto para discussão. A princípio, entendemos que o dever de verificação da destinação dos recursos deve ser realizada pelo agente fiduciário.</w:t>
      </w:r>
      <w:r w:rsidR="007A6418">
        <w:rPr>
          <w:b/>
          <w:smallCaps/>
        </w:rPr>
        <w:t>]</w:t>
      </w:r>
    </w:p>
    <w:p w:rsidR="00AB48E3" w:rsidRPr="00B2481D" w:rsidRDefault="00AB48E3" w:rsidP="00AC018B">
      <w:pPr>
        <w:pStyle w:val="PargrafodaLista"/>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(ii)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w:t>
      </w:r>
      <w:r w:rsidRPr="00B2481D">
        <w:lastRenderedPageBreak/>
        <w:t>pagamento de referido acréscimo deverá ser realizado fora do ambiente B3</w:t>
      </w:r>
      <w:r w:rsidRPr="00B2481D">
        <w:rPr>
          <w:iCs/>
        </w:rPr>
        <w:t>.</w:t>
      </w:r>
      <w:r w:rsidR="0050119F">
        <w:rPr>
          <w:iCs/>
        </w:rPr>
        <w:t xml:space="preserve"> </w:t>
      </w:r>
      <w:r w:rsidR="0050119F" w:rsidRPr="0050119F">
        <w:rPr>
          <w:b/>
          <w:iCs/>
          <w:smallCaps/>
        </w:rPr>
        <w:t>[</w:t>
      </w:r>
      <w:r w:rsidR="0050119F" w:rsidRPr="0050119F">
        <w:rPr>
          <w:b/>
          <w:iCs/>
          <w:smallCaps/>
          <w:highlight w:val="cyan"/>
        </w:rPr>
        <w:t>Nota CELESC: Celesc deseja esclarecimentos dos impactos desta Cláusula</w:t>
      </w:r>
      <w:r w:rsidR="0050119F" w:rsidRPr="0050119F">
        <w:rPr>
          <w:b/>
          <w:iCs/>
          <w:smallCaps/>
        </w:rPr>
        <w:t>]</w:t>
      </w:r>
      <w:r w:rsidR="0050119F">
        <w:rPr>
          <w:b/>
          <w:iCs/>
          <w:smallCaps/>
        </w:rPr>
        <w:t xml:space="preserve"> [</w:t>
      </w:r>
      <w:r w:rsidR="0050119F" w:rsidRPr="007A6418">
        <w:rPr>
          <w:b/>
          <w:iCs/>
          <w:smallCaps/>
          <w:highlight w:val="yellow"/>
        </w:rPr>
        <w:t xml:space="preserve">Nota VBSO: </w:t>
      </w:r>
      <w:r w:rsidR="007A6418" w:rsidRPr="007A6418">
        <w:rPr>
          <w:b/>
          <w:iCs/>
          <w:smallCaps/>
          <w:highlight w:val="yellow"/>
        </w:rPr>
        <w:t>Ponto para discussão.</w:t>
      </w:r>
      <w:r w:rsidR="007A6418">
        <w:rPr>
          <w:b/>
          <w:iCs/>
          <w:smallCaps/>
        </w:rPr>
        <w:t xml:space="preserve">] </w:t>
      </w:r>
    </w:p>
    <w:p w:rsidR="00B810D9" w:rsidRPr="00B2481D" w:rsidRDefault="00B810D9" w:rsidP="00AC018B">
      <w:pPr>
        <w:pStyle w:val="SCBFTtulo1"/>
        <w:keepLines w:val="0"/>
        <w:spacing w:line="312" w:lineRule="auto"/>
        <w:jc w:val="left"/>
        <w:rPr>
          <w:color w:val="000000"/>
          <w:sz w:val="24"/>
          <w:szCs w:val="24"/>
        </w:rPr>
      </w:pPr>
      <w:bookmarkStart w:id="33" w:name="_DV_M232"/>
      <w:bookmarkStart w:id="34" w:name="_Toc496113111"/>
      <w:bookmarkEnd w:id="33"/>
    </w:p>
    <w:p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34"/>
    </w:p>
    <w:p w:rsidR="00E77204" w:rsidRPr="00B2481D" w:rsidRDefault="00E77204" w:rsidP="00AC018B">
      <w:pPr>
        <w:keepNext/>
        <w:keepLines/>
        <w:spacing w:line="312" w:lineRule="auto"/>
      </w:pPr>
    </w:p>
    <w:p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AC018B">
      <w:pPr>
        <w:keepNext/>
        <w:keepLines/>
        <w:spacing w:line="312" w:lineRule="auto"/>
        <w:rPr>
          <w:color w:val="000000"/>
        </w:rPr>
      </w:pPr>
    </w:p>
    <w:p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AC018B">
      <w:pPr>
        <w:keepNext/>
        <w:spacing w:line="312" w:lineRule="auto"/>
        <w:jc w:val="both"/>
        <w:rPr>
          <w:color w:val="000000"/>
        </w:rPr>
      </w:pPr>
    </w:p>
    <w:p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r w:rsidR="006A4E05">
        <w:t>PDF</w:t>
      </w:r>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35" w:name="_Toc496113112"/>
      <w:r w:rsidRPr="00383BC6">
        <w:rPr>
          <w:sz w:val="24"/>
          <w:szCs w:val="24"/>
        </w:rPr>
        <w:lastRenderedPageBreak/>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35"/>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r w:rsidR="006A4E05">
        <w:rPr>
          <w:b/>
          <w:bCs/>
          <w:smallCaps/>
          <w:color w:val="000000"/>
        </w:rPr>
        <w:t>[</w:t>
      </w:r>
      <w:r w:rsidR="006A4E05" w:rsidRPr="006A4E05">
        <w:rPr>
          <w:b/>
          <w:bCs/>
          <w:smallCaps/>
          <w:color w:val="000000"/>
          <w:highlight w:val="green"/>
        </w:rPr>
        <w:t>Nota BOCOM BBM: Prezados, fizemos o double check, e de fato tal item é sensível. Se a Companhia quiser resgatar, a mesma terá a Oferta de Resgate Facultativa, a qual poderá negociar com os Investidores</w:t>
      </w:r>
      <w:r w:rsidR="006A4E05">
        <w:rPr>
          <w:b/>
          <w:bCs/>
          <w:smallCaps/>
          <w:color w:val="000000"/>
        </w:rPr>
        <w:t>]</w:t>
      </w:r>
      <w:r w:rsidR="007079A0">
        <w:rPr>
          <w:b/>
          <w:bCs/>
          <w:smallCaps/>
          <w:color w:val="000000"/>
        </w:rPr>
        <w:t xml:space="preserve"> [</w:t>
      </w:r>
      <w:r w:rsidR="007079A0" w:rsidRPr="007079A0">
        <w:rPr>
          <w:b/>
          <w:bCs/>
          <w:smallCaps/>
          <w:color w:val="000000"/>
          <w:highlight w:val="yellow"/>
        </w:rPr>
        <w:t>Nota VBSO: Companhia deseja manter a cláusula de resgate antecipado. Ponto para discussão</w:t>
      </w:r>
      <w:r w:rsidR="007079A0">
        <w:rPr>
          <w:b/>
          <w:bCs/>
          <w:smallCaps/>
          <w:color w:val="000000"/>
        </w:rPr>
        <w:t>]</w:t>
      </w:r>
      <w:r w:rsidR="004C2E2C">
        <w:rPr>
          <w:b/>
          <w:bCs/>
          <w:smallCaps/>
          <w:color w:val="000000"/>
        </w:rPr>
        <w:t xml:space="preserve"> </w:t>
      </w:r>
      <w:r w:rsidR="004C2E2C" w:rsidRPr="00E67B10">
        <w:rPr>
          <w:b/>
          <w:bCs/>
          <w:smallCaps/>
          <w:color w:val="000000"/>
          <w:highlight w:val="green"/>
        </w:rPr>
        <w:t>[</w:t>
      </w:r>
      <w:r w:rsidR="004C2E2C">
        <w:rPr>
          <w:b/>
          <w:bCs/>
          <w:smallCaps/>
          <w:color w:val="000000"/>
          <w:highlight w:val="green"/>
        </w:rPr>
        <w:t xml:space="preserve">Nota </w:t>
      </w:r>
      <w:r w:rsidR="004C2E2C" w:rsidRPr="00E67B10">
        <w:rPr>
          <w:b/>
          <w:bCs/>
          <w:smallCaps/>
          <w:color w:val="000000"/>
          <w:highlight w:val="green"/>
        </w:rPr>
        <w:t>BOCOM BBM: Ok para o resgate, mas precisa ser total e o prêmio ainda será definido por nós e ind</w:t>
      </w:r>
      <w:r w:rsidR="004C2E2C">
        <w:rPr>
          <w:b/>
          <w:bCs/>
          <w:smallCaps/>
          <w:color w:val="000000"/>
          <w:highlight w:val="green"/>
        </w:rPr>
        <w:t>icado para a Companhia em breve</w:t>
      </w:r>
      <w:r w:rsidR="004C2E2C" w:rsidRPr="00E67B10">
        <w:rPr>
          <w:b/>
          <w:bCs/>
          <w:smallCaps/>
          <w:color w:val="000000"/>
          <w:highlight w:val="green"/>
        </w:rPr>
        <w:t>]</w:t>
      </w:r>
    </w:p>
    <w:p w:rsidR="005B34D2" w:rsidRPr="00B2481D" w:rsidRDefault="005B34D2" w:rsidP="00AC018B">
      <w:pPr>
        <w:keepNext/>
        <w:widowControl w:val="0"/>
        <w:spacing w:line="312" w:lineRule="auto"/>
        <w:jc w:val="both"/>
      </w:pPr>
    </w:p>
    <w:p w:rsidR="003377AC" w:rsidRPr="004C2E2C" w:rsidRDefault="003377AC" w:rsidP="003377AC">
      <w:pPr>
        <w:pStyle w:val="PargrafodaLista"/>
        <w:widowControl w:val="0"/>
        <w:numPr>
          <w:ilvl w:val="2"/>
          <w:numId w:val="21"/>
        </w:numPr>
        <w:spacing w:line="312" w:lineRule="auto"/>
        <w:ind w:left="0" w:firstLine="0"/>
        <w:jc w:val="both"/>
        <w:rPr>
          <w:color w:val="000000"/>
        </w:rPr>
      </w:pPr>
      <w:r w:rsidRPr="004C2E2C">
        <w:t>As Debêntures poderão ser objeto de resgate antecipado, desde que atendidos, cumulativamente, os seguintes requisitos (“</w:t>
      </w:r>
      <w:r w:rsidRPr="004C2E2C">
        <w:rPr>
          <w:u w:val="single"/>
        </w:rPr>
        <w:t>Resgate Antecipado Facultativo</w:t>
      </w:r>
      <w:r w:rsidRPr="004C2E2C">
        <w:t xml:space="preserve">”): (i) prazo médio ponderado dos pagamentos transcorrido entre a Data de Emissão e a data do efetivo Resgate Antecipado Facultativo ser superior a 4 (quatro) anos; (ii) taxa de pré-pagamento menor ou igual à soma da taxa do título público federal remunerado pelo mesmo índice da debênture, com </w:t>
      </w:r>
      <w:r w:rsidRPr="004C2E2C">
        <w:rPr>
          <w:i/>
          <w:iCs/>
        </w:rPr>
        <w:t>duration</w:t>
      </w:r>
      <w:r w:rsidRPr="004C2E2C">
        <w:t xml:space="preserve"> mais próxima à </w:t>
      </w:r>
      <w:r w:rsidRPr="004C2E2C">
        <w:rPr>
          <w:i/>
          <w:iCs/>
        </w:rPr>
        <w:t xml:space="preserve">duration </w:t>
      </w:r>
      <w:r w:rsidRPr="004C2E2C">
        <w:t xml:space="preserve">das Debêntures na data de liquidação antecipada, com o </w:t>
      </w:r>
      <w:r w:rsidRPr="004C2E2C">
        <w:rPr>
          <w:i/>
          <w:iCs/>
        </w:rPr>
        <w:t>spread</w:t>
      </w:r>
      <w:r w:rsidRPr="004C2E2C">
        <w:t xml:space="preserve"> sobre o título público federal remunerado pelo mesmo índice da debênture com </w:t>
      </w:r>
      <w:r w:rsidRPr="004C2E2C">
        <w:rPr>
          <w:i/>
          <w:iCs/>
        </w:rPr>
        <w:t xml:space="preserve">duration </w:t>
      </w:r>
      <w:r w:rsidRPr="004C2E2C">
        <w:t xml:space="preserve"> mais próxima à </w:t>
      </w:r>
      <w:r w:rsidRPr="004C2E2C">
        <w:rPr>
          <w:i/>
          <w:iCs/>
        </w:rPr>
        <w:t xml:space="preserve">duration </w:t>
      </w:r>
      <w:r w:rsidRPr="004C2E2C">
        <w:t>das Debêntures na Data de Emissão; (iii) intervalos entre as datas de realização do Resgate Antecipado Facultativo não inferiores a seis meses</w:t>
      </w:r>
      <w:r w:rsidR="007A6418">
        <w:t>; e (iv) haja o Resgate Antecipado Facultativo da totalidade das Debêntures, sendo vedado o resgate antecipado facultativo parcial</w:t>
      </w:r>
      <w:r w:rsidRPr="004C2E2C">
        <w:t xml:space="preserve">. </w:t>
      </w:r>
    </w:p>
    <w:p w:rsidR="003377AC" w:rsidRPr="004C2E2C" w:rsidRDefault="003377AC" w:rsidP="003377AC">
      <w:pPr>
        <w:pStyle w:val="PargrafodaLista"/>
        <w:widowControl w:val="0"/>
        <w:spacing w:line="312" w:lineRule="auto"/>
        <w:ind w:left="0"/>
        <w:jc w:val="both"/>
        <w:rPr>
          <w:color w:val="000000"/>
        </w:rPr>
      </w:pPr>
    </w:p>
    <w:p w:rsidR="003377AC" w:rsidRPr="004C2E2C" w:rsidRDefault="003377AC" w:rsidP="003377AC">
      <w:pPr>
        <w:pStyle w:val="PargrafodaLista"/>
        <w:widowControl w:val="0"/>
        <w:numPr>
          <w:ilvl w:val="3"/>
          <w:numId w:val="21"/>
        </w:numPr>
        <w:spacing w:line="312" w:lineRule="auto"/>
        <w:ind w:left="0" w:firstLine="0"/>
        <w:jc w:val="both"/>
        <w:rPr>
          <w:color w:val="000000"/>
        </w:rPr>
      </w:pPr>
      <w:r w:rsidRPr="004C2E2C">
        <w:t xml:space="preserve"> Para fins desta Escritura de Emissão, entende-se como: (i) </w:t>
      </w:r>
      <w:r w:rsidRPr="004C2E2C">
        <w:rPr>
          <w:i/>
          <w:iCs/>
        </w:rPr>
        <w:t xml:space="preserve">duration </w:t>
      </w:r>
      <w:r w:rsidRPr="004C2E2C">
        <w:t>e prazo médio ponderado: o prazo médio dos fluxos de pagamentos ponderado pelo valor presentes desses fluxos, conforme descrito na Resolução do Conselho Monetário Nacional nº 3.947, de 27 de janeiro de 2011; e (ii) taxa de pré-pagamento: a taxa a ser aplicada no fluxo de pagamentos remanescentes das Debêntures.</w:t>
      </w:r>
    </w:p>
    <w:p w:rsidR="003377AC" w:rsidRPr="004C2E2C" w:rsidRDefault="003377AC" w:rsidP="003377AC">
      <w:pPr>
        <w:pStyle w:val="PargrafodaLista"/>
        <w:widowControl w:val="0"/>
        <w:spacing w:line="312" w:lineRule="auto"/>
        <w:ind w:left="720"/>
        <w:jc w:val="both"/>
        <w:rPr>
          <w:color w:val="000000"/>
        </w:rPr>
      </w:pPr>
    </w:p>
    <w:p w:rsidR="003377AC" w:rsidRPr="004C2E2C" w:rsidRDefault="003377AC" w:rsidP="003377AC">
      <w:pPr>
        <w:pStyle w:val="PargrafodaLista"/>
        <w:widowControl w:val="0"/>
        <w:numPr>
          <w:ilvl w:val="2"/>
          <w:numId w:val="21"/>
        </w:numPr>
        <w:spacing w:line="312" w:lineRule="auto"/>
        <w:ind w:left="0" w:firstLine="0"/>
        <w:jc w:val="both"/>
        <w:rPr>
          <w:color w:val="000000"/>
        </w:rPr>
      </w:pPr>
      <w:r w:rsidRPr="004C2E2C">
        <w:rPr>
          <w:color w:val="000000"/>
        </w:rPr>
        <w:t xml:space="preserve">Os requisitos descritos na Cláusula 6.1.1, itens (ii) e (iii), poderão ser desconsiderados desde que os Debenturistas representando, no mínimo, 75% (setenta e cinco por cento) das Debêntures em Circulação aprovem a liquidação, por meio de deliberação em assembleia convocada para este fim ou aderindo à oferta de compra das </w:t>
      </w:r>
      <w:r w:rsidRPr="004C2E2C">
        <w:rPr>
          <w:color w:val="000000"/>
        </w:rPr>
        <w:lastRenderedPageBreak/>
        <w:t>Debêntures efetuada pela Emissora, nos termos desta Escritura de Emissão.</w:t>
      </w:r>
    </w:p>
    <w:p w:rsidR="003377AC" w:rsidRPr="004C2E2C" w:rsidRDefault="003377AC" w:rsidP="003377AC">
      <w:pPr>
        <w:pStyle w:val="PargrafodaLista"/>
        <w:widowControl w:val="0"/>
        <w:spacing w:line="312" w:lineRule="auto"/>
        <w:ind w:left="0"/>
        <w:jc w:val="both"/>
        <w:rPr>
          <w:color w:val="000000"/>
        </w:rPr>
      </w:pPr>
    </w:p>
    <w:p w:rsidR="003377AC" w:rsidRPr="004C2E2C" w:rsidRDefault="003377AC" w:rsidP="003377AC">
      <w:pPr>
        <w:pStyle w:val="PargrafodaLista"/>
        <w:numPr>
          <w:ilvl w:val="2"/>
          <w:numId w:val="21"/>
        </w:numPr>
        <w:spacing w:line="312" w:lineRule="auto"/>
        <w:ind w:left="0" w:firstLine="0"/>
        <w:jc w:val="both"/>
      </w:pPr>
      <w:r w:rsidRPr="004C2E2C">
        <w:t>O Resgate Antecipado Facultativo somente poderá ocorrer mediante notificação direta à totalidade dos Debenturistas, com cópia para o Agente Fiduciário, ou publicação de comunicação a ser amplamente divulgada nos termos da Cláusula 4.12.1 desta Escritura de Emissão dirigida aos Debenturistas, seguida de comunicação ao Agente Fiduciário (“</w:t>
      </w:r>
      <w:r w:rsidRPr="004C2E2C">
        <w:rPr>
          <w:u w:val="single"/>
        </w:rPr>
        <w:t>Comunicação de Resgate Antecipado Facultativo</w:t>
      </w:r>
      <w:r w:rsidRPr="004C2E2C">
        <w:t>”), com antecedência mínima de 20 (vinte) Dias Úteis da data prevista para realização do efetivo Resgate Antecipado Facultativo (“</w:t>
      </w:r>
      <w:r w:rsidRPr="004C2E2C">
        <w:rPr>
          <w:u w:val="single"/>
        </w:rPr>
        <w:t>Data do Resgate Antecipado Facultativo</w:t>
      </w:r>
      <w:r w:rsidRPr="004C2E2C">
        <w:t xml:space="preserve">”). </w:t>
      </w:r>
    </w:p>
    <w:p w:rsidR="003377AC" w:rsidRPr="004C2E2C" w:rsidRDefault="003377AC" w:rsidP="003377AC">
      <w:pPr>
        <w:pStyle w:val="PargrafodaLista"/>
        <w:spacing w:line="312" w:lineRule="auto"/>
        <w:ind w:left="0"/>
        <w:jc w:val="both"/>
      </w:pPr>
    </w:p>
    <w:p w:rsidR="003377AC" w:rsidRPr="004C2E2C" w:rsidRDefault="003377AC" w:rsidP="003377AC">
      <w:pPr>
        <w:pStyle w:val="PargrafodaLista"/>
        <w:numPr>
          <w:ilvl w:val="2"/>
          <w:numId w:val="21"/>
        </w:numPr>
        <w:spacing w:line="312" w:lineRule="auto"/>
        <w:ind w:left="0" w:firstLine="0"/>
        <w:jc w:val="both"/>
        <w:rPr>
          <w:color w:val="000000"/>
        </w:rPr>
      </w:pPr>
      <w:r w:rsidRPr="004C2E2C">
        <w:t>O Resgate Antecipado Facultativo poderá ser realizado nas seguintes datas: [●]</w:t>
      </w:r>
    </w:p>
    <w:p w:rsidR="003377AC" w:rsidRPr="004C2E2C" w:rsidRDefault="003377AC" w:rsidP="003377AC">
      <w:pPr>
        <w:pStyle w:val="PargrafodaLista"/>
        <w:rPr>
          <w:color w:val="000000"/>
        </w:rPr>
      </w:pPr>
    </w:p>
    <w:p w:rsidR="00025405" w:rsidRPr="00025405" w:rsidRDefault="00025405" w:rsidP="003377AC">
      <w:pPr>
        <w:pStyle w:val="PargrafodaLista"/>
        <w:numPr>
          <w:ilvl w:val="2"/>
          <w:numId w:val="21"/>
        </w:numPr>
        <w:spacing w:line="312" w:lineRule="auto"/>
        <w:ind w:left="0" w:firstLine="0"/>
        <w:jc w:val="both"/>
        <w:rPr>
          <w:color w:val="000000"/>
        </w:rPr>
      </w:pPr>
      <w:r w:rsidRPr="001034D3">
        <w:t>O</w:t>
      </w:r>
      <w:r w:rsidRPr="001034D3">
        <w:rPr>
          <w:spacing w:val="5"/>
        </w:rPr>
        <w:t xml:space="preserve"> </w:t>
      </w:r>
      <w:r w:rsidRPr="00DD70DD">
        <w:t>R</w:t>
      </w:r>
      <w:r w:rsidRPr="00DD70DD">
        <w:rPr>
          <w:spacing w:val="-2"/>
        </w:rPr>
        <w:t>e</w:t>
      </w:r>
      <w:r w:rsidRPr="00DD70DD">
        <w:t>sga</w:t>
      </w:r>
      <w:r w:rsidRPr="00DD70DD">
        <w:rPr>
          <w:spacing w:val="1"/>
        </w:rPr>
        <w:t>t</w:t>
      </w:r>
      <w:r w:rsidRPr="00DD70DD">
        <w:t>e</w:t>
      </w:r>
      <w:r w:rsidRPr="00DD70DD">
        <w:rPr>
          <w:w w:val="99"/>
        </w:rPr>
        <w:t xml:space="preserve"> </w:t>
      </w:r>
      <w:r w:rsidRPr="00DD70DD">
        <w:t>A</w:t>
      </w:r>
      <w:r w:rsidRPr="00DD70DD">
        <w:rPr>
          <w:spacing w:val="1"/>
        </w:rPr>
        <w:t>n</w:t>
      </w:r>
      <w:r w:rsidRPr="00DD70DD">
        <w:t>t</w:t>
      </w:r>
      <w:r w:rsidRPr="00DD70DD">
        <w:rPr>
          <w:spacing w:val="-2"/>
        </w:rPr>
        <w:t>e</w:t>
      </w:r>
      <w:r w:rsidRPr="00DD70DD">
        <w:t>c</w:t>
      </w:r>
      <w:r w:rsidRPr="00DD70DD">
        <w:rPr>
          <w:spacing w:val="2"/>
        </w:rPr>
        <w:t>i</w:t>
      </w:r>
      <w:r w:rsidRPr="00DD70DD">
        <w:t>pado</w:t>
      </w:r>
      <w:r w:rsidRPr="00DD70DD">
        <w:rPr>
          <w:spacing w:val="59"/>
        </w:rPr>
        <w:t xml:space="preserve"> </w:t>
      </w:r>
      <w:r w:rsidRPr="00DD70DD">
        <w:t>Facu</w:t>
      </w:r>
      <w:r w:rsidRPr="00DD70DD">
        <w:rPr>
          <w:spacing w:val="2"/>
        </w:rPr>
        <w:t>l</w:t>
      </w:r>
      <w:r w:rsidRPr="00DD70DD">
        <w:t>ta</w:t>
      </w:r>
      <w:r w:rsidRPr="00DD70DD">
        <w:rPr>
          <w:spacing w:val="-2"/>
        </w:rPr>
        <w:t>t</w:t>
      </w:r>
      <w:r w:rsidRPr="00DD70DD">
        <w:rPr>
          <w:spacing w:val="2"/>
        </w:rPr>
        <w:t>i</w:t>
      </w:r>
      <w:r w:rsidRPr="00DD70DD">
        <w:t>vo</w:t>
      </w:r>
      <w:r w:rsidRPr="00DD70DD">
        <w:rPr>
          <w:spacing w:val="57"/>
        </w:rPr>
        <w:t xml:space="preserve"> </w:t>
      </w:r>
      <w:r w:rsidRPr="00DD70DD">
        <w:t>se</w:t>
      </w:r>
      <w:r w:rsidRPr="00DD70DD">
        <w:rPr>
          <w:spacing w:val="-1"/>
        </w:rPr>
        <w:t>r</w:t>
      </w:r>
      <w:r w:rsidRPr="00DD70DD">
        <w:t>á</w:t>
      </w:r>
      <w:r w:rsidRPr="00DD70DD">
        <w:rPr>
          <w:spacing w:val="60"/>
        </w:rPr>
        <w:t xml:space="preserve"> </w:t>
      </w:r>
      <w:r w:rsidR="007A6418" w:rsidRPr="007A6418">
        <w:t>realizado pel</w:t>
      </w:r>
      <w:r w:rsidRPr="00DD70DD">
        <w:t>o</w:t>
      </w:r>
      <w:r w:rsidRPr="00DD70DD">
        <w:rPr>
          <w:spacing w:val="1"/>
        </w:rPr>
        <w:t xml:space="preserve"> </w:t>
      </w:r>
      <w:r w:rsidRPr="00DD70DD">
        <w:t>Va</w:t>
      </w:r>
      <w:r w:rsidRPr="00DD70DD">
        <w:rPr>
          <w:spacing w:val="2"/>
        </w:rPr>
        <w:t>l</w:t>
      </w:r>
      <w:r w:rsidRPr="00DD70DD">
        <w:rPr>
          <w:spacing w:val="-1"/>
        </w:rPr>
        <w:t>o</w:t>
      </w:r>
      <w:r w:rsidRPr="00DD70DD">
        <w:t>r</w:t>
      </w:r>
      <w:r w:rsidRPr="00DD70DD">
        <w:rPr>
          <w:spacing w:val="-19"/>
        </w:rPr>
        <w:t xml:space="preserve"> </w:t>
      </w:r>
      <w:r w:rsidRPr="00DD70DD">
        <w:rPr>
          <w:spacing w:val="2"/>
        </w:rPr>
        <w:t>N</w:t>
      </w:r>
      <w:r w:rsidRPr="00DD70DD">
        <w:rPr>
          <w:spacing w:val="-1"/>
        </w:rPr>
        <w:t>o</w:t>
      </w:r>
      <w:r w:rsidRPr="00DD70DD">
        <w:t>m</w:t>
      </w:r>
      <w:r w:rsidRPr="00DD70DD">
        <w:rPr>
          <w:spacing w:val="3"/>
        </w:rPr>
        <w:t>i</w:t>
      </w:r>
      <w:r w:rsidRPr="00DD70DD">
        <w:rPr>
          <w:spacing w:val="1"/>
        </w:rPr>
        <w:t>n</w:t>
      </w:r>
      <w:r w:rsidRPr="00DD70DD">
        <w:rPr>
          <w:spacing w:val="-3"/>
        </w:rPr>
        <w:t>a</w:t>
      </w:r>
      <w:r w:rsidRPr="00DD70DD">
        <w:t>l</w:t>
      </w:r>
      <w:r w:rsidRPr="00DD70DD">
        <w:rPr>
          <w:w w:val="99"/>
        </w:rPr>
        <w:t xml:space="preserve"> </w:t>
      </w:r>
      <w:r w:rsidRPr="00DD70DD">
        <w:t>U</w:t>
      </w:r>
      <w:r w:rsidRPr="00DD70DD">
        <w:rPr>
          <w:spacing w:val="1"/>
        </w:rPr>
        <w:t>n</w:t>
      </w:r>
      <w:r w:rsidRPr="00DD70DD">
        <w:t>itá</w:t>
      </w:r>
      <w:r w:rsidRPr="00DD70DD">
        <w:rPr>
          <w:spacing w:val="-1"/>
        </w:rPr>
        <w:t>r</w:t>
      </w:r>
      <w:r w:rsidRPr="00DD70DD">
        <w:rPr>
          <w:spacing w:val="2"/>
        </w:rPr>
        <w:t>i</w:t>
      </w:r>
      <w:r w:rsidRPr="00DD70DD">
        <w:t>o</w:t>
      </w:r>
      <w:r w:rsidRPr="00DD70DD">
        <w:rPr>
          <w:spacing w:val="44"/>
        </w:rPr>
        <w:t xml:space="preserve"> </w:t>
      </w:r>
      <w:r w:rsidRPr="00DD70DD">
        <w:t>ou o</w:t>
      </w:r>
      <w:r w:rsidRPr="00DD70DD">
        <w:rPr>
          <w:spacing w:val="3"/>
        </w:rPr>
        <w:t xml:space="preserve"> </w:t>
      </w:r>
      <w:r w:rsidRPr="00DD70DD">
        <w:rPr>
          <w:spacing w:val="1"/>
        </w:rPr>
        <w:t>saldo do</w:t>
      </w:r>
      <w:r w:rsidRPr="00DD70DD">
        <w:rPr>
          <w:spacing w:val="60"/>
        </w:rPr>
        <w:t xml:space="preserve"> </w:t>
      </w:r>
      <w:r w:rsidRPr="00DD70DD">
        <w:t>Va</w:t>
      </w:r>
      <w:r w:rsidRPr="00DD70DD">
        <w:rPr>
          <w:spacing w:val="2"/>
        </w:rPr>
        <w:t>l</w:t>
      </w:r>
      <w:r w:rsidRPr="00DD70DD">
        <w:rPr>
          <w:spacing w:val="-1"/>
        </w:rPr>
        <w:t>o</w:t>
      </w:r>
      <w:r w:rsidRPr="00DD70DD">
        <w:t>r</w:t>
      </w:r>
      <w:r w:rsidRPr="00DD70DD">
        <w:rPr>
          <w:spacing w:val="61"/>
        </w:rPr>
        <w:t xml:space="preserve"> </w:t>
      </w:r>
      <w:r w:rsidRPr="00DD70DD">
        <w:rPr>
          <w:spacing w:val="2"/>
        </w:rPr>
        <w:t>Nominal Unitário, conforme o caso,</w:t>
      </w:r>
      <w:r w:rsidRPr="00DD70DD">
        <w:rPr>
          <w:spacing w:val="59"/>
        </w:rPr>
        <w:t xml:space="preserve"> </w:t>
      </w:r>
      <w:r w:rsidRPr="00DD70DD">
        <w:t>ac</w:t>
      </w:r>
      <w:r w:rsidRPr="00DD70DD">
        <w:rPr>
          <w:spacing w:val="-2"/>
        </w:rPr>
        <w:t>r</w:t>
      </w:r>
      <w:r w:rsidRPr="00DD70DD">
        <w:rPr>
          <w:spacing w:val="1"/>
        </w:rPr>
        <w:t>e</w:t>
      </w:r>
      <w:r w:rsidRPr="00DD70DD">
        <w:t>s</w:t>
      </w:r>
      <w:r w:rsidRPr="00DD70DD">
        <w:rPr>
          <w:spacing w:val="-2"/>
        </w:rPr>
        <w:t>c</w:t>
      </w:r>
      <w:r w:rsidRPr="00DD70DD">
        <w:rPr>
          <w:spacing w:val="2"/>
        </w:rPr>
        <w:t>i</w:t>
      </w:r>
      <w:r w:rsidRPr="00DD70DD">
        <w:t>do</w:t>
      </w:r>
      <w:r w:rsidRPr="00DD70DD">
        <w:rPr>
          <w:spacing w:val="60"/>
        </w:rPr>
        <w:t xml:space="preserve"> </w:t>
      </w:r>
      <w:r w:rsidRPr="00DD70DD">
        <w:rPr>
          <w:spacing w:val="2"/>
        </w:rPr>
        <w:t>d</w:t>
      </w:r>
      <w:r w:rsidRPr="00DD70DD">
        <w:t>a</w:t>
      </w:r>
      <w:r w:rsidRPr="00DD70DD">
        <w:rPr>
          <w:spacing w:val="60"/>
        </w:rPr>
        <w:t xml:space="preserve"> </w:t>
      </w:r>
      <w:r w:rsidRPr="00DD70DD">
        <w:t>R</w:t>
      </w:r>
      <w:r w:rsidRPr="00DD70DD">
        <w:rPr>
          <w:spacing w:val="-2"/>
        </w:rPr>
        <w:t>e</w:t>
      </w:r>
      <w:r w:rsidRPr="00DD70DD">
        <w:t>m</w:t>
      </w:r>
      <w:r w:rsidRPr="00DD70DD">
        <w:rPr>
          <w:spacing w:val="1"/>
        </w:rPr>
        <w:t>un</w:t>
      </w:r>
      <w:r w:rsidRPr="00DD70DD">
        <w:rPr>
          <w:spacing w:val="-2"/>
        </w:rPr>
        <w:t>e</w:t>
      </w:r>
      <w:r w:rsidRPr="00DD70DD">
        <w:rPr>
          <w:spacing w:val="-1"/>
        </w:rPr>
        <w:t>r</w:t>
      </w:r>
      <w:r w:rsidRPr="00DD70DD">
        <w:rPr>
          <w:spacing w:val="2"/>
        </w:rPr>
        <w:t>a</w:t>
      </w:r>
      <w:r w:rsidRPr="00DD70DD">
        <w:t>çã</w:t>
      </w:r>
      <w:r w:rsidRPr="00DD70DD">
        <w:rPr>
          <w:spacing w:val="1"/>
        </w:rPr>
        <w:t>o</w:t>
      </w:r>
      <w:r w:rsidRPr="00DD70DD">
        <w:t>,</w:t>
      </w:r>
      <w:r w:rsidRPr="00DD70DD">
        <w:rPr>
          <w:w w:val="99"/>
        </w:rPr>
        <w:t xml:space="preserve"> </w:t>
      </w:r>
      <w:r w:rsidRPr="00DD70DD">
        <w:t>ca</w:t>
      </w:r>
      <w:r w:rsidRPr="00DD70DD">
        <w:rPr>
          <w:spacing w:val="2"/>
        </w:rPr>
        <w:t>l</w:t>
      </w:r>
      <w:r w:rsidRPr="00DD70DD">
        <w:t>c</w:t>
      </w:r>
      <w:r w:rsidRPr="00DD70DD">
        <w:rPr>
          <w:spacing w:val="-2"/>
        </w:rPr>
        <w:t>u</w:t>
      </w:r>
      <w:r w:rsidRPr="00DD70DD">
        <w:rPr>
          <w:spacing w:val="2"/>
        </w:rPr>
        <w:t>l</w:t>
      </w:r>
      <w:r w:rsidRPr="00DD70DD">
        <w:t>ada</w:t>
      </w:r>
      <w:r w:rsidRPr="00DD70DD">
        <w:rPr>
          <w:spacing w:val="-4"/>
        </w:rPr>
        <w:t xml:space="preserve"> </w:t>
      </w:r>
      <w:r w:rsidRPr="00DD70DD">
        <w:rPr>
          <w:i/>
        </w:rPr>
        <w:t>p</w:t>
      </w:r>
      <w:r w:rsidRPr="00DD70DD">
        <w:rPr>
          <w:i/>
          <w:spacing w:val="-1"/>
        </w:rPr>
        <w:t>r</w:t>
      </w:r>
      <w:r w:rsidRPr="00DD70DD">
        <w:rPr>
          <w:i/>
        </w:rPr>
        <w:t>o</w:t>
      </w:r>
      <w:r w:rsidRPr="00DD70DD">
        <w:rPr>
          <w:i/>
          <w:spacing w:val="-5"/>
        </w:rPr>
        <w:t xml:space="preserve"> </w:t>
      </w:r>
      <w:r w:rsidRPr="00DD70DD">
        <w:rPr>
          <w:i/>
          <w:spacing w:val="-1"/>
        </w:rPr>
        <w:t>r</w:t>
      </w:r>
      <w:r w:rsidRPr="00DD70DD">
        <w:rPr>
          <w:i/>
        </w:rPr>
        <w:t>ata</w:t>
      </w:r>
      <w:r w:rsidRPr="00DD70DD">
        <w:rPr>
          <w:i/>
          <w:spacing w:val="-2"/>
        </w:rPr>
        <w:t xml:space="preserve"> </w:t>
      </w:r>
      <w:r w:rsidRPr="00DD70DD">
        <w:rPr>
          <w:i/>
        </w:rPr>
        <w:t>t</w:t>
      </w:r>
      <w:r w:rsidRPr="00DD70DD">
        <w:rPr>
          <w:i/>
          <w:spacing w:val="-2"/>
        </w:rPr>
        <w:t>e</w:t>
      </w:r>
      <w:r w:rsidRPr="00DD70DD">
        <w:rPr>
          <w:i/>
        </w:rPr>
        <w:t>m</w:t>
      </w:r>
      <w:r w:rsidRPr="00DD70DD">
        <w:rPr>
          <w:i/>
          <w:spacing w:val="3"/>
        </w:rPr>
        <w:t>p</w:t>
      </w:r>
      <w:r w:rsidRPr="00DD70DD">
        <w:rPr>
          <w:i/>
          <w:spacing w:val="-1"/>
        </w:rPr>
        <w:t>or</w:t>
      </w:r>
      <w:r w:rsidRPr="00DD70DD">
        <w:rPr>
          <w:i/>
        </w:rPr>
        <w:t>is</w:t>
      </w:r>
      <w:r w:rsidRPr="00DD70DD">
        <w:rPr>
          <w:i/>
          <w:spacing w:val="-1"/>
        </w:rPr>
        <w:t xml:space="preserve"> </w:t>
      </w:r>
      <w:r w:rsidRPr="00DD70DD">
        <w:t>d</w:t>
      </w:r>
      <w:r w:rsidRPr="00DD70DD">
        <w:rPr>
          <w:spacing w:val="1"/>
        </w:rPr>
        <w:t>e</w:t>
      </w:r>
      <w:r w:rsidRPr="00DD70DD">
        <w:t>sde</w:t>
      </w:r>
      <w:r w:rsidRPr="00DD70DD">
        <w:rPr>
          <w:spacing w:val="-5"/>
        </w:rPr>
        <w:t xml:space="preserve"> </w:t>
      </w:r>
      <w:r w:rsidRPr="00DD70DD">
        <w:t>a</w:t>
      </w:r>
      <w:r w:rsidRPr="00DD70DD">
        <w:rPr>
          <w:spacing w:val="-2"/>
        </w:rPr>
        <w:t xml:space="preserve"> </w:t>
      </w:r>
      <w:r w:rsidRPr="00DD70DD">
        <w:rPr>
          <w:spacing w:val="5"/>
        </w:rPr>
        <w:t>D</w:t>
      </w:r>
      <w:r w:rsidRPr="00DD70DD">
        <w:t>ata</w:t>
      </w:r>
      <w:r w:rsidRPr="00DD70DD">
        <w:rPr>
          <w:spacing w:val="-4"/>
        </w:rPr>
        <w:t xml:space="preserve"> </w:t>
      </w:r>
      <w:r w:rsidRPr="00DD70DD">
        <w:rPr>
          <w:spacing w:val="2"/>
        </w:rPr>
        <w:t>d</w:t>
      </w:r>
      <w:r w:rsidRPr="00DD70DD">
        <w:t>e</w:t>
      </w:r>
      <w:r w:rsidRPr="00DD70DD">
        <w:rPr>
          <w:spacing w:val="-5"/>
        </w:rPr>
        <w:t xml:space="preserve"> </w:t>
      </w:r>
      <w:r w:rsidRPr="00DD70DD">
        <w:t>Pagam</w:t>
      </w:r>
      <w:r w:rsidRPr="00DD70DD">
        <w:rPr>
          <w:spacing w:val="-2"/>
        </w:rPr>
        <w:t>e</w:t>
      </w:r>
      <w:r w:rsidRPr="00DD70DD">
        <w:rPr>
          <w:spacing w:val="1"/>
        </w:rPr>
        <w:t>n</w:t>
      </w:r>
      <w:r w:rsidRPr="00DD70DD">
        <w:rPr>
          <w:spacing w:val="2"/>
        </w:rPr>
        <w:t>t</w:t>
      </w:r>
      <w:r w:rsidRPr="00DD70DD">
        <w:t>o</w:t>
      </w:r>
      <w:r w:rsidRPr="00DD70DD">
        <w:rPr>
          <w:spacing w:val="-5"/>
        </w:rPr>
        <w:t xml:space="preserve"> </w:t>
      </w:r>
      <w:r w:rsidRPr="00DD70DD">
        <w:t>de</w:t>
      </w:r>
      <w:r w:rsidRPr="00DD70DD">
        <w:rPr>
          <w:w w:val="99"/>
        </w:rPr>
        <w:t xml:space="preserve"> </w:t>
      </w:r>
      <w:r w:rsidRPr="00DD70DD">
        <w:t>R</w:t>
      </w:r>
      <w:r w:rsidRPr="00DD70DD">
        <w:rPr>
          <w:spacing w:val="-2"/>
        </w:rPr>
        <w:t>e</w:t>
      </w:r>
      <w:r w:rsidRPr="00DD70DD">
        <w:t>m</w:t>
      </w:r>
      <w:r w:rsidRPr="00DD70DD">
        <w:rPr>
          <w:spacing w:val="1"/>
        </w:rPr>
        <w:t>un</w:t>
      </w:r>
      <w:r w:rsidRPr="00DD70DD">
        <w:rPr>
          <w:spacing w:val="-2"/>
        </w:rPr>
        <w:t>e</w:t>
      </w:r>
      <w:r w:rsidRPr="00DD70DD">
        <w:rPr>
          <w:spacing w:val="-1"/>
        </w:rPr>
        <w:t>r</w:t>
      </w:r>
      <w:r w:rsidRPr="00DD70DD">
        <w:rPr>
          <w:spacing w:val="2"/>
        </w:rPr>
        <w:t>a</w:t>
      </w:r>
      <w:r w:rsidRPr="00DD70DD">
        <w:t>ção</w:t>
      </w:r>
      <w:r w:rsidRPr="00DD70DD">
        <w:rPr>
          <w:spacing w:val="21"/>
        </w:rPr>
        <w:t xml:space="preserve"> </w:t>
      </w:r>
      <w:r w:rsidRPr="00DD70DD">
        <w:rPr>
          <w:spacing w:val="2"/>
        </w:rPr>
        <w:t>i</w:t>
      </w:r>
      <w:r w:rsidRPr="00DD70DD">
        <w:t>med</w:t>
      </w:r>
      <w:r w:rsidRPr="00DD70DD">
        <w:rPr>
          <w:spacing w:val="3"/>
        </w:rPr>
        <w:t>i</w:t>
      </w:r>
      <w:r w:rsidRPr="00DD70DD">
        <w:t>at</w:t>
      </w:r>
      <w:r w:rsidRPr="00DD70DD">
        <w:rPr>
          <w:spacing w:val="-3"/>
        </w:rPr>
        <w:t>a</w:t>
      </w:r>
      <w:r w:rsidRPr="00DD70DD">
        <w:t>men</w:t>
      </w:r>
      <w:r w:rsidRPr="00DD70DD">
        <w:rPr>
          <w:spacing w:val="1"/>
        </w:rPr>
        <w:t>t</w:t>
      </w:r>
      <w:r w:rsidRPr="00DD70DD">
        <w:t>e</w:t>
      </w:r>
      <w:r w:rsidRPr="00DD70DD">
        <w:rPr>
          <w:spacing w:val="21"/>
        </w:rPr>
        <w:t xml:space="preserve"> </w:t>
      </w:r>
      <w:r w:rsidRPr="00DD70DD">
        <w:t>a</w:t>
      </w:r>
      <w:r w:rsidRPr="00DD70DD">
        <w:rPr>
          <w:spacing w:val="1"/>
        </w:rPr>
        <w:t>n</w:t>
      </w:r>
      <w:r w:rsidRPr="00DD70DD">
        <w:t>t</w:t>
      </w:r>
      <w:r w:rsidRPr="00DD70DD">
        <w:rPr>
          <w:spacing w:val="1"/>
        </w:rPr>
        <w:t>e</w:t>
      </w:r>
      <w:r w:rsidRPr="00DD70DD">
        <w:rPr>
          <w:spacing w:val="-1"/>
        </w:rPr>
        <w:t>r</w:t>
      </w:r>
      <w:r w:rsidRPr="00DD70DD">
        <w:rPr>
          <w:spacing w:val="2"/>
        </w:rPr>
        <w:t>i</w:t>
      </w:r>
      <w:r w:rsidRPr="00DD70DD">
        <w:rPr>
          <w:spacing w:val="-1"/>
        </w:rPr>
        <w:t>or</w:t>
      </w:r>
      <w:r w:rsidRPr="00DD70DD">
        <w:rPr>
          <w:spacing w:val="21"/>
        </w:rPr>
        <w:t xml:space="preserve"> </w:t>
      </w:r>
      <w:r w:rsidRPr="00DD70DD">
        <w:t>até</w:t>
      </w:r>
      <w:r w:rsidRPr="00DD70DD">
        <w:rPr>
          <w:spacing w:val="22"/>
        </w:rPr>
        <w:t xml:space="preserve"> </w:t>
      </w:r>
      <w:r w:rsidRPr="00DD70DD">
        <w:t>a</w:t>
      </w:r>
      <w:r w:rsidRPr="00DD70DD">
        <w:rPr>
          <w:spacing w:val="22"/>
        </w:rPr>
        <w:t xml:space="preserve"> </w:t>
      </w:r>
      <w:r w:rsidRPr="00DD70DD">
        <w:rPr>
          <w:spacing w:val="2"/>
        </w:rPr>
        <w:t>d</w:t>
      </w:r>
      <w:r w:rsidRPr="00DD70DD">
        <w:t>ata</w:t>
      </w:r>
      <w:r w:rsidRPr="00DD70DD">
        <w:rPr>
          <w:spacing w:val="20"/>
        </w:rPr>
        <w:t xml:space="preserve"> </w:t>
      </w:r>
      <w:r w:rsidRPr="00DD70DD">
        <w:t>do</w:t>
      </w:r>
      <w:r w:rsidRPr="00DD70DD">
        <w:rPr>
          <w:spacing w:val="23"/>
        </w:rPr>
        <w:t xml:space="preserve"> </w:t>
      </w:r>
      <w:r w:rsidRPr="00DD70DD">
        <w:rPr>
          <w:spacing w:val="-2"/>
        </w:rPr>
        <w:t>e</w:t>
      </w:r>
      <w:r w:rsidRPr="00DD70DD">
        <w:rPr>
          <w:spacing w:val="1"/>
        </w:rPr>
        <w:t>f</w:t>
      </w:r>
      <w:r w:rsidRPr="00DD70DD">
        <w:rPr>
          <w:spacing w:val="-2"/>
        </w:rPr>
        <w:t>e</w:t>
      </w:r>
      <w:r w:rsidRPr="00DD70DD">
        <w:t>t</w:t>
      </w:r>
      <w:r w:rsidRPr="00DD70DD">
        <w:rPr>
          <w:spacing w:val="2"/>
        </w:rPr>
        <w:t>i</w:t>
      </w:r>
      <w:r w:rsidRPr="00DD70DD">
        <w:t>vo</w:t>
      </w:r>
      <w:r w:rsidRPr="00DD70DD">
        <w:rPr>
          <w:w w:val="99"/>
        </w:rPr>
        <w:t xml:space="preserve"> </w:t>
      </w:r>
      <w:r w:rsidRPr="00DD70DD">
        <w:t>pagam</w:t>
      </w:r>
      <w:r w:rsidRPr="00DD70DD">
        <w:rPr>
          <w:spacing w:val="-2"/>
        </w:rPr>
        <w:t>e</w:t>
      </w:r>
      <w:r w:rsidRPr="00DD70DD">
        <w:rPr>
          <w:spacing w:val="1"/>
        </w:rPr>
        <w:t>n</w:t>
      </w:r>
      <w:r w:rsidRPr="00DD70DD">
        <w:t>t</w:t>
      </w:r>
      <w:r w:rsidRPr="00DD70DD">
        <w:rPr>
          <w:spacing w:val="-1"/>
        </w:rPr>
        <w:t xml:space="preserve">o </w:t>
      </w:r>
      <w:r w:rsidRPr="00DD70DD">
        <w:t>(</w:t>
      </w:r>
      <w:r w:rsidRPr="00DD70DD">
        <w:rPr>
          <w:spacing w:val="4"/>
        </w:rPr>
        <w:t>“</w:t>
      </w:r>
      <w:r w:rsidRPr="00DD70DD">
        <w:rPr>
          <w:u w:val="single" w:color="000000"/>
        </w:rPr>
        <w:t>Va</w:t>
      </w:r>
      <w:r w:rsidRPr="00DD70DD">
        <w:rPr>
          <w:spacing w:val="2"/>
          <w:u w:val="single" w:color="000000"/>
        </w:rPr>
        <w:t>l</w:t>
      </w:r>
      <w:r w:rsidRPr="00DD70DD">
        <w:rPr>
          <w:spacing w:val="-1"/>
          <w:u w:val="single" w:color="000000"/>
        </w:rPr>
        <w:t>o</w:t>
      </w:r>
      <w:r w:rsidRPr="00DD70DD">
        <w:rPr>
          <w:u w:val="single" w:color="000000"/>
        </w:rPr>
        <w:t>r</w:t>
      </w:r>
      <w:r w:rsidRPr="00DD70DD">
        <w:rPr>
          <w:spacing w:val="42"/>
          <w:u w:val="single" w:color="000000"/>
        </w:rPr>
        <w:t xml:space="preserve"> </w:t>
      </w:r>
      <w:r w:rsidRPr="00DD70DD">
        <w:rPr>
          <w:u w:val="single" w:color="000000"/>
        </w:rPr>
        <w:t>do</w:t>
      </w:r>
      <w:r w:rsidRPr="00DD70DD">
        <w:rPr>
          <w:spacing w:val="43"/>
          <w:u w:val="single" w:color="000000"/>
        </w:rPr>
        <w:t xml:space="preserve"> </w:t>
      </w:r>
      <w:r w:rsidRPr="00DD70DD">
        <w:rPr>
          <w:u w:val="single" w:color="000000"/>
        </w:rPr>
        <w:t>R</w:t>
      </w:r>
      <w:r w:rsidRPr="00DD70DD">
        <w:rPr>
          <w:spacing w:val="1"/>
          <w:u w:val="single" w:color="000000"/>
        </w:rPr>
        <w:t>e</w:t>
      </w:r>
      <w:r w:rsidRPr="00DD70DD">
        <w:rPr>
          <w:u w:val="single" w:color="000000"/>
        </w:rPr>
        <w:t>s</w:t>
      </w:r>
      <w:r w:rsidRPr="00DD70DD">
        <w:rPr>
          <w:spacing w:val="2"/>
          <w:u w:val="single" w:color="000000"/>
        </w:rPr>
        <w:t>g</w:t>
      </w:r>
      <w:r w:rsidRPr="00DD70DD">
        <w:rPr>
          <w:u w:val="single" w:color="000000"/>
        </w:rPr>
        <w:t>ate</w:t>
      </w:r>
      <w:r w:rsidRPr="00DD70DD">
        <w:rPr>
          <w:spacing w:val="43"/>
          <w:u w:val="single" w:color="000000"/>
        </w:rPr>
        <w:t xml:space="preserve"> </w:t>
      </w:r>
      <w:r w:rsidRPr="00DD70DD">
        <w:rPr>
          <w:u w:val="single" w:color="000000"/>
        </w:rPr>
        <w:t>A</w:t>
      </w:r>
      <w:r w:rsidRPr="00DD70DD">
        <w:rPr>
          <w:spacing w:val="1"/>
          <w:u w:val="single" w:color="000000"/>
        </w:rPr>
        <w:t>n</w:t>
      </w:r>
      <w:r w:rsidRPr="00DD70DD">
        <w:rPr>
          <w:u w:val="single" w:color="000000"/>
        </w:rPr>
        <w:t>t</w:t>
      </w:r>
      <w:r w:rsidRPr="00DD70DD">
        <w:rPr>
          <w:spacing w:val="-2"/>
          <w:u w:val="single" w:color="000000"/>
        </w:rPr>
        <w:t>e</w:t>
      </w:r>
      <w:r w:rsidRPr="00DD70DD">
        <w:rPr>
          <w:u w:val="single" w:color="000000"/>
        </w:rPr>
        <w:t>c</w:t>
      </w:r>
      <w:r w:rsidRPr="00DD70DD">
        <w:rPr>
          <w:spacing w:val="2"/>
          <w:u w:val="single" w:color="000000"/>
        </w:rPr>
        <w:t>i</w:t>
      </w:r>
      <w:r w:rsidRPr="00DD70DD">
        <w:rPr>
          <w:u w:val="single" w:color="000000"/>
        </w:rPr>
        <w:t>pado</w:t>
      </w:r>
      <w:r w:rsidRPr="00DD70DD">
        <w:rPr>
          <w:w w:val="99"/>
          <w:u w:val="single"/>
        </w:rPr>
        <w:t xml:space="preserve"> </w:t>
      </w:r>
      <w:r w:rsidRPr="00DD70DD">
        <w:rPr>
          <w:u w:val="single" w:color="000000"/>
        </w:rPr>
        <w:t>Facu</w:t>
      </w:r>
      <w:r w:rsidRPr="00DD70DD">
        <w:rPr>
          <w:spacing w:val="2"/>
          <w:u w:val="single" w:color="000000"/>
        </w:rPr>
        <w:t>l</w:t>
      </w:r>
      <w:r w:rsidRPr="00DD70DD">
        <w:rPr>
          <w:u w:val="single" w:color="000000"/>
        </w:rPr>
        <w:t>ta</w:t>
      </w:r>
      <w:r w:rsidRPr="00DD70DD">
        <w:rPr>
          <w:spacing w:val="-2"/>
          <w:u w:val="single" w:color="000000"/>
        </w:rPr>
        <w:t>t</w:t>
      </w:r>
      <w:r w:rsidRPr="00DD70DD">
        <w:rPr>
          <w:spacing w:val="2"/>
          <w:u w:val="single" w:color="000000"/>
        </w:rPr>
        <w:t>i</w:t>
      </w:r>
      <w:r w:rsidRPr="00DD70DD">
        <w:rPr>
          <w:u w:val="single" w:color="000000"/>
        </w:rPr>
        <w:t>v</w:t>
      </w:r>
      <w:r w:rsidRPr="00DD70DD">
        <w:rPr>
          <w:spacing w:val="-1"/>
          <w:u w:val="single" w:color="000000"/>
        </w:rPr>
        <w:t>o</w:t>
      </w:r>
      <w:r w:rsidRPr="00DD70DD">
        <w:t>”),</w:t>
      </w:r>
      <w:r w:rsidRPr="00DD70DD">
        <w:rPr>
          <w:spacing w:val="3"/>
        </w:rPr>
        <w:t xml:space="preserve"> </w:t>
      </w:r>
      <w:r w:rsidRPr="00DD70DD">
        <w:t>a</w:t>
      </w:r>
      <w:r w:rsidRPr="00DD70DD">
        <w:rPr>
          <w:spacing w:val="2"/>
        </w:rPr>
        <w:t>c</w:t>
      </w:r>
      <w:r w:rsidRPr="00DD70DD">
        <w:rPr>
          <w:spacing w:val="-1"/>
        </w:rPr>
        <w:t>r</w:t>
      </w:r>
      <w:r w:rsidRPr="00DD70DD">
        <w:rPr>
          <w:spacing w:val="1"/>
        </w:rPr>
        <w:t>e</w:t>
      </w:r>
      <w:r w:rsidRPr="00DD70DD">
        <w:t>s</w:t>
      </w:r>
      <w:r w:rsidRPr="00DD70DD">
        <w:rPr>
          <w:spacing w:val="-2"/>
        </w:rPr>
        <w:t>c</w:t>
      </w:r>
      <w:r w:rsidRPr="00DD70DD">
        <w:rPr>
          <w:spacing w:val="2"/>
        </w:rPr>
        <w:t>i</w:t>
      </w:r>
      <w:r w:rsidRPr="00DD70DD">
        <w:t>do</w:t>
      </w:r>
      <w:r w:rsidRPr="00DD70DD">
        <w:rPr>
          <w:spacing w:val="1"/>
        </w:rPr>
        <w:t xml:space="preserve"> </w:t>
      </w:r>
      <w:r w:rsidR="007A6418">
        <w:rPr>
          <w:spacing w:val="1"/>
        </w:rPr>
        <w:t xml:space="preserve">dos Encargos Moratórios, se devidos, e </w:t>
      </w:r>
      <w:r w:rsidRPr="00DD70DD">
        <w:rPr>
          <w:spacing w:val="2"/>
        </w:rPr>
        <w:t>d</w:t>
      </w:r>
      <w:r w:rsidRPr="00DD70DD">
        <w:t>e</w:t>
      </w:r>
      <w:r w:rsidRPr="00DD70DD">
        <w:rPr>
          <w:spacing w:val="1"/>
        </w:rPr>
        <w:t xml:space="preserve"> </w:t>
      </w:r>
      <w:r w:rsidRPr="00DD70DD">
        <w:rPr>
          <w:spacing w:val="2"/>
        </w:rPr>
        <w:t>p</w:t>
      </w:r>
      <w:r w:rsidRPr="00DD70DD">
        <w:rPr>
          <w:spacing w:val="-1"/>
        </w:rPr>
        <w:t>r</w:t>
      </w:r>
      <w:r w:rsidRPr="00DD70DD">
        <w:rPr>
          <w:spacing w:val="-2"/>
        </w:rPr>
        <w:t>ê</w:t>
      </w:r>
      <w:r w:rsidRPr="00DD70DD">
        <w:t>m</w:t>
      </w:r>
      <w:r w:rsidRPr="00DD70DD">
        <w:rPr>
          <w:spacing w:val="3"/>
        </w:rPr>
        <w:t>i</w:t>
      </w:r>
      <w:r w:rsidRPr="00DD70DD">
        <w:t>o</w:t>
      </w:r>
      <w:r w:rsidRPr="00DD70DD">
        <w:rPr>
          <w:spacing w:val="3"/>
        </w:rPr>
        <w:t xml:space="preserve"> </w:t>
      </w:r>
      <w:r w:rsidRPr="00DD70DD">
        <w:rPr>
          <w:spacing w:val="2"/>
        </w:rPr>
        <w:t>i</w:t>
      </w:r>
      <w:r w:rsidRPr="00DD70DD">
        <w:rPr>
          <w:spacing w:val="1"/>
        </w:rPr>
        <w:t>n</w:t>
      </w:r>
      <w:r w:rsidRPr="00DD70DD">
        <w:t>c</w:t>
      </w:r>
      <w:r w:rsidRPr="00DD70DD">
        <w:rPr>
          <w:spacing w:val="2"/>
        </w:rPr>
        <w:t>i</w:t>
      </w:r>
      <w:r w:rsidRPr="00DD70DD">
        <w:t>d</w:t>
      </w:r>
      <w:r w:rsidRPr="00DD70DD">
        <w:rPr>
          <w:spacing w:val="-2"/>
        </w:rPr>
        <w:t>e</w:t>
      </w:r>
      <w:r w:rsidRPr="00DD70DD">
        <w:rPr>
          <w:spacing w:val="1"/>
        </w:rPr>
        <w:t>n</w:t>
      </w:r>
      <w:r w:rsidRPr="00DD70DD">
        <w:rPr>
          <w:spacing w:val="-2"/>
        </w:rPr>
        <w:t>t</w:t>
      </w:r>
      <w:r w:rsidRPr="00DD70DD">
        <w:t>e</w:t>
      </w:r>
      <w:r w:rsidRPr="00DD70DD">
        <w:rPr>
          <w:spacing w:val="3"/>
        </w:rPr>
        <w:t xml:space="preserve"> </w:t>
      </w:r>
      <w:r w:rsidRPr="00DD70DD">
        <w:t>s</w:t>
      </w:r>
      <w:r w:rsidRPr="00DD70DD">
        <w:rPr>
          <w:spacing w:val="-2"/>
        </w:rPr>
        <w:t>o</w:t>
      </w:r>
      <w:r w:rsidRPr="00DD70DD">
        <w:rPr>
          <w:spacing w:val="2"/>
        </w:rPr>
        <w:t>b</w:t>
      </w:r>
      <w:r w:rsidRPr="00DD70DD">
        <w:rPr>
          <w:spacing w:val="-1"/>
        </w:rPr>
        <w:t>r</w:t>
      </w:r>
      <w:r w:rsidRPr="00DD70DD">
        <w:t>e</w:t>
      </w:r>
      <w:r w:rsidRPr="00DD70DD">
        <w:rPr>
          <w:spacing w:val="3"/>
        </w:rPr>
        <w:t xml:space="preserve"> </w:t>
      </w:r>
      <w:r>
        <w:rPr>
          <w:spacing w:val="3"/>
        </w:rPr>
        <w:t xml:space="preserve">o </w:t>
      </w:r>
      <w:r w:rsidR="007A6418">
        <w:rPr>
          <w:spacing w:val="3"/>
        </w:rPr>
        <w:t>[</w:t>
      </w:r>
      <w:r w:rsidRPr="007A6418">
        <w:rPr>
          <w:highlight w:val="yellow"/>
        </w:rPr>
        <w:t>Valor do Resgate Antecipado Facultativo</w:t>
      </w:r>
      <w:r w:rsidR="007A6418" w:rsidRPr="007A6418">
        <w:rPr>
          <w:highlight w:val="yellow"/>
        </w:rPr>
        <w:t xml:space="preserve"> / Valor Nominal Unitário / saldo do Valor Nominal Unitário</w:t>
      </w:r>
      <w:r w:rsidR="007A6418">
        <w:t>]</w:t>
      </w:r>
      <w:r w:rsidRPr="00DD70DD">
        <w:t>,</w:t>
      </w:r>
      <w:r w:rsidRPr="00DD70DD">
        <w:rPr>
          <w:spacing w:val="44"/>
        </w:rPr>
        <w:t xml:space="preserve"> </w:t>
      </w:r>
      <w:r w:rsidRPr="00DD70DD">
        <w:rPr>
          <w:spacing w:val="1"/>
        </w:rPr>
        <w:t>c</w:t>
      </w:r>
      <w:r w:rsidRPr="00DD70DD">
        <w:rPr>
          <w:spacing w:val="-1"/>
        </w:rPr>
        <w:t>o</w:t>
      </w:r>
      <w:r w:rsidRPr="00DD70DD">
        <w:rPr>
          <w:spacing w:val="1"/>
        </w:rPr>
        <w:t>n</w:t>
      </w:r>
      <w:r w:rsidRPr="00DD70DD">
        <w:t>fo</w:t>
      </w:r>
      <w:r w:rsidRPr="00DD70DD">
        <w:rPr>
          <w:spacing w:val="-1"/>
        </w:rPr>
        <w:t>r</w:t>
      </w:r>
      <w:r w:rsidRPr="00DD70DD">
        <w:t>me</w:t>
      </w:r>
      <w:r w:rsidRPr="00DD70DD">
        <w:rPr>
          <w:spacing w:val="43"/>
        </w:rPr>
        <w:t xml:space="preserve"> </w:t>
      </w:r>
      <w:r w:rsidRPr="00DD70DD">
        <w:t xml:space="preserve">a </w:t>
      </w:r>
      <w:r>
        <w:t>tabela</w:t>
      </w:r>
      <w:r w:rsidRPr="00DD70DD">
        <w:t xml:space="preserve"> abaixo (“</w:t>
      </w:r>
      <w:r w:rsidRPr="00DD70DD">
        <w:rPr>
          <w:u w:val="single"/>
        </w:rPr>
        <w:t>Prêmio de Resgate Antecipado</w:t>
      </w:r>
      <w:r w:rsidRPr="00D06C47">
        <w:rPr>
          <w:u w:val="single"/>
        </w:rPr>
        <w:t xml:space="preserve"> Facultativo</w:t>
      </w:r>
      <w:r w:rsidRPr="00D06C47">
        <w:t>”):</w:t>
      </w:r>
      <w:r>
        <w:t xml:space="preserve"> </w:t>
      </w:r>
      <w:r w:rsidR="007A6418">
        <w:t>[</w:t>
      </w:r>
      <w:r w:rsidR="007A6418" w:rsidRPr="007A6418">
        <w:rPr>
          <w:b/>
          <w:bCs/>
          <w:smallCaps/>
          <w:highlight w:val="yellow"/>
        </w:rPr>
        <w:t>Nota VBSO: Favor confirmar base de cálculo do prêmio no caso de resgate antecipado facultativo, bem como nos informar se o prêmio será escalonado.</w:t>
      </w:r>
      <w:r w:rsidR="007A6418">
        <w:t>]</w:t>
      </w:r>
    </w:p>
    <w:p w:rsidR="00025405" w:rsidRDefault="00025405" w:rsidP="00025405">
      <w:pPr>
        <w:pStyle w:val="PargrafodaLista"/>
        <w:spacing w:line="312" w:lineRule="auto"/>
        <w:ind w:left="0"/>
        <w:jc w:val="both"/>
      </w:pPr>
    </w:p>
    <w:tbl>
      <w:tblPr>
        <w:tblStyle w:val="Tabelacomgrade"/>
        <w:tblW w:w="0" w:type="auto"/>
        <w:jc w:val="center"/>
        <w:tblLook w:val="04A0" w:firstRow="1" w:lastRow="0" w:firstColumn="1" w:lastColumn="0" w:noHBand="0" w:noVBand="1"/>
      </w:tblPr>
      <w:tblGrid>
        <w:gridCol w:w="3799"/>
        <w:gridCol w:w="2051"/>
      </w:tblGrid>
      <w:tr w:rsidR="00025405" w:rsidRPr="00DD058A" w:rsidTr="00BC51A5">
        <w:trPr>
          <w:jc w:val="center"/>
        </w:trPr>
        <w:tc>
          <w:tcPr>
            <w:tcW w:w="3799" w:type="dxa"/>
            <w:shd w:val="clear" w:color="auto" w:fill="EEECE1" w:themeFill="background2"/>
            <w:vAlign w:val="center"/>
          </w:tcPr>
          <w:p w:rsidR="00025405" w:rsidRPr="00DD058A" w:rsidRDefault="00025405" w:rsidP="00BC51A5">
            <w:pPr>
              <w:pStyle w:val="PargrafodaLista"/>
              <w:tabs>
                <w:tab w:val="left" w:pos="709"/>
              </w:tabs>
              <w:suppressAutoHyphens/>
              <w:spacing w:line="300" w:lineRule="exact"/>
              <w:ind w:left="0"/>
              <w:jc w:val="center"/>
            </w:pPr>
            <w:r w:rsidRPr="00DD058A">
              <w:rPr>
                <w:b/>
              </w:rPr>
              <w:t>Período</w:t>
            </w:r>
          </w:p>
        </w:tc>
        <w:tc>
          <w:tcPr>
            <w:tcW w:w="2051" w:type="dxa"/>
            <w:shd w:val="clear" w:color="auto" w:fill="EEECE1" w:themeFill="background2"/>
            <w:vAlign w:val="center"/>
          </w:tcPr>
          <w:p w:rsidR="00025405" w:rsidRPr="00DD058A" w:rsidRDefault="00025405" w:rsidP="00BC51A5">
            <w:pPr>
              <w:pStyle w:val="PargrafodaLista"/>
              <w:tabs>
                <w:tab w:val="left" w:pos="709"/>
              </w:tabs>
              <w:suppressAutoHyphens/>
              <w:spacing w:line="300" w:lineRule="exact"/>
              <w:ind w:left="0"/>
              <w:jc w:val="center"/>
            </w:pPr>
            <w:r w:rsidRPr="00DD058A">
              <w:rPr>
                <w:b/>
              </w:rPr>
              <w:t>Prêmio</w:t>
            </w:r>
          </w:p>
        </w:tc>
      </w:tr>
      <w:tr w:rsidR="00025405" w:rsidRPr="00DD058A" w:rsidTr="00BC51A5">
        <w:trPr>
          <w:jc w:val="center"/>
        </w:trPr>
        <w:tc>
          <w:tcPr>
            <w:tcW w:w="3799" w:type="dxa"/>
            <w:vAlign w:val="center"/>
          </w:tcPr>
          <w:p w:rsidR="00025405" w:rsidRPr="00DD058A" w:rsidRDefault="00025405" w:rsidP="00025405">
            <w:pPr>
              <w:pStyle w:val="PargrafodaLista"/>
              <w:tabs>
                <w:tab w:val="left" w:pos="709"/>
              </w:tabs>
              <w:suppressAutoHyphens/>
              <w:spacing w:line="300" w:lineRule="exact"/>
              <w:ind w:left="0"/>
              <w:jc w:val="center"/>
            </w:pPr>
            <w:r>
              <w:t>[</w:t>
            </w:r>
            <w:r w:rsidRPr="00025405">
              <w:rPr>
                <w:b/>
                <w:highlight w:val="yellow"/>
              </w:rPr>
              <w:t>•</w:t>
            </w:r>
            <w:r>
              <w:t>]</w:t>
            </w:r>
          </w:p>
        </w:tc>
        <w:tc>
          <w:tcPr>
            <w:tcW w:w="2051" w:type="dxa"/>
          </w:tcPr>
          <w:p w:rsidR="00025405" w:rsidRPr="00DD058A" w:rsidRDefault="00025405" w:rsidP="00BC51A5">
            <w:pPr>
              <w:pStyle w:val="PargrafodaLista"/>
              <w:tabs>
                <w:tab w:val="left" w:pos="709"/>
              </w:tabs>
              <w:suppressAutoHyphens/>
              <w:spacing w:line="300" w:lineRule="exact"/>
              <w:ind w:left="0"/>
              <w:jc w:val="center"/>
            </w:pPr>
            <w:r>
              <w:t>[</w:t>
            </w:r>
            <w:r w:rsidRPr="00025405">
              <w:rPr>
                <w:b/>
                <w:highlight w:val="yellow"/>
              </w:rPr>
              <w:t>•</w:t>
            </w:r>
            <w:r>
              <w:t>]</w:t>
            </w:r>
          </w:p>
        </w:tc>
      </w:tr>
    </w:tbl>
    <w:p w:rsidR="003377AC" w:rsidRPr="004C2E2C" w:rsidRDefault="003377AC" w:rsidP="00025405">
      <w:pPr>
        <w:pStyle w:val="PargrafodaLista"/>
        <w:spacing w:line="312" w:lineRule="auto"/>
        <w:ind w:left="0"/>
        <w:jc w:val="both"/>
        <w:rPr>
          <w:color w:val="000000"/>
        </w:rPr>
      </w:pPr>
    </w:p>
    <w:p w:rsidR="003377AC" w:rsidRPr="004C2E2C" w:rsidRDefault="003377AC" w:rsidP="003377AC">
      <w:pPr>
        <w:pStyle w:val="PargrafodaLista"/>
        <w:rPr>
          <w:color w:val="000000"/>
        </w:rPr>
      </w:pPr>
    </w:p>
    <w:p w:rsidR="003377AC" w:rsidRPr="004C2E2C" w:rsidRDefault="003377AC" w:rsidP="003377AC">
      <w:pPr>
        <w:pStyle w:val="PargrafodaLista"/>
        <w:numPr>
          <w:ilvl w:val="2"/>
          <w:numId w:val="21"/>
        </w:numPr>
        <w:spacing w:line="312" w:lineRule="auto"/>
        <w:ind w:left="0" w:firstLine="0"/>
        <w:jc w:val="both"/>
      </w:pPr>
      <w:r w:rsidRPr="004C2E2C">
        <w: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t>
      </w:r>
    </w:p>
    <w:p w:rsidR="003377AC" w:rsidRPr="004C2E2C" w:rsidRDefault="003377AC" w:rsidP="003377AC">
      <w:pPr>
        <w:spacing w:line="312" w:lineRule="auto"/>
        <w:rPr>
          <w:color w:val="000000"/>
        </w:rPr>
      </w:pPr>
    </w:p>
    <w:p w:rsidR="003377AC" w:rsidRPr="004C2E2C" w:rsidRDefault="003377AC" w:rsidP="003377AC">
      <w:pPr>
        <w:pStyle w:val="PargrafodaLista"/>
        <w:numPr>
          <w:ilvl w:val="2"/>
          <w:numId w:val="21"/>
        </w:numPr>
        <w:spacing w:line="312" w:lineRule="auto"/>
        <w:ind w:left="0" w:firstLine="0"/>
        <w:jc w:val="both"/>
      </w:pPr>
      <w:r w:rsidRPr="004C2E2C">
        <w:t>As Debêntures objeto do Resgate Antecipado Facultativo serão obrigatoriamente canceladas.</w:t>
      </w:r>
    </w:p>
    <w:p w:rsidR="003377AC" w:rsidRPr="004C2E2C" w:rsidRDefault="003377AC" w:rsidP="003377AC">
      <w:pPr>
        <w:spacing w:line="312" w:lineRule="auto"/>
        <w:rPr>
          <w:color w:val="000000"/>
        </w:rPr>
      </w:pPr>
    </w:p>
    <w:p w:rsidR="003377AC" w:rsidRPr="004C2E2C" w:rsidRDefault="003377AC" w:rsidP="003377AC">
      <w:pPr>
        <w:pStyle w:val="PargrafodaLista"/>
        <w:numPr>
          <w:ilvl w:val="2"/>
          <w:numId w:val="21"/>
        </w:numPr>
        <w:spacing w:line="312" w:lineRule="auto"/>
        <w:ind w:left="0" w:firstLine="0"/>
        <w:jc w:val="both"/>
      </w:pPr>
      <w:r w:rsidRPr="004C2E2C">
        <w:lastRenderedPageBreak/>
        <w:t xml:space="preserve">Caso ocorra o Resgate Antecipado Facultativo de quaisquer Debêntures custodiadas eletronicamente na </w:t>
      </w:r>
      <w:r w:rsidRPr="004C2E2C">
        <w:rPr>
          <w:color w:val="000000"/>
        </w:rPr>
        <w:t>B3</w:t>
      </w:r>
      <w:r w:rsidRPr="004C2E2C">
        <w:t xml:space="preserve">, o respectivo Resgate Antecipado Facultativo também seguirá os procedimentos adotados pela </w:t>
      </w:r>
      <w:r w:rsidRPr="004C2E2C">
        <w:rPr>
          <w:color w:val="000000"/>
        </w:rPr>
        <w:t>B3</w:t>
      </w:r>
      <w:r w:rsidRPr="004C2E2C">
        <w:t>.</w:t>
      </w:r>
    </w:p>
    <w:p w:rsidR="003377AC" w:rsidRPr="004C2E2C" w:rsidRDefault="003377AC" w:rsidP="003377AC">
      <w:pPr>
        <w:pStyle w:val="PargrafodaLista"/>
      </w:pPr>
    </w:p>
    <w:p w:rsidR="003377AC" w:rsidRPr="004C2E2C" w:rsidRDefault="003377AC" w:rsidP="003377AC">
      <w:pPr>
        <w:pStyle w:val="PargrafodaLista"/>
        <w:numPr>
          <w:ilvl w:val="2"/>
          <w:numId w:val="21"/>
        </w:numPr>
        <w:spacing w:line="312" w:lineRule="auto"/>
        <w:ind w:left="0" w:firstLine="0"/>
        <w:jc w:val="both"/>
        <w:rPr>
          <w:color w:val="000000" w:themeColor="text1"/>
        </w:rPr>
      </w:pPr>
      <w:r w:rsidRPr="004C2E2C">
        <w:rPr>
          <w:color w:val="000000" w:themeColor="text1"/>
        </w:rPr>
        <w:t xml:space="preserve">A B3, o Agente de Liquidação e o Escriturador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t>
      </w:r>
    </w:p>
    <w:p w:rsidR="003377AC" w:rsidRPr="004C2E2C" w:rsidRDefault="003377AC" w:rsidP="003377AC">
      <w:pPr>
        <w:pStyle w:val="PargrafodaLista"/>
        <w:rPr>
          <w:color w:val="000000" w:themeColor="text1"/>
        </w:rPr>
      </w:pPr>
    </w:p>
    <w:p w:rsidR="003377AC" w:rsidRPr="004C2E2C" w:rsidRDefault="003377AC" w:rsidP="003377AC">
      <w:pPr>
        <w:pStyle w:val="PargrafodaLista"/>
        <w:numPr>
          <w:ilvl w:val="2"/>
          <w:numId w:val="21"/>
        </w:numPr>
        <w:spacing w:line="312" w:lineRule="auto"/>
        <w:ind w:left="0" w:firstLine="0"/>
        <w:jc w:val="both"/>
        <w:rPr>
          <w:color w:val="000000" w:themeColor="text1"/>
        </w:rPr>
      </w:pPr>
      <w:r w:rsidRPr="004C2E2C">
        <w:t>A data para realização de qualquer Resgate Antecipado Facultativo no âmbito desta Emissão deverá, obrigatoriamente, ser um Dia Útil.</w:t>
      </w:r>
    </w:p>
    <w:p w:rsidR="003377AC" w:rsidRPr="004C2E2C" w:rsidRDefault="003377AC" w:rsidP="003377AC">
      <w:pPr>
        <w:pStyle w:val="PargrafodaLista"/>
        <w:rPr>
          <w:color w:val="000000" w:themeColor="text1"/>
        </w:rPr>
      </w:pPr>
    </w:p>
    <w:p w:rsidR="00BA16B3" w:rsidRPr="004C2E2C" w:rsidRDefault="003377AC" w:rsidP="003377AC">
      <w:pPr>
        <w:pStyle w:val="PargrafodaLista"/>
        <w:numPr>
          <w:ilvl w:val="2"/>
          <w:numId w:val="21"/>
        </w:numPr>
        <w:spacing w:line="312" w:lineRule="auto"/>
        <w:ind w:left="0" w:firstLine="0"/>
        <w:jc w:val="both"/>
        <w:rPr>
          <w:color w:val="000000" w:themeColor="text1"/>
        </w:rPr>
      </w:pPr>
      <w:r w:rsidRPr="004C2E2C">
        <w:t xml:space="preserve">Não será permitido o resgate antecipado </w:t>
      </w:r>
      <w:r w:rsidR="009E48EA" w:rsidRPr="004C2E2C">
        <w:t>[</w:t>
      </w:r>
      <w:r w:rsidRPr="004C2E2C">
        <w:t xml:space="preserve">parcial </w:t>
      </w:r>
      <w:r w:rsidR="009E48EA" w:rsidRPr="004C2E2C">
        <w:t xml:space="preserve">/ </w:t>
      </w:r>
      <w:r w:rsidR="006A4E05" w:rsidRPr="004C2E2C">
        <w:t>facultativo</w:t>
      </w:r>
      <w:r w:rsidR="009E48EA" w:rsidRPr="004C2E2C">
        <w:t>]</w:t>
      </w:r>
      <w:r w:rsidR="006A4E05" w:rsidRPr="004C2E2C">
        <w:t xml:space="preserve"> </w:t>
      </w:r>
      <w:r w:rsidRPr="004C2E2C">
        <w:t>das Debêntures.</w:t>
      </w:r>
      <w:r w:rsidR="009E48EA" w:rsidRPr="004C2E2C">
        <w:t>]</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(ii)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(iii) a data efetiva para o resgate antecipado das Debêntures e o pagamento das quantias devidas aos Debenturistas</w:t>
      </w:r>
      <w:r w:rsidR="00865CF1">
        <w:rPr>
          <w:color w:val="000000"/>
        </w:rPr>
        <w:t>, que deverá ser um Dia Útil</w:t>
      </w:r>
      <w:r w:rsidR="007A1745" w:rsidRPr="00B2481D">
        <w:rPr>
          <w:color w:val="000000"/>
        </w:rPr>
        <w:t>; e (iv)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xml:space="preserve">, desde que atendidos, cumulativamente, os seguintes requisitos: (i) prazo médio ponderado dos pagamentos transcorrido entre a Data de Emissão e a data do efetivo Resgate Antecipado Facultativo ser superior a 4 (quatro) anos; (ii) taxa de pré-pagamento menor ou igual à soma da taxa do título público federal remunerado pelo mesmo índice da debênture, com </w:t>
      </w:r>
      <w:r w:rsidR="00383BC6" w:rsidRPr="00383BC6">
        <w:rPr>
          <w:i/>
          <w:iCs/>
          <w:color w:val="000000"/>
        </w:rPr>
        <w:t>duration</w:t>
      </w:r>
      <w:r w:rsidR="00383BC6" w:rsidRPr="00383BC6">
        <w:rPr>
          <w:color w:val="000000"/>
        </w:rPr>
        <w:t xml:space="preserve"> mais </w:t>
      </w:r>
      <w:r w:rsidR="00383BC6" w:rsidRPr="00747BA2">
        <w:rPr>
          <w:color w:val="000000"/>
        </w:rPr>
        <w:t xml:space="preserve">próxima à </w:t>
      </w:r>
      <w:r w:rsidR="00383BC6" w:rsidRPr="00747BA2">
        <w:rPr>
          <w:i/>
          <w:iCs/>
          <w:color w:val="000000"/>
        </w:rPr>
        <w:t xml:space="preserve">duration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r w:rsidR="00383BC6" w:rsidRPr="00747BA2">
        <w:rPr>
          <w:i/>
          <w:iCs/>
          <w:color w:val="000000"/>
        </w:rPr>
        <w:t xml:space="preserve">duration </w:t>
      </w:r>
      <w:r w:rsidR="00383BC6" w:rsidRPr="00747BA2">
        <w:rPr>
          <w:color w:val="000000"/>
        </w:rPr>
        <w:t xml:space="preserve"> mais próxima à </w:t>
      </w:r>
      <w:r w:rsidR="00383BC6" w:rsidRPr="00747BA2">
        <w:rPr>
          <w:i/>
          <w:iCs/>
          <w:color w:val="000000"/>
        </w:rPr>
        <w:t xml:space="preserve">duration </w:t>
      </w:r>
      <w:r w:rsidR="00383BC6" w:rsidRPr="00747BA2">
        <w:rPr>
          <w:color w:val="000000"/>
        </w:rPr>
        <w:t>das Debêntures na Data de Emissão; e (iii)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r w:rsidRPr="00B2481D">
        <w:rPr>
          <w:i/>
          <w:iCs/>
        </w:rPr>
        <w:t xml:space="preserve">duration </w:t>
      </w:r>
      <w:r w:rsidRPr="00B2481D">
        <w:t>e prazo médio ponderado: o prazo médio dos fluxos de pagamentos ponderado pelo valor presente desses fluxos, conforme descrito na Resolução do Conselho Monetário Nacional nº 3.947, de 27 de janeiro de 2011; e (ii)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xml:space="preserve">, itens (ii) e (iii),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FE7BC9" w:rsidRDefault="00FE7BC9" w:rsidP="00AC018B">
      <w:pPr>
        <w:widowControl w:val="0"/>
        <w:tabs>
          <w:tab w:val="left" w:pos="0"/>
        </w:tabs>
        <w:spacing w:line="312" w:lineRule="auto"/>
        <w:jc w:val="both"/>
        <w:rPr>
          <w:color w:val="000000"/>
        </w:rPr>
      </w:pPr>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 xml:space="preserve">A Emissora deverá: (i) na data de término do prazo de adesão à Oferta de Resgate Antecipado, confirmar ao Agente Fiduciário se o resgate antecipado das Debêntures será </w:t>
      </w:r>
      <w:r w:rsidR="007A1745" w:rsidRPr="00B2481D">
        <w:rPr>
          <w:color w:val="000000"/>
        </w:rPr>
        <w:lastRenderedPageBreak/>
        <w:t xml:space="preserve">efetivamente realizado; e (ii)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Escriturador,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 xml:space="preserve">(ii)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DF723A" w:rsidRDefault="00DF723A" w:rsidP="00AC018B">
      <w:pPr>
        <w:widowControl w:val="0"/>
        <w:tabs>
          <w:tab w:val="left" w:pos="0"/>
        </w:tabs>
        <w:spacing w:line="312" w:lineRule="auto"/>
        <w:jc w:val="both"/>
        <w:rPr>
          <w:color w:val="000000"/>
        </w:rPr>
      </w:pPr>
    </w:p>
    <w:p w:rsidR="00DF723A" w:rsidRPr="00B2481D" w:rsidRDefault="00DF723A" w:rsidP="00AC018B">
      <w:pPr>
        <w:widowControl w:val="0"/>
        <w:tabs>
          <w:tab w:val="left" w:pos="0"/>
        </w:tabs>
        <w:spacing w:line="312" w:lineRule="auto"/>
        <w:jc w:val="both"/>
        <w:rPr>
          <w:color w:val="000000"/>
        </w:rPr>
      </w:pPr>
      <w:r>
        <w:rPr>
          <w:color w:val="000000"/>
        </w:rPr>
        <w:t>6.2.7</w:t>
      </w:r>
      <w:r>
        <w:rPr>
          <w:color w:val="000000"/>
        </w:rPr>
        <w:tab/>
        <w:t xml:space="preserve">Sem prejuízo do envio da comunicação </w:t>
      </w:r>
      <w:r w:rsidRPr="00747BA2">
        <w:t xml:space="preserve">individual a todos os </w:t>
      </w:r>
      <w:r w:rsidRPr="00747BA2">
        <w:rPr>
          <w:color w:val="000000"/>
        </w:rPr>
        <w:t>Debenturistas</w:t>
      </w:r>
      <w:r>
        <w:rPr>
          <w:color w:val="000000"/>
        </w:rPr>
        <w:t xml:space="preserve">, mencionada na Cláusula 6.2.2 acima, a realização do resgate antecipado das Debêntures fica limitado à quantidade de Debenturistas que aderirem à Oferta de Resgate Antecipado. </w:t>
      </w:r>
      <w:r w:rsidR="0050119F">
        <w:rPr>
          <w:b/>
          <w:smallCaps/>
          <w:color w:val="000000"/>
        </w:rPr>
        <w:t>[</w:t>
      </w:r>
      <w:r w:rsidR="0050119F" w:rsidRPr="0050119F">
        <w:rPr>
          <w:b/>
          <w:smallCaps/>
          <w:color w:val="000000"/>
          <w:highlight w:val="cyan"/>
        </w:rPr>
        <w:t>Nota CELESC: Qual o impacto à Celesc?</w:t>
      </w:r>
      <w:r w:rsidR="0050119F">
        <w:rPr>
          <w:b/>
          <w:smallCaps/>
          <w:color w:val="000000"/>
        </w:rPr>
        <w:t>]</w:t>
      </w:r>
      <w:r w:rsidR="00D018B6">
        <w:rPr>
          <w:b/>
          <w:smallCaps/>
          <w:color w:val="000000"/>
        </w:rPr>
        <w:t xml:space="preserve"> [</w:t>
      </w:r>
      <w:r w:rsidR="00D018B6" w:rsidRPr="00D018B6">
        <w:rPr>
          <w:b/>
          <w:smallCaps/>
          <w:color w:val="000000"/>
          <w:highlight w:val="yellow"/>
        </w:rPr>
        <w:t>Nota VBSO: Neste caso, a Celesc (i) deverá resgatar as Debêntures dos titulares que aceitaram a oferta de resgate antecipado; e (ii) caso existam titulares de debêntures que não aderiram à oferta de resgate antecipado, a Celesc continuará obrigada a realizar o pagamento destas debêntures normalmente.</w:t>
      </w:r>
      <w:r w:rsidR="00D018B6">
        <w:rPr>
          <w:b/>
          <w:smallCaps/>
          <w:color w:val="000000"/>
        </w:rPr>
        <w:t>]</w:t>
      </w:r>
    </w:p>
    <w:p w:rsidR="005F1FBF" w:rsidRDefault="005F1FBF" w:rsidP="00AC018B">
      <w:pPr>
        <w:widowControl w:val="0"/>
        <w:tabs>
          <w:tab w:val="left" w:pos="0"/>
        </w:tabs>
        <w:spacing w:line="312" w:lineRule="auto"/>
        <w:jc w:val="both"/>
        <w:rPr>
          <w:color w:val="000000"/>
        </w:rPr>
      </w:pPr>
    </w:p>
    <w:p w:rsidR="005F1FBF" w:rsidRPr="005F1FBF" w:rsidRDefault="005F1FBF" w:rsidP="005F1FBF">
      <w:pPr>
        <w:keepNext/>
        <w:keepLines/>
        <w:numPr>
          <w:ilvl w:val="1"/>
          <w:numId w:val="33"/>
        </w:numPr>
        <w:tabs>
          <w:tab w:val="left" w:pos="0"/>
        </w:tabs>
        <w:spacing w:line="312" w:lineRule="auto"/>
        <w:jc w:val="both"/>
        <w:rPr>
          <w:b/>
          <w:color w:val="000000"/>
        </w:rPr>
      </w:pPr>
      <w:r w:rsidRPr="005F1FBF">
        <w:rPr>
          <w:b/>
          <w:color w:val="000000"/>
        </w:rPr>
        <w:t>Amortização Extraordinária</w:t>
      </w:r>
    </w:p>
    <w:p w:rsidR="005F1FBF" w:rsidRDefault="005F1FBF" w:rsidP="005F1FBF">
      <w:pPr>
        <w:keepNext/>
        <w:keepLines/>
        <w:tabs>
          <w:tab w:val="left" w:pos="0"/>
        </w:tabs>
        <w:spacing w:line="312" w:lineRule="auto"/>
        <w:jc w:val="both"/>
        <w:rPr>
          <w:color w:val="000000"/>
        </w:rPr>
      </w:pPr>
    </w:p>
    <w:p w:rsidR="005F1FBF" w:rsidRDefault="005F1FBF" w:rsidP="005F1FBF">
      <w:pPr>
        <w:keepNext/>
        <w:keepLines/>
        <w:tabs>
          <w:tab w:val="left" w:pos="0"/>
        </w:tabs>
        <w:spacing w:line="312" w:lineRule="auto"/>
        <w:jc w:val="both"/>
        <w:rPr>
          <w:color w:val="000000"/>
        </w:rPr>
      </w:pPr>
      <w:r>
        <w:rPr>
          <w:color w:val="000000"/>
        </w:rPr>
        <w:t>6.4.1.</w:t>
      </w:r>
      <w:r>
        <w:rPr>
          <w:color w:val="000000"/>
        </w:rPr>
        <w:tab/>
        <w:t>As Debêntures não serão objeto de amortização extraordinária pela Emissora.</w:t>
      </w:r>
    </w:p>
    <w:p w:rsidR="005F1FBF" w:rsidRPr="00B2481D" w:rsidRDefault="005F1FBF"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36" w:name="_Toc496113113"/>
      <w:r w:rsidRPr="007532D1">
        <w:rPr>
          <w:color w:val="000000"/>
          <w:sz w:val="24"/>
          <w:szCs w:val="24"/>
        </w:rPr>
        <w:t>CLÁUSULA VII</w:t>
      </w:r>
      <w:r w:rsidRPr="007532D1">
        <w:rPr>
          <w:color w:val="000000"/>
          <w:sz w:val="24"/>
          <w:szCs w:val="24"/>
        </w:rPr>
        <w:br/>
        <w:t>VENCIMENTO ANTECIPADO</w:t>
      </w:r>
      <w:bookmarkEnd w:id="36"/>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xml:space="preserve">, </w:t>
      </w:r>
      <w:r w:rsidR="00DF723A">
        <w:rPr>
          <w:color w:val="000000"/>
        </w:rPr>
        <w:lastRenderedPageBreak/>
        <w:t>nos termos da Cláusula 12.1 abaixo</w:t>
      </w:r>
      <w:r w:rsidR="000E222A" w:rsidRPr="000E222A">
        <w:t>,</w:t>
      </w:r>
      <w:r w:rsidRPr="00747BA2">
        <w:rPr>
          <w:color w:val="000000"/>
        </w:rPr>
        <w:t xml:space="preserve"> contendo as respectivas instruções para pagamento, do Valor Nominal Un</w:t>
      </w:r>
      <w:r w:rsidRPr="007532D1">
        <w:rPr>
          <w:color w:val="000000"/>
        </w:rPr>
        <w:t xml:space="preserve">itário </w:t>
      </w:r>
      <w:r w:rsidR="00865CF1">
        <w:rPr>
          <w:color w:val="000000"/>
        </w:rPr>
        <w:t>Atualizado</w:t>
      </w:r>
      <w:r w:rsidRPr="007532D1">
        <w:rPr>
          <w:color w:val="000000"/>
        </w:rPr>
        <w:t xml:space="preserve">, das Debêntures, acrescido da Remuneração, calculados </w:t>
      </w:r>
      <w:r w:rsidRPr="007532D1">
        <w:rPr>
          <w:i/>
          <w:iCs/>
          <w:color w:val="000000"/>
        </w:rPr>
        <w:t>pro rata temporis</w:t>
      </w:r>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rsidR="00244449" w:rsidRPr="00B2481D" w:rsidRDefault="00244449" w:rsidP="00AC018B">
      <w:pPr>
        <w:pStyle w:val="PargrafodaLista"/>
        <w:spacing w:line="312" w:lineRule="auto"/>
        <w:rPr>
          <w:rFonts w:eastAsia="Calibri"/>
          <w:lang w:eastAsia="en-US"/>
        </w:rPr>
      </w:pPr>
    </w:p>
    <w:p w:rsidR="00244449" w:rsidRPr="00B2481D" w:rsidRDefault="00244449"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PargrafodaLista"/>
        <w:spacing w:line="312" w:lineRule="auto"/>
        <w:rPr>
          <w:rFonts w:eastAsia="Calibri"/>
          <w:lang w:eastAsia="en-US"/>
        </w:rPr>
      </w:pPr>
    </w:p>
    <w:p w:rsidR="00175A3E"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lastRenderedPageBreak/>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PargrafodaLista"/>
        <w:spacing w:line="312" w:lineRule="auto"/>
        <w:rPr>
          <w:rFonts w:eastAsia="Calibri"/>
          <w:lang w:eastAsia="en-US"/>
        </w:rPr>
      </w:pPr>
    </w:p>
    <w:p w:rsidR="00175A3E" w:rsidRPr="003C3FA2" w:rsidRDefault="003C3FA2" w:rsidP="00AC018B">
      <w:pPr>
        <w:pStyle w:val="PargrafodaLista"/>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PargrafodaLista"/>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PargrafodaLista"/>
        <w:spacing w:line="312" w:lineRule="auto"/>
        <w:rPr>
          <w:rFonts w:eastAsia="Calibri"/>
          <w:lang w:eastAsia="en-US"/>
        </w:rPr>
      </w:pPr>
    </w:p>
    <w:p w:rsidR="007820A2" w:rsidRPr="00B2481D" w:rsidRDefault="007820A2"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 xml:space="preserve">e (b) </w:t>
      </w:r>
      <w:r w:rsidR="00614963">
        <w:t>“</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lastRenderedPageBreak/>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614963">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r w:rsidR="00614963" w:rsidRPr="00614963">
        <w:rPr>
          <w:rFonts w:eastAsia="Calibri"/>
          <w:b/>
          <w:smallCaps/>
          <w:lang w:eastAsia="en-US"/>
        </w:rPr>
        <w:t>[</w:t>
      </w:r>
      <w:r w:rsidR="00614963" w:rsidRPr="00614963">
        <w:rPr>
          <w:rFonts w:eastAsia="Calibri"/>
          <w:b/>
          <w:smallCaps/>
          <w:highlight w:val="green"/>
          <w:lang w:eastAsia="en-US"/>
        </w:rPr>
        <w:t>Nota BOCOM BBM: Precisamos manter o theshold acima. No mais, podemos incluir que todos os threshold de 20 MM podem ser atualizados pelo IPCA</w:t>
      </w:r>
      <w:r w:rsidR="00614963" w:rsidRPr="00614963">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807A6A" w:rsidRPr="00B2481D" w:rsidRDefault="00680CA1" w:rsidP="00AC018B">
      <w:pPr>
        <w:pStyle w:val="PargrafodaLista"/>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Não conseguimos tirar este item, mas se a preocupação é a questão ambiental, já deixamos mais claro no item abaixo</w:t>
      </w:r>
      <w:r w:rsidR="00614963">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w:t>
      </w:r>
      <w:r w:rsidRPr="00680CA1">
        <w:rPr>
          <w:rFonts w:eastAsia="Calibri"/>
          <w:lang w:eastAsia="en-US"/>
        </w:rPr>
        <w:lastRenderedPageBreak/>
        <w:t xml:space="preserve">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PargrafodaLista"/>
        <w:spacing w:line="312" w:lineRule="auto"/>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rsidR="00550980" w:rsidRPr="00B2481D" w:rsidRDefault="00680CA1" w:rsidP="00AC018B">
      <w:pPr>
        <w:pStyle w:val="PargrafodaLista"/>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Prezados, somos favoráveis a alteração do conceito aqui pretendido, contudo, na 2ª Emissão da Companhia de 2018, foi firmado entre a partes o mesmo texto (inciso XVI da Cláusula 8.1 da Escritura da 2ª Emissão). Se vocês conseguirem alterar lá via AGD tal item, nós podemos fazer o mesmo aqui, caso contrário ficaremos subordinados na emissão, o que não temos como seguir</w:t>
      </w:r>
      <w:r w:rsidR="00614963">
        <w:rPr>
          <w:rFonts w:eastAsia="Calibri"/>
          <w:b/>
          <w:smallCaps/>
          <w:lang w:eastAsia="en-US"/>
        </w:rPr>
        <w:t>]</w:t>
      </w:r>
      <w:r w:rsidR="004B07AF">
        <w:rPr>
          <w:rFonts w:eastAsia="Calibri"/>
          <w:b/>
          <w:smallCaps/>
          <w:lang w:eastAsia="en-US"/>
        </w:rPr>
        <w:t xml:space="preserve"> </w:t>
      </w:r>
      <w:r w:rsidR="004B07AF" w:rsidRPr="004B07AF">
        <w:rPr>
          <w:rFonts w:eastAsia="Calibri"/>
          <w:b/>
          <w:smallCaps/>
          <w:lang w:eastAsia="en-US"/>
        </w:rPr>
        <w:t>[</w:t>
      </w:r>
      <w:r w:rsidR="004B07AF" w:rsidRPr="004B07AF">
        <w:rPr>
          <w:rFonts w:eastAsia="Calibri"/>
          <w:b/>
          <w:smallCaps/>
          <w:highlight w:val="cyan"/>
          <w:lang w:eastAsia="en-US"/>
        </w:rPr>
        <w:t xml:space="preserve">Nota CELESC: </w:t>
      </w:r>
      <w:r w:rsidR="004B07AF" w:rsidRPr="004B07AF">
        <w:rPr>
          <w:b/>
          <w:smallCaps/>
          <w:highlight w:val="cyan"/>
        </w:rPr>
        <w:t>Precisa ficar claro aqui que a Celesc, ao alterar a cláusula na Emissão de 2018 (seja por AGD, outros instrumentos ou liquidação antecipada). Precisamos abarcar as possibilidades e, inclusive, deixar um gatilho automático. Só se manteria restrição de pagamento de dividendos em caso de inadimplência com esta Emissão</w:t>
      </w:r>
      <w:r w:rsidR="004B07AF">
        <w:rPr>
          <w:b/>
          <w:smallCaps/>
        </w:rPr>
        <w:t xml:space="preserve"> [</w:t>
      </w:r>
      <w:r w:rsidR="004B07AF" w:rsidRPr="004B07AF">
        <w:rPr>
          <w:b/>
          <w:smallCaps/>
          <w:highlight w:val="yellow"/>
        </w:rPr>
        <w:t>Nota VBSO: Ponto para discussão</w:t>
      </w:r>
      <w:r w:rsidR="004B07AF" w:rsidRPr="004B07AF">
        <w:rPr>
          <w:b/>
          <w:smallCaps/>
        </w:rPr>
        <w:t>]</w:t>
      </w:r>
    </w:p>
    <w:p w:rsidR="001E3066" w:rsidRPr="00B2481D" w:rsidRDefault="001E3066" w:rsidP="00AC018B">
      <w:pPr>
        <w:pStyle w:val="PargrafodaLista"/>
        <w:spacing w:line="312" w:lineRule="auto"/>
        <w:ind w:left="360"/>
        <w:rPr>
          <w:rFonts w:eastAsia="Calibri"/>
          <w:lang w:eastAsia="en-US"/>
        </w:rPr>
      </w:pPr>
    </w:p>
    <w:p w:rsidR="00CB634C"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a ser utilizada para o pagamento de dividendos obrigatórios, juros sobre o capital próprio ou qualquer outra participação no lucro, nos termos do </w:t>
      </w:r>
      <w:r w:rsidRPr="00680CA1">
        <w:rPr>
          <w:rFonts w:eastAsia="Calibri"/>
          <w:lang w:eastAsia="en-US"/>
        </w:rPr>
        <w:lastRenderedPageBreak/>
        <w:t>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vide comentário acima</w:t>
      </w:r>
      <w:r w:rsidR="00614963">
        <w:rPr>
          <w:rFonts w:eastAsia="Calibri"/>
          <w:b/>
          <w:smallCaps/>
          <w:lang w:eastAsia="en-US"/>
        </w:rPr>
        <w:t>]</w:t>
      </w:r>
      <w:r w:rsidR="004B07AF">
        <w:rPr>
          <w:rFonts w:eastAsia="Calibri"/>
          <w:b/>
          <w:smallCaps/>
          <w:lang w:eastAsia="en-US"/>
        </w:rPr>
        <w:t xml:space="preserve"> [</w:t>
      </w:r>
      <w:r w:rsidR="004B07AF" w:rsidRPr="004B07AF">
        <w:rPr>
          <w:rFonts w:eastAsia="Calibri"/>
          <w:b/>
          <w:smallCaps/>
          <w:highlight w:val="cyan"/>
          <w:lang w:eastAsia="en-US"/>
        </w:rPr>
        <w:t>Nota CELESC: Precisa ficar claro aqui que a Celesc, ao alterar a cláusula na Emissão de 2018 (seja por AGD, outros instrumentos ou liquidação antecipada). Precisamos abarcar as possibilidades e, inclusive, deixar um gatilho automático. Só se manteria restrição de pagamento de dividendos em caso de inadimplência com esta Emissão</w:t>
      </w:r>
      <w:r w:rsidR="004B07AF">
        <w:rPr>
          <w:rFonts w:eastAsia="Calibri"/>
          <w:b/>
          <w:smallCaps/>
          <w:lang w:eastAsia="en-US"/>
        </w:rPr>
        <w:t>] [</w:t>
      </w:r>
      <w:r w:rsidR="004B07AF" w:rsidRPr="004B07AF">
        <w:rPr>
          <w:rFonts w:eastAsia="Calibri"/>
          <w:b/>
          <w:smallCaps/>
          <w:highlight w:val="yellow"/>
          <w:lang w:eastAsia="en-US"/>
        </w:rPr>
        <w:t>Nota VBSO: Ponto para discussão</w:t>
      </w:r>
      <w:r w:rsidR="004B07AF">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Pr="00747BA2">
        <w:rPr>
          <w:rFonts w:eastAsia="Calibri"/>
          <w:lang w:eastAsia="en-US"/>
        </w:rPr>
        <w:t xml:space="preserve">eventos que possam afetar a capacidade operacional, legal, financeira da Emissora, de suas Controladas, </w:t>
      </w:r>
      <w:r w:rsidR="00340F53" w:rsidRPr="00747BA2">
        <w:rPr>
          <w:rFonts w:eastAsia="Calibri"/>
          <w:lang w:eastAsia="en-US"/>
        </w:rPr>
        <w:t>[</w:t>
      </w:r>
      <w:r w:rsidRPr="00747BA2">
        <w:rPr>
          <w:rFonts w:eastAsia="Calibri"/>
          <w:highlight w:val="yellow"/>
          <w:lang w:eastAsia="en-US"/>
        </w:rPr>
        <w:t xml:space="preserve">resultando em um </w:t>
      </w:r>
      <w:r w:rsidR="0092533D">
        <w:rPr>
          <w:rFonts w:eastAsia="Calibri"/>
          <w:highlight w:val="yellow"/>
          <w:lang w:eastAsia="en-US"/>
        </w:rPr>
        <w:t>i</w:t>
      </w:r>
      <w:r w:rsidR="0092533D" w:rsidRPr="00747BA2">
        <w:rPr>
          <w:rFonts w:eastAsia="Calibri"/>
          <w:highlight w:val="yellow"/>
          <w:lang w:eastAsia="en-US"/>
        </w:rPr>
        <w:t xml:space="preserve">mpacto </w:t>
      </w:r>
      <w:r w:rsidR="0092533D">
        <w:rPr>
          <w:rFonts w:eastAsia="Calibri"/>
          <w:highlight w:val="yellow"/>
          <w:lang w:eastAsia="en-US"/>
        </w:rPr>
        <w:t>a</w:t>
      </w:r>
      <w:r w:rsidR="0092533D" w:rsidRPr="00747BA2">
        <w:rPr>
          <w:rFonts w:eastAsia="Calibri"/>
          <w:highlight w:val="yellow"/>
          <w:lang w:eastAsia="en-US"/>
        </w:rPr>
        <w:t xml:space="preserve">dverso </w:t>
      </w:r>
      <w:r w:rsidRPr="00747BA2">
        <w:rPr>
          <w:rFonts w:eastAsia="Calibri"/>
          <w:highlight w:val="yellow"/>
          <w:lang w:eastAsia="en-US"/>
        </w:rPr>
        <w:t>para a Emissora, ou qualquer de suas Controladas</w:t>
      </w:r>
      <w:r w:rsidR="00340F53" w:rsidRPr="00747BA2">
        <w:rPr>
          <w:rFonts w:eastAsia="Calibri"/>
          <w:highlight w:val="yellow"/>
          <w:lang w:eastAsia="en-US"/>
        </w:rPr>
        <w:t>/impactando na geração de receita e capacidade da Emissora em honrar tempestivamente as obrigações, pecuniárias ou não desta Escritura de Emissão</w:t>
      </w:r>
      <w:r w:rsidR="00925E18" w:rsidRPr="00614963">
        <w:rPr>
          <w:rFonts w:eastAsia="Calibri"/>
          <w:highlight w:val="lightGray"/>
          <w:lang w:eastAsia="en-US"/>
        </w:rPr>
        <w:t>, conforme entendimentos dos Debenturistas, a ser manifestada através de deliberação, em Assembleia Geral de debenturistas, a ser convocada para esse fim específico</w:t>
      </w:r>
      <w:r w:rsidR="00340F53">
        <w:rPr>
          <w:rFonts w:eastAsia="Calibri"/>
          <w:lang w:eastAsia="en-US"/>
        </w:rPr>
        <w:t>]</w:t>
      </w:r>
      <w:r w:rsidRPr="00680CA1">
        <w:rPr>
          <w:rFonts w:eastAsia="Calibri"/>
          <w:lang w:eastAsia="en-US"/>
        </w:rPr>
        <w:t>;</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Emissora</w:t>
      </w:r>
      <w:r w:rsidR="00340F53" w:rsidRPr="00340F5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925E18" w:rsidRPr="00925E18">
        <w:rPr>
          <w:rFonts w:eastAsia="Calibri"/>
          <w:b/>
          <w:smallCaps/>
          <w:highlight w:val="lightGray"/>
          <w:lang w:eastAsia="en-US"/>
        </w:rPr>
        <w:t xml:space="preserve">Nota Simplific: </w:t>
      </w:r>
      <w:r w:rsidR="00925E18" w:rsidRPr="00925E18">
        <w:rPr>
          <w:rFonts w:eastAsia="Calibri"/>
          <w:b/>
          <w:bCs/>
          <w:smallCaps/>
          <w:highlight w:val="lightGray"/>
          <w:lang w:eastAsia="en-US"/>
        </w:rPr>
        <w:t>entendemos que deve ser hipótese de vencimento antecipado não automático, com a redação indicada</w:t>
      </w:r>
      <w:r w:rsidR="00614963">
        <w:rPr>
          <w:rFonts w:eastAsia="Calibri"/>
          <w:b/>
          <w:bCs/>
          <w:smallCaps/>
          <w:lang w:eastAsia="en-US"/>
        </w:rPr>
        <w:t>] [</w:t>
      </w:r>
      <w:r w:rsidR="00614963" w:rsidRPr="00614963">
        <w:rPr>
          <w:rFonts w:eastAsia="Calibri"/>
          <w:b/>
          <w:bCs/>
          <w:smallCaps/>
          <w:highlight w:val="green"/>
          <w:lang w:eastAsia="en-US"/>
        </w:rPr>
        <w:t>Nota BOCOM BBM: Ok do nosso lado para o Conceito</w:t>
      </w:r>
      <w:r w:rsidR="00614963">
        <w:rPr>
          <w:rFonts w:eastAsia="Calibri"/>
          <w:b/>
          <w:bCs/>
          <w:smallCaps/>
          <w:highlight w:val="green"/>
          <w:lang w:eastAsia="en-US"/>
        </w:rPr>
        <w:t xml:space="preserve"> da hipótese como estava previamente escrita</w:t>
      </w:r>
      <w:r w:rsidR="00614963" w:rsidRPr="00614963">
        <w:rPr>
          <w:rFonts w:eastAsia="Calibri"/>
          <w:b/>
          <w:bCs/>
          <w:smallCaps/>
          <w:highlight w:val="green"/>
          <w:lang w:eastAsia="en-US"/>
        </w:rPr>
        <w:t>, estamos apenas batendo o wording com o nosso Compliance</w:t>
      </w:r>
      <w:r w:rsidR="004C2E2C" w:rsidRPr="004C2E2C">
        <w:rPr>
          <w:rFonts w:eastAsia="Calibri"/>
          <w:b/>
          <w:bCs/>
          <w:smallCaps/>
          <w:highlight w:val="green"/>
          <w:lang w:eastAsia="en-US"/>
        </w:rPr>
        <w:t>.</w:t>
      </w:r>
      <w:r w:rsidR="004C2E2C">
        <w:rPr>
          <w:rFonts w:eastAsia="Calibri"/>
          <w:b/>
          <w:bCs/>
          <w:smallCaps/>
          <w:lang w:eastAsia="en-US"/>
        </w:rPr>
        <w:t xml:space="preserve"> </w:t>
      </w:r>
      <w:r w:rsidR="004C2E2C" w:rsidRPr="004C2E2C">
        <w:rPr>
          <w:rFonts w:eastAsia="Calibri"/>
          <w:b/>
          <w:bCs/>
          <w:smallCaps/>
          <w:highlight w:val="green"/>
          <w:lang w:eastAsia="en-US"/>
        </w:rPr>
        <w:t>Pendente de discussão</w:t>
      </w:r>
      <w:r w:rsidR="00614963">
        <w:rPr>
          <w:rFonts w:eastAsia="Calibri"/>
          <w:b/>
          <w:bCs/>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decisão judicial prolatada por qualquer juiz ou tribunal declarando a invalidade, nulidade ou inexequibilidade de qualquer documento referente á Emissão de Debêntures e/ou qualquer de suas disposições;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lastRenderedPageBreak/>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Temos o mesmo termo na última emissão, portanto, não conseguimos validar</w:t>
      </w:r>
      <w:r w:rsidR="00614963">
        <w:rPr>
          <w:rFonts w:eastAsia="Calibri"/>
          <w:b/>
          <w:smallCaps/>
          <w:lang w:eastAsia="en-US"/>
        </w:rPr>
        <w:t>]</w:t>
      </w:r>
      <w:r w:rsidR="00925E18">
        <w:rPr>
          <w:rFonts w:eastAsia="Calibri"/>
          <w:b/>
          <w:smallCaps/>
          <w:lang w:eastAsia="en-US"/>
        </w:rPr>
        <w:t>[</w:t>
      </w:r>
      <w:r w:rsidR="00925E18" w:rsidRPr="00925E18">
        <w:rPr>
          <w:rFonts w:eastAsia="Calibri"/>
          <w:b/>
          <w:smallCaps/>
          <w:highlight w:val="lightGray"/>
          <w:lang w:eastAsia="en-US"/>
        </w:rPr>
        <w:t>Nota Simplific: Também utilizar como hipótese de vencimento antecipado NÃO AUTOMÁTICO, pois, independente da possibilidade de verificarmos facilmente a ocorrência de “INDÍCIOS”, o Debenturista deve ter a prerrogativa de decidir sobre o fato</w:t>
      </w:r>
      <w:r w:rsidR="00925E18">
        <w:rPr>
          <w:rFonts w:eastAsia="Calibri"/>
          <w:b/>
          <w:smallCaps/>
          <w:lang w:eastAsia="en-US"/>
        </w:rPr>
        <w:t xml:space="preserve">] </w:t>
      </w:r>
      <w:r w:rsidR="004C2E2C">
        <w:rPr>
          <w:rFonts w:eastAsia="Calibri"/>
          <w:b/>
          <w:smallCaps/>
          <w:lang w:eastAsia="en-US"/>
        </w:rPr>
        <w:t>[</w:t>
      </w:r>
      <w:r w:rsidR="004C2E2C" w:rsidRPr="004C2E2C">
        <w:rPr>
          <w:rFonts w:eastAsia="Calibri"/>
          <w:b/>
          <w:smallCaps/>
          <w:highlight w:val="green"/>
          <w:lang w:eastAsia="en-US"/>
        </w:rPr>
        <w:t>Nota BOCOM BBM: Pavarini, não moveremos para não automático. Se houver alguma dúvida do que é indício ou não vocês convocarão uma AGD para questionar os investidores</w:t>
      </w:r>
      <w:r w:rsidR="004C2E2C">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r w:rsidRPr="00614963">
        <w:rPr>
          <w:rFonts w:eastAsia="Calibri"/>
          <w:lang w:eastAsia="en-US"/>
        </w:rPr>
        <w:t>R$ 20.000.000,00 (vinte milhões de reais)</w:t>
      </w:r>
      <w:r w:rsidR="00614963">
        <w:rPr>
          <w:rFonts w:eastAsia="Calibri"/>
          <w:lang w:eastAsia="en-US"/>
        </w:rPr>
        <w:t>,</w:t>
      </w:r>
      <w:r w:rsidRPr="00680CA1">
        <w:rPr>
          <w:rFonts w:eastAsia="Calibri"/>
          <w:lang w:eastAsia="en-US"/>
        </w:rPr>
        <w:t xml:space="preserve"> ou o seu equivalente em outras moedas,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680CA1">
        <w:rPr>
          <w:rFonts w:eastAsia="Calibri"/>
          <w:lang w:eastAsia="en-US"/>
        </w:rPr>
        <w:t>salvo se tiver sido validamente comprovado ao agente fiduciário, que o(s) protesto(s) foi(ram): cancelado(s) ou suspenso(s);</w:t>
      </w:r>
      <w:r w:rsidR="00340F53">
        <w:rPr>
          <w:rFonts w:eastAsia="Calibri"/>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Prezados, o que podemos fazer aqui é dividir a cláusula, deixando a Garantidora tão somente para não automático, e atualizando o threshold de 20 MM pelo IPCA até a presente data para a Garantidora</w:t>
      </w:r>
      <w:r w:rsidR="00614963">
        <w:rPr>
          <w:rFonts w:eastAsia="Calibri"/>
          <w:b/>
          <w:smallCaps/>
          <w:lang w:eastAsia="en-US"/>
        </w:rPr>
        <w:t>]</w:t>
      </w:r>
      <w:r w:rsidR="00A13E65">
        <w:rPr>
          <w:rFonts w:eastAsia="Calibri"/>
          <w:b/>
          <w:smallCaps/>
          <w:lang w:eastAsia="en-US"/>
        </w:rPr>
        <w:t xml:space="preserve"> [</w:t>
      </w:r>
      <w:r w:rsidR="00A13E65" w:rsidRPr="00A13E65">
        <w:rPr>
          <w:rFonts w:eastAsia="Calibri"/>
          <w:b/>
          <w:smallCaps/>
          <w:highlight w:val="yellow"/>
          <w:lang w:eastAsia="en-US"/>
        </w:rPr>
        <w:t>Nota VBSO: Inclusão de atualização cf. comentário anterior do BOCOM BBM. Divisão da cláusula a ser discutida entre Celesc e BOCOM BBM.</w:t>
      </w:r>
      <w:r w:rsidR="00A13E65">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caso seja cassado qualquer documento, licença, autorização ou outorga ambiental necessário ao regular desempenho das atividades da Emissora ou da Garantidora, </w:t>
      </w:r>
      <w:r w:rsidRPr="00680CA1">
        <w:rPr>
          <w:rFonts w:eastAsia="Calibri"/>
          <w:lang w:eastAsia="en-US"/>
        </w:rPr>
        <w:lastRenderedPageBreak/>
        <w:t>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BA19EA">
        <w:rPr>
          <w:rFonts w:eastAsia="Calibri"/>
          <w:b/>
          <w:smallCaps/>
          <w:lang w:eastAsia="en-US"/>
        </w:rPr>
        <w:t>[</w:t>
      </w:r>
      <w:r w:rsidR="00BA19EA" w:rsidRPr="00BA19EA">
        <w:rPr>
          <w:rFonts w:eastAsia="Calibri"/>
          <w:b/>
          <w:smallCaps/>
          <w:highlight w:val="green"/>
          <w:lang w:eastAsia="en-US"/>
        </w:rPr>
        <w:t>Nota BOCOM BBM: Prezados, o que podemos colocar aqui é a lista de ativos que tem relevância para a Empresa e,caso haja a cassação da licença para os mesmos, nos prazos previstos acima, aconteceria o vcto. antecipado. Com isso, fugiríamos do caráter subjetivo do texto “</w:t>
      </w:r>
      <w:r w:rsidR="00BA19EA" w:rsidRPr="00BA19EA">
        <w:rPr>
          <w:rFonts w:eastAsia="Calibri"/>
          <w:b/>
          <w:i/>
          <w:smallCaps/>
          <w:highlight w:val="green"/>
          <w:lang w:eastAsia="en-US"/>
        </w:rPr>
        <w:t>que impacte na geração de receita e capacidade da Emissora em honrar tempestivamente as obrigações, pecuniárias ou não desta Escritura de Emissão</w:t>
      </w:r>
      <w:r w:rsidR="00BA19EA" w:rsidRPr="00BA19EA">
        <w:rPr>
          <w:rFonts w:eastAsia="Calibri"/>
          <w:b/>
          <w:smallCaps/>
          <w:highlight w:val="green"/>
          <w:lang w:eastAsia="en-US"/>
        </w:rPr>
        <w:t>”</w:t>
      </w:r>
      <w:r w:rsidR="00BA19EA">
        <w:rPr>
          <w:rFonts w:eastAsia="Calibri"/>
          <w:b/>
          <w:smallCaps/>
          <w:lang w:eastAsia="en-US"/>
        </w:rPr>
        <w:t>] [</w:t>
      </w:r>
      <w:r w:rsidR="00BA19EA" w:rsidRPr="00BA19EA">
        <w:rPr>
          <w:rFonts w:eastAsia="Calibri"/>
          <w:b/>
          <w:smallCaps/>
          <w:highlight w:val="yellow"/>
          <w:lang w:eastAsia="en-US"/>
        </w:rPr>
        <w:t>Nota VBSO: Ponto para discussão</w:t>
      </w:r>
      <w:r w:rsidR="00BA19EA">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5A0775"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Pr>
          <w:rFonts w:eastAsia="Calibri"/>
          <w:lang w:eastAsia="en-US"/>
        </w:rPr>
        <w:t>preferência de pagamento, pela Emissora,</w:t>
      </w:r>
      <w:r w:rsidR="00680CA1" w:rsidRPr="00680CA1">
        <w:rPr>
          <w:rFonts w:eastAsia="Calibri"/>
          <w:lang w:eastAsia="en-US"/>
        </w:rPr>
        <w:t xml:space="preserve"> </w:t>
      </w:r>
      <w:r>
        <w:rPr>
          <w:rFonts w:eastAsia="Calibri"/>
          <w:lang w:eastAsia="en-US"/>
        </w:rPr>
        <w:t>de</w:t>
      </w:r>
      <w:r w:rsidRPr="00680CA1">
        <w:rPr>
          <w:rFonts w:eastAsia="Calibri"/>
          <w:lang w:eastAsia="en-US"/>
        </w:rPr>
        <w:t xml:space="preserve"> </w:t>
      </w:r>
      <w:r w:rsidR="00680CA1" w:rsidRPr="00680CA1">
        <w:rPr>
          <w:rFonts w:eastAsia="Calibri"/>
          <w:lang w:eastAsia="en-US"/>
        </w:rPr>
        <w:t xml:space="preserve">qualquer outra dívida da Emissora, </w:t>
      </w:r>
      <w:r w:rsidR="00D01210">
        <w:rPr>
          <w:rFonts w:eastAsia="Calibri"/>
          <w:lang w:eastAsia="en-US"/>
        </w:rPr>
        <w:t>da mesma espécie,</w:t>
      </w:r>
      <w:r>
        <w:rPr>
          <w:rFonts w:eastAsia="Calibri"/>
          <w:lang w:eastAsia="en-US"/>
        </w:rPr>
        <w:t xml:space="preserve"> em detrimento ao pagamento da dívida representada pelas Debêntures,</w:t>
      </w:r>
      <w:r w:rsidR="00D01210">
        <w:rPr>
          <w:rFonts w:eastAsia="Calibri"/>
          <w:lang w:eastAsia="en-US"/>
        </w:rPr>
        <w:t xml:space="preserve"> </w:t>
      </w:r>
      <w:r w:rsidR="00680CA1"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r w:rsidR="004B07AF">
        <w:rPr>
          <w:rFonts w:eastAsia="Calibri"/>
          <w:b/>
          <w:smallCaps/>
          <w:lang w:eastAsia="en-US"/>
        </w:rPr>
        <w:t>[</w:t>
      </w:r>
      <w:r w:rsidR="004B07AF" w:rsidRPr="004B07AF">
        <w:rPr>
          <w:rFonts w:eastAsia="Calibri"/>
          <w:b/>
          <w:smallCaps/>
          <w:highlight w:val="cyan"/>
          <w:lang w:eastAsia="en-US"/>
        </w:rPr>
        <w:t>Nota CELESC: Precisamos entender o racional desta cláusula</w:t>
      </w:r>
      <w:r w:rsidR="004B07AF">
        <w:rPr>
          <w:rFonts w:eastAsia="Calibri"/>
          <w:b/>
          <w:smallCaps/>
          <w:lang w:eastAsia="en-US"/>
        </w:rPr>
        <w:t>] [</w:t>
      </w:r>
      <w:r w:rsidR="004B07AF" w:rsidRPr="004B07AF">
        <w:rPr>
          <w:rFonts w:eastAsia="Calibri"/>
          <w:b/>
          <w:smallCaps/>
          <w:highlight w:val="yellow"/>
          <w:lang w:eastAsia="en-US"/>
        </w:rPr>
        <w:t xml:space="preserve">Nota VBSO: Ponto para </w:t>
      </w:r>
      <w:r w:rsidR="004B07AF" w:rsidRPr="00D018B6">
        <w:rPr>
          <w:rFonts w:eastAsia="Calibri"/>
          <w:b/>
          <w:smallCaps/>
          <w:highlight w:val="yellow"/>
          <w:lang w:eastAsia="en-US"/>
        </w:rPr>
        <w:t>discussão</w:t>
      </w:r>
      <w:r w:rsidR="00D018B6" w:rsidRPr="00D018B6">
        <w:rPr>
          <w:rFonts w:eastAsia="Calibri"/>
          <w:b/>
          <w:smallCaps/>
          <w:highlight w:val="yellow"/>
          <w:lang w:eastAsia="en-US"/>
        </w:rPr>
        <w:t>. A ideia é que as debêntures não sejam subordinadas a outras dívidas semelhantes.</w:t>
      </w:r>
      <w:r w:rsidR="004B07AF">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não manutenção, pela Emissora (considerando o consolidado das suas </w:t>
      </w:r>
      <w:r w:rsidR="00BA19EA" w:rsidRPr="00BA19EA">
        <w:rPr>
          <w:rFonts w:eastAsia="Calibri"/>
          <w:highlight w:val="green"/>
          <w:lang w:eastAsia="en-US"/>
        </w:rPr>
        <w:t>controladas e</w:t>
      </w:r>
      <w:r w:rsidR="00BA19EA">
        <w:rPr>
          <w:rFonts w:eastAsia="Calibri"/>
          <w:lang w:eastAsia="en-US"/>
        </w:rPr>
        <w:t xml:space="preserve"> </w:t>
      </w:r>
      <w:r w:rsidRPr="00680CA1">
        <w:rPr>
          <w:rFonts w:eastAsia="Calibri"/>
          <w:lang w:eastAsia="en-US"/>
        </w:rPr>
        <w:t xml:space="preserve">subsidiárias integrais, conforme aplicável), do índice financeiro descrito a seguir, o qual será </w:t>
      </w:r>
      <w:r w:rsidR="00B273D7">
        <w:rPr>
          <w:rFonts w:eastAsia="Calibri"/>
          <w:lang w:eastAsia="en-US"/>
        </w:rPr>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relação “Dívida Líquida/EBITDA”, a partir do exercício social encerrado em 31 de dezembro de 2019,</w:t>
      </w:r>
      <w:r w:rsidR="00B273D7">
        <w:rPr>
          <w:rFonts w:eastAsia="Calibri"/>
          <w:lang w:eastAsia="en-US"/>
        </w:rPr>
        <w:t xml:space="preserve"> inclusive,</w:t>
      </w:r>
      <w:r w:rsidRPr="00680CA1">
        <w:rPr>
          <w:rFonts w:eastAsia="Calibri"/>
          <w:lang w:eastAsia="en-US"/>
        </w:rPr>
        <w:t xml:space="preserve"> seja superior a 2,0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xml:space="preserve">” significa o resultado relativo aos 12 (doze) meses anteriores à data de apuração, antes do imposto de renda e contribuição social, da depreciação e amortização, do resultado financeiro, do resultado não operacional e da </w:t>
      </w:r>
      <w:r w:rsidRPr="00680CA1">
        <w:rPr>
          <w:rFonts w:eastAsia="Calibri"/>
          <w:lang w:eastAsia="en-US"/>
        </w:rPr>
        <w:lastRenderedPageBreak/>
        <w:t>equivalência patrimonial</w:t>
      </w:r>
      <w:r>
        <w:rPr>
          <w:rFonts w:eastAsia="Calibri"/>
          <w:lang w:eastAsia="en-US"/>
        </w:rPr>
        <w:t>;</w:t>
      </w:r>
      <w:r w:rsidR="00AA122A">
        <w:rPr>
          <w:rFonts w:eastAsia="Calibri"/>
          <w:lang w:eastAsia="en-US"/>
        </w:rPr>
        <w:t xml:space="preserve"> e</w:t>
      </w:r>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Prezados, (i) não podemos ficar subordinados a 2ª Emissão da Companhia, e (ii) não vislumbramos um aumento tão exponencial assim que justifique quase o dobro do múltiplo. Por estes motivos, precisamos manter o índice de 2x</w:t>
      </w:r>
      <w:r w:rsidR="00614963">
        <w:rPr>
          <w:rFonts w:eastAsia="Calibri"/>
          <w:b/>
          <w:smallCaps/>
          <w:lang w:eastAsia="en-US"/>
        </w:rPr>
        <w:t>]</w:t>
      </w:r>
      <w:r w:rsidR="004B07AF">
        <w:rPr>
          <w:rFonts w:eastAsia="Calibri"/>
          <w:b/>
          <w:smallCaps/>
          <w:lang w:eastAsia="en-US"/>
        </w:rPr>
        <w:t xml:space="preserve"> </w:t>
      </w:r>
      <w:r w:rsidR="004B07AF" w:rsidRPr="004B07AF">
        <w:rPr>
          <w:rFonts w:eastAsia="Calibri"/>
          <w:b/>
          <w:smallCaps/>
          <w:lang w:eastAsia="en-US"/>
        </w:rPr>
        <w:t>[</w:t>
      </w:r>
      <w:r w:rsidR="004B07AF" w:rsidRPr="004B07AF">
        <w:rPr>
          <w:rFonts w:eastAsia="Calibri"/>
          <w:b/>
          <w:smallCaps/>
          <w:highlight w:val="cyan"/>
          <w:lang w:eastAsia="en-US"/>
        </w:rPr>
        <w:t xml:space="preserve">Nota CELESC: </w:t>
      </w:r>
      <w:r w:rsidR="004B07AF" w:rsidRPr="004B07AF">
        <w:rPr>
          <w:b/>
          <w:smallCaps/>
          <w:highlight w:val="cyan"/>
        </w:rPr>
        <w:t xml:space="preserve">Enquanto vigente a Cláusula do </w:t>
      </w:r>
      <w:r w:rsidR="004B07AF" w:rsidRPr="004B07AF">
        <w:rPr>
          <w:b/>
          <w:i/>
          <w:smallCaps/>
          <w:highlight w:val="cyan"/>
        </w:rPr>
        <w:t>covenant</w:t>
      </w:r>
      <w:r w:rsidR="004B07AF" w:rsidRPr="004B07AF">
        <w:rPr>
          <w:b/>
          <w:smallCaps/>
          <w:highlight w:val="cyan"/>
        </w:rPr>
        <w:t xml:space="preserve"> na Debênture CLGR12, mantem-se aqui. Em qualquer hipótese de alteração da cláusula da CLGR12, automaticamente altera-se o </w:t>
      </w:r>
      <w:r w:rsidR="004B07AF" w:rsidRPr="004B07AF">
        <w:rPr>
          <w:b/>
          <w:i/>
          <w:smallCaps/>
          <w:highlight w:val="cyan"/>
        </w:rPr>
        <w:t>covenant</w:t>
      </w:r>
      <w:r w:rsidR="004B07AF" w:rsidRPr="004B07AF">
        <w:rPr>
          <w:b/>
          <w:smallCaps/>
          <w:highlight w:val="cyan"/>
        </w:rPr>
        <w:t xml:space="preserve"> desta debênture para 3,5x</w:t>
      </w:r>
      <w:r w:rsidR="004B07AF" w:rsidRPr="004B07AF">
        <w:rPr>
          <w:b/>
          <w:smallCaps/>
        </w:rPr>
        <w:t>]</w:t>
      </w:r>
      <w:r w:rsidR="004B07AF">
        <w:rPr>
          <w:b/>
          <w:smallCaps/>
        </w:rPr>
        <w:t xml:space="preserve"> [</w:t>
      </w:r>
      <w:r w:rsidR="004B07AF" w:rsidRPr="004B07AF">
        <w:rPr>
          <w:b/>
          <w:smallCaps/>
          <w:highlight w:val="yellow"/>
        </w:rPr>
        <w:t>Nota VB</w:t>
      </w:r>
      <w:r w:rsidR="004B07AF" w:rsidRPr="00CF7CEF">
        <w:rPr>
          <w:b/>
          <w:smallCaps/>
          <w:highlight w:val="yellow"/>
        </w:rPr>
        <w:t>SO: Ponto para discussão</w:t>
      </w:r>
      <w:r w:rsidR="00D018B6" w:rsidRPr="00CF7CEF">
        <w:rPr>
          <w:b/>
          <w:smallCaps/>
          <w:highlight w:val="yellow"/>
        </w:rPr>
        <w:t xml:space="preserve">. </w:t>
      </w:r>
      <w:r w:rsidR="00CF7CEF">
        <w:rPr>
          <w:b/>
          <w:smallCaps/>
          <w:highlight w:val="yellow"/>
        </w:rPr>
        <w:t xml:space="preserve">Sugestão de inserirmos que </w:t>
      </w:r>
      <w:r w:rsidR="00D018B6" w:rsidRPr="00CF7CEF">
        <w:rPr>
          <w:b/>
          <w:smallCaps/>
          <w:highlight w:val="yellow"/>
        </w:rPr>
        <w:t>o covenant de 2x se manter</w:t>
      </w:r>
      <w:r w:rsidR="00CF7CEF">
        <w:rPr>
          <w:b/>
          <w:smallCaps/>
          <w:highlight w:val="yellow"/>
        </w:rPr>
        <w:t>á</w:t>
      </w:r>
      <w:r w:rsidR="00D018B6" w:rsidRPr="00CF7CEF">
        <w:rPr>
          <w:b/>
          <w:smallCaps/>
          <w:highlight w:val="yellow"/>
        </w:rPr>
        <w:t xml:space="preserve"> </w:t>
      </w:r>
      <w:r w:rsidR="00CF7CEF" w:rsidRPr="00CF7CEF">
        <w:rPr>
          <w:b/>
          <w:smallCaps/>
          <w:highlight w:val="yellow"/>
        </w:rPr>
        <w:t xml:space="preserve">(i) </w:t>
      </w:r>
      <w:r w:rsidR="00CF7CEF">
        <w:rPr>
          <w:b/>
          <w:smallCaps/>
          <w:highlight w:val="yellow"/>
        </w:rPr>
        <w:t xml:space="preserve">enquanto </w:t>
      </w:r>
      <w:r w:rsidR="00CF7CEF" w:rsidRPr="00CF7CEF">
        <w:rPr>
          <w:b/>
          <w:smallCaps/>
          <w:highlight w:val="yellow"/>
        </w:rPr>
        <w:t xml:space="preserve">estiver vigente a emissão anterior; ou (ii) </w:t>
      </w:r>
      <w:r w:rsidR="00CF7CEF">
        <w:rPr>
          <w:b/>
          <w:smallCaps/>
          <w:highlight w:val="yellow"/>
        </w:rPr>
        <w:t xml:space="preserve">enquanto não houve alteração </w:t>
      </w:r>
      <w:r w:rsidR="00CF7CEF" w:rsidRPr="00CF7CEF">
        <w:rPr>
          <w:b/>
          <w:smallCaps/>
          <w:highlight w:val="yellow"/>
        </w:rPr>
        <w:t>no covenant da operação anterior</w:t>
      </w:r>
      <w:r w:rsidR="00CF7CEF">
        <w:rPr>
          <w:b/>
          <w:smallCaps/>
          <w:highlight w:val="yellow"/>
        </w:rPr>
        <w:t>. Em caso de vencimento da operação anterior (antecipado ou não) ou alteração em seu covenant, esta cláusula seria automaticamente ajustada para 3,5x</w:t>
      </w:r>
      <w:r w:rsidR="00CF7CEF" w:rsidRPr="00CF7CEF">
        <w:rPr>
          <w:b/>
          <w:smallCaps/>
          <w:highlight w:val="yellow"/>
        </w:rPr>
        <w:t>.</w:t>
      </w:r>
      <w:r w:rsidR="004B07AF">
        <w:rPr>
          <w:b/>
          <w:smallCaps/>
        </w:rPr>
        <w:t>]</w:t>
      </w:r>
    </w:p>
    <w:p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p w:rsidR="00AA122A" w:rsidRPr="00B2481D" w:rsidRDefault="00AA122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 xml:space="preserve">não manutenção, pela Garantidora (considerando o consolidado das suas </w:t>
      </w:r>
      <w:r w:rsidR="00BA19EA" w:rsidRPr="00803DC0">
        <w:rPr>
          <w:rFonts w:eastAsia="Calibri"/>
          <w:highlight w:val="green"/>
          <w:lang w:eastAsia="en-US"/>
        </w:rPr>
        <w:t>controladas e</w:t>
      </w:r>
      <w:r w:rsidR="00BA19EA" w:rsidRPr="00AA122A">
        <w:rPr>
          <w:rFonts w:eastAsia="Calibri"/>
          <w:lang w:eastAsia="en-US"/>
        </w:rPr>
        <w:t xml:space="preserve"> </w:t>
      </w:r>
      <w:r w:rsidRPr="00AA122A">
        <w:rPr>
          <w:rFonts w:eastAsia="Calibri"/>
          <w:lang w:eastAsia="en-US"/>
        </w:rPr>
        <w:t>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A013D4">
        <w:rPr>
          <w:rFonts w:eastAsia="Calibri"/>
          <w:lang w:eastAsia="en-US"/>
        </w:rPr>
        <w:t xml:space="preserve">(a) </w:t>
      </w:r>
      <w:r w:rsidRPr="00AA122A">
        <w:rPr>
          <w:rFonts w:eastAsia="Calibri"/>
          <w:lang w:eastAsia="en-US"/>
        </w:rPr>
        <w:t>2,0 vezes</w:t>
      </w:r>
      <w:r w:rsidR="00A13E65">
        <w:rPr>
          <w:rFonts w:eastAsia="Calibri"/>
          <w:lang w:eastAsia="en-US"/>
        </w:rPr>
        <w:t xml:space="preserve"> a partir da Data de Emissão</w:t>
      </w:r>
      <w:r w:rsidRPr="00AA122A">
        <w:rPr>
          <w:rFonts w:eastAsia="Calibri"/>
          <w:lang w:eastAsia="en-US"/>
        </w:rPr>
        <w:t xml:space="preserve"> até a </w:t>
      </w:r>
      <w:r w:rsidR="00A013D4">
        <w:rPr>
          <w:rFonts w:eastAsia="Calibri"/>
          <w:lang w:eastAsia="en-US"/>
        </w:rPr>
        <w:t xml:space="preserve">data da liquidação integral da 2ª (segunda) emissão de debêntures da </w:t>
      </w:r>
      <w:r w:rsidR="00BA19EA">
        <w:rPr>
          <w:rFonts w:eastAsia="Calibri"/>
          <w:lang w:eastAsia="en-US"/>
        </w:rPr>
        <w:t xml:space="preserve">Emissora </w:t>
      </w:r>
      <w:r w:rsidR="00A013D4">
        <w:rPr>
          <w:rFonts w:eastAsia="Calibri"/>
          <w:lang w:eastAsia="en-US"/>
        </w:rPr>
        <w:t>(inclusive), emitida nos termos da “</w:t>
      </w:r>
      <w:r w:rsidR="00BA19EA" w:rsidRPr="00BA19EA">
        <w:rPr>
          <w:rFonts w:eastAsia="Calibri"/>
          <w:i/>
          <w:lang w:eastAsia="en-US"/>
        </w:rPr>
        <w:t>Instrumento Particular de Escritura da Primeira Emissão de Debêntures Simples, Não Conversíveis em Ações, da Espécie Quirografária com Garantia Adicional Fidejussória, em Série Única, para Distribuição Pública, com Esforços Restritos de Distribuição, da Celesc Geração S.A.</w:t>
      </w:r>
      <w:r w:rsidR="00A013D4" w:rsidRPr="00A013D4">
        <w:rPr>
          <w:rFonts w:eastAsia="Calibri"/>
          <w:iCs/>
          <w:lang w:eastAsia="en-US"/>
        </w:rPr>
        <w:t>”</w:t>
      </w:r>
      <w:r w:rsidR="00A13E65">
        <w:rPr>
          <w:rFonts w:eastAsia="Calibri"/>
          <w:iCs/>
          <w:lang w:eastAsia="en-US"/>
        </w:rPr>
        <w:t xml:space="preserve"> (“</w:t>
      </w:r>
      <w:r w:rsidR="00A13E65" w:rsidRPr="00A13E65">
        <w:rPr>
          <w:rFonts w:eastAsia="Calibri"/>
          <w:iCs/>
          <w:u w:val="single"/>
          <w:lang w:eastAsia="en-US"/>
        </w:rPr>
        <w:t>Emissão Anterior</w:t>
      </w:r>
      <w:r w:rsidR="00A13E65">
        <w:rPr>
          <w:rFonts w:eastAsia="Calibri"/>
          <w:iCs/>
          <w:lang w:eastAsia="en-US"/>
        </w:rPr>
        <w:t>”)</w:t>
      </w:r>
      <w:r w:rsidR="00A013D4">
        <w:rPr>
          <w:rFonts w:eastAsia="Calibri"/>
          <w:lang w:eastAsia="en-US"/>
        </w:rPr>
        <w:t xml:space="preserve">; e (b) 3,5 vezes a partir da data da liquidação integral da </w:t>
      </w:r>
      <w:r w:rsidR="00A13E65">
        <w:rPr>
          <w:rFonts w:eastAsia="Calibri"/>
          <w:lang w:eastAsia="en-US"/>
        </w:rPr>
        <w:t xml:space="preserve">Emissão Anterior </w:t>
      </w:r>
      <w:r w:rsidR="00A013D4">
        <w:rPr>
          <w:rFonts w:eastAsia="Calibri"/>
          <w:lang w:eastAsia="en-US"/>
        </w:rPr>
        <w:t xml:space="preserve">(exclusive) até a </w:t>
      </w:r>
      <w:r w:rsidRPr="00AA122A">
        <w:rPr>
          <w:rFonts w:eastAsia="Calibri"/>
          <w:lang w:eastAsia="en-US"/>
        </w:rPr>
        <w:t>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xml:space="preserve">” </w:t>
      </w:r>
      <w:r w:rsidRPr="00AA122A">
        <w:rPr>
          <w:rFonts w:eastAsia="Calibri"/>
          <w:lang w:eastAsia="en-US"/>
        </w:rPr>
        <w:lastRenderedPageBreak/>
        <w:t>significa o resultado relativo aos 12 (doze) meses anteriores à data de apuração, antes do imposto de renda e contribuição social, da depreciação e amortização, do resultado financeiro, do resultado não operacional e da equivalência patrimonial.</w:t>
      </w:r>
      <w:r w:rsidR="005A7305">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O que podemos fazer aqui é deixar os índices financeiros de 2,0x enquanto houver a segunda emissão. Com o resgate desta podemos passar para 3,5x, desta forma não teríamos subordinação. VBSO, peço, pfv, que incluam esse mecanismo, caso a Companhia esteja de acordo</w:t>
      </w:r>
      <w:r w:rsidR="00614963">
        <w:rPr>
          <w:rFonts w:eastAsia="Calibri"/>
          <w:b/>
          <w:smallCaps/>
          <w:lang w:eastAsia="en-US"/>
        </w:rPr>
        <w:t>]</w:t>
      </w:r>
      <w:r w:rsidR="00A013D4">
        <w:rPr>
          <w:rFonts w:eastAsia="Calibri"/>
          <w:b/>
          <w:smallCaps/>
          <w:lang w:eastAsia="en-US"/>
        </w:rPr>
        <w:t xml:space="preserve"> </w:t>
      </w:r>
      <w:r w:rsidR="004B07AF" w:rsidRPr="004B07AF">
        <w:rPr>
          <w:rFonts w:eastAsia="Calibri"/>
          <w:b/>
          <w:smallCaps/>
          <w:lang w:eastAsia="en-US"/>
        </w:rPr>
        <w:t>[</w:t>
      </w:r>
      <w:r w:rsidR="004B07AF" w:rsidRPr="004B07AF">
        <w:rPr>
          <w:rFonts w:eastAsia="Calibri"/>
          <w:b/>
          <w:smallCaps/>
          <w:highlight w:val="cyan"/>
          <w:lang w:eastAsia="en-US"/>
        </w:rPr>
        <w:t xml:space="preserve">Nota CELESC: </w:t>
      </w:r>
      <w:r w:rsidR="004B07AF" w:rsidRPr="004B07AF">
        <w:rPr>
          <w:b/>
          <w:smallCaps/>
          <w:highlight w:val="cyan"/>
        </w:rPr>
        <w:t xml:space="preserve">Enquanto vigente a Cláusula do </w:t>
      </w:r>
      <w:r w:rsidR="004B07AF" w:rsidRPr="004B07AF">
        <w:rPr>
          <w:b/>
          <w:i/>
          <w:smallCaps/>
          <w:highlight w:val="cyan"/>
        </w:rPr>
        <w:t>covenant</w:t>
      </w:r>
      <w:r w:rsidR="004B07AF" w:rsidRPr="004B07AF">
        <w:rPr>
          <w:b/>
          <w:smallCaps/>
          <w:highlight w:val="cyan"/>
        </w:rPr>
        <w:t xml:space="preserve"> na Debênture CLGR12, mantem-se aqui. Em qualquer hipótese de alteração da cláusula da CLGR12, automaticamente altera-se o </w:t>
      </w:r>
      <w:r w:rsidR="004B07AF" w:rsidRPr="004B07AF">
        <w:rPr>
          <w:b/>
          <w:i/>
          <w:smallCaps/>
          <w:highlight w:val="cyan"/>
        </w:rPr>
        <w:t>covenant</w:t>
      </w:r>
      <w:r w:rsidR="004B07AF" w:rsidRPr="004B07AF">
        <w:rPr>
          <w:b/>
          <w:smallCaps/>
          <w:highlight w:val="cyan"/>
        </w:rPr>
        <w:t xml:space="preserve"> desta debênture para 3,5x</w:t>
      </w:r>
      <w:r w:rsidR="004B07AF" w:rsidRPr="004B07AF">
        <w:rPr>
          <w:b/>
          <w:smallCaps/>
        </w:rPr>
        <w:t>]</w:t>
      </w:r>
      <w:r w:rsidR="004B07AF">
        <w:rPr>
          <w:b/>
          <w:smallCaps/>
        </w:rPr>
        <w:t xml:space="preserve"> [</w:t>
      </w:r>
      <w:r w:rsidR="004B07AF" w:rsidRPr="004B07AF">
        <w:rPr>
          <w:b/>
          <w:smallCaps/>
          <w:highlight w:val="yellow"/>
        </w:rPr>
        <w:t xml:space="preserve">Nota VBSO: </w:t>
      </w:r>
      <w:r w:rsidR="00CF7CEF" w:rsidRPr="00CF7CEF">
        <w:rPr>
          <w:b/>
          <w:smallCaps/>
          <w:highlight w:val="yellow"/>
        </w:rPr>
        <w:t>Vide comentário acima.</w:t>
      </w:r>
      <w:r w:rsidR="004B07AF">
        <w:rPr>
          <w:b/>
          <w:smallCaps/>
        </w:rPr>
        <w:t>]</w:t>
      </w:r>
    </w:p>
    <w:p w:rsidR="00807A6A" w:rsidRPr="00B2481D" w:rsidRDefault="00807A6A" w:rsidP="00AC018B">
      <w:pPr>
        <w:pStyle w:val="PargrafodaLista"/>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PargrafodaLista"/>
        <w:spacing w:line="312" w:lineRule="auto"/>
        <w:rPr>
          <w:rFonts w:eastAsia="Calibri"/>
          <w:lang w:eastAsia="en-US"/>
        </w:rPr>
      </w:pPr>
    </w:p>
    <w:p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CE1209">
        <w:rPr>
          <w:rFonts w:eastAsia="Calibri"/>
          <w:lang w:eastAsia="en-US"/>
        </w:rPr>
        <w:t>R$ 20.000.000,00 (vinte milhões de reais)</w:t>
      </w:r>
      <w:r w:rsidR="00A13E65">
        <w:rPr>
          <w:rFonts w:eastAsia="Calibri"/>
          <w:lang w:eastAsia="en-US"/>
        </w:rPr>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 xml:space="preserve">Nota Celesc: R$ 150MM, devido a presença da Garantidora nesta </w:t>
      </w:r>
      <w:r w:rsidR="005A7305" w:rsidRPr="005A7305">
        <w:rPr>
          <w:rFonts w:eastAsia="Calibri"/>
          <w:b/>
          <w:smallCaps/>
          <w:highlight w:val="cyan"/>
          <w:lang w:eastAsia="en-US"/>
        </w:rPr>
        <w:lastRenderedPageBreak/>
        <w:t>cláusula</w:t>
      </w:r>
      <w:r w:rsidR="005A7305" w:rsidRPr="005A7305">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O máximo que conseguimos aqui é 20 MM para ambas</w:t>
      </w:r>
      <w:r w:rsidR="00CE1209">
        <w:rPr>
          <w:rFonts w:eastAsia="Calibri"/>
          <w:b/>
          <w:smallCaps/>
          <w:lang w:eastAsia="en-US"/>
        </w:rPr>
        <w:t>]</w:t>
      </w:r>
      <w:r w:rsidR="00A13E65">
        <w:rPr>
          <w:rFonts w:eastAsia="Calibri"/>
          <w:b/>
          <w:smallCaps/>
          <w:lang w:eastAsia="en-US"/>
        </w:rPr>
        <w:t xml:space="preserve"> </w:t>
      </w:r>
    </w:p>
    <w:p w:rsidR="001D45D9" w:rsidRPr="00B2481D" w:rsidRDefault="001D45D9"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PargrafodaLista"/>
        <w:spacing w:line="312" w:lineRule="auto"/>
        <w:rPr>
          <w:rFonts w:eastAsia="Calibri"/>
          <w:lang w:eastAsia="en-US"/>
        </w:rPr>
      </w:pPr>
    </w:p>
    <w:p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PargrafodaLista"/>
        <w:spacing w:line="312" w:lineRule="auto"/>
        <w:ind w:left="900"/>
        <w:jc w:val="both"/>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PargrafodaLista"/>
        <w:spacing w:line="312" w:lineRule="auto"/>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caso ocorra qualquer mudança adversa relevante nos negócios, atividades, condições financeiras da Emissora e/ou da Garantidora que afete a capacidade de pagamento das obrigações assumidas nesta Escritura de Emissão;</w:t>
      </w:r>
    </w:p>
    <w:p w:rsidR="0072592B" w:rsidRPr="00B2481D" w:rsidRDefault="0072592B" w:rsidP="00AC018B">
      <w:pPr>
        <w:pStyle w:val="PargrafodaLista"/>
        <w:spacing w:line="312" w:lineRule="auto"/>
        <w:rPr>
          <w:rFonts w:eastAsia="Calibri"/>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rsidR="0087339E" w:rsidRPr="00B2481D" w:rsidRDefault="0087339E" w:rsidP="005A7305">
      <w:pPr>
        <w:rPr>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20% (vinte por cento) da receita operacional bruta da Emissora, apurada e refletida no último demonstrativo contábil auditado ou objeto da revisão limitada da Emissora, disponível à época;</w:t>
      </w:r>
      <w:r w:rsidR="00CE1209">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w:t>
      </w:r>
      <w:r w:rsidR="00CE1209" w:rsidRPr="00CE1209">
        <w:rPr>
          <w:rFonts w:eastAsia="Calibri"/>
          <w:b/>
          <w:smallCaps/>
          <w:lang w:eastAsia="en-US"/>
        </w:rPr>
        <w:t>]</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w:t>
      </w:r>
      <w:r w:rsidR="005A7305" w:rsidRPr="00AA122A">
        <w:t>Controladas</w:t>
      </w:r>
      <w:r w:rsidRPr="00AA122A">
        <w:t xml:space="preserve">, em valor individual ou agregado, superior a </w:t>
      </w:r>
      <w:r w:rsidRPr="00CE1209">
        <w:t>R$ 20.000.000,00 (vinte milhões de reais)</w:t>
      </w:r>
      <w:r w:rsidR="00A13E65">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AA122A">
        <w:t xml:space="preserve"> e, com relação aos processos administrativos, desde que a Emissora não tenha obtido provimento jurisdicional que suspenda seus efeitos no prazo de </w:t>
      </w:r>
      <w:r w:rsidRPr="00CE1209">
        <w:t>15 (quinze) dias</w:t>
      </w:r>
      <w:r w:rsidRPr="00AA122A">
        <w:t xml:space="preserve"> contados da intimação da respectiva decisão;</w:t>
      </w:r>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 MM nos dois casos. Estamos falando de (i) EVA não automático, (ii) uma sentença definitiva, (iii) com possibilidade de provisionamento, e (iv) com possibilidade de suspensão dos efeitos, portanto, entendemos que haveria conforto para a Companhia aqui</w:t>
      </w:r>
      <w:r w:rsidR="00CE1209" w:rsidRPr="00CE1209">
        <w:rPr>
          <w:rFonts w:eastAsia="Calibri"/>
          <w:b/>
          <w:smallCaps/>
          <w:lang w:eastAsia="en-US"/>
        </w:rPr>
        <w:t>]</w:t>
      </w:r>
      <w:r w:rsidR="00A13E65">
        <w:rPr>
          <w:rFonts w:eastAsia="Calibri"/>
          <w:b/>
          <w:smallCaps/>
          <w:lang w:eastAsia="en-US"/>
        </w:rPr>
        <w:t xml:space="preserve"> [</w:t>
      </w:r>
      <w:r w:rsidR="00A13E65" w:rsidRPr="00A13E65">
        <w:rPr>
          <w:rFonts w:eastAsia="Calibri"/>
          <w:b/>
          <w:smallCaps/>
          <w:vanish/>
          <w:highlight w:val="yellow"/>
          <w:lang w:eastAsia="en-US"/>
        </w:rPr>
        <w:t>Nota VBSO: Atualização inserida cf. comentário anterior do BOCOM BBM.</w:t>
      </w:r>
      <w:r w:rsidR="00A13E65">
        <w:rPr>
          <w:rFonts w:eastAsia="Calibri"/>
          <w:b/>
          <w:smallCaps/>
          <w:lang w:eastAsia="en-US"/>
        </w:rPr>
        <w:t>]</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PargrafodaLista"/>
        <w:spacing w:line="312" w:lineRule="auto"/>
        <w:rPr>
          <w:rFonts w:eastAsia="Calibri"/>
          <w:lang w:eastAsia="en-US"/>
        </w:rPr>
      </w:pPr>
    </w:p>
    <w:p w:rsidR="0016065C"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para a prestação de garantias 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rsidR="00F76891" w:rsidRPr="00F76891" w:rsidRDefault="00F76891" w:rsidP="00F76891">
      <w:pPr>
        <w:pStyle w:val="PargrafodaLista"/>
        <w:rPr>
          <w:rFonts w:eastAsia="Calibri"/>
          <w:lang w:eastAsia="en-US"/>
        </w:rPr>
      </w:pPr>
    </w:p>
    <w:p w:rsidR="00F76891" w:rsidRPr="00B2481D" w:rsidRDefault="00F76891"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xml:space="preserve">”) </w:t>
      </w:r>
      <w:r w:rsidRPr="00AA122A">
        <w:rPr>
          <w:rFonts w:eastAsia="Calibri"/>
          <w:lang w:eastAsia="en-US"/>
        </w:rPr>
        <w:lastRenderedPageBreak/>
        <w:t>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10 (dez) </w:t>
      </w:r>
      <w:r w:rsidR="00A13E65">
        <w:rPr>
          <w:rFonts w:eastAsia="Calibri"/>
          <w:lang w:eastAsia="en-US"/>
        </w:rPr>
        <w:t>D</w:t>
      </w:r>
      <w:r w:rsidRPr="00AA122A">
        <w:rPr>
          <w:rFonts w:eastAsia="Calibri"/>
          <w:lang w:eastAsia="en-US"/>
        </w:rPr>
        <w:t xml:space="preserve">ias </w:t>
      </w:r>
      <w:r w:rsidR="00A13E65">
        <w:rPr>
          <w:rFonts w:eastAsia="Calibri"/>
          <w:lang w:eastAsia="en-US"/>
        </w:rPr>
        <w:t>Úteis</w:t>
      </w:r>
      <w:r w:rsidRPr="00AA122A">
        <w:rPr>
          <w:rFonts w:eastAsia="Calibri"/>
          <w:lang w:eastAsia="en-US"/>
        </w:rPr>
        <w:t xml:space="preserve"> contados da data do respectivo inadimplemento;</w:t>
      </w:r>
      <w:r w:rsidR="002A38F3"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Prezados, conseguimos flexibilizar para 10 DU aqui, 15 DU é um prazo muito longo</w:t>
      </w:r>
      <w:r w:rsidR="00CE1209" w:rsidRPr="00CE1209">
        <w:rPr>
          <w:rFonts w:eastAsia="Calibri"/>
          <w:b/>
          <w:smallCaps/>
          <w:lang w:eastAsia="en-US"/>
        </w:rPr>
        <w:t>]</w:t>
      </w:r>
    </w:p>
    <w:p w:rsidR="00775263" w:rsidRPr="00B2481D" w:rsidRDefault="00775263" w:rsidP="00AC018B">
      <w:pPr>
        <w:pStyle w:val="PargrafodaLista"/>
        <w:spacing w:line="312" w:lineRule="auto"/>
        <w:rPr>
          <w:rFonts w:eastAsia="Calibri"/>
          <w:lang w:eastAsia="en-US"/>
        </w:rPr>
      </w:pPr>
    </w:p>
    <w:p w:rsidR="00AA122A" w:rsidRP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175A3E" w:rsidRPr="00F76891" w:rsidRDefault="00CE1209" w:rsidP="00A13E65">
      <w:pPr>
        <w:pStyle w:val="PargrafodaLista"/>
        <w:tabs>
          <w:tab w:val="left" w:pos="0"/>
        </w:tabs>
        <w:spacing w:line="312" w:lineRule="auto"/>
        <w:ind w:left="720"/>
        <w:jc w:val="both"/>
        <w:rPr>
          <w:rFonts w:eastAsia="Calibri"/>
          <w:lang w:eastAsia="en-US"/>
        </w:rPr>
      </w:pPr>
      <w:r>
        <w:rPr>
          <w:rFonts w:eastAsia="Calibri"/>
          <w:b/>
          <w:smallCaps/>
          <w:lang w:eastAsia="en-US"/>
        </w:rPr>
        <w:t>[</w:t>
      </w:r>
      <w:r w:rsidRPr="00CE1209">
        <w:rPr>
          <w:rFonts w:eastAsia="Calibri"/>
          <w:b/>
          <w:smallCaps/>
          <w:highlight w:val="green"/>
          <w:lang w:eastAsia="en-US"/>
        </w:rPr>
        <w:t>Nota BOCOM BBM: Já temos tal hipótese no rol de EVA Automático</w:t>
      </w:r>
      <w:r>
        <w:rPr>
          <w:rFonts w:eastAsia="Calibri"/>
          <w:b/>
          <w:smallCaps/>
          <w:lang w:eastAsia="en-US"/>
        </w:rPr>
        <w:t>]</w:t>
      </w:r>
    </w:p>
    <w:p w:rsidR="00F76891" w:rsidRPr="00F76891" w:rsidRDefault="00F76891" w:rsidP="00F76891">
      <w:pPr>
        <w:pStyle w:val="PargrafodaLista"/>
        <w:rPr>
          <w:rFonts w:eastAsia="Calibri"/>
          <w:lang w:eastAsia="en-US"/>
        </w:rPr>
      </w:pPr>
    </w:p>
    <w:p w:rsidR="00F76891" w:rsidRPr="00B13F17" w:rsidRDefault="00DD6899"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r w:rsidRPr="00B13F17">
        <w:rPr>
          <w:rFonts w:eastAsia="Calibri"/>
          <w:i/>
          <w:lang w:eastAsia="en-US"/>
        </w:rPr>
        <w:t>notches</w:t>
      </w:r>
      <w:r w:rsidRPr="00B13F17">
        <w:rPr>
          <w:rFonts w:eastAsia="Calibri"/>
          <w:lang w:eastAsia="en-US"/>
        </w:rPr>
        <w:t xml:space="preserve">, pela Fitch Ratings, Moody’s e/ou Standard and Poor’s, em relação aos </w:t>
      </w:r>
      <w:r w:rsidRPr="00B13F17">
        <w:rPr>
          <w:rFonts w:eastAsia="Calibri"/>
          <w:i/>
          <w:lang w:eastAsia="en-US"/>
        </w:rPr>
        <w:t>notches</w:t>
      </w:r>
      <w:r w:rsidRPr="00B13F17">
        <w:rPr>
          <w:rFonts w:eastAsia="Calibri"/>
          <w:lang w:eastAsia="en-US"/>
        </w:rPr>
        <w:t xml:space="preserve"> vigentes na data de assinatura desta Escritura de Emissão, quais sejam: </w:t>
      </w:r>
      <w:r w:rsidRPr="00AC018B">
        <w:rPr>
          <w:rFonts w:eastAsia="Calibri"/>
          <w:lang w:eastAsia="en-US"/>
        </w:rPr>
        <w:t>AA(bra)</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and Poor’s</w:t>
      </w:r>
      <w:r>
        <w:rPr>
          <w:rFonts w:eastAsia="Calibri"/>
          <w:lang w:eastAsia="en-US"/>
        </w:rPr>
        <w:t>;</w:t>
      </w:r>
    </w:p>
    <w:p w:rsidR="00891622" w:rsidRPr="00B2481D" w:rsidRDefault="00891622" w:rsidP="00880187">
      <w:pPr>
        <w:rPr>
          <w:lang w:eastAsia="en-US"/>
        </w:rPr>
      </w:pPr>
    </w:p>
    <w:p w:rsid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autuação pelos órgãos governamentais, de caráter fiscal, ambiental ou de defesa da concorrência, entre outros, que possa vir a afetar negativamente a capacidade </w:t>
      </w:r>
      <w:r w:rsidRPr="00AA122A">
        <w:rPr>
          <w:rFonts w:eastAsia="Calibri"/>
          <w:lang w:eastAsia="en-US"/>
        </w:rPr>
        <w:lastRenderedPageBreak/>
        <w:t>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PargrafodaLista"/>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CE1209">
        <w:rPr>
          <w:rFonts w:eastAsia="Calibri"/>
          <w:lang w:eastAsia="en-US"/>
        </w:rPr>
        <w:t>20% (vinte por cento)</w:t>
      </w:r>
      <w:r w:rsidR="0039066F" w:rsidRPr="006A3186">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6A3186" w:rsidRPr="006A3186" w:rsidRDefault="006A3186" w:rsidP="006A3186">
      <w:pPr>
        <w:pStyle w:val="PargrafodaLista"/>
        <w:rPr>
          <w:rFonts w:eastAsia="Calibri"/>
          <w:lang w:eastAsia="en-US"/>
        </w:rPr>
      </w:pPr>
    </w:p>
    <w:p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r w:rsidR="00CE1209" w:rsidRPr="00CE1209">
        <w:rPr>
          <w:b/>
          <w:smallCaps/>
          <w:color w:val="000000"/>
        </w:rPr>
        <w:t>[</w:t>
      </w:r>
      <w:r w:rsidR="00CE1209" w:rsidRPr="00CE1209">
        <w:rPr>
          <w:b/>
          <w:smallCaps/>
          <w:color w:val="000000"/>
          <w:highlight w:val="green"/>
        </w:rPr>
        <w:t>Nota BOCOM BBM: Prezados, precisamos manter 75% do quórum aqui, ainda mais pelo fato da emissão de 2018 ter o mesmo quórum. Entendemos que o caso citado no call (ausência do debenturista com maior representação) foi um ato isolado, mas passível dado que estamos falando de mercado de capitais. Aqui o volume é bem menor, portanto, as chances de pulverização são bem difíceis</w:t>
      </w:r>
      <w:r w:rsidR="00CE1209" w:rsidRPr="00CE1209">
        <w:rPr>
          <w:b/>
          <w:smallCaps/>
          <w:color w:val="000000"/>
        </w:rPr>
        <w:t>]</w:t>
      </w:r>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Unitário </w:t>
      </w:r>
      <w:r w:rsidR="00865CF1">
        <w:rPr>
          <w:color w:val="000000"/>
        </w:rPr>
        <w:t>Atualizado,</w:t>
      </w:r>
      <w:r w:rsidR="0048074D" w:rsidRPr="00747BA2">
        <w:rPr>
          <w:color w:val="000000"/>
        </w:rPr>
        <w:t xml:space="preserve"> de cada Debênture, acrescido da Remuneração, calculados </w:t>
      </w:r>
      <w:r w:rsidR="0048074D" w:rsidRPr="00747BA2">
        <w:rPr>
          <w:i/>
          <w:iCs/>
          <w:color w:val="000000"/>
        </w:rPr>
        <w:t>pro rata temporis</w:t>
      </w:r>
      <w:r w:rsidR="0048074D" w:rsidRPr="00747BA2">
        <w:rPr>
          <w:color w:val="000000"/>
        </w:rPr>
        <w:t xml:space="preserve">, a partir da Data de Integralização, ou da Data de Pagamento da </w:t>
      </w:r>
      <w:r w:rsidR="0048074D" w:rsidRPr="00747BA2">
        <w:rPr>
          <w:color w:val="000000"/>
        </w:rPr>
        <w:lastRenderedPageBreak/>
        <w:t>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PargrafodaLista"/>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A323B1" w:rsidRPr="00B2481D">
        <w:rPr>
          <w:color w:val="000000"/>
        </w:rPr>
        <w:t>2 (dois)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Time Celesc, na última emissão está como “imediatamente” na Cláusula 8.6 o que seria entendido como “na mesma data”. Já estamos, portanto, dando uma gordura a mais, dessa forma, precisamos seguir com 2 DU</w:t>
      </w:r>
      <w:r w:rsidR="00CE1209">
        <w:rPr>
          <w:rFonts w:eastAsia="Calibri"/>
          <w:b/>
          <w:smallCaps/>
          <w:lang w:eastAsia="en-US"/>
        </w:rPr>
        <w:t>]</w:t>
      </w:r>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37"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37"/>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PargrafodaLista"/>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 xml:space="preserve">bem como cópia de qualquer comunicação feita pelos auditores independentes à Emissora e/ou à Garantidora, conforme o caso, ou aos membros de sua administração, e </w:t>
      </w:r>
      <w:r w:rsidR="00F41EEC" w:rsidRPr="00B2481D">
        <w:rPr>
          <w:color w:val="000000"/>
        </w:rPr>
        <w:lastRenderedPageBreak/>
        <w:t>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7.</w:t>
      </w:r>
      <w:r w:rsidR="00550093">
        <w:rPr>
          <w:color w:val="000000"/>
        </w:rPr>
        <w:t xml:space="preserve">1 </w:t>
      </w:r>
      <w:r w:rsidR="00F41EEC" w:rsidRPr="00B2481D">
        <w:rPr>
          <w:color w:val="000000"/>
        </w:rPr>
        <w:t>(</w:t>
      </w:r>
      <w:r w:rsidR="00740AF4" w:rsidRPr="00B2481D">
        <w:rPr>
          <w:color w:val="000000"/>
        </w:rPr>
        <w:t>xx</w:t>
      </w:r>
      <w:r w:rsidR="00550093">
        <w:rPr>
          <w:color w:val="000000"/>
        </w:rPr>
        <w:t>v</w:t>
      </w:r>
      <w:r w:rsidR="00740AF4" w:rsidRPr="00B2481D">
        <w:rPr>
          <w:color w:val="000000"/>
        </w:rPr>
        <w:t>ii</w:t>
      </w:r>
      <w:r w:rsidR="00F41EEC" w:rsidRPr="00B2481D">
        <w:rPr>
          <w:color w:val="000000"/>
        </w:rPr>
        <w:t>)</w:t>
      </w:r>
      <w:r w:rsidR="00550093">
        <w:rPr>
          <w:color w:val="000000"/>
        </w:rPr>
        <w:t xml:space="preserve"> e (xxviii)</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845599" w:rsidRDefault="00DE4E31" w:rsidP="00AC018B">
      <w:pPr>
        <w:pStyle w:val="PargrafodaLista"/>
        <w:numPr>
          <w:ilvl w:val="1"/>
          <w:numId w:val="13"/>
        </w:numPr>
        <w:tabs>
          <w:tab w:val="left" w:pos="0"/>
        </w:tabs>
        <w:spacing w:line="312" w:lineRule="auto"/>
        <w:ind w:left="1440"/>
        <w:jc w:val="both"/>
        <w:rPr>
          <w:color w:val="000000"/>
        </w:rPr>
      </w:pPr>
      <w:r>
        <w:rPr>
          <w:color w:val="000000"/>
        </w:rPr>
        <w:t>[</w:t>
      </w:r>
      <w:r w:rsidRPr="00DE4E31">
        <w:rPr>
          <w:rFonts w:eastAsiaTheme="minorEastAsia"/>
          <w:color w:val="000000"/>
          <w:highlight w:val="cyan"/>
        </w:rPr>
        <w:t>dentro de, no máximo, 90 (noventa) dias contados de 30 de junho de cada ano, relatório semestral consolidado da memória de cálculo, elaborado pela Emissora e pela Garantidora e assinado pelos seus representantes legais, obtido a partir dos números da Emissora e da Garantidora revisados pelos auditores independentes, compreendendo todas as rubricas necessárias, de forma explícita, para a obtenção dos Índices Financeiros indicados nas Cláusula 7.1 (xxvii) e (xxviii) acima, sob pena de impossibilidade de verificação pelo Agente Fiduciário, podendo este solicitar à Emissora e/ou à Garantidora todos os eventuais esclarecimentos adicionais que se façam necessários;</w:t>
      </w:r>
      <w:r>
        <w:rPr>
          <w:rFonts w:eastAsiaTheme="minorEastAsia"/>
          <w:b/>
          <w:color w:val="000000"/>
        </w:rPr>
        <w:t xml:space="preserve"> /</w:t>
      </w:r>
      <w:r>
        <w:rPr>
          <w:color w:val="000000"/>
        </w:rPr>
        <w:t xml:space="preserve"> </w:t>
      </w:r>
      <w:r w:rsidR="00845599" w:rsidRPr="00B2481D">
        <w:rPr>
          <w:color w:val="000000"/>
        </w:rPr>
        <w:t xml:space="preserve">dentro de, no máximo, </w:t>
      </w:r>
      <w:r w:rsidR="006E6A23">
        <w:rPr>
          <w:color w:val="000000"/>
        </w:rPr>
        <w:t>45</w:t>
      </w:r>
      <w:r w:rsidR="006E6A23" w:rsidRPr="00B2481D">
        <w:rPr>
          <w:color w:val="000000"/>
        </w:rPr>
        <w:t xml:space="preserve"> </w:t>
      </w:r>
      <w:r w:rsidR="00845599" w:rsidRPr="00B2481D">
        <w:rPr>
          <w:color w:val="000000"/>
        </w:rPr>
        <w:t>(</w:t>
      </w:r>
      <w:r w:rsidR="006E6A23">
        <w:rPr>
          <w:color w:val="000000"/>
        </w:rPr>
        <w:t>quarenta e cinco</w:t>
      </w:r>
      <w:r w:rsidR="00845599" w:rsidRPr="00B2481D">
        <w:rPr>
          <w:color w:val="000000"/>
        </w:rPr>
        <w:t xml:space="preserve">) dias </w:t>
      </w:r>
      <w:r w:rsidR="00845599">
        <w:rPr>
          <w:color w:val="000000"/>
        </w:rPr>
        <w:t>contados de 30 de junho de cada ano</w:t>
      </w:r>
      <w:r w:rsidR="00845599" w:rsidRPr="00B2481D">
        <w:rPr>
          <w:color w:val="000000"/>
        </w:rPr>
        <w:t>,</w:t>
      </w:r>
      <w:r w:rsidR="00845599">
        <w:rPr>
          <w:color w:val="000000"/>
        </w:rPr>
        <w:t xml:space="preserve"> </w:t>
      </w:r>
      <w:r w:rsidR="00845599" w:rsidRPr="00B2481D">
        <w:rPr>
          <w:color w:val="000000"/>
        </w:rPr>
        <w:t xml:space="preserve">relatório </w:t>
      </w:r>
      <w:r w:rsidR="00845599">
        <w:rPr>
          <w:color w:val="000000"/>
        </w:rPr>
        <w:t xml:space="preserve">semestral </w:t>
      </w:r>
      <w:r w:rsidR="00845599" w:rsidRPr="00B2481D">
        <w:rPr>
          <w:color w:val="000000"/>
        </w:rPr>
        <w:t xml:space="preserve">consolidado da memória de cálculo, elaborado pela </w:t>
      </w:r>
      <w:r w:rsidR="00845599">
        <w:rPr>
          <w:color w:val="000000"/>
        </w:rPr>
        <w:t xml:space="preserve">Emissora e pela </w:t>
      </w:r>
      <w:r w:rsidR="00845599" w:rsidRPr="00B2481D">
        <w:rPr>
          <w:color w:val="000000"/>
        </w:rPr>
        <w:t>Garantidora e assinado pelo</w:t>
      </w:r>
      <w:r w:rsidR="00845599">
        <w:rPr>
          <w:color w:val="000000"/>
        </w:rPr>
        <w:t>s</w:t>
      </w:r>
      <w:r w:rsidR="00845599" w:rsidRPr="00B2481D">
        <w:rPr>
          <w:color w:val="000000"/>
        </w:rPr>
        <w:t xml:space="preserve"> seu</w:t>
      </w:r>
      <w:r w:rsidR="00845599">
        <w:rPr>
          <w:color w:val="000000"/>
        </w:rPr>
        <w:t>s</w:t>
      </w:r>
      <w:r w:rsidR="00845599" w:rsidRPr="00B2481D">
        <w:rPr>
          <w:color w:val="000000"/>
        </w:rPr>
        <w:t xml:space="preserve"> representante</w:t>
      </w:r>
      <w:r w:rsidR="00845599">
        <w:rPr>
          <w:color w:val="000000"/>
        </w:rPr>
        <w:t>s</w:t>
      </w:r>
      <w:r w:rsidR="00845599" w:rsidRPr="00B2481D">
        <w:rPr>
          <w:color w:val="000000"/>
        </w:rPr>
        <w:t xml:space="preserve"> lega</w:t>
      </w:r>
      <w:r w:rsidR="00845599">
        <w:rPr>
          <w:color w:val="000000"/>
        </w:rPr>
        <w:t>is</w:t>
      </w:r>
      <w:r w:rsidR="00845599" w:rsidRPr="00B2481D">
        <w:rPr>
          <w:color w:val="000000"/>
        </w:rPr>
        <w:t xml:space="preserve">, obtido a partir dos números auditados da </w:t>
      </w:r>
      <w:r w:rsidR="00845599">
        <w:rPr>
          <w:color w:val="000000"/>
        </w:rPr>
        <w:t xml:space="preserve">Emissora e da </w:t>
      </w:r>
      <w:r w:rsidR="00845599" w:rsidRPr="00B2481D">
        <w:rPr>
          <w:color w:val="000000"/>
        </w:rPr>
        <w:t>Garantidora, compreendendo todas as rubricas necessárias</w:t>
      </w:r>
      <w:r w:rsidR="00845599">
        <w:rPr>
          <w:color w:val="000000"/>
        </w:rPr>
        <w:t>, de forma explícita,</w:t>
      </w:r>
      <w:r w:rsidR="00845599" w:rsidRPr="00B2481D">
        <w:rPr>
          <w:color w:val="000000"/>
        </w:rPr>
        <w:t xml:space="preserve"> para a obtenção do</w:t>
      </w:r>
      <w:r w:rsidR="00845599">
        <w:rPr>
          <w:color w:val="000000"/>
        </w:rPr>
        <w:t>s</w:t>
      </w:r>
      <w:r w:rsidR="00845599" w:rsidRPr="00B2481D">
        <w:rPr>
          <w:color w:val="000000"/>
        </w:rPr>
        <w:t xml:space="preserve"> Índice</w:t>
      </w:r>
      <w:r w:rsidR="00845599">
        <w:rPr>
          <w:color w:val="000000"/>
        </w:rPr>
        <w:t>s</w:t>
      </w:r>
      <w:r w:rsidR="00845599" w:rsidRPr="00B2481D">
        <w:rPr>
          <w:color w:val="000000"/>
        </w:rPr>
        <w:t xml:space="preserve"> Financeiro</w:t>
      </w:r>
      <w:r w:rsidR="00845599">
        <w:rPr>
          <w:color w:val="000000"/>
        </w:rPr>
        <w:t>s</w:t>
      </w:r>
      <w:r w:rsidR="00845599" w:rsidRPr="00B2481D">
        <w:rPr>
          <w:color w:val="000000"/>
        </w:rPr>
        <w:t xml:space="preserve"> indicado</w:t>
      </w:r>
      <w:r w:rsidR="00845599">
        <w:rPr>
          <w:color w:val="000000"/>
        </w:rPr>
        <w:t>s</w:t>
      </w:r>
      <w:r w:rsidR="00845599" w:rsidRPr="00B2481D">
        <w:rPr>
          <w:color w:val="000000"/>
        </w:rPr>
        <w:t xml:space="preserve"> na</w:t>
      </w:r>
      <w:r w:rsidR="00845599">
        <w:rPr>
          <w:color w:val="000000"/>
        </w:rPr>
        <w:t>s</w:t>
      </w:r>
      <w:r w:rsidR="00845599" w:rsidRPr="00B2481D">
        <w:rPr>
          <w:color w:val="000000"/>
        </w:rPr>
        <w:t xml:space="preserve"> Cláusula 7.</w:t>
      </w:r>
      <w:r w:rsidR="00845599">
        <w:rPr>
          <w:color w:val="000000"/>
        </w:rPr>
        <w:t xml:space="preserve">1 </w:t>
      </w:r>
      <w:r w:rsidR="00845599" w:rsidRPr="00B2481D">
        <w:rPr>
          <w:color w:val="000000"/>
        </w:rPr>
        <w:t>(xx</w:t>
      </w:r>
      <w:r w:rsidR="00845599">
        <w:rPr>
          <w:color w:val="000000"/>
        </w:rPr>
        <w:t>v</w:t>
      </w:r>
      <w:r w:rsidR="00845599" w:rsidRPr="00B2481D">
        <w:rPr>
          <w:color w:val="000000"/>
        </w:rPr>
        <w:t>ii)</w:t>
      </w:r>
      <w:r w:rsidR="00845599">
        <w:rPr>
          <w:color w:val="000000"/>
        </w:rPr>
        <w:t xml:space="preserve"> e (xxviii)</w:t>
      </w:r>
      <w:r w:rsidR="00845599" w:rsidRPr="00B2481D">
        <w:rPr>
          <w:color w:val="000000"/>
        </w:rPr>
        <w:t xml:space="preserve"> acima, sob pena de impossibilidade de </w:t>
      </w:r>
      <w:r w:rsidR="00845599">
        <w:rPr>
          <w:color w:val="000000"/>
        </w:rPr>
        <w:t>verificação</w:t>
      </w:r>
      <w:r w:rsidR="00845599" w:rsidRPr="00B2481D">
        <w:rPr>
          <w:color w:val="000000"/>
        </w:rPr>
        <w:t xml:space="preserve"> pelo </w:t>
      </w:r>
      <w:r w:rsidR="00845599" w:rsidRPr="00B2481D">
        <w:rPr>
          <w:color w:val="000000"/>
        </w:rPr>
        <w:lastRenderedPageBreak/>
        <w:t>Agente Fiduciário, podendo este solicitar à Emissora e/ou à Garantidora todos os eventuais esclarecimentos adicionais que se façam necessários</w:t>
      </w:r>
      <w:r w:rsidR="00845599">
        <w:rPr>
          <w:color w:val="000000"/>
        </w:rPr>
        <w:t>;</w:t>
      </w:r>
      <w:r>
        <w:rPr>
          <w:color w:val="000000"/>
        </w:rPr>
        <w:t>]</w:t>
      </w:r>
      <w:r w:rsidR="00845599">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Prezados, este ponto é bem preocupante, dado que aprovamos o conceito de índice financeiro Semestral em nosso Crédito. Ao checar a 2ª emissão da Companhia, percebemos que há a mesma obrigação do envio do ITR, portanto, peço, pfv, que verifiquem como estão cumprindo esta obrigação lá, até para evitar eventual Inadimplemento</w:t>
      </w:r>
      <w:r w:rsidR="00CE1209">
        <w:rPr>
          <w:rFonts w:eastAsia="Calibri"/>
          <w:b/>
          <w:smallCaps/>
          <w:lang w:eastAsia="en-US"/>
        </w:rPr>
        <w:t>]</w:t>
      </w:r>
      <w:r w:rsidR="00BA19EA">
        <w:rPr>
          <w:rFonts w:eastAsia="Calibri"/>
          <w:b/>
          <w:smallCaps/>
          <w:lang w:eastAsia="en-US"/>
        </w:rPr>
        <w:t xml:space="preserve"> [</w:t>
      </w:r>
      <w:r w:rsidR="00BA19EA" w:rsidRPr="00BA19EA">
        <w:rPr>
          <w:rFonts w:eastAsia="Calibri"/>
          <w:b/>
          <w:smallCaps/>
          <w:highlight w:val="green"/>
          <w:lang w:eastAsia="en-US"/>
        </w:rPr>
        <w:t xml:space="preserve">Nota BOCOM BBM: Aqui </w:t>
      </w:r>
      <w:r w:rsidR="00BA19EA" w:rsidRPr="00803DC0">
        <w:rPr>
          <w:rFonts w:eastAsia="Calibri"/>
          <w:b/>
          <w:smallCaps/>
          <w:highlight w:val="green"/>
          <w:lang w:eastAsia="en-US"/>
        </w:rPr>
        <w:t>precisa ser mantido 45 dias</w:t>
      </w:r>
      <w:r w:rsidR="00BA19EA">
        <w:rPr>
          <w:rFonts w:eastAsia="Calibri"/>
          <w:b/>
          <w:smallCaps/>
          <w:lang w:eastAsia="en-US"/>
        </w:rPr>
        <w:t>]</w:t>
      </w:r>
      <w:r w:rsidR="00B6281A">
        <w:rPr>
          <w:rFonts w:eastAsia="Calibri"/>
          <w:b/>
          <w:smallCaps/>
          <w:lang w:eastAsia="en-US"/>
        </w:rPr>
        <w:t xml:space="preserve"> [</w:t>
      </w:r>
      <w:r w:rsidR="00B6281A" w:rsidRPr="00B6281A">
        <w:rPr>
          <w:rFonts w:eastAsia="Calibri"/>
          <w:b/>
          <w:smallCaps/>
          <w:highlight w:val="cyan"/>
          <w:lang w:eastAsia="en-US"/>
        </w:rPr>
        <w:t>Nota CELESC: O relatório da Auditoria para a Celesc G funcionará apenas na periodicidade anual. Já para a Holding, há relatório de auditoria trimestral</w:t>
      </w:r>
      <w:r w:rsidR="00B6281A">
        <w:rPr>
          <w:rFonts w:eastAsia="Calibri"/>
          <w:b/>
          <w:smallCaps/>
          <w:lang w:eastAsia="en-US"/>
        </w:rPr>
        <w:t>] [</w:t>
      </w:r>
      <w:r w:rsidR="00B6281A" w:rsidRPr="00B6281A">
        <w:rPr>
          <w:rFonts w:eastAsia="Calibri"/>
          <w:b/>
          <w:smallCaps/>
          <w:highlight w:val="yellow"/>
          <w:lang w:eastAsia="en-US"/>
        </w:rPr>
        <w:t>Nota VBSO: Ponto para discussão</w:t>
      </w:r>
      <w:r w:rsidR="00B6281A">
        <w:rPr>
          <w:rFonts w:eastAsia="Calibri"/>
          <w:b/>
          <w:smallCaps/>
          <w:lang w:eastAsia="en-US"/>
        </w:rPr>
        <w:t>]</w:t>
      </w:r>
    </w:p>
    <w:p w:rsidR="00845599" w:rsidRPr="00845599" w:rsidRDefault="00845599" w:rsidP="00845599">
      <w:pPr>
        <w:pStyle w:val="PargrafodaLista"/>
        <w:rPr>
          <w:color w:val="000000"/>
        </w:rPr>
      </w:pPr>
    </w:p>
    <w:p w:rsidR="00E77204" w:rsidRPr="00B2481D" w:rsidRDefault="00634866" w:rsidP="00AC018B">
      <w:pPr>
        <w:pStyle w:val="PargrafodaLista"/>
        <w:numPr>
          <w:ilvl w:val="1"/>
          <w:numId w:val="13"/>
        </w:numPr>
        <w:tabs>
          <w:tab w:val="left" w:pos="0"/>
        </w:tabs>
        <w:spacing w:line="312" w:lineRule="auto"/>
        <w:ind w:left="1440"/>
        <w:jc w:val="both"/>
        <w:rPr>
          <w:color w:val="000000"/>
        </w:rPr>
      </w:pPr>
      <w:r>
        <w:rPr>
          <w:color w:val="000000"/>
        </w:rPr>
        <w:t>[</w:t>
      </w:r>
      <w:r w:rsidRPr="00634866">
        <w:rPr>
          <w:rFonts w:eastAsiaTheme="minorEastAsia"/>
          <w:color w:val="000000"/>
          <w:highlight w:val="cyan"/>
        </w:rPr>
        <w:t>dentro de, no máximo, 45 (quarenta e cinco) dias após o término de cada trimestre do exercício social, ou na data de sua divulgação, o que ocorrer primeiro, cópia das demonstrações financeiras consolidadas da Emissora e da Garantidora relativas ao respectivo trimestre, com necessário acompanhamento do relatório de revisão especial dos auditores independentes apenas para a Garantidora;</w:t>
      </w:r>
      <w:r>
        <w:rPr>
          <w:rFonts w:eastAsiaTheme="minorEastAsia"/>
          <w:b/>
          <w:color w:val="000000"/>
        </w:rPr>
        <w:t xml:space="preserve"> / </w:t>
      </w:r>
      <w:r w:rsidR="00E77204"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00E77204" w:rsidRPr="00B2481D">
        <w:rPr>
          <w:color w:val="000000"/>
        </w:rPr>
        <w:t>relativas ao respectivo trimestre, acompanhadas do relatório de revisão especial dos auditores independentes;</w:t>
      </w:r>
      <w:r>
        <w:rPr>
          <w:color w:val="000000"/>
        </w:rPr>
        <w:t>]</w:t>
      </w:r>
      <w:r w:rsidR="00BA19EA">
        <w:rPr>
          <w:color w:val="000000"/>
        </w:rPr>
        <w:t xml:space="preserve"> </w:t>
      </w:r>
      <w:r w:rsidR="00BA19EA" w:rsidRPr="00BA19EA">
        <w:rPr>
          <w:b/>
          <w:smallCaps/>
          <w:color w:val="000000"/>
        </w:rPr>
        <w:t>[</w:t>
      </w:r>
      <w:r w:rsidR="00BA19EA" w:rsidRPr="00BA19EA">
        <w:rPr>
          <w:b/>
          <w:smallCaps/>
          <w:color w:val="000000"/>
          <w:highlight w:val="green"/>
        </w:rPr>
        <w:t>Nota BOCOM BBM: Prezados, se faz necessário o relatório de apuração de ambas, tanto da Emissora quanto da Garantidora</w:t>
      </w:r>
      <w:r w:rsidR="00BA19EA" w:rsidRPr="00BA19EA">
        <w:rPr>
          <w:b/>
          <w:smallCaps/>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PargrafodaLista"/>
        <w:spacing w:line="312" w:lineRule="auto"/>
        <w:rPr>
          <w:color w:val="000000"/>
        </w:rPr>
      </w:pPr>
    </w:p>
    <w:p w:rsidR="00E77204" w:rsidRPr="00B2481D" w:rsidRDefault="000931B6"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w:t>
      </w:r>
      <w:r w:rsidRPr="00B2481D">
        <w:rPr>
          <w:color w:val="000000"/>
        </w:rPr>
        <w:lastRenderedPageBreak/>
        <w:t xml:space="preserve">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ate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(ii)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w w:val="0"/>
        </w:rPr>
      </w:pPr>
      <w:r w:rsidRPr="00B2481D">
        <w:rPr>
          <w:color w:val="000000"/>
          <w:w w:val="0"/>
        </w:rPr>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PargrafodaLista"/>
        <w:spacing w:line="312" w:lineRule="auto"/>
        <w:rPr>
          <w:color w:val="000000"/>
          <w:w w:val="0"/>
        </w:rPr>
      </w:pPr>
    </w:p>
    <w:p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PargrafodaLista"/>
        <w:tabs>
          <w:tab w:val="left" w:pos="0"/>
        </w:tabs>
        <w:spacing w:line="312" w:lineRule="auto"/>
        <w:ind w:left="1440"/>
        <w:jc w:val="both"/>
        <w:rPr>
          <w:color w:val="000000"/>
          <w:w w:val="0"/>
        </w:rPr>
      </w:pPr>
    </w:p>
    <w:p w:rsidR="005C6662" w:rsidRPr="00B2481D" w:rsidRDefault="005C6662" w:rsidP="00AC018B">
      <w:pPr>
        <w:pStyle w:val="PargrafodaLista"/>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r w:rsidR="00CE1209">
        <w:rPr>
          <w:color w:val="000000"/>
        </w:rPr>
        <w:t>PDF</w:t>
      </w:r>
      <w:r w:rsidR="004625BA">
        <w:rPr>
          <w:color w:val="000000"/>
        </w:rPr>
        <w:t>)</w:t>
      </w:r>
      <w:r w:rsidR="00CE1209">
        <w:rPr>
          <w:color w:val="000000"/>
        </w:rPr>
        <w:t xml:space="preserve"> ou original, conforme aplicável,</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PargrafodaLista"/>
        <w:tabs>
          <w:tab w:val="left" w:pos="0"/>
        </w:tabs>
        <w:spacing w:line="312" w:lineRule="auto"/>
        <w:ind w:left="720"/>
        <w:jc w:val="both"/>
        <w:rPr>
          <w:color w:val="000000"/>
        </w:rPr>
      </w:pPr>
    </w:p>
    <w:p w:rsidR="002B5980" w:rsidRPr="00B2481D" w:rsidRDefault="003E02D3" w:rsidP="00AC018B">
      <w:pPr>
        <w:pStyle w:val="PargrafodaLista"/>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r w:rsidR="00AC78E2" w:rsidRPr="00B2481D">
        <w:rPr>
          <w:color w:val="000000"/>
        </w:rPr>
        <w:t xml:space="preserve">Escriturador,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lastRenderedPageBreak/>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PargrafodaLista"/>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rsidR="00757AEC" w:rsidRPr="00B2481D" w:rsidRDefault="00757AEC" w:rsidP="00AC018B">
      <w:pPr>
        <w:pStyle w:val="PargrafodaLista"/>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PargrafodaLista"/>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PargrafodaLista"/>
        <w:spacing w:line="312" w:lineRule="auto"/>
      </w:pPr>
    </w:p>
    <w:p w:rsidR="006F25B8" w:rsidRPr="00B2481D" w:rsidRDefault="006F25B8" w:rsidP="00AC018B">
      <w:pPr>
        <w:pStyle w:val="PargrafodaLista"/>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PargrafodaLista"/>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lastRenderedPageBreak/>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manter os documentos mencionados no inciso (iii) acima em sua página na 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PargrafodaLista"/>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PargrafodaLista"/>
        <w:spacing w:line="312" w:lineRule="auto"/>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A13E65">
        <w:t>, contados do recebimento,</w:t>
      </w:r>
      <w:r w:rsidR="00042668" w:rsidRPr="00A13E65">
        <w:t xml:space="preserve"> </w:t>
      </w:r>
      <w:r w:rsidRPr="00A13E65">
        <w:t>o</w:t>
      </w:r>
      <w:r w:rsidRPr="00B2481D">
        <w:t xml:space="preserve">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PargrafodaLista"/>
        <w:numPr>
          <w:ilvl w:val="0"/>
          <w:numId w:val="26"/>
        </w:numPr>
        <w:tabs>
          <w:tab w:val="left" w:pos="0"/>
        </w:tabs>
        <w:spacing w:line="312" w:lineRule="auto"/>
        <w:ind w:left="720"/>
        <w:jc w:val="both"/>
      </w:pPr>
      <w:r w:rsidRPr="00B2481D">
        <w:lastRenderedPageBreak/>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PargrafodaLista"/>
        <w:spacing w:line="312" w:lineRule="auto"/>
      </w:pPr>
    </w:p>
    <w:p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r w:rsidR="004C0B3B" w:rsidRPr="00B2481D">
        <w:rPr>
          <w:i/>
        </w:rPr>
        <w:t>Foreign Corrupt Practices Act of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PargrafodaLista"/>
        <w:spacing w:line="312" w:lineRule="auto"/>
      </w:pPr>
    </w:p>
    <w:p w:rsidR="00B83AF4" w:rsidRPr="00B2481D" w:rsidRDefault="00445D98" w:rsidP="00AC018B">
      <w:pPr>
        <w:pStyle w:val="PargrafodaLista"/>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w:t>
      </w:r>
      <w:r w:rsidRPr="00B2481D">
        <w:lastRenderedPageBreak/>
        <w:t>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PargrafodaLista"/>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PargrafodaLista"/>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rsidR="00BA4AA1" w:rsidRDefault="00BA4AA1" w:rsidP="00BA4AA1">
      <w:pPr>
        <w:pStyle w:val="PargrafodaLista"/>
      </w:pPr>
    </w:p>
    <w:p w:rsidR="004779FF" w:rsidRDefault="00BA4AA1" w:rsidP="00AC018B">
      <w:pPr>
        <w:pStyle w:val="PargrafodaLista"/>
        <w:numPr>
          <w:ilvl w:val="0"/>
          <w:numId w:val="26"/>
        </w:numPr>
        <w:tabs>
          <w:tab w:val="left" w:pos="0"/>
        </w:tabs>
        <w:spacing w:line="312" w:lineRule="auto"/>
        <w:ind w:left="720"/>
        <w:jc w:val="both"/>
      </w:pPr>
      <w:bookmarkStart w:id="38" w:name="_Ref427707775"/>
      <w:bookmarkStart w:id="39"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Standard and Poor’s</w:t>
      </w:r>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Standard and Poor’s</w:t>
      </w:r>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Fitch Ratings, Moody’s ou Standard and Poor’s</w:t>
      </w:r>
      <w:r w:rsidRPr="00B13F17">
        <w:t xml:space="preserve">; ou (ii) notificar o Agente Fiduciário e convocar Assembleia Geral de Debenturistas para que estes definam a agência de </w:t>
      </w:r>
      <w:r w:rsidRPr="00B13F17">
        <w:lastRenderedPageBreak/>
        <w:t>classificação de risco substituta, sendo que a Assembleia Geral de Debenturistas deverá ser realizada dentro do prazo máximo de 30 (trinta) dias, contados do evento que a determinar</w:t>
      </w:r>
      <w:r w:rsidR="004779FF">
        <w:t>; e</w:t>
      </w:r>
    </w:p>
    <w:p w:rsidR="004779FF" w:rsidRDefault="004779FF" w:rsidP="004779FF">
      <w:pPr>
        <w:pStyle w:val="PargrafodaLista"/>
        <w:tabs>
          <w:tab w:val="left" w:pos="0"/>
        </w:tabs>
        <w:spacing w:line="312" w:lineRule="auto"/>
        <w:ind w:left="720"/>
        <w:jc w:val="both"/>
      </w:pPr>
    </w:p>
    <w:p w:rsidR="00BA4AA1" w:rsidRDefault="004779FF" w:rsidP="00AC018B">
      <w:pPr>
        <w:pStyle w:val="PargrafodaLista"/>
        <w:numPr>
          <w:ilvl w:val="0"/>
          <w:numId w:val="26"/>
        </w:numPr>
        <w:tabs>
          <w:tab w:val="left" w:pos="0"/>
        </w:tabs>
        <w:spacing w:line="312" w:lineRule="auto"/>
        <w:ind w:left="720"/>
        <w:jc w:val="both"/>
      </w:pPr>
      <w:r>
        <w:rPr>
          <w:color w:val="000000"/>
        </w:rPr>
        <w:t>com relação a Emissora e a Garantidora e as sociedades dos seus respectivos grupos econômicos,</w:t>
      </w:r>
      <w:r w:rsidR="00BA19EA" w:rsidRPr="00BA19EA">
        <w:rPr>
          <w:color w:val="000000"/>
          <w:highlight w:val="green"/>
        </w:rPr>
        <w:t xml:space="preserve"> </w:t>
      </w:r>
      <w:r w:rsidR="00BA19EA" w:rsidRPr="00AF7076">
        <w:rPr>
          <w:color w:val="000000"/>
          <w:highlight w:val="green"/>
        </w:rPr>
        <w:t>suas controladas e seus respectivos Representantes (conforme abaixo definido)</w:t>
      </w:r>
      <w:r w:rsidR="00BA19EA">
        <w:rPr>
          <w:color w:val="000000"/>
        </w:rPr>
        <w:t>,</w:t>
      </w:r>
      <w:r>
        <w:rPr>
          <w:color w:val="000000"/>
        </w:rPr>
        <w:t xml:space="preserve"> não incorrer em quaisquer Condutas Indevidas, conforme abaixo definido</w:t>
      </w:r>
      <w:r w:rsidR="00BA4AA1" w:rsidRPr="00B13F17">
        <w:t>.</w:t>
      </w:r>
      <w:bookmarkEnd w:id="38"/>
      <w:bookmarkEnd w:id="39"/>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40" w:name="_Toc496113115"/>
      <w:r w:rsidRPr="00B2481D">
        <w:rPr>
          <w:color w:val="000000"/>
          <w:sz w:val="24"/>
          <w:szCs w:val="24"/>
        </w:rPr>
        <w:t>CLÁUSULA IX</w:t>
      </w:r>
      <w:r w:rsidRPr="00B2481D">
        <w:rPr>
          <w:color w:val="000000"/>
          <w:sz w:val="24"/>
          <w:szCs w:val="24"/>
        </w:rPr>
        <w:br/>
        <w:t>AGENTE FIDUCIÁRIO</w:t>
      </w:r>
      <w:bookmarkEnd w:id="40"/>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41" w:name="_DV_M303"/>
      <w:bookmarkStart w:id="42" w:name="_DV_M304"/>
      <w:bookmarkStart w:id="43" w:name="_DV_M305"/>
      <w:bookmarkStart w:id="44" w:name="_DV_M306"/>
      <w:bookmarkStart w:id="45" w:name="_DV_M307"/>
      <w:bookmarkStart w:id="46" w:name="_DV_M308"/>
      <w:bookmarkStart w:id="47" w:name="_DV_M309"/>
      <w:bookmarkStart w:id="48" w:name="_DV_M310"/>
      <w:bookmarkStart w:id="49" w:name="_DV_M313"/>
      <w:bookmarkStart w:id="50" w:name="_DV_M314"/>
      <w:bookmarkEnd w:id="41"/>
      <w:bookmarkEnd w:id="42"/>
      <w:bookmarkEnd w:id="43"/>
      <w:bookmarkEnd w:id="44"/>
      <w:bookmarkEnd w:id="45"/>
      <w:bookmarkEnd w:id="46"/>
      <w:bookmarkEnd w:id="47"/>
      <w:bookmarkEnd w:id="48"/>
      <w:bookmarkEnd w:id="49"/>
      <w:bookmarkEnd w:id="50"/>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lastRenderedPageBreak/>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das informações contidas nesta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que esta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 xml:space="preserve">Nota Simplific: Favor enviar organograma </w:t>
      </w:r>
      <w:r w:rsidR="00366CCA" w:rsidRPr="00603A9B">
        <w:rPr>
          <w:b/>
          <w:smallCaps/>
          <w:highlight w:val="lightGray"/>
        </w:rPr>
        <w:t>atualizado</w:t>
      </w:r>
      <w:r w:rsidR="00E4225D" w:rsidRPr="00603A9B">
        <w:rPr>
          <w:b/>
          <w:smallCaps/>
          <w:highlight w:val="lightGray"/>
        </w:rPr>
        <w:t>. Sem prejuízo do envio do organograma pela Emissora, informamos no Anexo II, os dados da Emissão na qual atuamos como AF</w:t>
      </w:r>
      <w:r w:rsidR="00366CCA" w:rsidRPr="00366CCA">
        <w:rPr>
          <w:b/>
          <w:smallCaps/>
        </w:rPr>
        <w:t>]</w:t>
      </w:r>
      <w:r w:rsidR="00E4225D">
        <w:rPr>
          <w:b/>
          <w:smallCaps/>
        </w:rPr>
        <w:t xml:space="preserve"> </w:t>
      </w:r>
      <w:r w:rsidR="00BA19EA">
        <w:rPr>
          <w:b/>
          <w:smallCaps/>
        </w:rPr>
        <w:t>[</w:t>
      </w:r>
      <w:r w:rsidR="00BA19EA" w:rsidRPr="00BA19EA">
        <w:rPr>
          <w:b/>
          <w:smallCaps/>
          <w:highlight w:val="yellow"/>
        </w:rPr>
        <w:t>Nota VBSO: Enviado em 10/03</w:t>
      </w:r>
      <w:r w:rsidR="00BA19EA">
        <w:rPr>
          <w:b/>
          <w:smallCaps/>
        </w:rPr>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pro rata temporis</w:t>
      </w:r>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 xml:space="preserve">com base na variação percentual acumulada do Índice de Preços ao </w:t>
      </w:r>
      <w:r w:rsidR="00366CCA">
        <w:rPr>
          <w:color w:val="000000"/>
        </w:rPr>
        <w:lastRenderedPageBreak/>
        <w:t>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 xml:space="preserve">A remuneração não inclui despesas consideradas necessárias ao exercício da função </w:t>
      </w:r>
      <w:r w:rsidRPr="00B2481D">
        <w:rPr>
          <w:color w:val="000000"/>
        </w:rPr>
        <w:lastRenderedPageBreak/>
        <w:t>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pro rata temporis</w:t>
      </w:r>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nesta Escritura de Emissão, diligenciando no sentido de que sejam sanadas as omissões, falhas ou defeitos de que tenha conhecimento;</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lastRenderedPageBreak/>
        <w:t>opinar sobre a suficiência das informações prestadas nas propostas de modificações nas condições das Debêntures</w:t>
      </w:r>
      <w:r w:rsidRPr="00B2481D">
        <w:t>;</w:t>
      </w:r>
    </w:p>
    <w:p w:rsidR="00F06524" w:rsidRPr="00B2481D" w:rsidRDefault="00F06524" w:rsidP="00AC018B">
      <w:pPr>
        <w:pStyle w:val="PargrafodaLista"/>
        <w:spacing w:line="312" w:lineRule="auto"/>
      </w:pPr>
    </w:p>
    <w:p w:rsidR="00F06524" w:rsidRPr="00B2481D" w:rsidRDefault="00F06524" w:rsidP="00AC018B">
      <w:pPr>
        <w:pStyle w:val="PargrafodaLista"/>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 xml:space="preserve">cláusulas contratuais destinadas a </w:t>
      </w:r>
      <w:r w:rsidRPr="00B2481D">
        <w:rPr>
          <w:bCs/>
          <w:iCs/>
        </w:rPr>
        <w:lastRenderedPageBreak/>
        <w:t>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w:t>
      </w:r>
      <w:r w:rsidR="003D5808" w:rsidRPr="00B2481D">
        <w:t>os</w:t>
      </w:r>
      <w:r w:rsidRPr="00B2481D">
        <w:t>; (iv)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lastRenderedPageBreak/>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51" w:name="_DV_M347"/>
      <w:bookmarkStart w:id="52" w:name="_DV_M348"/>
      <w:bookmarkStart w:id="53" w:name="_DV_M349"/>
      <w:bookmarkStart w:id="54" w:name="_DV_M350"/>
      <w:bookmarkStart w:id="55" w:name="_DV_M319"/>
      <w:bookmarkEnd w:id="51"/>
      <w:bookmarkEnd w:id="52"/>
      <w:bookmarkEnd w:id="53"/>
      <w:bookmarkEnd w:id="54"/>
      <w:bookmarkEnd w:id="55"/>
      <w:r w:rsidRPr="00B2481D">
        <w:rPr>
          <w:color w:val="000000"/>
          <w:w w:val="0"/>
        </w:rPr>
        <w:t>9.5.2.</w:t>
      </w:r>
      <w:r w:rsidRPr="00B2481D">
        <w:rPr>
          <w:color w:val="000000"/>
          <w:w w:val="0"/>
        </w:rPr>
        <w:tab/>
        <w:t xml:space="preserve">Os atos ou manifestações por parte do Agente Fiduciário que criarem responsabilidade para os Debenturistas e/ou exonerarem terceiros de obrigações com eles </w:t>
      </w:r>
      <w:r w:rsidRPr="00B2481D">
        <w:rPr>
          <w:color w:val="000000"/>
          <w:w w:val="0"/>
        </w:rPr>
        <w:lastRenderedPageBreak/>
        <w:t>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w:t>
      </w:r>
      <w:r w:rsidRPr="00B2481D">
        <w:rPr>
          <w:color w:val="000000"/>
        </w:rPr>
        <w:t>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r w:rsidR="00B6281A">
        <w:rPr>
          <w:color w:val="000000"/>
        </w:rPr>
        <w:t xml:space="preserve"> </w:t>
      </w:r>
      <w:r w:rsidR="00B6281A" w:rsidRPr="00B6281A">
        <w:rPr>
          <w:b/>
          <w:smallCaps/>
          <w:color w:val="000000"/>
        </w:rPr>
        <w:t>[</w:t>
      </w:r>
      <w:r w:rsidR="00B6281A" w:rsidRPr="00B6281A">
        <w:rPr>
          <w:b/>
          <w:smallCaps/>
          <w:color w:val="000000"/>
          <w:highlight w:val="cyan"/>
        </w:rPr>
        <w:t>Nota CELESC: Celesc trabalha apenas com ressarcimento, após comprovação das despesas incorridas</w:t>
      </w:r>
      <w:r w:rsidR="00B6281A" w:rsidRPr="00B6281A">
        <w:rPr>
          <w:b/>
          <w:smallCaps/>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w:t>
      </w:r>
      <w:r w:rsidRPr="00B2481D">
        <w:rPr>
          <w:color w:val="000000"/>
        </w:rPr>
        <w:lastRenderedPageBreak/>
        <w:t xml:space="preserve">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rsidR="00E77204" w:rsidRPr="00B2481D" w:rsidRDefault="00E77204" w:rsidP="00AC018B">
      <w:pPr>
        <w:tabs>
          <w:tab w:val="left" w:pos="720"/>
          <w:tab w:val="left" w:pos="2366"/>
        </w:tabs>
        <w:spacing w:line="312" w:lineRule="auto"/>
        <w:jc w:val="both"/>
        <w:rPr>
          <w:color w:val="000000"/>
        </w:rPr>
      </w:pP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6" w:name="_Toc496113116"/>
      <w:r w:rsidRPr="00B2481D">
        <w:rPr>
          <w:color w:val="000000"/>
          <w:sz w:val="24"/>
          <w:szCs w:val="24"/>
        </w:rPr>
        <w:t>CLÁUSULA X</w:t>
      </w:r>
      <w:r w:rsidRPr="00B2481D">
        <w:rPr>
          <w:color w:val="000000"/>
          <w:sz w:val="24"/>
          <w:szCs w:val="24"/>
        </w:rPr>
        <w:br/>
        <w:t>ASSEMBLEIA GERAL DE DEBENTURISTAS</w:t>
      </w:r>
      <w:bookmarkEnd w:id="56"/>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 xml:space="preserve">das Debêntures em Circulação, </w:t>
      </w:r>
      <w:r w:rsidR="005526FC" w:rsidRPr="00B2481D">
        <w:rPr>
          <w:color w:val="000000"/>
        </w:rPr>
        <w:t>incluindo, mas não se limitando, à aprovação em caso de renúncia e/ou perdão temporário.</w:t>
      </w:r>
      <w:r w:rsidR="005A36D3"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precisamos manter os 75% para o quórum geral</w:t>
      </w:r>
      <w:r w:rsidR="00CE1209" w:rsidRPr="00CE1209">
        <w:rPr>
          <w:b/>
          <w:smallCaps/>
          <w:color w:val="000000"/>
        </w:rPr>
        <w:t>]</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w:t>
      </w:r>
      <w:r w:rsidR="00002F72">
        <w:rPr>
          <w:color w:val="000000"/>
        </w:rPr>
        <w:t>do IPCA</w:t>
      </w:r>
      <w:r w:rsidR="00CD2D8D" w:rsidRPr="00B2481D">
        <w:rPr>
          <w:color w:val="000000"/>
        </w:rPr>
        <w:t>)</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E2621D" w:rsidRPr="00B2481D">
        <w:rPr>
          <w:color w:val="000000"/>
        </w:rPr>
        <w:t>90% (noventa por cento)</w:t>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para quórum qualificado não podemos aceitar menos de 90%</w:t>
      </w:r>
      <w:r w:rsidR="00CE1209" w:rsidRPr="00CE1209">
        <w:rPr>
          <w:b/>
          <w:smallCaps/>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r w:rsidR="0059607D" w:rsidRPr="00B6281A">
        <w:rPr>
          <w:b/>
          <w:bCs/>
          <w:smallCaps/>
          <w:color w:val="000000"/>
        </w:rPr>
        <w:t>[</w:t>
      </w:r>
      <w:r w:rsidR="0059607D" w:rsidRPr="00B6281A">
        <w:rPr>
          <w:b/>
          <w:bCs/>
          <w:smallCaps/>
          <w:color w:val="000000"/>
          <w:highlight w:val="cyan"/>
        </w:rPr>
        <w:t>Nota CELESC: É possível a realização de AGD virtual?</w:t>
      </w:r>
      <w:r w:rsidR="0059607D" w:rsidRPr="00B6281A">
        <w:rPr>
          <w:b/>
          <w:bCs/>
          <w:smallCaps/>
          <w:color w:val="000000"/>
        </w:rPr>
        <w:t>]</w:t>
      </w:r>
      <w:r w:rsidR="0059607D">
        <w:rPr>
          <w:b/>
          <w:bCs/>
          <w:smallCaps/>
          <w:color w:val="000000"/>
        </w:rPr>
        <w:t xml:space="preserve"> [</w:t>
      </w:r>
      <w:r w:rsidR="0059607D" w:rsidRPr="00B6281A">
        <w:rPr>
          <w:b/>
          <w:bCs/>
          <w:smallCaps/>
          <w:color w:val="000000"/>
          <w:highlight w:val="yellow"/>
        </w:rPr>
        <w:t>Nota VBSO: Ponto para discussão</w:t>
      </w:r>
      <w:r w:rsidR="0059607D">
        <w:rPr>
          <w:b/>
          <w:bCs/>
          <w:smallCaps/>
          <w:color w:val="000000"/>
        </w:rPr>
        <w:t>]</w:t>
      </w:r>
      <w:r w:rsidR="0059607D" w:rsidRPr="00B6281A">
        <w:rPr>
          <w:b/>
          <w:bCs/>
          <w:smallCap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E77204" w:rsidRPr="00B2481D" w:rsidRDefault="00E77204" w:rsidP="00AC018B">
      <w:pPr>
        <w:tabs>
          <w:tab w:val="left" w:pos="720"/>
          <w:tab w:val="left" w:pos="2366"/>
        </w:tabs>
        <w:spacing w:line="312" w:lineRule="auto"/>
        <w:jc w:val="both"/>
        <w:rPr>
          <w:color w:val="000000"/>
        </w:rPr>
      </w:pP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7"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57"/>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PargrafodaLista"/>
        <w:numPr>
          <w:ilvl w:val="1"/>
          <w:numId w:val="30"/>
        </w:numPr>
        <w:spacing w:line="312" w:lineRule="auto"/>
        <w:ind w:left="720"/>
        <w:jc w:val="both"/>
        <w:rPr>
          <w:kern w:val="16"/>
        </w:rPr>
      </w:pPr>
      <w:r w:rsidRPr="00B2481D">
        <w:rPr>
          <w:kern w:val="16"/>
        </w:rPr>
        <w:t>é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(ii)</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lastRenderedPageBreak/>
        <w:t xml:space="preserve">tem plena ciência e concorda integralmente com a forma de divulgação e apuração </w:t>
      </w:r>
      <w:r w:rsidR="00002F72">
        <w:rPr>
          <w:kern w:val="16"/>
        </w:rPr>
        <w:t>do IPCA</w:t>
      </w:r>
      <w:r w:rsidRPr="00B2481D">
        <w:rPr>
          <w:kern w:val="16"/>
        </w:rPr>
        <w:t xml:space="preserve">, prevista na Cláusula 4.2.2 acima, e as formas de cálculo da Remuneração das Debêntures foram estipuladas por livre vontade da Emissora;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r w:rsidR="0059607D">
        <w:rPr>
          <w:kern w:val="16"/>
        </w:rPr>
        <w:t xml:space="preserve"> </w:t>
      </w:r>
      <w:r w:rsidR="0059607D" w:rsidRPr="0059607D">
        <w:rPr>
          <w:b/>
          <w:smallCaps/>
          <w:kern w:val="16"/>
        </w:rPr>
        <w:t>[</w:t>
      </w:r>
      <w:r w:rsidR="0059607D" w:rsidRPr="0059607D">
        <w:rPr>
          <w:b/>
          <w:smallCaps/>
          <w:kern w:val="16"/>
          <w:highlight w:val="cyan"/>
        </w:rPr>
        <w:t xml:space="preserve">Nota CELESC: </w:t>
      </w:r>
      <w:r w:rsidR="0059607D" w:rsidRPr="0059607D">
        <w:rPr>
          <w:b/>
          <w:smallCaps/>
          <w:highlight w:val="cyan"/>
        </w:rPr>
        <w:t>No atual momento, não temos esta divulgação. Será feita em 31.03</w:t>
      </w:r>
      <w:r w:rsidR="0059607D" w:rsidRPr="0059607D">
        <w:rPr>
          <w:b/>
          <w:smallCaps/>
        </w:rPr>
        <w:t>]</w:t>
      </w:r>
      <w:r w:rsidR="0059607D">
        <w:rPr>
          <w:b/>
          <w:smallCaps/>
        </w:rPr>
        <w:t xml:space="preserve"> [</w:t>
      </w:r>
      <w:r w:rsidR="0059607D" w:rsidRPr="0059607D">
        <w:rPr>
          <w:b/>
          <w:smallCaps/>
          <w:highlight w:val="yellow"/>
        </w:rPr>
        <w:t>Nota VBSO: Ponto para discussão</w:t>
      </w:r>
      <w:r w:rsidR="0059607D">
        <w:rPr>
          <w:b/>
          <w:smallCaps/>
        </w:rPr>
        <w:t>]</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w:t>
      </w:r>
      <w:r w:rsidRPr="00B2481D">
        <w:rPr>
          <w:kern w:val="16"/>
        </w:rPr>
        <w:lastRenderedPageBreak/>
        <w:t xml:space="preserve">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PargrafodaLista"/>
        <w:numPr>
          <w:ilvl w:val="0"/>
          <w:numId w:val="27"/>
        </w:numPr>
        <w:tabs>
          <w:tab w:val="left" w:pos="7371"/>
        </w:tabs>
        <w:spacing w:line="312" w:lineRule="auto"/>
        <w:ind w:left="720"/>
        <w:jc w:val="both"/>
        <w:rPr>
          <w:color w:val="000000"/>
        </w:rPr>
      </w:pPr>
      <w:r w:rsidRPr="00B2481D">
        <w:rPr>
          <w:color w:val="000000"/>
        </w:rPr>
        <w:lastRenderedPageBreak/>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w:t>
      </w:r>
      <w:r w:rsidR="00A13E65">
        <w:rPr>
          <w:color w:val="000000"/>
        </w:rPr>
        <w:t>.</w:t>
      </w:r>
    </w:p>
    <w:p w:rsidR="00A857CF" w:rsidRPr="00A13E65" w:rsidRDefault="004779FF" w:rsidP="00A13E65">
      <w:pPr>
        <w:tabs>
          <w:tab w:val="left" w:pos="7371"/>
        </w:tabs>
        <w:spacing w:line="312" w:lineRule="auto"/>
        <w:jc w:val="both"/>
        <w:rPr>
          <w:color w:val="000000"/>
        </w:rPr>
      </w:pPr>
      <w:r w:rsidRPr="00A13E65">
        <w:rPr>
          <w:rFonts w:eastAsia="Calibri"/>
          <w:b/>
          <w:smallCaps/>
          <w:lang w:eastAsia="en-US"/>
        </w:rPr>
        <w:t>[</w:t>
      </w:r>
      <w:r w:rsidRPr="00A13E65">
        <w:rPr>
          <w:rFonts w:eastAsia="Calibri"/>
          <w:b/>
          <w:smallCaps/>
          <w:highlight w:val="yellow"/>
          <w:lang w:eastAsia="en-US"/>
        </w:rPr>
        <w:t>Nota VBSO: Realocado conforme solicitação do Bocom BBM</w:t>
      </w:r>
      <w:r w:rsidRPr="00A13E65">
        <w:rPr>
          <w:rFonts w:eastAsia="Calibri"/>
          <w:b/>
          <w:smallCaps/>
          <w:lang w:eastAsia="en-US"/>
        </w:rPr>
        <w:t>]</w:t>
      </w:r>
    </w:p>
    <w:p w:rsidR="00E15E52" w:rsidRPr="00B2481D" w:rsidRDefault="00E15E52" w:rsidP="00AC018B">
      <w:pPr>
        <w:tabs>
          <w:tab w:val="left" w:pos="720"/>
          <w:tab w:val="left" w:pos="2366"/>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58" w:name="_Toc496113118"/>
      <w:r w:rsidRPr="00B2481D">
        <w:rPr>
          <w:color w:val="000000" w:themeColor="text1"/>
          <w:sz w:val="24"/>
          <w:szCs w:val="24"/>
        </w:rPr>
        <w:t>CLÁUSULA XII</w:t>
      </w:r>
      <w:r w:rsidRPr="00B2481D">
        <w:rPr>
          <w:color w:val="000000" w:themeColor="text1"/>
          <w:sz w:val="24"/>
          <w:szCs w:val="24"/>
        </w:rPr>
        <w:br/>
        <w:t>DISPOSIÇÕES GERAIS</w:t>
      </w:r>
      <w:bookmarkEnd w:id="58"/>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lastRenderedPageBreak/>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Avenida Itamarati, nº 160, Itacorubi</w:t>
      </w:r>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Avenida Itamarati, nº 160, Itacorubi</w:t>
      </w:r>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00865CF1">
        <w:rPr>
          <w:color w:val="000000"/>
        </w:rPr>
        <w:t>Títulos Corporativos e Fundos - SCF</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865CF1">
        <w:rPr>
          <w:color w:val="000000"/>
        </w:rPr>
        <w:t>(11) 2565-5061</w:t>
      </w:r>
    </w:p>
    <w:p w:rsidR="00583A24" w:rsidRPr="00B2481D" w:rsidRDefault="00583A24" w:rsidP="00AC018B">
      <w:pPr>
        <w:tabs>
          <w:tab w:val="left" w:pos="720"/>
          <w:tab w:val="left" w:pos="2366"/>
        </w:tabs>
        <w:spacing w:line="312" w:lineRule="auto"/>
        <w:jc w:val="both"/>
        <w:rPr>
          <w:color w:val="000000"/>
        </w:rPr>
      </w:pPr>
      <w:r w:rsidRPr="00B2481D">
        <w:rPr>
          <w:color w:val="000000"/>
        </w:rPr>
        <w:lastRenderedPageBreak/>
        <w:t xml:space="preserve">E-mail: </w:t>
      </w:r>
      <w:r w:rsidR="00865CF1" w:rsidRPr="00865CF1">
        <w:t>valores.mobiliarios@b3.com.br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59" w:name="_DV_M428"/>
      <w:bookmarkEnd w:id="59"/>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60" w:name="_DV_M430"/>
      <w:bookmarkEnd w:id="60"/>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xml:space="preserve">, o Agente Fiduciário não será responsável por verificar a suficiência, validade, qualidade, veracidade ou completude das deliberações </w:t>
      </w:r>
      <w:r w:rsidRPr="00B2481D">
        <w:rPr>
          <w:color w:val="000000"/>
        </w:rPr>
        <w:lastRenderedPageBreak/>
        <w:t>societárias, dos atos da administração ou de qualquer documento ou registro da Emissora 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lastRenderedPageBreak/>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Escriturador</w:t>
      </w:r>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 xml:space="preserve">todos os valores de referência em reais (R$) dela constantes deverão ser corrigidos pela variação do </w:t>
      </w:r>
      <w:r w:rsidR="0059607D">
        <w:rPr>
          <w:color w:val="000000"/>
        </w:rPr>
        <w:t>IPCA</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r w:rsidR="0059607D">
        <w:rPr>
          <w:color w:val="000000"/>
        </w:rPr>
        <w:t xml:space="preserve"> </w:t>
      </w:r>
      <w:r w:rsidR="0059607D" w:rsidRPr="0059607D">
        <w:rPr>
          <w:b/>
          <w:smallCaps/>
          <w:color w:val="000000"/>
        </w:rPr>
        <w:t>[</w:t>
      </w:r>
      <w:r w:rsidR="0059607D" w:rsidRPr="0059607D">
        <w:rPr>
          <w:b/>
          <w:smallCaps/>
          <w:color w:val="000000"/>
          <w:highlight w:val="yellow"/>
        </w:rPr>
        <w:t>Nota VBSO: Ajustado conforme comentário da Celesc</w:t>
      </w:r>
      <w:r w:rsidR="0059607D" w:rsidRPr="0059607D">
        <w:rPr>
          <w:b/>
          <w:smallCaps/>
          <w:color w:val="000000"/>
        </w:rPr>
        <w:t>]</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(ii)</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xml:space="preserve">, (iii)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 xml:space="preserve">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lastRenderedPageBreak/>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59607D">
        <w:rPr>
          <w:color w:val="000000"/>
        </w:rPr>
        <w:t xml:space="preserve">março 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4"/>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rsidR="00AF57F1" w:rsidRPr="000240B4" w:rsidRDefault="00AF57F1" w:rsidP="00AF57F1">
      <w:pPr>
        <w:spacing w:line="312" w:lineRule="auto"/>
        <w:jc w:val="center"/>
        <w:rPr>
          <w:b/>
          <w:u w:val="single"/>
        </w:rPr>
      </w:pPr>
    </w:p>
    <w:p w:rsidR="00AF57F1" w:rsidRPr="00067058" w:rsidRDefault="00AF57F1"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rsidR="00AF57F1" w:rsidRDefault="00AF57F1" w:rsidP="00067058">
      <w:pPr>
        <w:rPr>
          <w:b/>
          <w:color w:val="000000"/>
        </w:rPr>
      </w:pPr>
      <w:r>
        <w:rPr>
          <w:bCs/>
          <w:color w:val="000000"/>
        </w:rPr>
        <w:br w:type="page"/>
      </w:r>
    </w:p>
    <w:p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E4225D" w:rsidRDefault="00E4225D" w:rsidP="00E4225D">
      <w:pPr>
        <w:tabs>
          <w:tab w:val="left" w:pos="2366"/>
        </w:tabs>
        <w:spacing w:line="312" w:lineRule="auto"/>
        <w:jc w:val="center"/>
        <w:rPr>
          <w:b/>
          <w:smallCaps/>
          <w:color w:val="000000"/>
        </w:rPr>
      </w:pPr>
    </w:p>
    <w:tbl>
      <w:tblPr>
        <w:tblW w:w="5000" w:type="pct"/>
        <w:tblCellMar>
          <w:left w:w="0" w:type="dxa"/>
          <w:right w:w="0" w:type="dxa"/>
        </w:tblCellMar>
        <w:tblLook w:val="04A0" w:firstRow="1" w:lastRow="0" w:firstColumn="1" w:lastColumn="0" w:noHBand="0" w:noVBand="1"/>
      </w:tblPr>
      <w:tblGrid>
        <w:gridCol w:w="4501"/>
        <w:gridCol w:w="4502"/>
      </w:tblGrid>
      <w:tr w:rsidR="00E4225D" w:rsidRPr="00D97640" w:rsidTr="00515E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Agente Fiduciário</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E4225D">
            <w:pPr>
              <w:spacing w:before="100" w:beforeAutospacing="1"/>
            </w:pPr>
            <w:r w:rsidRPr="00D97640">
              <w:t xml:space="preserve">CELESC </w:t>
            </w:r>
            <w:r>
              <w:t>GERAÇÃO</w:t>
            </w:r>
            <w:r w:rsidRPr="00D97640">
              <w:t xml:space="preserve"> S.A.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Debêntures simples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Segunda / Série Única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R$ 150.000.000,00 (cento e cinquenta milhões de reais).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Quantidade de </w:t>
            </w:r>
            <w:r>
              <w:t>Debêntures</w:t>
            </w:r>
            <w:r w:rsidRPr="00D97640">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15.000 (quinze mil)</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Da Espécie Com Garantia Real, contando com garantia adicional fidejussória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E</w:t>
            </w:r>
            <w:r w:rsidRPr="00D97640">
              <w:t>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2018</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V</w:t>
            </w:r>
            <w:r w:rsidRPr="00D97640">
              <w:t xml:space="preserve">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de 2023</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DI + 2,50% a.a. </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Não houve</w:t>
            </w:r>
          </w:p>
        </w:tc>
      </w:tr>
    </w:tbl>
    <w:p w:rsidR="00555486" w:rsidRPr="00B2481D" w:rsidRDefault="00555486" w:rsidP="00E4225D">
      <w:pPr>
        <w:tabs>
          <w:tab w:val="left" w:pos="2366"/>
        </w:tabs>
        <w:spacing w:line="312" w:lineRule="auto"/>
        <w:rPr>
          <w:b/>
          <w:smallCaps/>
          <w:color w:val="000000"/>
        </w:rPr>
      </w:pPr>
    </w:p>
    <w:sectPr w:rsidR="00555486" w:rsidRPr="00B2481D" w:rsidSect="00DB57BE">
      <w:footerReference w:type="default" r:id="rId15"/>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1A5" w:rsidRDefault="00BC51A5">
      <w:pPr>
        <w:rPr>
          <w:rFonts w:cstheme="minorBidi"/>
        </w:rPr>
      </w:pPr>
      <w:r>
        <w:rPr>
          <w:rFonts w:cstheme="minorBidi"/>
        </w:rPr>
        <w:separator/>
      </w:r>
    </w:p>
    <w:p w:rsidR="00BC51A5" w:rsidRDefault="00BC51A5"/>
    <w:p w:rsidR="00BC51A5" w:rsidRDefault="00BC51A5"/>
  </w:endnote>
  <w:endnote w:type="continuationSeparator" w:id="0">
    <w:p w:rsidR="00BC51A5" w:rsidRDefault="00BC51A5">
      <w:pPr>
        <w:rPr>
          <w:rFonts w:cstheme="minorBidi"/>
        </w:rPr>
      </w:pPr>
      <w:r>
        <w:rPr>
          <w:rFonts w:cstheme="minorBidi"/>
        </w:rPr>
        <w:continuationSeparator/>
      </w:r>
    </w:p>
    <w:p w:rsidR="00BC51A5" w:rsidRDefault="00BC51A5"/>
    <w:p w:rsidR="00BC51A5" w:rsidRDefault="00BC51A5"/>
  </w:endnote>
  <w:endnote w:type="continuationNotice" w:id="1">
    <w:p w:rsidR="00BC51A5" w:rsidRDefault="00BC51A5"/>
    <w:p w:rsidR="00BC51A5" w:rsidRDefault="00BC5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A5" w:rsidRPr="001847FA" w:rsidRDefault="00BC51A5"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2</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A5" w:rsidRPr="005B2EA3" w:rsidRDefault="00BC51A5">
    <w:pPr>
      <w:pStyle w:val="Rodap"/>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1A5" w:rsidRDefault="00BC51A5">
      <w:pPr>
        <w:rPr>
          <w:rFonts w:cstheme="minorBidi"/>
        </w:rPr>
      </w:pPr>
      <w:r>
        <w:rPr>
          <w:rFonts w:cstheme="minorBidi"/>
        </w:rPr>
        <w:separator/>
      </w:r>
    </w:p>
    <w:p w:rsidR="00BC51A5" w:rsidRDefault="00BC51A5"/>
    <w:p w:rsidR="00BC51A5" w:rsidRDefault="00BC51A5"/>
  </w:footnote>
  <w:footnote w:type="continuationSeparator" w:id="0">
    <w:p w:rsidR="00BC51A5" w:rsidRDefault="00BC51A5">
      <w:pPr>
        <w:rPr>
          <w:rFonts w:cstheme="minorBidi"/>
        </w:rPr>
      </w:pPr>
      <w:r>
        <w:rPr>
          <w:rFonts w:cstheme="minorBidi"/>
        </w:rPr>
        <w:continuationSeparator/>
      </w:r>
    </w:p>
    <w:p w:rsidR="00BC51A5" w:rsidRDefault="00BC51A5"/>
    <w:p w:rsidR="00BC51A5" w:rsidRDefault="00BC51A5"/>
  </w:footnote>
  <w:footnote w:type="continuationNotice" w:id="1">
    <w:p w:rsidR="00BC51A5" w:rsidRDefault="00BC51A5"/>
    <w:p w:rsidR="00BC51A5" w:rsidRDefault="00BC5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A5" w:rsidRPr="001D2F76" w:rsidRDefault="00BC51A5" w:rsidP="006321AF">
    <w:pPr>
      <w:pStyle w:val="Cabealho"/>
      <w:jc w:val="right"/>
      <w:rPr>
        <w:b/>
        <w:smallCaps/>
      </w:rPr>
    </w:pPr>
    <w:r>
      <w:rPr>
        <w:b/>
        <w:smallCaps/>
      </w:rPr>
      <w:t xml:space="preserve">5ª Minuta VBSO – Comentários </w:t>
    </w:r>
    <w:r w:rsidRPr="00C76CBA">
      <w:rPr>
        <w:b/>
        <w:smallCaps/>
        <w:highlight w:val="green"/>
      </w:rPr>
      <w:t>BOCOM BBM</w:t>
    </w:r>
    <w:r>
      <w:rPr>
        <w:b/>
        <w:smallCaps/>
      </w:rPr>
      <w:t xml:space="preserve"> + </w:t>
    </w:r>
    <w:r w:rsidRPr="00C76CBA">
      <w:rPr>
        <w:b/>
        <w:smallCaps/>
        <w:highlight w:val="lightGray"/>
      </w:rPr>
      <w:t>SIMPLIFIC</w:t>
    </w:r>
    <w:r>
      <w:rPr>
        <w:b/>
        <w:smallCaps/>
      </w:rPr>
      <w:t xml:space="preserve"> + </w:t>
    </w:r>
    <w:r w:rsidRPr="002B042A">
      <w:rPr>
        <w:b/>
        <w:smallCaps/>
        <w:highlight w:val="cyan"/>
      </w:rPr>
      <w:t>CELESC</w:t>
    </w:r>
  </w:p>
  <w:p w:rsidR="00BC51A5" w:rsidRPr="001D2F76" w:rsidRDefault="00BC51A5" w:rsidP="006321AF">
    <w:pPr>
      <w:pStyle w:val="Cabealho"/>
      <w:jc w:val="right"/>
      <w:rPr>
        <w:b/>
        <w:smallCaps/>
      </w:rPr>
    </w:pPr>
    <w:r w:rsidRPr="001D2F76">
      <w:rPr>
        <w:b/>
        <w:smallCaps/>
      </w:rPr>
      <w:t>(</w:t>
    </w:r>
    <w:r>
      <w:rPr>
        <w:b/>
        <w:smallCaps/>
      </w:rPr>
      <w:t>17</w:t>
    </w:r>
    <w:r w:rsidRPr="001D2F76">
      <w:rPr>
        <w:b/>
        <w:smallCaps/>
      </w:rPr>
      <w:t>.0</w:t>
    </w:r>
    <w:r>
      <w:rPr>
        <w:b/>
        <w:smallCaps/>
      </w:rPr>
      <w:t>3</w:t>
    </w:r>
    <w:r w:rsidRPr="001D2F76">
      <w:rPr>
        <w:b/>
        <w:smallCaps/>
      </w:rPr>
      <w:t>.2020)</w:t>
    </w:r>
  </w:p>
  <w:p w:rsidR="00BC51A5" w:rsidRPr="003C70DE" w:rsidRDefault="00BC51A5" w:rsidP="003C70DE">
    <w:pPr>
      <w:pStyle w:val="Cabealho"/>
      <w:rPr>
        <w:b/>
        <w:smallCaps/>
      </w:rPr>
    </w:pPr>
    <w:r>
      <w:rPr>
        <w:noProof/>
      </w:rPr>
      <w:drawing>
        <wp:inline distT="0" distB="0" distL="0" distR="0" wp14:anchorId="4F94034B" wp14:editId="7C4F2DB5">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04"/>
    <w:rsid w:val="000002AD"/>
    <w:rsid w:val="000019E7"/>
    <w:rsid w:val="00002F72"/>
    <w:rsid w:val="00003419"/>
    <w:rsid w:val="000037A4"/>
    <w:rsid w:val="00004959"/>
    <w:rsid w:val="00007727"/>
    <w:rsid w:val="00011051"/>
    <w:rsid w:val="000136AB"/>
    <w:rsid w:val="00013B32"/>
    <w:rsid w:val="00014B22"/>
    <w:rsid w:val="00015737"/>
    <w:rsid w:val="0001740A"/>
    <w:rsid w:val="00020B50"/>
    <w:rsid w:val="00021C2B"/>
    <w:rsid w:val="00022138"/>
    <w:rsid w:val="00023471"/>
    <w:rsid w:val="00023C00"/>
    <w:rsid w:val="00025405"/>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33EC"/>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3BE"/>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34A9"/>
    <w:rsid w:val="0025488C"/>
    <w:rsid w:val="0025491E"/>
    <w:rsid w:val="00254956"/>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042A"/>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13C3"/>
    <w:rsid w:val="00325C14"/>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F3C"/>
    <w:rsid w:val="0047184B"/>
    <w:rsid w:val="004738C2"/>
    <w:rsid w:val="00475889"/>
    <w:rsid w:val="00476085"/>
    <w:rsid w:val="004779FF"/>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07AF"/>
    <w:rsid w:val="004B672C"/>
    <w:rsid w:val="004B76C9"/>
    <w:rsid w:val="004C0B3B"/>
    <w:rsid w:val="004C2E2C"/>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19F"/>
    <w:rsid w:val="005018D1"/>
    <w:rsid w:val="00502021"/>
    <w:rsid w:val="005040AC"/>
    <w:rsid w:val="005040B6"/>
    <w:rsid w:val="005049D1"/>
    <w:rsid w:val="00505AA9"/>
    <w:rsid w:val="005122AD"/>
    <w:rsid w:val="00514204"/>
    <w:rsid w:val="0051421F"/>
    <w:rsid w:val="0051424C"/>
    <w:rsid w:val="005152A9"/>
    <w:rsid w:val="00515E9F"/>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9607D"/>
    <w:rsid w:val="005A0358"/>
    <w:rsid w:val="005A0775"/>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1FBF"/>
    <w:rsid w:val="005F49C3"/>
    <w:rsid w:val="005F5E59"/>
    <w:rsid w:val="006029A5"/>
    <w:rsid w:val="00603733"/>
    <w:rsid w:val="00603A9B"/>
    <w:rsid w:val="00603C8B"/>
    <w:rsid w:val="006047AF"/>
    <w:rsid w:val="0060717C"/>
    <w:rsid w:val="00613A8C"/>
    <w:rsid w:val="00613FC9"/>
    <w:rsid w:val="006148FB"/>
    <w:rsid w:val="00614963"/>
    <w:rsid w:val="00614B69"/>
    <w:rsid w:val="00621DC8"/>
    <w:rsid w:val="006237D9"/>
    <w:rsid w:val="0062389B"/>
    <w:rsid w:val="00624145"/>
    <w:rsid w:val="00624C3A"/>
    <w:rsid w:val="006254E5"/>
    <w:rsid w:val="00626E73"/>
    <w:rsid w:val="006270F8"/>
    <w:rsid w:val="006321AF"/>
    <w:rsid w:val="0063465C"/>
    <w:rsid w:val="00634866"/>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4E05"/>
    <w:rsid w:val="006A5B8D"/>
    <w:rsid w:val="006A5BF8"/>
    <w:rsid w:val="006A72DF"/>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661"/>
    <w:rsid w:val="006E1BC3"/>
    <w:rsid w:val="006E28FE"/>
    <w:rsid w:val="006E2FA4"/>
    <w:rsid w:val="006E6A23"/>
    <w:rsid w:val="006E6FB1"/>
    <w:rsid w:val="006F19AD"/>
    <w:rsid w:val="006F1DF3"/>
    <w:rsid w:val="006F25B8"/>
    <w:rsid w:val="006F5120"/>
    <w:rsid w:val="006F51A7"/>
    <w:rsid w:val="00703179"/>
    <w:rsid w:val="00703E40"/>
    <w:rsid w:val="00705819"/>
    <w:rsid w:val="00705E36"/>
    <w:rsid w:val="007079A0"/>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18"/>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5CF1"/>
    <w:rsid w:val="008677A1"/>
    <w:rsid w:val="00872DC5"/>
    <w:rsid w:val="00873025"/>
    <w:rsid w:val="0087339E"/>
    <w:rsid w:val="00873E66"/>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5E18"/>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71"/>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538A"/>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48EA"/>
    <w:rsid w:val="009E5415"/>
    <w:rsid w:val="009E6A14"/>
    <w:rsid w:val="009E6A4E"/>
    <w:rsid w:val="009E6AF4"/>
    <w:rsid w:val="009E6B09"/>
    <w:rsid w:val="009E6D33"/>
    <w:rsid w:val="009E745E"/>
    <w:rsid w:val="009E75D1"/>
    <w:rsid w:val="009E7E36"/>
    <w:rsid w:val="009F24A5"/>
    <w:rsid w:val="009F299A"/>
    <w:rsid w:val="009F3CD7"/>
    <w:rsid w:val="009F5103"/>
    <w:rsid w:val="009F6F00"/>
    <w:rsid w:val="009F7BEA"/>
    <w:rsid w:val="00A013D4"/>
    <w:rsid w:val="00A01831"/>
    <w:rsid w:val="00A02F41"/>
    <w:rsid w:val="00A03D08"/>
    <w:rsid w:val="00A0462B"/>
    <w:rsid w:val="00A06568"/>
    <w:rsid w:val="00A06D78"/>
    <w:rsid w:val="00A10460"/>
    <w:rsid w:val="00A1107E"/>
    <w:rsid w:val="00A11A6B"/>
    <w:rsid w:val="00A125BB"/>
    <w:rsid w:val="00A1274D"/>
    <w:rsid w:val="00A12FCA"/>
    <w:rsid w:val="00A133A2"/>
    <w:rsid w:val="00A13E65"/>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1655"/>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34E3"/>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281A"/>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19EA"/>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51A5"/>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04A"/>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448E"/>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6CBA"/>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52D0"/>
    <w:rsid w:val="00CB0292"/>
    <w:rsid w:val="00CB0E03"/>
    <w:rsid w:val="00CB1A6D"/>
    <w:rsid w:val="00CB391F"/>
    <w:rsid w:val="00CB3B29"/>
    <w:rsid w:val="00CB5A68"/>
    <w:rsid w:val="00CB634C"/>
    <w:rsid w:val="00CB7B06"/>
    <w:rsid w:val="00CC0E0C"/>
    <w:rsid w:val="00CC185E"/>
    <w:rsid w:val="00CC3F5C"/>
    <w:rsid w:val="00CC4FAA"/>
    <w:rsid w:val="00CC7A32"/>
    <w:rsid w:val="00CD060D"/>
    <w:rsid w:val="00CD1437"/>
    <w:rsid w:val="00CD1D9E"/>
    <w:rsid w:val="00CD2D8D"/>
    <w:rsid w:val="00CD2EBD"/>
    <w:rsid w:val="00CD634E"/>
    <w:rsid w:val="00CD6F9C"/>
    <w:rsid w:val="00CE1209"/>
    <w:rsid w:val="00CE1C03"/>
    <w:rsid w:val="00CE2BBD"/>
    <w:rsid w:val="00CE522B"/>
    <w:rsid w:val="00CE7397"/>
    <w:rsid w:val="00CF161E"/>
    <w:rsid w:val="00CF1F33"/>
    <w:rsid w:val="00CF4699"/>
    <w:rsid w:val="00CF5758"/>
    <w:rsid w:val="00CF7CEF"/>
    <w:rsid w:val="00D00184"/>
    <w:rsid w:val="00D00BE2"/>
    <w:rsid w:val="00D01210"/>
    <w:rsid w:val="00D018B6"/>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4C89"/>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4E31"/>
    <w:rsid w:val="00DE5FF6"/>
    <w:rsid w:val="00DF0700"/>
    <w:rsid w:val="00DF0E9B"/>
    <w:rsid w:val="00DF234F"/>
    <w:rsid w:val="00DF243D"/>
    <w:rsid w:val="00DF723A"/>
    <w:rsid w:val="00E02465"/>
    <w:rsid w:val="00E024B7"/>
    <w:rsid w:val="00E0399A"/>
    <w:rsid w:val="00E03F32"/>
    <w:rsid w:val="00E0593D"/>
    <w:rsid w:val="00E07E4C"/>
    <w:rsid w:val="00E109F4"/>
    <w:rsid w:val="00E11827"/>
    <w:rsid w:val="00E12817"/>
    <w:rsid w:val="00E12D1E"/>
    <w:rsid w:val="00E13C34"/>
    <w:rsid w:val="00E13F30"/>
    <w:rsid w:val="00E146F2"/>
    <w:rsid w:val="00E14710"/>
    <w:rsid w:val="00E14D78"/>
    <w:rsid w:val="00E15044"/>
    <w:rsid w:val="00E15E52"/>
    <w:rsid w:val="00E17DC8"/>
    <w:rsid w:val="00E21CBA"/>
    <w:rsid w:val="00E24399"/>
    <w:rsid w:val="00E2543A"/>
    <w:rsid w:val="00E25C60"/>
    <w:rsid w:val="00E2621D"/>
    <w:rsid w:val="00E37304"/>
    <w:rsid w:val="00E37903"/>
    <w:rsid w:val="00E41E0D"/>
    <w:rsid w:val="00E4225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A7DDA"/>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F0D95"/>
    <w:rsid w:val="00EF3D0C"/>
    <w:rsid w:val="00EF52F6"/>
    <w:rsid w:val="00EF6DB9"/>
    <w:rsid w:val="00EF7DFF"/>
    <w:rsid w:val="00F05409"/>
    <w:rsid w:val="00F06524"/>
    <w:rsid w:val="00F078BD"/>
    <w:rsid w:val="00F10C0D"/>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53F"/>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1DC7"/>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5A91"/>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EA614DE"/>
  <w15:docId w15:val="{C34EB838-BA3D-4098-B75D-9F1AE2BE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34"/>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Commarcadores">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452D-E27C-4334-A095-9635A63F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24067</Words>
  <Characters>137594</Characters>
  <Application>Microsoft Office Word</Application>
  <DocSecurity>0</DocSecurity>
  <Lines>1146</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161339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Henrique Takeda Kamoi</cp:lastModifiedBy>
  <cp:revision>2</cp:revision>
  <cp:lastPrinted>2018-05-10T01:52:00Z</cp:lastPrinted>
  <dcterms:created xsi:type="dcterms:W3CDTF">2020-03-17T13:23:00Z</dcterms:created>
  <dcterms:modified xsi:type="dcterms:W3CDTF">2020-03-17T13:23:00Z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