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r w:rsidRPr="00B2481D">
        <w:rPr>
          <w:i/>
          <w:iCs/>
          <w:color w:val="000000"/>
        </w:rPr>
        <w:t>como Garantidora</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815AA" w:rsidP="00AC018B">
      <w:pPr>
        <w:tabs>
          <w:tab w:val="left" w:pos="2366"/>
        </w:tabs>
        <w:spacing w:line="312" w:lineRule="auto"/>
        <w:jc w:val="center"/>
        <w:rPr>
          <w:color w:val="000000"/>
        </w:rPr>
      </w:pPr>
      <w:r>
        <w:rPr>
          <w:color w:val="000000"/>
        </w:rPr>
        <w:t>2</w:t>
      </w:r>
      <w:r w:rsidR="00CC5038">
        <w:rPr>
          <w:color w:val="000000"/>
        </w:rPr>
        <w:t>5</w:t>
      </w:r>
      <w:r w:rsidRPr="00B2481D">
        <w:rPr>
          <w:color w:val="000000"/>
        </w:rPr>
        <w:t xml:space="preserve"> </w:t>
      </w:r>
      <w:r w:rsidR="00E95262" w:rsidRPr="00B2481D">
        <w:rPr>
          <w:color w:val="000000"/>
        </w:rPr>
        <w:t xml:space="preserve">de </w:t>
      </w:r>
      <w:r>
        <w:rPr>
          <w:color w:val="000000"/>
        </w:rPr>
        <w:t xml:space="preserve">março de </w:t>
      </w:r>
      <w:r w:rsidR="00C52E88"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Avenida Itamarati, nº 160, Itacorubi</w:t>
      </w:r>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Avenida Itamarati, nº 160, Itacorubi,</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815AA" w:rsidRPr="00C815AA">
        <w:rPr>
          <w:color w:val="000000"/>
        </w:rPr>
        <w:t>2</w:t>
      </w:r>
      <w:r w:rsidR="00C815AA">
        <w:rPr>
          <w:color w:val="000000"/>
        </w:rPr>
        <w:t>5</w:t>
      </w:r>
      <w:r w:rsidR="00693028">
        <w:rPr>
          <w:color w:val="000000"/>
        </w:rPr>
        <w:t xml:space="preserve"> de março</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815AA" w:rsidRPr="00C815AA">
        <w:rPr>
          <w:color w:val="000000"/>
        </w:rPr>
        <w:t>2</w:t>
      </w:r>
      <w:r w:rsidR="00C815AA">
        <w:rPr>
          <w:color w:val="000000"/>
        </w:rPr>
        <w:t xml:space="preserve">5 </w:t>
      </w:r>
      <w:r w:rsidR="00693028">
        <w:rPr>
          <w:color w:val="000000"/>
        </w:rPr>
        <w:t>de março</w:t>
      </w:r>
      <w:r w:rsidR="00C52E88" w:rsidRPr="00B2481D">
        <w:rPr>
          <w:color w:val="000000"/>
        </w:rPr>
        <w:t xml:space="preserve">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C815AA" w:rsidRPr="00C815AA">
        <w:rPr>
          <w:color w:val="000000"/>
        </w:rPr>
        <w:t>2</w:t>
      </w:r>
      <w:r w:rsidR="00C815AA">
        <w:rPr>
          <w:color w:val="000000"/>
        </w:rPr>
        <w:t xml:space="preserve">5 </w:t>
      </w:r>
      <w:r w:rsidR="00693028">
        <w:rPr>
          <w:color w:val="000000"/>
        </w:rPr>
        <w:t xml:space="preserve">de março </w:t>
      </w:r>
      <w:r w:rsidR="003C70DE" w:rsidRPr="00B2481D">
        <w:rPr>
          <w:color w:val="000000"/>
        </w:rPr>
        <w:t>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815AA" w:rsidRPr="00C815AA">
        <w:rPr>
          <w:color w:val="000000"/>
        </w:rPr>
        <w:t>2</w:t>
      </w:r>
      <w:r w:rsidR="00C815AA">
        <w:rPr>
          <w:color w:val="000000"/>
        </w:rPr>
        <w:t>5</w:t>
      </w:r>
      <w:r w:rsidR="00C52E88" w:rsidRPr="00B2481D">
        <w:rPr>
          <w:color w:val="000000"/>
        </w:rPr>
        <w:t xml:space="preserve"> </w:t>
      </w:r>
      <w:r w:rsidR="00693028">
        <w:rPr>
          <w:color w:val="000000"/>
        </w:rPr>
        <w:t xml:space="preserve">de março </w:t>
      </w:r>
      <w:r w:rsidR="00C52E88" w:rsidRPr="00B2481D">
        <w:rPr>
          <w:color w:val="000000"/>
        </w:rPr>
        <w:t>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C815AA" w:rsidRPr="00C815AA">
        <w:rPr>
          <w:color w:val="000000"/>
        </w:rPr>
        <w:t>2</w:t>
      </w:r>
      <w:r w:rsidR="00C815AA">
        <w:rPr>
          <w:color w:val="000000"/>
        </w:rPr>
        <w:t>5</w:t>
      </w:r>
      <w:r w:rsidR="003C70DE" w:rsidRPr="00B2481D">
        <w:rPr>
          <w:color w:val="000000"/>
        </w:rPr>
        <w:t xml:space="preserve"> </w:t>
      </w:r>
      <w:r w:rsidR="00693028">
        <w:rPr>
          <w:color w:val="000000"/>
        </w:rPr>
        <w:t xml:space="preserve">de março </w:t>
      </w:r>
      <w:r w:rsidR="003C70DE" w:rsidRPr="00B2481D">
        <w:rPr>
          <w:color w:val="000000"/>
        </w:rPr>
        <w:t>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821E10" w:rsidRPr="00B2481D">
        <w:rPr>
          <w:color w:val="000000"/>
        </w:rPr>
        <w:t>“</w:t>
      </w:r>
      <w:r w:rsidR="00821E10" w:rsidRPr="00970D71">
        <w:rPr>
          <w:color w:val="000000"/>
          <w:u w:val="single"/>
        </w:rPr>
        <w:t>Diário Catarinense</w:t>
      </w:r>
      <w:r w:rsidR="00821E10"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p>
    <w:p w:rsidR="007D66BD" w:rsidRPr="00B2481D" w:rsidRDefault="007D66BD" w:rsidP="00AC018B">
      <w:pPr>
        <w:spacing w:line="312" w:lineRule="auto"/>
      </w:pPr>
    </w:p>
    <w:p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r w:rsidR="00970D71">
        <w:t>PDF</w:t>
      </w:r>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xml:space="preserve">”), sendo a </w:t>
      </w:r>
      <w:r w:rsidR="00325C14">
        <w:rPr>
          <w:color w:val="000000"/>
        </w:rPr>
        <w:t xml:space="preserve">distribuição, as negociações, a </w:t>
      </w:r>
      <w:r w:rsidRPr="00B2481D">
        <w:rPr>
          <w:color w:val="000000"/>
        </w:rPr>
        <w:t>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subscrição ou aquisição</w:t>
      </w:r>
      <w:r w:rsidR="00325C14">
        <w:rPr>
          <w:color w:val="000000"/>
        </w:rPr>
        <w:t xml:space="preserve"> pelo Investidor Profissional</w:t>
      </w:r>
      <w:r w:rsidRPr="00B2481D">
        <w:rPr>
          <w:color w:val="000000"/>
        </w:rPr>
        <w:t xml:space="preserve">,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Default="00F96F1E" w:rsidP="00AC018B">
      <w:pPr>
        <w:spacing w:line="312" w:lineRule="auto"/>
        <w:rPr>
          <w:color w:val="000000"/>
        </w:rPr>
      </w:pPr>
    </w:p>
    <w:p w:rsidR="00325C14" w:rsidRDefault="00325C14" w:rsidP="00325C14">
      <w:pPr>
        <w:pStyle w:val="Saudao"/>
        <w:numPr>
          <w:ilvl w:val="0"/>
          <w:numId w:val="5"/>
        </w:numPr>
        <w:tabs>
          <w:tab w:val="left" w:pos="720"/>
          <w:tab w:val="left" w:pos="2366"/>
        </w:tabs>
        <w:spacing w:line="312" w:lineRule="auto"/>
        <w:ind w:left="0" w:firstLine="0"/>
        <w:rPr>
          <w:color w:val="000000"/>
        </w:rPr>
      </w:pPr>
      <w:r w:rsidRPr="002D59E6">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eventual adquirente das Debêntures no mercado secundário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atualizado pela respectiva Remuneração (conforme abaixo definida).</w:t>
      </w:r>
      <w:r>
        <w:t xml:space="preserve"> </w:t>
      </w:r>
    </w:p>
    <w:p w:rsidR="00325C14" w:rsidRPr="00B2481D" w:rsidRDefault="00325C14"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9" w:name="_DV_M65"/>
      <w:bookmarkStart w:id="10" w:name="_DV_M66"/>
      <w:bookmarkStart w:id="11" w:name="_DV_M67"/>
      <w:bookmarkStart w:id="12" w:name="_DV_M68"/>
      <w:bookmarkStart w:id="13" w:name="_DV_M69"/>
      <w:bookmarkStart w:id="14" w:name="_DV_M70"/>
      <w:bookmarkStart w:id="15" w:name="_DV_M71"/>
      <w:bookmarkStart w:id="16" w:name="_DV_M72"/>
      <w:bookmarkStart w:id="17" w:name="_DV_M74"/>
      <w:bookmarkEnd w:id="9"/>
      <w:bookmarkEnd w:id="10"/>
      <w:bookmarkEnd w:id="11"/>
      <w:bookmarkEnd w:id="12"/>
      <w:bookmarkEnd w:id="13"/>
      <w:bookmarkEnd w:id="14"/>
      <w:bookmarkEnd w:id="15"/>
      <w:bookmarkEnd w:id="16"/>
      <w:bookmarkEnd w:id="17"/>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(ii)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8" w:name="_Toc496113109"/>
      <w:r w:rsidRPr="00B2481D">
        <w:rPr>
          <w:color w:val="000000"/>
          <w:sz w:val="24"/>
          <w:szCs w:val="24"/>
        </w:rPr>
        <w:t>CLÁUSULA III</w:t>
      </w:r>
      <w:r w:rsidRPr="00B2481D">
        <w:rPr>
          <w:color w:val="000000"/>
          <w:sz w:val="24"/>
          <w:szCs w:val="24"/>
        </w:rPr>
        <w:br/>
        <w:t>CARACTERÍSTICAS DA EMISSÃO</w:t>
      </w:r>
      <w:bookmarkEnd w:id="18"/>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especificamente à repotenciação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Completa e perfeita implantação da Ampliação da PCH Celso Ramos. A Usina Celso Ramos está localizada no Rio Chapecozinho,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PargrafodaLista"/>
        <w:tabs>
          <w:tab w:val="left" w:pos="2366"/>
        </w:tabs>
        <w:spacing w:line="312" w:lineRule="auto"/>
        <w:ind w:left="720"/>
        <w:jc w:val="both"/>
        <w:rPr>
          <w:rFonts w:eastAsiaTheme="minorEastAsia"/>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rsidR="00844D70" w:rsidRDefault="00844D70" w:rsidP="00844D70">
      <w:pPr>
        <w:pStyle w:val="PargrafodaLista"/>
        <w:tabs>
          <w:tab w:val="left" w:pos="2366"/>
        </w:tabs>
        <w:spacing w:line="312" w:lineRule="auto"/>
        <w:ind w:left="720"/>
        <w:jc w:val="both"/>
        <w:rPr>
          <w:b/>
          <w:bCs/>
          <w:color w:val="000000"/>
        </w:rPr>
      </w:pPr>
    </w:p>
    <w:p w:rsid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19" w:name="_Hlk517351169"/>
      <w:r w:rsidR="001B732C" w:rsidRPr="00B2481D">
        <w:rPr>
          <w:color w:val="000000"/>
        </w:rPr>
        <w:t>Banco BOCOM BBM S.A</w:t>
      </w:r>
      <w:r w:rsidR="00107EA7" w:rsidRPr="00B2481D">
        <w:rPr>
          <w:color w:val="000000"/>
        </w:rPr>
        <w:t>.</w:t>
      </w:r>
      <w:bookmarkEnd w:id="19"/>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0" w:name="_Hlk517351152"/>
      <w:r w:rsidR="005A3246" w:rsidRPr="00B2481D">
        <w:t>.</w:t>
      </w:r>
      <w:bookmarkEnd w:id="20"/>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PargrafodaLista"/>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(ii) as Debêntures estão sujeitas a restrições de negociação previstas na regulamentação aplicável e nesta Escritura de Emissão; e (iii)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Procedimento de Bookbulding</w:t>
      </w:r>
      <w:r w:rsidR="00CB5A68">
        <w:rPr>
          <w:color w:val="000000"/>
        </w:rPr>
        <w:t xml:space="preserve">”). </w:t>
      </w:r>
      <w:r w:rsidR="00AF57F1" w:rsidRPr="00AF57F1">
        <w:rPr>
          <w:color w:val="000000"/>
        </w:rPr>
        <w:t xml:space="preserve">O resultado do Procedimento de </w:t>
      </w:r>
      <w:r w:rsidR="00AF57F1" w:rsidRPr="00AF57F1">
        <w:rPr>
          <w:i/>
          <w:color w:val="000000"/>
        </w:rPr>
        <w:t>Bookbuilding</w:t>
      </w:r>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970D71">
        <w:rPr>
          <w:color w:val="000000"/>
        </w:rPr>
        <w:t xml:space="preserve"> e os Cartórios de RTD</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r w:rsidR="009B4B95" w:rsidRPr="00B2481D">
        <w:rPr>
          <w:b/>
          <w:bCs/>
          <w:color w:val="000000"/>
        </w:rPr>
        <w:t>Escriturador</w:t>
      </w:r>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instituição financeira com sede na Cidade de São Paulo, Estado de São Paulo, na Praça Alfredo Egydio de Souza Aranha 100, Torre Olavo Setubal,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escriturador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r w:rsidRPr="007A3C58">
        <w:rPr>
          <w:color w:val="000000"/>
          <w:u w:val="single"/>
        </w:rPr>
        <w:t>Escriturador</w:t>
      </w:r>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As definições constantes desta Cláusula incluem qualquer outra instituição que venha a suceder o Banco Liquidante e/ou o Escriturador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1" w:name="_DV_M124"/>
      <w:bookmarkEnd w:id="21"/>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 xml:space="preserve">projetos, construção e operação de usinas produtoras de energia elétrica, bem como a celebração de atos de comércio decorrentes dessas atividades; (ii) participar de </w:t>
      </w:r>
      <w:r w:rsidR="00532FA9" w:rsidRPr="00B2481D">
        <w:rPr>
          <w:color w:val="000000"/>
        </w:rPr>
        <w:t xml:space="preserve">pesquisas </w:t>
      </w:r>
      <w:r w:rsidR="00D74835" w:rsidRPr="00B2481D">
        <w:rPr>
          <w:color w:val="000000"/>
        </w:rPr>
        <w:t xml:space="preserve">científicas e tecnológicas de sistemas alternativos ligados à geração de energia elétrica, bem como de estudos de aproveitamento de reservatórios para esse fim; (iii) operar os sistemas diretamente, através de subsidiárias, empresas associadas ou e cooperação; (iv)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(vii)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w:t>
      </w:r>
      <w:r w:rsidR="003A646F">
        <w:t>Atualizado</w:t>
      </w:r>
      <w:r w:rsidR="00740C60" w:rsidRPr="00B2481D">
        <w:t xml:space="preserve">,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(ii) da data de declaração de vencimento antecipado das Debêntures</w:t>
      </w:r>
      <w:r w:rsidR="00243E7C" w:rsidRPr="00B2481D">
        <w:t xml:space="preserve">; ou (iii)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2" w:name="_DV_M602"/>
      <w:bookmarkEnd w:id="22"/>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(ii)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3"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3"/>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CC5038">
        <w:rPr>
          <w:color w:val="000000"/>
        </w:rPr>
        <w:t>25</w:t>
      </w:r>
      <w:r w:rsidR="00C815AA">
        <w:rPr>
          <w:color w:val="000000"/>
        </w:rPr>
        <w:t xml:space="preserve"> de março</w:t>
      </w:r>
      <w:r w:rsidR="00C815AA"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CC5038">
        <w:rPr>
          <w:color w:val="000000"/>
        </w:rPr>
        <w:t>25</w:t>
      </w:r>
      <w:r w:rsidR="00C815AA">
        <w:rPr>
          <w:color w:val="000000"/>
        </w:rPr>
        <w:t xml:space="preserve"> de março</w:t>
      </w:r>
      <w:r w:rsidR="00C815AA"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4"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pro rata temporis</w:t>
      </w:r>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r w:rsidRPr="00A845F1">
        <w:t>VNa = VNe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5" w:name="_DV_M251"/>
      <w:bookmarkEnd w:id="25"/>
      <w:r w:rsidRPr="00A845F1">
        <w:t>VNa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VNe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6" w:name="_DV_M253"/>
      <w:bookmarkEnd w:id="26"/>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FC7B71"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7072449"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r w:rsidRPr="00A845F1">
        <w:t xml:space="preserve">dup = número de Dias </w:t>
      </w:r>
      <w:r w:rsidRPr="004625BA">
        <w:t>Úteis entre a Data da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“dup”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4625BA">
        <w:t xml:space="preserve">dut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“dut”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w:t>
      </w:r>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FC7B71"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produtório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xml:space="preserve">” todo dia </w:t>
      </w:r>
      <w:r w:rsidR="00CC5038">
        <w:t>25</w:t>
      </w:r>
      <w:r w:rsidR="00CC5038" w:rsidRPr="00A845F1" w:rsidDel="00A97B2B">
        <w:t xml:space="preserve"> </w:t>
      </w:r>
      <w:r w:rsidRPr="00A845F1">
        <w:t>(</w:t>
      </w:r>
      <w:r w:rsidR="00CC5038">
        <w:t>vinte e cinco</w:t>
      </w:r>
      <w:r w:rsidRPr="00A845F1">
        <w:t xml:space="preserv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NIk não houver sido divulgado, deverá ser utilizado em substituição ao NIk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r w:rsidRPr="00A845F1">
        <w:rPr>
          <w:vertAlign w:val="subscript"/>
          <w:lang w:val="es-ES_tradnl"/>
        </w:rPr>
        <w:t>kp</w:t>
      </w:r>
      <w:r w:rsidRPr="00A845F1">
        <w:rPr>
          <w:lang w:val="es-ES_tradnl"/>
        </w:rPr>
        <w:t xml:space="preserve"> = NI </w:t>
      </w:r>
      <w:r w:rsidRPr="00A845F1">
        <w:rPr>
          <w:vertAlign w:val="subscript"/>
          <w:lang w:val="es-ES_tradnl"/>
        </w:rPr>
        <w:t>k-1</w:t>
      </w:r>
      <w:r w:rsidRPr="00A845F1">
        <w:rPr>
          <w:lang w:val="es-ES_tradnl"/>
        </w:rPr>
        <w:t xml:space="preserve"> x (1+ </w:t>
      </w:r>
      <w:r w:rsidR="001D2F76">
        <w:rPr>
          <w:lang w:val="es-ES_tradnl"/>
        </w:rPr>
        <w:t>P</w:t>
      </w:r>
      <w:r w:rsidR="001D2F76" w:rsidRPr="00A845F1">
        <w:rPr>
          <w:lang w:val="es-ES_tradnl"/>
        </w:rPr>
        <w:t>rojeção</w:t>
      </w:r>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NI</w:t>
            </w:r>
            <w:r w:rsidRPr="00A845F1">
              <w:rPr>
                <w:iCs/>
                <w:vertAlign w:val="subscript"/>
              </w:rPr>
              <w:t>Kp</w:t>
            </w:r>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9F6F00">
        <w:rPr>
          <w:color w:val="000000"/>
        </w:rPr>
        <w:t>Na ausência de apuração e/ou divulgação do IPCA por prazo superior a 10 (dez) Dias Úteis contados da data esperada para sua apuração e/ou divulgação</w:t>
      </w:r>
      <w:r w:rsidRPr="00A845F1">
        <w:rPr>
          <w:color w:val="000000"/>
        </w:rPr>
        <w:t>,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(ii) deliberar sobre o índice indicado pela ANEEL (em qualquer dos casos indicados nos itens (i) e (ii), “</w:t>
      </w:r>
      <w:r w:rsidRPr="006D49E4">
        <w:rPr>
          <w:color w:val="000000"/>
          <w:u w:val="single"/>
        </w:rPr>
        <w:t>Taxa Substitutiva</w:t>
      </w:r>
      <w:r w:rsidRPr="00A845F1">
        <w:rPr>
          <w:color w:val="000000"/>
        </w:rPr>
        <w:t xml:space="preserve">”). </w:t>
      </w:r>
      <w:r w:rsidR="00C57268">
        <w:rPr>
          <w:color w:val="000000"/>
        </w:rPr>
        <w:t xml:space="preserve">Enquanto </w:t>
      </w:r>
      <w:r w:rsidR="000C17AA">
        <w:rPr>
          <w:color w:val="000000"/>
        </w:rPr>
        <w:t xml:space="preserve">perdurar a </w:t>
      </w:r>
      <w:r w:rsidR="00C57268">
        <w:rPr>
          <w:color w:val="000000"/>
        </w:rPr>
        <w:t xml:space="preserve">ausência </w:t>
      </w:r>
      <w:r w:rsidR="000C17AA">
        <w:rPr>
          <w:color w:val="000000"/>
        </w:rPr>
        <w:t>de apuração e/ou divulgação do IPCA</w:t>
      </w:r>
      <w:r w:rsidR="00C57268">
        <w:rPr>
          <w:color w:val="000000"/>
        </w:rPr>
        <w:t xml:space="preserve">, </w:t>
      </w:r>
      <w:r w:rsidR="00BD59DA">
        <w:rPr>
          <w:color w:val="000000"/>
        </w:rPr>
        <w:t xml:space="preserve">ou ainda, </w:t>
      </w:r>
      <w:r w:rsidR="00C57268">
        <w:rPr>
          <w:color w:val="000000"/>
        </w:rPr>
        <w:t>a</w:t>
      </w:r>
      <w:r w:rsidRPr="00A845F1">
        <w:rPr>
          <w:color w:val="000000"/>
        </w:rPr>
        <w:t xml:space="preserve">té </w:t>
      </w:r>
      <w:r w:rsidR="00BD59DA">
        <w:rPr>
          <w:color w:val="000000"/>
        </w:rPr>
        <w:t xml:space="preserve">que haja </w:t>
      </w:r>
      <w:r w:rsidRPr="00A845F1">
        <w:rPr>
          <w:color w:val="000000"/>
        </w:rPr>
        <w:t xml:space="preserve">deliberação desse </w:t>
      </w:r>
      <w:r w:rsidR="00BD59DA">
        <w:rPr>
          <w:color w:val="000000"/>
        </w:rPr>
        <w:t xml:space="preserve">novo </w:t>
      </w:r>
      <w:r w:rsidRPr="00A845F1">
        <w:rPr>
          <w:color w:val="000000"/>
        </w:rPr>
        <w:t>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009F6F00" w:rsidRPr="009F6F00">
        <w:rPr>
          <w:color w:val="000000"/>
        </w:rPr>
        <w:t xml:space="preserve"> </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PargrafodaLista"/>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pro rata temporis</w:t>
      </w:r>
      <w:r w:rsidRPr="00A845F1">
        <w:rPr>
          <w:color w:val="000000"/>
        </w:rPr>
        <w:t>, a partir da Data da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0C17AA">
      <w:pPr>
        <w:numPr>
          <w:ilvl w:val="4"/>
          <w:numId w:val="7"/>
        </w:numPr>
        <w:tabs>
          <w:tab w:val="clear" w:pos="1080"/>
        </w:tabs>
        <w:spacing w:line="312" w:lineRule="auto"/>
        <w:ind w:left="709" w:hanging="709"/>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0C17AA">
      <w:pPr>
        <w:spacing w:line="312" w:lineRule="auto"/>
        <w:ind w:left="709" w:hanging="709"/>
        <w:jc w:val="both"/>
        <w:rPr>
          <w:color w:val="000000"/>
        </w:rPr>
      </w:pPr>
    </w:p>
    <w:p w:rsidR="006D1F84" w:rsidRPr="00A845F1" w:rsidRDefault="006D1F84" w:rsidP="000C17AA">
      <w:pPr>
        <w:numPr>
          <w:ilvl w:val="4"/>
          <w:numId w:val="7"/>
        </w:numPr>
        <w:tabs>
          <w:tab w:val="clear" w:pos="1080"/>
        </w:tabs>
        <w:spacing w:line="312" w:lineRule="auto"/>
        <w:ind w:left="709" w:hanging="709"/>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27" w:name="_DV_M176"/>
      <w:bookmarkStart w:id="28" w:name="_DV_M182"/>
      <w:bookmarkStart w:id="29" w:name="_DV_M184"/>
      <w:bookmarkEnd w:id="27"/>
      <w:bookmarkEnd w:id="28"/>
      <w:bookmarkEnd w:id="29"/>
      <w:r w:rsidR="006A5BF8" w:rsidRPr="00A845F1">
        <w:t xml:space="preserve">Sobre o Valor Nominal Atualizado das Debêntures </w:t>
      </w:r>
      <w:r w:rsidR="006A5BF8" w:rsidRPr="0008704C">
        <w:t>incidirão juros remuneratórios prefixados, a serem definidos de acordo com o Procedimento de Bookbuilding,</w:t>
      </w:r>
      <w:r w:rsidR="006A5BF8" w:rsidRPr="00A845F1">
        <w:t xml:space="preserve"> correspondentes ao maior valor entre: (i) </w:t>
      </w:r>
      <w:r w:rsidR="00C57268">
        <w:t xml:space="preserve">o </w:t>
      </w:r>
      <w:r w:rsidR="006A5BF8" w:rsidRPr="00A845F1">
        <w:t xml:space="preserve">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r w:rsidR="006A5BF8" w:rsidRPr="009A538A">
        <w:rPr>
          <w:i/>
          <w:iCs/>
        </w:rPr>
        <w:t>Bookbuilding</w:t>
      </w:r>
      <w:r w:rsidR="006A5BF8" w:rsidRPr="00A845F1">
        <w:t xml:space="preserve">, acrescida exponencialmente de um </w:t>
      </w:r>
      <w:r w:rsidR="006A5BF8" w:rsidRPr="009A538A">
        <w:rPr>
          <w:i/>
          <w:iCs/>
        </w:rPr>
        <w:t>spread</w:t>
      </w:r>
      <w:r w:rsidR="006A5BF8" w:rsidRPr="00A845F1">
        <w:t xml:space="preserve"> equivalente a 1,60% (um inteiro e sessenta centésimos por cento) ao ano, base 252 (duzentos e cinquenta e dois) Dias Úteis; e (ii) </w:t>
      </w:r>
      <w:r w:rsidR="0068459A">
        <w:t xml:space="preserve">o </w:t>
      </w:r>
      <w:r w:rsidR="00970D71">
        <w:t>IPCA acrescid</w:t>
      </w:r>
      <w:r w:rsidR="0068459A">
        <w:t>o</w:t>
      </w:r>
      <w:r w:rsidR="00970D71">
        <w:t xml:space="preserve"> </w:t>
      </w:r>
      <w:r w:rsidR="009A538A">
        <w:t xml:space="preserve">exponencialmente </w:t>
      </w:r>
      <w:r w:rsidR="00970D71">
        <w:t xml:space="preserve">de um </w:t>
      </w:r>
      <w:r w:rsidR="00970D71" w:rsidRPr="00970D71">
        <w:rPr>
          <w:i/>
        </w:rPr>
        <w:t>spread</w:t>
      </w:r>
      <w:r w:rsidR="00970D71">
        <w:t xml:space="preserve"> </w:t>
      </w:r>
      <w:r w:rsidR="009A538A">
        <w:t xml:space="preserve">equivalente a </w:t>
      </w:r>
      <w:r w:rsidR="006A5BF8" w:rsidRPr="00A845F1">
        <w:t>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p>
    <w:p w:rsidR="000A6FEB" w:rsidRPr="00A845F1" w:rsidRDefault="000A6FEB" w:rsidP="00AC018B">
      <w:pPr>
        <w:tabs>
          <w:tab w:val="num" w:pos="1004"/>
        </w:tabs>
        <w:spacing w:line="312" w:lineRule="auto"/>
        <w:jc w:val="both"/>
        <w:rPr>
          <w:color w:val="000000"/>
        </w:rPr>
      </w:pPr>
    </w:p>
    <w:p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pro rata temporis</w:t>
      </w:r>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J = VNa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r w:rsidRPr="00A845F1">
        <w:rPr>
          <w:rFonts w:eastAsia="Arial Unicode MS"/>
        </w:rPr>
        <w:t>VNa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2.05pt;height:58.9pt;mso-width-percent:0;mso-height-percent:0;mso-width-percent:0;mso-height-percent:0" o:ole="" fillcolor="window">
            <v:imagedata r:id="rId12" o:title=""/>
          </v:shape>
          <o:OLEObject Type="Embed" ProgID="Equation.3" ShapeID="_x0000_i1026" DrawAspect="Content" ObjectID="_1647072448"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r w:rsidRPr="00A845F1">
        <w:rPr>
          <w:i/>
        </w:rPr>
        <w:t>Bookbuilding,</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Integralização, a Data de Incorporação imediatamente anterior ou a Data de Pagamento dos Juros Remuneratórios imediatamente anterior, conforme o caso, e a data atual, sendo “DP” um número inteiro.</w:t>
      </w:r>
    </w:p>
    <w:p w:rsidR="00E77204" w:rsidRDefault="00FC7B71" w:rsidP="006D49E4">
      <w:pPr>
        <w:tabs>
          <w:tab w:val="num" w:pos="1004"/>
        </w:tabs>
        <w:spacing w:line="312" w:lineRule="auto"/>
        <w:jc w:val="both"/>
        <w:rPr>
          <w:color w:val="000000"/>
        </w:rPr>
      </w:pPr>
      <w:hyperlink w:history="1"/>
      <w:bookmarkEnd w:id="24"/>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como sendo o intervalo de tempo que se inicia na Data da Integralização, no caso do primeiro Período de Capitalização das Debêntures, ou na Data de Pagamento de Juros Remuneratórios imediatamente anterior, no caso dos demais Períodos de Capitalização das Debêntures,</w:t>
      </w:r>
      <w:r w:rsidR="00865CF1">
        <w:t xml:space="preserve"> inclusive,</w:t>
      </w:r>
      <w:r w:rsidRPr="00A845F1">
        <w:t xml:space="preserve"> e termina na Data de Pagamento de Juros Remuneratórios correspondente ao período em questão</w:t>
      </w:r>
      <w:r w:rsidR="00865CF1">
        <w:t>, exclusive</w:t>
      </w:r>
      <w:r w:rsidRPr="00A845F1">
        <w:t xml:space="preserve">.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r>
      <w:r w:rsidR="00C2448E" w:rsidRPr="00A845F1">
        <w:t xml:space="preserve">Os Juros Remuneratórios das Debêntures serão </w:t>
      </w:r>
      <w:r w:rsidR="00C2448E">
        <w:t xml:space="preserve">devidos </w:t>
      </w:r>
      <w:r w:rsidR="00C2448E" w:rsidRPr="00A845F1">
        <w:t xml:space="preserve">no dia </w:t>
      </w:r>
      <w:r w:rsidR="00CC5038">
        <w:rPr>
          <w:smallCaps/>
        </w:rPr>
        <w:t>25</w:t>
      </w:r>
      <w:r w:rsidR="00CC5038" w:rsidRPr="00A845F1">
        <w:t xml:space="preserve"> </w:t>
      </w:r>
      <w:r w:rsidR="00C2448E" w:rsidRPr="00A845F1">
        <w:t>(</w:t>
      </w:r>
      <w:r w:rsidR="00CC5038">
        <w:t>vinte e cinco</w:t>
      </w:r>
      <w:r w:rsidR="00C2448E" w:rsidRPr="00A845F1">
        <w:t xml:space="preserve">) dos meses de </w:t>
      </w:r>
      <w:r w:rsidR="0068459A">
        <w:t xml:space="preserve">março </w:t>
      </w:r>
      <w:r w:rsidR="00C2448E" w:rsidRPr="006A4E05">
        <w:t xml:space="preserve">e </w:t>
      </w:r>
      <w:r w:rsidR="0068459A">
        <w:t xml:space="preserve">setembro </w:t>
      </w:r>
      <w:r w:rsidR="00C2448E" w:rsidRPr="00A845F1">
        <w:t xml:space="preserve">de cada ano, sendo </w:t>
      </w:r>
      <w:r w:rsidR="00C2448E">
        <w:t>o primeiro pagamento realizado em</w:t>
      </w:r>
      <w:r w:rsidR="00C2448E" w:rsidRPr="00A845F1">
        <w:t xml:space="preserve"> </w:t>
      </w:r>
      <w:r w:rsidR="00CC5038">
        <w:rPr>
          <w:smallCaps/>
        </w:rPr>
        <w:t>25</w:t>
      </w:r>
      <w:r w:rsidR="00CC5038" w:rsidRPr="006A4E05">
        <w:rPr>
          <w:smallCaps/>
        </w:rPr>
        <w:t xml:space="preserve"> </w:t>
      </w:r>
      <w:r w:rsidR="00C2448E" w:rsidRPr="006A4E05">
        <w:t xml:space="preserve">de </w:t>
      </w:r>
      <w:r w:rsidR="0068459A">
        <w:t xml:space="preserve">setembro </w:t>
      </w:r>
      <w:r w:rsidR="00C2448E" w:rsidRPr="006A4E05">
        <w:t>de</w:t>
      </w:r>
      <w:r w:rsidR="00C2448E" w:rsidRPr="006A4E05">
        <w:rPr>
          <w:smallCaps/>
        </w:rPr>
        <w:t xml:space="preserve"> 2020</w:t>
      </w:r>
      <w:r w:rsidR="00C2448E">
        <w:rPr>
          <w:smallCaps/>
        </w:rPr>
        <w:t xml:space="preserve"> </w:t>
      </w:r>
      <w:r w:rsidR="00C2448E">
        <w:t>e</w:t>
      </w:r>
      <w:r w:rsidR="00C2448E" w:rsidRPr="00A845F1">
        <w:t xml:space="preserve"> o último pagamento realizado na Data de Vencimento das Debêntures (cada uma dessas datas, uma “</w:t>
      </w:r>
      <w:r w:rsidR="00C2448E" w:rsidRPr="00A845F1">
        <w:rPr>
          <w:u w:val="single"/>
        </w:rPr>
        <w:t>Data de Pagamento dos Juros Remuneratórios</w:t>
      </w:r>
      <w:r w:rsidR="00C2448E" w:rsidRPr="00A845F1">
        <w:t>”</w:t>
      </w:r>
      <w:r w:rsidR="00EA7DDA">
        <w:t>)</w:t>
      </w:r>
      <w:r w:rsidR="00C2448E" w:rsidRPr="00A845F1">
        <w:t>. Farão jus aos Juros Remuneratórios aqueles que forem titulares de Debêntures ao final do Dia Útil imediatamente anterior à Data de Pagamento dos Juros Remuneratórios.</w:t>
      </w:r>
      <w:r w:rsidRPr="00A845F1">
        <w:t xml:space="preserve"> </w:t>
      </w:r>
      <w:r w:rsidR="0068459A">
        <w:rPr>
          <w:b/>
          <w:smallCaps/>
        </w:rPr>
        <w:t xml:space="preserve"> </w:t>
      </w: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0C17AA">
        <w:rPr>
          <w:color w:val="000000"/>
        </w:rPr>
        <w:t>15</w:t>
      </w:r>
      <w:r w:rsidR="000C17AA" w:rsidRPr="0008704C">
        <w:rPr>
          <w:color w:val="000000"/>
        </w:rPr>
        <w:t xml:space="preserve"> (</w:t>
      </w:r>
      <w:r w:rsidR="000C17AA">
        <w:rPr>
          <w:color w:val="000000"/>
        </w:rPr>
        <w:t>quinze</w:t>
      </w:r>
      <w:r w:rsidR="000C17AA" w:rsidRPr="0008704C">
        <w:rPr>
          <w:color w:val="000000"/>
        </w:rPr>
        <w:t xml:space="preserve">) </w:t>
      </w:r>
      <w:r w:rsidR="00AB5D91" w:rsidRPr="0008704C">
        <w:rPr>
          <w:color w:val="000000"/>
        </w:rPr>
        <w:t xml:space="preserve">parcelas </w:t>
      </w:r>
      <w:r w:rsidR="00AB5D91" w:rsidRPr="006A4E05">
        <w:rPr>
          <w:color w:val="000000"/>
        </w:rPr>
        <w:t>semestrais e consecutivas</w:t>
      </w:r>
      <w:r w:rsidR="00AB5D91" w:rsidRPr="00A845F1">
        <w:rPr>
          <w:color w:val="000000"/>
        </w:rPr>
        <w:t xml:space="preserve">, nas respectivas datas de amortização, sendo o primeiro pagamento em </w:t>
      </w:r>
      <w:r w:rsidR="00CC5038">
        <w:rPr>
          <w:color w:val="000000"/>
        </w:rPr>
        <w:t xml:space="preserve">25 </w:t>
      </w:r>
      <w:r w:rsidR="000C17AA">
        <w:rPr>
          <w:color w:val="000000"/>
        </w:rPr>
        <w:t>de março de 2023</w:t>
      </w:r>
      <w:r w:rsidR="000C17AA"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p>
    <w:p w:rsidR="00AB5D9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p>
    <w:tbl>
      <w:tblPr>
        <w:tblW w:w="88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0"/>
        <w:gridCol w:w="2234"/>
        <w:gridCol w:w="2551"/>
        <w:gridCol w:w="2977"/>
      </w:tblGrid>
      <w:tr w:rsidR="00CC3B24" w:rsidRPr="00CC3B24" w:rsidTr="00CC3B24">
        <w:trPr>
          <w:trHeight w:val="810"/>
        </w:trPr>
        <w:tc>
          <w:tcPr>
            <w:tcW w:w="1100" w:type="dxa"/>
            <w:shd w:val="clear" w:color="auto" w:fill="003B77"/>
            <w:noWrap/>
            <w:tcMar>
              <w:top w:w="0" w:type="dxa"/>
              <w:left w:w="70" w:type="dxa"/>
              <w:bottom w:w="0" w:type="dxa"/>
              <w:right w:w="70" w:type="dxa"/>
            </w:tcMar>
            <w:vAlign w:val="center"/>
            <w:hideMark/>
          </w:tcPr>
          <w:p w:rsidR="00CC3B24" w:rsidRPr="00CC3B24" w:rsidRDefault="00CC3B24">
            <w:pPr>
              <w:jc w:val="center"/>
              <w:rPr>
                <w:rFonts w:eastAsiaTheme="minorHAnsi"/>
                <w:b/>
                <w:bCs/>
                <w:color w:val="FFFFFF"/>
                <w:sz w:val="20"/>
                <w:szCs w:val="20"/>
              </w:rPr>
            </w:pPr>
            <w:r w:rsidRPr="00CC3B24">
              <w:rPr>
                <w:b/>
                <w:bCs/>
                <w:color w:val="FFFFFF"/>
                <w:sz w:val="20"/>
                <w:szCs w:val="20"/>
              </w:rPr>
              <w:t>Parcela</w:t>
            </w:r>
          </w:p>
        </w:tc>
        <w:tc>
          <w:tcPr>
            <w:tcW w:w="2234" w:type="dxa"/>
            <w:shd w:val="clear" w:color="auto" w:fill="003B77"/>
            <w:noWrap/>
            <w:tcMar>
              <w:top w:w="0" w:type="dxa"/>
              <w:left w:w="70" w:type="dxa"/>
              <w:bottom w:w="0" w:type="dxa"/>
              <w:right w:w="70" w:type="dxa"/>
            </w:tcMar>
            <w:vAlign w:val="center"/>
            <w:hideMark/>
          </w:tcPr>
          <w:p w:rsidR="00CC3B24" w:rsidRPr="00CC3B24" w:rsidRDefault="00CC3B24">
            <w:pPr>
              <w:jc w:val="center"/>
              <w:rPr>
                <w:b/>
                <w:bCs/>
                <w:color w:val="FFFFFF"/>
                <w:sz w:val="20"/>
                <w:szCs w:val="20"/>
              </w:rPr>
            </w:pPr>
            <w:r w:rsidRPr="00CC3B24">
              <w:rPr>
                <w:b/>
                <w:bCs/>
                <w:color w:val="FFFFFF"/>
                <w:sz w:val="20"/>
                <w:szCs w:val="20"/>
              </w:rPr>
              <w:t>Data de Amortização</w:t>
            </w:r>
          </w:p>
        </w:tc>
        <w:tc>
          <w:tcPr>
            <w:tcW w:w="2551" w:type="dxa"/>
            <w:shd w:val="clear" w:color="auto" w:fill="003B77"/>
            <w:tcMar>
              <w:top w:w="0" w:type="dxa"/>
              <w:left w:w="70" w:type="dxa"/>
              <w:bottom w:w="0" w:type="dxa"/>
              <w:right w:w="70" w:type="dxa"/>
            </w:tcMar>
            <w:vAlign w:val="center"/>
            <w:hideMark/>
          </w:tcPr>
          <w:p w:rsidR="00CC3B24" w:rsidRPr="00CC3B24" w:rsidRDefault="00CC3B24">
            <w:pPr>
              <w:jc w:val="center"/>
              <w:rPr>
                <w:b/>
                <w:bCs/>
                <w:color w:val="FFFFFF"/>
                <w:sz w:val="20"/>
                <w:szCs w:val="20"/>
              </w:rPr>
            </w:pPr>
            <w:r w:rsidRPr="00CC3B24">
              <w:rPr>
                <w:b/>
                <w:bCs/>
                <w:color w:val="FFFFFF"/>
                <w:sz w:val="20"/>
                <w:szCs w:val="20"/>
              </w:rPr>
              <w:t>Proporção do Valor Nominal Unitário a ser amortizado</w:t>
            </w:r>
          </w:p>
        </w:tc>
        <w:tc>
          <w:tcPr>
            <w:tcW w:w="2977" w:type="dxa"/>
            <w:shd w:val="clear" w:color="auto" w:fill="003B77"/>
            <w:tcMar>
              <w:top w:w="0" w:type="dxa"/>
              <w:left w:w="70" w:type="dxa"/>
              <w:bottom w:w="0" w:type="dxa"/>
              <w:right w:w="70" w:type="dxa"/>
            </w:tcMar>
            <w:vAlign w:val="center"/>
            <w:hideMark/>
          </w:tcPr>
          <w:p w:rsidR="00CC3B24" w:rsidRPr="00CC3B24" w:rsidRDefault="00CC3B24">
            <w:pPr>
              <w:jc w:val="center"/>
              <w:rPr>
                <w:b/>
                <w:bCs/>
                <w:color w:val="FFFFFF"/>
                <w:sz w:val="20"/>
                <w:szCs w:val="20"/>
              </w:rPr>
            </w:pPr>
            <w:r w:rsidRPr="00CC3B24">
              <w:rPr>
                <w:b/>
                <w:bCs/>
                <w:color w:val="FFFFFF"/>
                <w:sz w:val="20"/>
                <w:szCs w:val="20"/>
              </w:rPr>
              <w:t>Percentual do Valor Nominal Atualizado a ser Amortizado</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/03/2023</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2</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/09/2023</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7,1429%</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3</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/03/2024</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7,6923%</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4</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/09/2024</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8,3333%</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5</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/03/2025</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9,0909%</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6</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/09/2025</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10,0000%</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7</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/03/2026</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11,1111%</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8</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/09/2026</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12,5000%</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9</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/03/2027</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14,2857%</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10</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/09/2027</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16,6667%</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11</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/03/2028</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20,0000%</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12</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/09/2028</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25,0000%</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13</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/03/2029</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33,3333%</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14</w:t>
            </w:r>
          </w:p>
        </w:tc>
        <w:tc>
          <w:tcPr>
            <w:tcW w:w="2234" w:type="dxa"/>
            <w:noWrap/>
            <w:tcMar>
              <w:top w:w="0" w:type="dxa"/>
              <w:left w:w="70" w:type="dxa"/>
              <w:bottom w:w="0" w:type="dxa"/>
              <w:right w:w="70" w:type="dxa"/>
            </w:tcMar>
            <w:vAlign w:val="center"/>
            <w:hideMark/>
          </w:tcPr>
          <w:p w:rsidR="00CC3B24" w:rsidRPr="00CC3B24" w:rsidRDefault="00CC5038">
            <w:pPr>
              <w:jc w:val="center"/>
              <w:rPr>
                <w:sz w:val="20"/>
                <w:szCs w:val="20"/>
              </w:rPr>
            </w:pPr>
            <w:r>
              <w:rPr>
                <w:sz w:val="20"/>
                <w:szCs w:val="20"/>
              </w:rPr>
              <w:t>25</w:t>
            </w:r>
            <w:r w:rsidR="00CC3B24" w:rsidRPr="00CC3B24">
              <w:rPr>
                <w:sz w:val="20"/>
                <w:szCs w:val="20"/>
              </w:rPr>
              <w:t>/09/2029</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6,6667%</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50,0000%</w:t>
            </w:r>
          </w:p>
        </w:tc>
      </w:tr>
      <w:tr w:rsidR="00CC3B24" w:rsidRPr="00CC3B24" w:rsidTr="00CC3B24">
        <w:trPr>
          <w:trHeight w:val="255"/>
        </w:trPr>
        <w:tc>
          <w:tcPr>
            <w:tcW w:w="1100" w:type="dxa"/>
            <w:noWrap/>
            <w:tcMar>
              <w:top w:w="0" w:type="dxa"/>
              <w:left w:w="70" w:type="dxa"/>
              <w:bottom w:w="0" w:type="dxa"/>
              <w:right w:w="70" w:type="dxa"/>
            </w:tcMar>
            <w:vAlign w:val="center"/>
            <w:hideMark/>
          </w:tcPr>
          <w:p w:rsidR="00CC3B24" w:rsidRPr="00CC3B24" w:rsidRDefault="00CC3B24">
            <w:pPr>
              <w:jc w:val="center"/>
              <w:rPr>
                <w:b/>
                <w:bCs/>
                <w:sz w:val="20"/>
                <w:szCs w:val="20"/>
              </w:rPr>
            </w:pPr>
            <w:r w:rsidRPr="00CC3B24">
              <w:rPr>
                <w:b/>
                <w:bCs/>
                <w:sz w:val="20"/>
                <w:szCs w:val="20"/>
              </w:rPr>
              <w:t>15</w:t>
            </w:r>
          </w:p>
        </w:tc>
        <w:tc>
          <w:tcPr>
            <w:tcW w:w="2234"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Data de Vencimento (</w:t>
            </w:r>
            <w:r w:rsidR="00CC5038">
              <w:rPr>
                <w:sz w:val="20"/>
                <w:szCs w:val="20"/>
              </w:rPr>
              <w:t>25</w:t>
            </w:r>
            <w:r w:rsidRPr="00CC3B24">
              <w:rPr>
                <w:sz w:val="20"/>
                <w:szCs w:val="20"/>
              </w:rPr>
              <w:t>/03/2030)</w:t>
            </w:r>
          </w:p>
        </w:tc>
        <w:tc>
          <w:tcPr>
            <w:tcW w:w="2551"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6,6662%</w:t>
            </w:r>
          </w:p>
        </w:tc>
        <w:tc>
          <w:tcPr>
            <w:tcW w:w="2977" w:type="dxa"/>
            <w:noWrap/>
            <w:tcMar>
              <w:top w:w="0" w:type="dxa"/>
              <w:left w:w="70" w:type="dxa"/>
              <w:bottom w:w="0" w:type="dxa"/>
              <w:right w:w="70" w:type="dxa"/>
            </w:tcMar>
            <w:vAlign w:val="center"/>
            <w:hideMark/>
          </w:tcPr>
          <w:p w:rsidR="00CC3B24" w:rsidRPr="00CC3B24" w:rsidRDefault="00CC3B24">
            <w:pPr>
              <w:jc w:val="center"/>
              <w:rPr>
                <w:sz w:val="20"/>
                <w:szCs w:val="20"/>
              </w:rPr>
            </w:pPr>
            <w:r w:rsidRPr="00CC3B24">
              <w:rPr>
                <w:sz w:val="20"/>
                <w:szCs w:val="20"/>
              </w:rPr>
              <w:t>100,0000%</w:t>
            </w:r>
          </w:p>
        </w:tc>
      </w:tr>
    </w:tbl>
    <w:p w:rsidR="00CC3B24" w:rsidRDefault="00CC3B2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p>
    <w:p w:rsidR="00CC3B24" w:rsidRDefault="00CC3B2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p>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pelo Escriturador</w:t>
      </w:r>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w:t>
      </w:r>
      <w:r w:rsidR="00865CF1" w:rsidRPr="00865CF1">
        <w:rPr>
          <w:color w:val="000000"/>
        </w:rPr>
        <w:t xml:space="preserve"> </w:t>
      </w:r>
      <w:r w:rsidR="00865CF1">
        <w:rPr>
          <w:color w:val="000000"/>
        </w:rPr>
        <w:t xml:space="preserve">inclusive para fins de cálculo, </w:t>
      </w:r>
      <w:r w:rsidRPr="00B2481D">
        <w:rPr>
          <w:color w:val="000000"/>
        </w:rPr>
        <w:t>qualquer dia que não seja sábado, domingo ou feriado declarado nacional; (ii) com relação a qualquer obrigação pecuniária que não seja realizada por meio da B3, qualquer dia no qual haja expediente nos bancos comerciais na Cidade de Florianópolis, Estado de Santa Catarina; e (iii)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pro rata temporis</w:t>
      </w:r>
      <w:r w:rsidRPr="00B2481D">
        <w:rPr>
          <w:color w:val="000000"/>
        </w:rPr>
        <w:t>, desde a data de inadimplemento até a data do efetivo pagamento; e (ii) multa convencional, irredutível e não compensatória, de 2% (dois por cento) (“</w:t>
      </w:r>
      <w:r w:rsidRPr="00B2481D">
        <w:rPr>
          <w:color w:val="000000"/>
          <w:u w:val="single"/>
        </w:rPr>
        <w:t>Encargos Moratórios</w:t>
      </w:r>
      <w:r w:rsidRPr="00B2481D">
        <w:rPr>
          <w:color w:val="000000"/>
        </w:rPr>
        <w:t xml:space="preserve">”). Não obstante aqui disposto, eventuais Juros Remuneratórios continuarão incidindo somente sobre o Valor Nominal </w:t>
      </w:r>
      <w:r w:rsidR="003A646F">
        <w:rPr>
          <w:color w:val="000000"/>
        </w:rPr>
        <w:t>Atualizado</w:t>
      </w:r>
      <w:r w:rsidRPr="00B2481D">
        <w:rPr>
          <w:color w:val="000000"/>
        </w:rPr>
        <w:t>,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0" w:name="_DV_M210"/>
      <w:bookmarkEnd w:id="30"/>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C815AA" w:rsidRPr="00C815AA">
        <w:t>http://ri.celesc.com.br/comunicados-e-atas/comunicados-ao-mercado/</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pelo Escriturador</w:t>
      </w:r>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1"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 xml:space="preserve">o(s) mesmo(s) deverá(ão)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1"/>
    </w:p>
    <w:p w:rsidR="00AB48E3" w:rsidRPr="00B2481D" w:rsidRDefault="00AB48E3" w:rsidP="00AC018B">
      <w:pPr>
        <w:pStyle w:val="PargrafodaLista"/>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r w:rsidR="0050119F">
        <w:t xml:space="preserve"> </w:t>
      </w:r>
    </w:p>
    <w:p w:rsidR="00AB48E3" w:rsidRPr="00B2481D" w:rsidRDefault="00AB48E3" w:rsidP="00AC018B">
      <w:pPr>
        <w:pStyle w:val="PargrafodaLista"/>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(ii)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0050119F">
        <w:rPr>
          <w:iCs/>
        </w:rPr>
        <w:t xml:space="preserve"> </w:t>
      </w:r>
    </w:p>
    <w:p w:rsidR="00B810D9" w:rsidRPr="00B2481D" w:rsidRDefault="00B810D9" w:rsidP="000953A4">
      <w:pPr>
        <w:pStyle w:val="SCBFTtulo1"/>
        <w:keepNext w:val="0"/>
        <w:keepLines w:val="0"/>
        <w:widowControl w:val="0"/>
        <w:spacing w:line="312" w:lineRule="auto"/>
        <w:jc w:val="left"/>
        <w:rPr>
          <w:color w:val="000000"/>
          <w:sz w:val="24"/>
          <w:szCs w:val="24"/>
        </w:rPr>
      </w:pPr>
      <w:bookmarkStart w:id="32" w:name="_DV_M232"/>
      <w:bookmarkStart w:id="33" w:name="_Toc496113111"/>
      <w:bookmarkEnd w:id="32"/>
    </w:p>
    <w:p w:rsidR="00E77204" w:rsidRPr="00B2481D" w:rsidRDefault="00E77204" w:rsidP="000953A4">
      <w:pPr>
        <w:pStyle w:val="SCBFTtulo1"/>
        <w:keepNext w:val="0"/>
        <w:keepLines w:val="0"/>
        <w:widowControl w:val="0"/>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3"/>
    </w:p>
    <w:p w:rsidR="00E77204" w:rsidRPr="00B2481D" w:rsidRDefault="00E77204" w:rsidP="000953A4">
      <w:pPr>
        <w:widowControl w:val="0"/>
        <w:spacing w:line="312" w:lineRule="auto"/>
      </w:pPr>
    </w:p>
    <w:p w:rsidR="00E77204" w:rsidRPr="00B2481D" w:rsidRDefault="00E77204" w:rsidP="000953A4">
      <w:pPr>
        <w:widowControl w:val="0"/>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0953A4">
      <w:pPr>
        <w:widowControl w:val="0"/>
        <w:spacing w:line="312" w:lineRule="auto"/>
        <w:rPr>
          <w:color w:val="000000"/>
        </w:rPr>
      </w:pPr>
    </w:p>
    <w:p w:rsidR="00B0343F" w:rsidRPr="00B2481D" w:rsidRDefault="00E77204" w:rsidP="000953A4">
      <w:pPr>
        <w:widowControl w:val="0"/>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0953A4">
      <w:pPr>
        <w:widowControl w:val="0"/>
        <w:spacing w:line="312" w:lineRule="auto"/>
        <w:jc w:val="both"/>
        <w:rPr>
          <w:color w:val="000000"/>
        </w:rPr>
      </w:pPr>
    </w:p>
    <w:p w:rsidR="00E77204" w:rsidRPr="00B2481D" w:rsidRDefault="00B0343F" w:rsidP="000953A4">
      <w:pPr>
        <w:widowControl w:val="0"/>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0953A4">
      <w:pPr>
        <w:widowControl w:val="0"/>
        <w:tabs>
          <w:tab w:val="left" w:pos="720"/>
          <w:tab w:val="left" w:pos="2366"/>
        </w:tabs>
        <w:spacing w:line="312" w:lineRule="auto"/>
        <w:jc w:val="both"/>
        <w:rPr>
          <w:color w:val="000000"/>
        </w:rPr>
      </w:pPr>
    </w:p>
    <w:p w:rsidR="0024590A" w:rsidRPr="00B2481D" w:rsidRDefault="0024590A" w:rsidP="000953A4">
      <w:pPr>
        <w:widowControl w:val="0"/>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r w:rsidR="006A4E05">
        <w:t>PDF</w:t>
      </w:r>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34"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34"/>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810675">
        <w:rPr>
          <w:b/>
          <w:bCs/>
          <w:smallCaps/>
          <w:color w:val="000000"/>
        </w:rPr>
        <w:t xml:space="preserve"> </w:t>
      </w:r>
    </w:p>
    <w:p w:rsidR="005B34D2" w:rsidRPr="00B2481D" w:rsidRDefault="005B34D2" w:rsidP="00AC018B">
      <w:pPr>
        <w:keepNext/>
        <w:widowControl w:val="0"/>
        <w:spacing w:line="312" w:lineRule="auto"/>
        <w:jc w:val="both"/>
      </w:pPr>
    </w:p>
    <w:p w:rsidR="003377AC" w:rsidRPr="004C2E2C" w:rsidRDefault="000C17AA" w:rsidP="003377AC">
      <w:pPr>
        <w:pStyle w:val="PargrafodaLista"/>
        <w:widowControl w:val="0"/>
        <w:numPr>
          <w:ilvl w:val="2"/>
          <w:numId w:val="21"/>
        </w:numPr>
        <w:spacing w:line="312" w:lineRule="auto"/>
        <w:ind w:left="0" w:firstLine="0"/>
        <w:jc w:val="both"/>
        <w:rPr>
          <w:color w:val="000000"/>
        </w:rPr>
      </w:pPr>
      <w:r>
        <w:t>Não será permitido o resgate antecipado facultativo</w:t>
      </w:r>
      <w:r w:rsidR="00617AA0">
        <w:t>, total ou parcial,</w:t>
      </w:r>
      <w:r>
        <w:t xml:space="preserve"> das Debêntures, exceto nas hipóteses previstas nas Cláusulas 4.2.1.4 e 4.14.4, acima</w:t>
      </w:r>
      <w:r w:rsidR="003377AC" w:rsidRPr="004C2E2C">
        <w:t xml:space="preserve">. </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(ii)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(iii) a data efetiva para o resgate antecipado das Debêntures e o pagamento das quantias devidas aos Debenturistas</w:t>
      </w:r>
      <w:r w:rsidR="00865CF1">
        <w:rPr>
          <w:color w:val="000000"/>
        </w:rPr>
        <w:t>, que deverá ser um Dia Útil</w:t>
      </w:r>
      <w:r w:rsidR="007A1745" w:rsidRPr="00B2481D">
        <w:rPr>
          <w:color w:val="000000"/>
        </w:rPr>
        <w:t>; e (iv)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xml:space="preserve">, desde que atendidos, cumulativamente, os seguintes requisitos: (i) prazo médio ponderado dos pagamentos transcorrido entre a Data de Emissão e a data do efetivo </w:t>
      </w:r>
      <w:r w:rsidR="00BD59DA">
        <w:rPr>
          <w:color w:val="000000"/>
        </w:rPr>
        <w:t>r</w:t>
      </w:r>
      <w:r w:rsidR="00383BC6" w:rsidRPr="00383BC6">
        <w:rPr>
          <w:color w:val="000000"/>
        </w:rPr>
        <w:t xml:space="preserve">esgate </w:t>
      </w:r>
      <w:r w:rsidR="00BD59DA">
        <w:rPr>
          <w:color w:val="000000"/>
        </w:rPr>
        <w:t>a</w:t>
      </w:r>
      <w:r w:rsidR="00383BC6" w:rsidRPr="00383BC6">
        <w:rPr>
          <w:color w:val="000000"/>
        </w:rPr>
        <w:t xml:space="preserve">ntecipado </w:t>
      </w:r>
      <w:r w:rsidR="00BD59DA">
        <w:rPr>
          <w:color w:val="000000"/>
        </w:rPr>
        <w:t>f</w:t>
      </w:r>
      <w:r w:rsidR="00383BC6" w:rsidRPr="00383BC6">
        <w:rPr>
          <w:color w:val="000000"/>
        </w:rPr>
        <w:t xml:space="preserve">acultativo ser superior a 4 (quatro) anos; (ii) taxa de pré-pagamento menor ou igual à soma da taxa do título público federal remunerado pelo mesmo índice da debênture, com </w:t>
      </w:r>
      <w:r w:rsidR="00383BC6" w:rsidRPr="00383BC6">
        <w:rPr>
          <w:i/>
          <w:iCs/>
          <w:color w:val="000000"/>
        </w:rPr>
        <w:t>duration</w:t>
      </w:r>
      <w:r w:rsidR="00383BC6" w:rsidRPr="00383BC6">
        <w:rPr>
          <w:color w:val="000000"/>
        </w:rPr>
        <w:t xml:space="preserve"> mais </w:t>
      </w:r>
      <w:r w:rsidR="00383BC6" w:rsidRPr="00747BA2">
        <w:rPr>
          <w:color w:val="000000"/>
        </w:rPr>
        <w:t xml:space="preserve">próxima à </w:t>
      </w:r>
      <w:r w:rsidR="00383BC6" w:rsidRPr="00747BA2">
        <w:rPr>
          <w:i/>
          <w:iCs/>
          <w:color w:val="000000"/>
        </w:rPr>
        <w:t xml:space="preserve">duration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r w:rsidR="00383BC6" w:rsidRPr="00747BA2">
        <w:rPr>
          <w:i/>
          <w:iCs/>
          <w:color w:val="000000"/>
        </w:rPr>
        <w:t xml:space="preserve">duration </w:t>
      </w:r>
      <w:r w:rsidR="00383BC6" w:rsidRPr="00747BA2">
        <w:rPr>
          <w:color w:val="000000"/>
        </w:rPr>
        <w:t xml:space="preserve"> mais próxima à </w:t>
      </w:r>
      <w:r w:rsidR="00383BC6" w:rsidRPr="00747BA2">
        <w:rPr>
          <w:i/>
          <w:iCs/>
          <w:color w:val="000000"/>
        </w:rPr>
        <w:t xml:space="preserve">duration </w:t>
      </w:r>
      <w:r w:rsidR="00383BC6" w:rsidRPr="00747BA2">
        <w:rPr>
          <w:color w:val="000000"/>
        </w:rPr>
        <w:t>das Debêntures na Data de Emissão; e (iii)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r w:rsidRPr="00B2481D">
        <w:rPr>
          <w:i/>
          <w:iCs/>
        </w:rPr>
        <w:t xml:space="preserve">duration </w:t>
      </w:r>
      <w:r w:rsidRPr="00B2481D">
        <w:t>e prazo médio ponderado: o prazo médio dos fluxos de pagamentos ponderado pelo valor presente desses fluxos, conforme descrito na Resolução do Conselho Monetário Nacional nº 3.947, de 27 de janeiro de 2011; e (ii)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xml:space="preserve">, itens (ii) e (iii),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0C17AA">
        <w:rPr>
          <w:color w:val="000000"/>
        </w:rPr>
        <w:t>objeto da adesão à Oferta de Resgate Antecipado</w:t>
      </w:r>
      <w:r w:rsidR="007A1745" w:rsidRPr="000C17AA">
        <w:rPr>
          <w:color w:val="000000"/>
        </w:rPr>
        <w:t>,</w:t>
      </w:r>
      <w:r w:rsidR="007A1745" w:rsidRPr="00B2481D">
        <w:rPr>
          <w:color w:val="000000"/>
        </w:rPr>
        <w:t xml:space="preserve">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 xml:space="preserve">A Emissora deverá: (i) na data de término do prazo de adesão à Oferta de Resgate Antecipado, confirmar ao Agente Fiduciário se o resgate antecipado das Debêntures será efetivamente realizado; e (ii)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Escriturador,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 xml:space="preserve">(ii)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DF723A" w:rsidRDefault="00DF723A" w:rsidP="00AC018B">
      <w:pPr>
        <w:widowControl w:val="0"/>
        <w:tabs>
          <w:tab w:val="left" w:pos="0"/>
        </w:tabs>
        <w:spacing w:line="312" w:lineRule="auto"/>
        <w:jc w:val="both"/>
        <w:rPr>
          <w:color w:val="000000"/>
        </w:rPr>
      </w:pPr>
    </w:p>
    <w:p w:rsidR="00DF723A" w:rsidRPr="00B2481D" w:rsidRDefault="00DF723A" w:rsidP="00AC018B">
      <w:pPr>
        <w:widowControl w:val="0"/>
        <w:tabs>
          <w:tab w:val="left" w:pos="0"/>
        </w:tabs>
        <w:spacing w:line="312" w:lineRule="auto"/>
        <w:jc w:val="both"/>
        <w:rPr>
          <w:color w:val="000000"/>
        </w:rPr>
      </w:pPr>
      <w:r>
        <w:rPr>
          <w:color w:val="000000"/>
        </w:rPr>
        <w:t>6.2.7</w:t>
      </w:r>
      <w:r>
        <w:rPr>
          <w:color w:val="000000"/>
        </w:rPr>
        <w:tab/>
        <w:t xml:space="preserve">Sem prejuízo do envio da comunicação </w:t>
      </w:r>
      <w:r w:rsidRPr="00747BA2">
        <w:t xml:space="preserve">individual a todos os </w:t>
      </w:r>
      <w:r w:rsidRPr="00747BA2">
        <w:rPr>
          <w:color w:val="000000"/>
        </w:rPr>
        <w:t>Debenturistas</w:t>
      </w:r>
      <w:r>
        <w:rPr>
          <w:color w:val="000000"/>
        </w:rPr>
        <w:t xml:space="preserve">, mencionada na Cláusula 6.2.2 acima, a realização do resgate antecipado das Debêntures fica limitado à quantidade de Debenturistas que aderirem à Oferta de Resgate Antecipado. </w:t>
      </w:r>
    </w:p>
    <w:p w:rsidR="005F1FBF" w:rsidRDefault="005F1FBF" w:rsidP="00AC018B">
      <w:pPr>
        <w:widowControl w:val="0"/>
        <w:tabs>
          <w:tab w:val="left" w:pos="0"/>
        </w:tabs>
        <w:spacing w:line="312" w:lineRule="auto"/>
        <w:jc w:val="both"/>
        <w:rPr>
          <w:color w:val="000000"/>
        </w:rPr>
      </w:pPr>
    </w:p>
    <w:p w:rsidR="005F1FBF" w:rsidRPr="005F1FBF" w:rsidRDefault="005F1FBF" w:rsidP="005F1FBF">
      <w:pPr>
        <w:keepNext/>
        <w:keepLines/>
        <w:numPr>
          <w:ilvl w:val="1"/>
          <w:numId w:val="33"/>
        </w:numPr>
        <w:tabs>
          <w:tab w:val="left" w:pos="0"/>
        </w:tabs>
        <w:spacing w:line="312" w:lineRule="auto"/>
        <w:jc w:val="both"/>
        <w:rPr>
          <w:b/>
          <w:color w:val="000000"/>
        </w:rPr>
      </w:pPr>
      <w:r w:rsidRPr="005F1FBF">
        <w:rPr>
          <w:b/>
          <w:color w:val="000000"/>
        </w:rPr>
        <w:t>Amortização Extraordinária</w:t>
      </w:r>
    </w:p>
    <w:p w:rsidR="005F1FBF" w:rsidRDefault="005F1FBF" w:rsidP="005F1FBF">
      <w:pPr>
        <w:keepNext/>
        <w:keepLines/>
        <w:tabs>
          <w:tab w:val="left" w:pos="0"/>
        </w:tabs>
        <w:spacing w:line="312" w:lineRule="auto"/>
        <w:jc w:val="both"/>
        <w:rPr>
          <w:color w:val="000000"/>
        </w:rPr>
      </w:pPr>
    </w:p>
    <w:p w:rsidR="005F1FBF" w:rsidRDefault="005F1FBF" w:rsidP="005F1FBF">
      <w:pPr>
        <w:keepNext/>
        <w:keepLines/>
        <w:tabs>
          <w:tab w:val="left" w:pos="0"/>
        </w:tabs>
        <w:spacing w:line="312" w:lineRule="auto"/>
        <w:jc w:val="both"/>
        <w:rPr>
          <w:color w:val="000000"/>
        </w:rPr>
      </w:pPr>
      <w:r>
        <w:rPr>
          <w:color w:val="000000"/>
        </w:rPr>
        <w:t>6.4.1.</w:t>
      </w:r>
      <w:r>
        <w:rPr>
          <w:color w:val="000000"/>
        </w:rPr>
        <w:tab/>
        <w:t>As Debêntures não serão objeto de amortização extraordinária pela Emissora.</w:t>
      </w:r>
    </w:p>
    <w:p w:rsidR="005F1FBF" w:rsidRPr="00B2481D" w:rsidRDefault="005F1FBF"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35" w:name="_Toc496113113"/>
      <w:r w:rsidRPr="007532D1">
        <w:rPr>
          <w:color w:val="000000"/>
          <w:sz w:val="24"/>
          <w:szCs w:val="24"/>
        </w:rPr>
        <w:t>CLÁUSULA VII</w:t>
      </w:r>
      <w:r w:rsidRPr="007532D1">
        <w:rPr>
          <w:color w:val="000000"/>
          <w:sz w:val="24"/>
          <w:szCs w:val="24"/>
        </w:rPr>
        <w:br/>
        <w:t>VENCIMENTO ANTECIPADO</w:t>
      </w:r>
      <w:bookmarkEnd w:id="35"/>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w:t>
      </w:r>
      <w:r w:rsidR="00DF723A">
        <w:rPr>
          <w:color w:val="000000"/>
        </w:rPr>
        <w:t>nos termos da Cláusula 12.1 abaixo</w:t>
      </w:r>
      <w:r w:rsidR="000E222A" w:rsidRPr="000E222A">
        <w:t>,</w:t>
      </w:r>
      <w:r w:rsidRPr="00747BA2">
        <w:rPr>
          <w:color w:val="000000"/>
        </w:rPr>
        <w:t xml:space="preserve"> contendo as respectivas instruções para pagamento, do Valor Nominal </w:t>
      </w:r>
      <w:r w:rsidR="00865CF1">
        <w:rPr>
          <w:color w:val="000000"/>
        </w:rPr>
        <w:t>Atualizado</w:t>
      </w:r>
      <w:r w:rsidRPr="007532D1">
        <w:rPr>
          <w:color w:val="000000"/>
        </w:rPr>
        <w:t xml:space="preserve">, das Debêntures, acrescido da Remuneração, calculados </w:t>
      </w:r>
      <w:r w:rsidRPr="007532D1">
        <w:rPr>
          <w:i/>
          <w:iCs/>
          <w:color w:val="000000"/>
        </w:rPr>
        <w:t>pro rata temporis</w:t>
      </w:r>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PargrafodaLista"/>
        <w:spacing w:line="312" w:lineRule="auto"/>
        <w:rPr>
          <w:rFonts w:eastAsia="Calibri"/>
          <w:lang w:eastAsia="en-US"/>
        </w:rPr>
      </w:pPr>
    </w:p>
    <w:p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PargrafodaLista"/>
        <w:spacing w:line="312" w:lineRule="auto"/>
        <w:rPr>
          <w:rFonts w:eastAsia="Calibri"/>
          <w:lang w:eastAsia="en-US"/>
        </w:rPr>
      </w:pPr>
    </w:p>
    <w:p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PargrafodaLista"/>
        <w:spacing w:line="312" w:lineRule="auto"/>
        <w:rPr>
          <w:rFonts w:eastAsia="Calibri"/>
          <w:lang w:eastAsia="en-US"/>
        </w:rPr>
      </w:pPr>
    </w:p>
    <w:p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PargrafodaLista"/>
        <w:spacing w:line="312" w:lineRule="auto"/>
        <w:rPr>
          <w:rFonts w:eastAsia="Calibri"/>
          <w:lang w:eastAsia="en-US"/>
        </w:rPr>
      </w:pPr>
    </w:p>
    <w:p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r w:rsidR="00614963">
        <w:t>“</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614963">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p>
    <w:p w:rsidR="00807A6A" w:rsidRPr="00B2481D" w:rsidRDefault="00807A6A" w:rsidP="00AC018B">
      <w:pPr>
        <w:pStyle w:val="PargrafodaLista"/>
        <w:spacing w:line="312" w:lineRule="auto"/>
        <w:rPr>
          <w:rFonts w:eastAsia="Calibri"/>
          <w:lang w:eastAsia="en-US"/>
        </w:rPr>
      </w:pPr>
    </w:p>
    <w:p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Pr>
          <w:rFonts w:eastAsia="Calibri"/>
          <w:lang w:eastAsia="en-US"/>
        </w:rPr>
        <w:t xml:space="preserve"> </w:t>
      </w:r>
    </w:p>
    <w:p w:rsidR="00807A6A" w:rsidRPr="00B2481D" w:rsidRDefault="00807A6A" w:rsidP="00AC018B">
      <w:pPr>
        <w:pStyle w:val="PargrafodaLista"/>
        <w:spacing w:line="312" w:lineRule="auto"/>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PargrafodaLista"/>
        <w:spacing w:line="312" w:lineRule="auto"/>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rsidR="00550980" w:rsidRPr="00B2481D" w:rsidRDefault="00617AA0" w:rsidP="00AC018B">
      <w:pPr>
        <w:pStyle w:val="PargrafodaLista"/>
        <w:numPr>
          <w:ilvl w:val="0"/>
          <w:numId w:val="23"/>
        </w:numPr>
        <w:tabs>
          <w:tab w:val="left" w:pos="0"/>
        </w:tabs>
        <w:suppressAutoHyphens/>
        <w:autoSpaceDE w:val="0"/>
        <w:spacing w:line="312" w:lineRule="auto"/>
        <w:ind w:left="720"/>
        <w:jc w:val="both"/>
        <w:rPr>
          <w:lang w:eastAsia="en-US"/>
        </w:rPr>
      </w:pPr>
      <w:bookmarkStart w:id="36" w:name="_Hlk35381826"/>
      <w:r>
        <w:rPr>
          <w:rFonts w:eastAsia="Calibri"/>
          <w:lang w:eastAsia="en-US"/>
        </w:rPr>
        <w:t xml:space="preserve">caso haja </w:t>
      </w:r>
      <w:r w:rsidR="00680CA1" w:rsidRPr="00680CA1">
        <w:rPr>
          <w:rFonts w:eastAsia="Calibri"/>
          <w:lang w:eastAsia="en-US"/>
        </w:rPr>
        <w:t xml:space="preserve">pagamento de dividendos, juros sobre capital próprio ou qualquer outra participação no lucro prevista no Estatuto Social da </w:t>
      </w:r>
      <w:r w:rsidR="00FC7B71">
        <w:rPr>
          <w:rFonts w:eastAsia="Calibri"/>
          <w:lang w:eastAsia="en-US"/>
        </w:rPr>
        <w:t xml:space="preserve">Emissora e/ou da </w:t>
      </w:r>
      <w:r w:rsidR="000B4258">
        <w:rPr>
          <w:rFonts w:eastAsia="Calibri"/>
          <w:lang w:eastAsia="en-US"/>
        </w:rPr>
        <w:t>Garantidora</w:t>
      </w:r>
      <w:r w:rsidR="000B4258" w:rsidRPr="00680CA1">
        <w:rPr>
          <w:rFonts w:eastAsia="Calibri"/>
          <w:lang w:eastAsia="en-US"/>
        </w:rPr>
        <w:t xml:space="preserve"> </w:t>
      </w:r>
      <w:r w:rsidR="00680CA1" w:rsidRPr="00680CA1">
        <w:rPr>
          <w:rFonts w:eastAsia="Calibri"/>
          <w:lang w:eastAsia="en-US"/>
        </w:rPr>
        <w:t xml:space="preserve">vigente nesta data, </w:t>
      </w:r>
      <w:r>
        <w:rPr>
          <w:rFonts w:eastAsia="Calibri"/>
          <w:lang w:eastAsia="en-US"/>
        </w:rPr>
        <w:t>(a) até a liquidação integral da 2ª (segunda) emissão de debêntures da Emissora, emitida nos termos da “</w:t>
      </w:r>
      <w:r w:rsidRPr="00BA19EA">
        <w:rPr>
          <w:rFonts w:eastAsia="Calibri"/>
          <w:i/>
          <w:lang w:eastAsia="en-US"/>
        </w:rPr>
        <w:t>Instrumento Particular de Escritura da Primeira Emissão de Debêntures Simples, Não Conversíveis em Ações, da Espécie Quirografária com Garantia Adicional Fidejussória, em Série Única, para Distribuição Pública, com Esforços Restritos de Distribuição, da Celesc Geração S.A.</w:t>
      </w:r>
      <w:r w:rsidRPr="00A013D4">
        <w:rPr>
          <w:rFonts w:eastAsia="Calibri"/>
          <w:iCs/>
          <w:lang w:eastAsia="en-US"/>
        </w:rPr>
        <w:t>”</w:t>
      </w:r>
      <w:r>
        <w:rPr>
          <w:rFonts w:eastAsia="Calibri"/>
          <w:iCs/>
          <w:lang w:eastAsia="en-US"/>
        </w:rPr>
        <w:t xml:space="preserve"> (“</w:t>
      </w:r>
      <w:r w:rsidRPr="00A13E65">
        <w:rPr>
          <w:rFonts w:eastAsia="Calibri"/>
          <w:iCs/>
          <w:u w:val="single"/>
          <w:lang w:eastAsia="en-US"/>
        </w:rPr>
        <w:t>Emissão Anterior</w:t>
      </w:r>
      <w:r>
        <w:rPr>
          <w:rFonts w:eastAsia="Calibri"/>
          <w:iCs/>
          <w:lang w:eastAsia="en-US"/>
        </w:rPr>
        <w:t>”)</w:t>
      </w:r>
      <w:r>
        <w:rPr>
          <w:rFonts w:eastAsia="Calibri"/>
          <w:lang w:eastAsia="en-US"/>
        </w:rPr>
        <w:t xml:space="preserve">, ou ainda (b) caso, no âmbito da Emissão Anterior, os titulares das debêntures deliberem, em assembleia geral de debenturistas, pela anuência em relação ao </w:t>
      </w:r>
      <w:r w:rsidRPr="00680CA1">
        <w:rPr>
          <w:rFonts w:eastAsia="Calibri"/>
          <w:lang w:eastAsia="en-US"/>
        </w:rPr>
        <w:t>pagamento</w:t>
      </w:r>
      <w:r>
        <w:rPr>
          <w:rFonts w:eastAsia="Calibri"/>
          <w:lang w:eastAsia="en-US"/>
        </w:rPr>
        <w:t>, pela Garantidora,</w:t>
      </w:r>
      <w:r w:rsidRPr="00680CA1">
        <w:rPr>
          <w:rFonts w:eastAsia="Calibri"/>
          <w:lang w:eastAsia="en-US"/>
        </w:rPr>
        <w:t xml:space="preserve"> de dividendos, juros sobre capital próprio ou qualquer outra participação no lucro prevista no Estatuto Social da </w:t>
      </w:r>
      <w:r>
        <w:rPr>
          <w:rFonts w:eastAsia="Calibri"/>
          <w:lang w:eastAsia="en-US"/>
        </w:rPr>
        <w:t xml:space="preserve">Garantidora, </w:t>
      </w:r>
      <w:r w:rsidR="00680CA1" w:rsidRPr="00680CA1">
        <w:rPr>
          <w:rFonts w:eastAsia="Calibri"/>
          <w:lang w:eastAsia="en-US"/>
        </w:rPr>
        <w:t xml:space="preserve">ressalvado, entretanto, </w:t>
      </w:r>
      <w:r w:rsidR="00FC7B71">
        <w:rPr>
          <w:rFonts w:eastAsia="Calibri"/>
          <w:lang w:eastAsia="en-US"/>
        </w:rPr>
        <w:t xml:space="preserve">(x) se a Emissora e/ou a Garantidora estarem adimplentes com as pecuniárias ou não da Emissão; e (y) o cumprimento, pela Emissora, do Índice de Cobertura de Serviço de Dívida (“ICSD”), </w:t>
      </w:r>
      <w:r w:rsidR="00FC7B71" w:rsidRPr="00FC7B71">
        <w:rPr>
          <w:rFonts w:eastAsia="Calibri"/>
          <w:lang w:eastAsia="en-US"/>
        </w:rPr>
        <w:t>que deverá ser igual ou superior a 1,2x até a Data de Vencimento. Será observado, independente do disposto acima, o pagamento do dividendo mínimo obrigatório nos termos do artigo 202 da Lei das Sociedades por Ações</w:t>
      </w:r>
      <w:r w:rsidR="00FC7B71">
        <w:rPr>
          <w:rFonts w:eastAsia="Calibri"/>
          <w:lang w:eastAsia="en-US"/>
        </w:rPr>
        <w:t>. Para os fins deste item, o</w:t>
      </w:r>
      <w:r w:rsidR="00FC7B71" w:rsidRPr="00FC7B71">
        <w:rPr>
          <w:rFonts w:eastAsia="Calibri"/>
          <w:lang w:eastAsia="en-US"/>
        </w:rPr>
        <w:t xml:space="preserve"> ICSD é calculado a partir da divisão do EBITDA pelas Despesas Financeiras Líquidas (conforme definido abaixo), com base em informações registradas nas demonstrações financeiras semestrais auditadas (de acordo com as práticas contábeis adotadas no Brasil), com base em períodos de verificação a cada trimestre, conforme o disposto abaixo</w:t>
      </w:r>
      <w:r w:rsidR="00FC7B71">
        <w:rPr>
          <w:rFonts w:eastAsia="Calibri"/>
          <w:lang w:eastAsia="en-US"/>
        </w:rPr>
        <w:t>:</w:t>
      </w:r>
      <w:bookmarkEnd w:id="36"/>
      <w:r w:rsidR="0092030D">
        <w:rPr>
          <w:b/>
          <w:smallCaps/>
        </w:rPr>
        <w:t xml:space="preserve"> </w:t>
      </w:r>
    </w:p>
    <w:p w:rsidR="001E3066" w:rsidRDefault="001E3066" w:rsidP="00FC7B71">
      <w:pPr>
        <w:pStyle w:val="PargrafodaLista"/>
        <w:spacing w:line="312" w:lineRule="auto"/>
        <w:ind w:left="709"/>
        <w:rPr>
          <w:rFonts w:eastAsia="Calibri"/>
          <w:lang w:eastAsia="en-US"/>
        </w:rPr>
      </w:pPr>
    </w:p>
    <w:p w:rsidR="00FC7B71" w:rsidRDefault="00FC7B71" w:rsidP="00FC7B71">
      <w:pPr>
        <w:pStyle w:val="PargrafodaLista"/>
        <w:spacing w:line="312" w:lineRule="auto"/>
        <w:ind w:left="709"/>
        <w:rPr>
          <w:rFonts w:eastAsia="Calibri"/>
          <w:lang w:eastAsia="en-US"/>
        </w:rPr>
      </w:pPr>
      <w:r w:rsidRPr="00FC7B71">
        <w:rPr>
          <w:rFonts w:eastAsia="Calibri"/>
          <w:u w:val="single"/>
          <w:lang w:eastAsia="en-US"/>
        </w:rPr>
        <w:t>Despesas Financeiras Líquidas</w:t>
      </w:r>
      <w:r>
        <w:rPr>
          <w:rFonts w:eastAsia="Calibri"/>
          <w:lang w:eastAsia="en-US"/>
        </w:rPr>
        <w:t>:</w:t>
      </w:r>
    </w:p>
    <w:p w:rsidR="00FC7B71" w:rsidRDefault="00FC7B71" w:rsidP="00FC7B71">
      <w:pPr>
        <w:pStyle w:val="PargrafodaLista"/>
        <w:spacing w:line="312" w:lineRule="auto"/>
        <w:ind w:left="709"/>
        <w:rPr>
          <w:rFonts w:eastAsia="Calibri"/>
          <w:lang w:eastAsia="en-US"/>
        </w:rPr>
      </w:pPr>
    </w:p>
    <w:tbl>
      <w:tblPr>
        <w:tblW w:w="7245" w:type="dxa"/>
        <w:tblInd w:w="1249" w:type="dxa"/>
        <w:tblCellMar>
          <w:left w:w="0" w:type="dxa"/>
          <w:right w:w="0" w:type="dxa"/>
        </w:tblCellMar>
        <w:tblLook w:val="04A0" w:firstRow="1" w:lastRow="0" w:firstColumn="1" w:lastColumn="0" w:noHBand="0" w:noVBand="1"/>
      </w:tblPr>
      <w:tblGrid>
        <w:gridCol w:w="665"/>
        <w:gridCol w:w="6580"/>
      </w:tblGrid>
      <w:tr w:rsidR="00FC7B71" w:rsidRPr="00FC7B71" w:rsidTr="00FC7B71">
        <w:trPr>
          <w:trHeight w:val="333"/>
        </w:trPr>
        <w:tc>
          <w:tcPr>
            <w:tcW w:w="6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w:t>
            </w:r>
          </w:p>
        </w:tc>
        <w:tc>
          <w:tcPr>
            <w:tcW w:w="6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Despesas Financeiras;</w:t>
            </w:r>
          </w:p>
        </w:tc>
      </w:tr>
      <w:tr w:rsidR="00FC7B71" w:rsidRPr="00FC7B71" w:rsidTr="00FC7B71">
        <w:trPr>
          <w:trHeight w:val="318"/>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w:t>
            </w:r>
          </w:p>
        </w:tc>
        <w:tc>
          <w:tcPr>
            <w:tcW w:w="6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Receitas Financeiras; e</w:t>
            </w:r>
          </w:p>
        </w:tc>
      </w:tr>
      <w:tr w:rsidR="00FC7B71" w:rsidTr="00FC7B71">
        <w:trPr>
          <w:trHeight w:val="333"/>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w:t>
            </w:r>
          </w:p>
        </w:tc>
        <w:tc>
          <w:tcPr>
            <w:tcW w:w="6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7B71" w:rsidRPr="00FC7B71" w:rsidRDefault="00FC7B71">
            <w:pPr>
              <w:pStyle w:val="xmsonormal"/>
              <w:spacing w:line="320" w:lineRule="atLeast"/>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Juros sobre Obrigações Fiscais.</w:t>
            </w:r>
          </w:p>
        </w:tc>
      </w:tr>
    </w:tbl>
    <w:p w:rsidR="00FC7B71" w:rsidRDefault="00FC7B71" w:rsidP="00FC7B71">
      <w:pPr>
        <w:pStyle w:val="PargrafodaLista"/>
        <w:spacing w:line="312" w:lineRule="auto"/>
        <w:ind w:left="709"/>
        <w:rPr>
          <w:rFonts w:eastAsia="Calibri"/>
          <w:lang w:eastAsia="en-US"/>
        </w:rPr>
      </w:pPr>
    </w:p>
    <w:p w:rsidR="00FC7B71" w:rsidRPr="00FC7B71" w:rsidRDefault="00FC7B71" w:rsidP="00FC7B71">
      <w:pPr>
        <w:pStyle w:val="PargrafodaLista"/>
        <w:spacing w:line="312" w:lineRule="auto"/>
        <w:ind w:left="709"/>
        <w:jc w:val="both"/>
        <w:rPr>
          <w:rFonts w:eastAsia="Calibri"/>
          <w:lang w:eastAsia="en-US"/>
        </w:rPr>
      </w:pPr>
      <w:r w:rsidRPr="00FC7B71">
        <w:rPr>
          <w:rFonts w:eastAsia="Calibri"/>
          <w:lang w:eastAsia="en-US"/>
        </w:rPr>
        <w:t>“</w:t>
      </w:r>
      <w:r w:rsidRPr="00FC7B71">
        <w:rPr>
          <w:rFonts w:eastAsia="Calibri"/>
          <w:u w:val="single"/>
          <w:lang w:eastAsia="en-US"/>
        </w:rPr>
        <w:t>Juros sobre Obrigações Fiscais</w:t>
      </w:r>
      <w:r w:rsidRPr="00FC7B71">
        <w:rPr>
          <w:rFonts w:eastAsia="Calibri"/>
          <w:lang w:eastAsia="en-US"/>
        </w:rPr>
        <w:t>” significa os juros e/ou outras despesas oriundas de passivos tributários da companhia, conforme destacado na rubrica de despesas financeiras nas demonstrações financeiras semestrais auditadas (de acordo com as práticas contábeis adotadas no Brasil), com base em períodos de verificação a cada semestre.”</w:t>
      </w:r>
    </w:p>
    <w:p w:rsidR="00FC7B71" w:rsidRPr="00B2481D" w:rsidRDefault="00FC7B71" w:rsidP="00FC7B71">
      <w:pPr>
        <w:pStyle w:val="PargrafodaLista"/>
        <w:spacing w:line="312" w:lineRule="auto"/>
        <w:ind w:left="709"/>
        <w:rPr>
          <w:rFonts w:eastAsia="Calibri"/>
          <w:lang w:eastAsia="en-US"/>
        </w:rPr>
      </w:pPr>
    </w:p>
    <w:p w:rsidR="00CB634C" w:rsidRDefault="00617AA0"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bookmarkStart w:id="37" w:name="_Hlk35381866"/>
      <w:r>
        <w:rPr>
          <w:rFonts w:eastAsia="Calibri"/>
          <w:lang w:eastAsia="en-US"/>
        </w:rPr>
        <w:t xml:space="preserve">caso haja </w:t>
      </w:r>
      <w:r w:rsidR="00680CA1" w:rsidRPr="00680CA1">
        <w:rPr>
          <w:rFonts w:eastAsia="Calibri"/>
          <w:lang w:eastAsia="en-US"/>
        </w:rPr>
        <w:t xml:space="preserve">alteração da política de distribuição de dividendos prevista no Estatuto Social da </w:t>
      </w:r>
      <w:r w:rsidR="00FC7B71">
        <w:rPr>
          <w:rFonts w:eastAsia="Calibri"/>
          <w:lang w:eastAsia="en-US"/>
        </w:rPr>
        <w:t xml:space="preserve">Emissora e/ou da </w:t>
      </w:r>
      <w:r w:rsidR="000B4258">
        <w:rPr>
          <w:rFonts w:eastAsia="Calibri"/>
          <w:lang w:eastAsia="en-US"/>
        </w:rPr>
        <w:t>Garantidora</w:t>
      </w:r>
      <w:r w:rsidR="000B4258" w:rsidRPr="00680CA1">
        <w:rPr>
          <w:rFonts w:eastAsia="Calibri"/>
          <w:lang w:eastAsia="en-US"/>
        </w:rPr>
        <w:t xml:space="preserve"> </w:t>
      </w:r>
      <w:r w:rsidR="00680CA1" w:rsidRPr="00680CA1">
        <w:rPr>
          <w:rFonts w:eastAsia="Calibri"/>
          <w:lang w:eastAsia="en-US"/>
        </w:rPr>
        <w:t xml:space="preserve">vigente nesta data de modo a aumentar a parcela mínima dos lucros da </w:t>
      </w:r>
      <w:r w:rsidR="00FC7B71">
        <w:rPr>
          <w:rFonts w:eastAsia="Calibri"/>
          <w:lang w:eastAsia="en-US"/>
        </w:rPr>
        <w:t xml:space="preserve">Emissora e/ou da </w:t>
      </w:r>
      <w:r w:rsidR="000B4258">
        <w:rPr>
          <w:rFonts w:eastAsia="Calibri"/>
          <w:lang w:eastAsia="en-US"/>
        </w:rPr>
        <w:t>Garantidora</w:t>
      </w:r>
      <w:r w:rsidR="000B4258" w:rsidRPr="00680CA1">
        <w:rPr>
          <w:rFonts w:eastAsia="Calibri"/>
          <w:lang w:eastAsia="en-US"/>
        </w:rPr>
        <w:t xml:space="preserve"> </w:t>
      </w:r>
      <w:r w:rsidR="00680CA1"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310EB3">
        <w:rPr>
          <w:rFonts w:eastAsia="Calibri"/>
          <w:lang w:eastAsia="en-US"/>
        </w:rPr>
        <w:t xml:space="preserve">, (a) até a liquidação integral da </w:t>
      </w:r>
      <w:r w:rsidR="00310EB3" w:rsidRPr="00310EB3">
        <w:rPr>
          <w:rFonts w:eastAsia="Calibri"/>
          <w:iCs/>
          <w:lang w:eastAsia="en-US"/>
        </w:rPr>
        <w:t>Emissão Anterior</w:t>
      </w:r>
      <w:r w:rsidR="00310EB3">
        <w:rPr>
          <w:rFonts w:eastAsia="Calibri"/>
          <w:lang w:eastAsia="en-US"/>
        </w:rPr>
        <w:t xml:space="preserve">, ou ainda (b) caso, no âmbito da Emissão Anterior, os titulares das debêntures deliberem, em assembleia geral de debenturistas, pela anuência em relação à </w:t>
      </w:r>
      <w:r w:rsidR="00310EB3" w:rsidRPr="00680CA1">
        <w:rPr>
          <w:rFonts w:eastAsia="Calibri"/>
          <w:lang w:eastAsia="en-US"/>
        </w:rPr>
        <w:t xml:space="preserve">alteração da política de distribuição de dividendos prevista no Estatuto Social da </w:t>
      </w:r>
      <w:r w:rsidR="00310EB3">
        <w:rPr>
          <w:rFonts w:eastAsia="Calibri"/>
          <w:lang w:eastAsia="en-US"/>
        </w:rPr>
        <w:t>Garantidora</w:t>
      </w:r>
      <w:r w:rsidR="00310EB3" w:rsidRPr="00680CA1">
        <w:rPr>
          <w:rFonts w:eastAsia="Calibri"/>
          <w:lang w:eastAsia="en-US"/>
        </w:rPr>
        <w:t xml:space="preserve"> vigente nesta data</w:t>
      </w:r>
      <w:r>
        <w:rPr>
          <w:rFonts w:eastAsia="Calibri"/>
          <w:lang w:eastAsia="en-US"/>
        </w:rPr>
        <w:t>,</w:t>
      </w:r>
      <w:r w:rsidR="00310EB3" w:rsidRPr="00680CA1">
        <w:rPr>
          <w:rFonts w:eastAsia="Calibri"/>
          <w:lang w:eastAsia="en-US"/>
        </w:rPr>
        <w:t xml:space="preserve"> de modo a aumentar a parcela mínima dos lucros da </w:t>
      </w:r>
      <w:r w:rsidR="00310EB3">
        <w:rPr>
          <w:rFonts w:eastAsia="Calibri"/>
          <w:lang w:eastAsia="en-US"/>
        </w:rPr>
        <w:t>Garantidora</w:t>
      </w:r>
      <w:r w:rsidR="00310EB3" w:rsidRPr="00680CA1">
        <w:rPr>
          <w:rFonts w:eastAsia="Calibri"/>
          <w:lang w:eastAsia="en-US"/>
        </w:rPr>
        <w:t xml:space="preserve"> a ser utilizada para o pagamento de dividendos obrigatórios, juros sobre o capital próprio ou qualquer outra participação no lucro, nos termos do artigo 202 da Lei das Sociedades por Ações</w:t>
      </w:r>
      <w:r w:rsidR="00680CA1" w:rsidRPr="00680CA1">
        <w:rPr>
          <w:rFonts w:eastAsia="Calibri"/>
          <w:lang w:eastAsia="en-US"/>
        </w:rPr>
        <w:t>;</w:t>
      </w:r>
      <w:bookmarkEnd w:id="37"/>
      <w:r w:rsidR="006963CC" w:rsidRPr="00B2481D">
        <w:rPr>
          <w:rFonts w:eastAsia="Calibri"/>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E5568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Pr="00B2481D">
        <w:rPr>
          <w:rFonts w:eastAsia="Calibri"/>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591040"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decisão judicial</w:t>
      </w:r>
      <w:r w:rsidR="0039066F">
        <w:rPr>
          <w:rFonts w:eastAsia="Calibri"/>
          <w:lang w:eastAsia="en-US"/>
        </w:rPr>
        <w:t xml:space="preserve"> </w:t>
      </w:r>
      <w:r>
        <w:rPr>
          <w:rFonts w:eastAsia="Calibri"/>
          <w:lang w:eastAsia="en-US"/>
        </w:rPr>
        <w:t xml:space="preserve">prolatada em 1ª (primeira) instância que comprove a </w:t>
      </w:r>
      <w:r w:rsidR="00680CA1"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00680CA1" w:rsidRPr="00680CA1">
        <w:rPr>
          <w:rFonts w:eastAsia="Calibri"/>
          <w:lang w:eastAsia="en-US"/>
        </w:rPr>
        <w:t xml:space="preserve">e </w:t>
      </w:r>
      <w:r w:rsidR="00E11827">
        <w:rPr>
          <w:rFonts w:eastAsia="Calibri"/>
          <w:lang w:eastAsia="en-US"/>
        </w:rPr>
        <w:t xml:space="preserve">das </w:t>
      </w:r>
      <w:r w:rsidR="00680CA1" w:rsidRPr="00680CA1">
        <w:rPr>
          <w:rFonts w:eastAsia="Calibri"/>
          <w:lang w:eastAsia="en-US"/>
        </w:rPr>
        <w:t>Lei</w:t>
      </w:r>
      <w:r w:rsidR="00E11827">
        <w:rPr>
          <w:rFonts w:eastAsia="Calibri"/>
          <w:lang w:eastAsia="en-US"/>
        </w:rPr>
        <w:t>s</w:t>
      </w:r>
      <w:r w:rsidR="00680CA1"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00680CA1" w:rsidRPr="00680CA1">
        <w:rPr>
          <w:rFonts w:eastAsia="Calibri"/>
          <w:lang w:eastAsia="en-US"/>
        </w:rPr>
        <w:t xml:space="preserve"> pela Emissora e/ou Garantidora ou qualquer de seus acionistas e/ou Controladas, controladoras, coligadas, sociedades sob controle comum, dirigentes, funcionários ou coobrigados;</w:t>
      </w:r>
      <w:r w:rsidR="00340F53">
        <w:rPr>
          <w:rFonts w:eastAsia="Calibri"/>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em valor individual ou agregado igual ou superior a </w:t>
      </w:r>
      <w:r w:rsidRPr="00614963">
        <w:rPr>
          <w:rFonts w:eastAsia="Calibri"/>
          <w:lang w:eastAsia="en-US"/>
        </w:rPr>
        <w:t>R$ 20.000.000,00 (vinte milhões de reais)</w:t>
      </w:r>
      <w:r w:rsidR="00614963">
        <w:rPr>
          <w:rFonts w:eastAsia="Calibri"/>
          <w:lang w:eastAsia="en-US"/>
        </w:rPr>
        <w:t>,</w:t>
      </w:r>
      <w:r w:rsidRPr="00680CA1">
        <w:rPr>
          <w:rFonts w:eastAsia="Calibri"/>
          <w:lang w:eastAsia="en-US"/>
        </w:rPr>
        <w:t xml:space="preserve"> ou o seu equivalente em outras moedas,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680CA1">
        <w:rPr>
          <w:rFonts w:eastAsia="Calibri"/>
          <w:lang w:eastAsia="en-US"/>
        </w:rPr>
        <w:t>salvo se tiver sido validamente comprovado ao agente fiduciário, que o(s) protesto(s) foi(ram) cancelado(s) ou suspenso(s);</w:t>
      </w:r>
      <w:r w:rsidR="00340F53">
        <w:rPr>
          <w:rFonts w:eastAsia="Calibri"/>
          <w:lang w:eastAsia="en-US"/>
        </w:rPr>
        <w:t xml:space="preserve"> </w:t>
      </w:r>
      <w:r w:rsidR="00693A33">
        <w:rPr>
          <w:rFonts w:eastAsia="Calibri"/>
          <w:b/>
          <w:smallCaps/>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693A33">
        <w:rPr>
          <w:rFonts w:eastAsia="Calibri"/>
          <w:b/>
          <w:smallCaps/>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5A0775"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preferência de pagamento, pela Emissora,</w:t>
      </w:r>
      <w:r w:rsidR="00680CA1" w:rsidRPr="00680CA1">
        <w:rPr>
          <w:rFonts w:eastAsia="Calibri"/>
          <w:lang w:eastAsia="en-US"/>
        </w:rPr>
        <w:t xml:space="preserve"> </w:t>
      </w:r>
      <w:r>
        <w:rPr>
          <w:rFonts w:eastAsia="Calibri"/>
          <w:lang w:eastAsia="en-US"/>
        </w:rPr>
        <w:t>de</w:t>
      </w:r>
      <w:r w:rsidRPr="00680CA1">
        <w:rPr>
          <w:rFonts w:eastAsia="Calibri"/>
          <w:lang w:eastAsia="en-US"/>
        </w:rPr>
        <w:t xml:space="preserve"> </w:t>
      </w:r>
      <w:r w:rsidR="00680CA1" w:rsidRPr="00680CA1">
        <w:rPr>
          <w:rFonts w:eastAsia="Calibri"/>
          <w:lang w:eastAsia="en-US"/>
        </w:rPr>
        <w:t xml:space="preserve">qualquer outra dívida da Emissora, </w:t>
      </w:r>
      <w:r w:rsidR="00D01210">
        <w:rPr>
          <w:rFonts w:eastAsia="Calibri"/>
          <w:lang w:eastAsia="en-US"/>
        </w:rPr>
        <w:t>da mesma espécie,</w:t>
      </w:r>
      <w:r>
        <w:rPr>
          <w:rFonts w:eastAsia="Calibri"/>
          <w:lang w:eastAsia="en-US"/>
        </w:rPr>
        <w:t xml:space="preserve"> em detrimento ao pagamento da dívida representada pelas Debêntures,</w:t>
      </w:r>
      <w:r w:rsidR="00D01210">
        <w:rPr>
          <w:rFonts w:eastAsia="Calibri"/>
          <w:lang w:eastAsia="en-US"/>
        </w:rPr>
        <w:t xml:space="preserve"> </w:t>
      </w:r>
      <w:r w:rsidR="00680CA1"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r w:rsidR="00693A33">
        <w:rPr>
          <w:rFonts w:eastAsia="Calibri"/>
          <w:b/>
          <w:smallCaps/>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FC7B7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FC7B71">
        <w:rPr>
          <w:rFonts w:eastAsia="Calibri"/>
          <w:lang w:eastAsia="en-US"/>
        </w:rPr>
        <w:t>não manutenção, pela Emissora (considerando o consolidado das suas subsidiárias integrais, conforme aplicável), do índice financeiro descrito a seguir, o qual será verificado semestralmente pelo Agente Fiduciário com base nas informações enviadas conforme Cláusula 9.1: relação “Dívida Líquida/EBITDA”, a partir do exercício social encerrado em 31 de dezembro de 2019, inclusive, obedeça a tabela abaixo até a Data de Vencimento (“</w:t>
      </w:r>
      <w:r w:rsidRPr="00FC7B71">
        <w:rPr>
          <w:rFonts w:eastAsia="Calibri"/>
          <w:u w:val="single"/>
          <w:lang w:eastAsia="en-US"/>
        </w:rPr>
        <w:t>Índice Financeiro</w:t>
      </w:r>
      <w:r w:rsidRPr="00FC7B71">
        <w:rPr>
          <w:rFonts w:eastAsia="Calibri"/>
          <w:lang w:eastAsia="en-US"/>
        </w:rPr>
        <w:t>”)</w:t>
      </w:r>
      <w:r>
        <w:rPr>
          <w:rFonts w:eastAsia="Calibri"/>
          <w:lang w:eastAsia="en-US"/>
        </w:rPr>
        <w:t xml:space="preserve">, (a) até a liquidação integral da </w:t>
      </w:r>
      <w:r w:rsidRPr="00310EB3">
        <w:rPr>
          <w:rFonts w:eastAsia="Calibri"/>
          <w:iCs/>
          <w:lang w:eastAsia="en-US"/>
        </w:rPr>
        <w:t>Emissão Anterior</w:t>
      </w:r>
      <w:r>
        <w:rPr>
          <w:rFonts w:eastAsia="Calibri"/>
          <w:lang w:eastAsia="en-US"/>
        </w:rPr>
        <w:t xml:space="preserve">, ou ainda (b) caso, no âmbito da Emissão Anterior, os titulares das debêntures deliberem, em assembleia geral de debenturistas, pela anuência em relação à </w:t>
      </w:r>
      <w:r w:rsidRPr="00FC7B71">
        <w:rPr>
          <w:rFonts w:eastAsia="Calibri"/>
          <w:lang w:eastAsia="en-US"/>
        </w:rPr>
        <w:t xml:space="preserve">não manutenção, pela Emissora (considerando o consolidado das suas subsidiárias integrais, conforme aplicável), do </w:t>
      </w:r>
      <w:r w:rsidR="006E37EC">
        <w:rPr>
          <w:rFonts w:eastAsia="Calibri"/>
          <w:lang w:eastAsia="en-US"/>
        </w:rPr>
        <w:t>Í</w:t>
      </w:r>
      <w:r w:rsidRPr="00FC7B71">
        <w:rPr>
          <w:rFonts w:eastAsia="Calibri"/>
          <w:lang w:eastAsia="en-US"/>
        </w:rPr>
        <w:t xml:space="preserve">ndice </w:t>
      </w:r>
      <w:r w:rsidR="006E37EC">
        <w:rPr>
          <w:rFonts w:eastAsia="Calibri"/>
          <w:lang w:eastAsia="en-US"/>
        </w:rPr>
        <w:t>F</w:t>
      </w:r>
      <w:r w:rsidRPr="00FC7B71">
        <w:rPr>
          <w:rFonts w:eastAsia="Calibri"/>
          <w:lang w:eastAsia="en-US"/>
        </w:rPr>
        <w:t xml:space="preserve">inanceiro </w:t>
      </w:r>
      <w:r>
        <w:rPr>
          <w:rFonts w:eastAsia="Calibri"/>
          <w:lang w:eastAsia="en-US"/>
        </w:rPr>
        <w:t>aqui descrito, ou ainda pela alteração do índice financeiro previsto na Emissão Anterior</w:t>
      </w:r>
      <w:r w:rsidRPr="00FC7B71">
        <w:rPr>
          <w:rFonts w:eastAsia="Calibri"/>
          <w:lang w:eastAsia="en-US"/>
        </w:rPr>
        <w:t>. Para os fins dispostos: (a) “</w:t>
      </w:r>
      <w:r w:rsidRPr="00FC7B71">
        <w:rPr>
          <w:rFonts w:eastAsia="Calibri"/>
          <w:u w:val="single"/>
          <w:lang w:eastAsia="en-US"/>
        </w:rPr>
        <w:t>Dívida Líquida</w:t>
      </w:r>
      <w:r w:rsidRPr="00FC7B7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FC7B71">
        <w:rPr>
          <w:rFonts w:eastAsia="Calibri"/>
          <w:u w:val="single"/>
          <w:lang w:eastAsia="en-US"/>
        </w:rPr>
        <w:t>EBITDA</w:t>
      </w:r>
      <w:r w:rsidRPr="00FC7B7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680CA1">
        <w:rPr>
          <w:rFonts w:eastAsia="Calibri"/>
          <w:lang w:eastAsia="en-US"/>
        </w:rPr>
        <w:t>;</w:t>
      </w:r>
      <w:r w:rsidR="00AA122A">
        <w:rPr>
          <w:rFonts w:eastAsia="Calibri"/>
          <w:lang w:eastAsia="en-US"/>
        </w:rPr>
        <w:t xml:space="preserve"> </w:t>
      </w:r>
      <w:r w:rsidR="00366CCA">
        <w:rPr>
          <w:rFonts w:eastAsia="Calibri"/>
          <w:lang w:eastAsia="en-US"/>
        </w:rPr>
        <w:t xml:space="preserve"> </w:t>
      </w:r>
    </w:p>
    <w:p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0"/>
        <w:gridCol w:w="960"/>
        <w:gridCol w:w="960"/>
        <w:gridCol w:w="960"/>
        <w:gridCol w:w="960"/>
        <w:gridCol w:w="860"/>
        <w:gridCol w:w="960"/>
        <w:gridCol w:w="1751"/>
      </w:tblGrid>
      <w:tr w:rsidR="00FC7B71" w:rsidTr="00FC7B71">
        <w:trPr>
          <w:trHeight w:val="300"/>
        </w:trPr>
        <w:tc>
          <w:tcPr>
            <w:tcW w:w="152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rsidP="00FC7B71">
            <w:pPr>
              <w:jc w:val="center"/>
              <w:rPr>
                <w:rFonts w:eastAsia="Calibri"/>
                <w:lang w:eastAsia="en-US"/>
              </w:rPr>
            </w:pPr>
            <w:r>
              <w:rPr>
                <w:rFonts w:eastAsia="Calibri"/>
                <w:lang w:eastAsia="en-US"/>
              </w:rPr>
              <w:t>Período</w:t>
            </w:r>
          </w:p>
        </w:tc>
        <w:tc>
          <w:tcPr>
            <w:tcW w:w="9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2020</w:t>
            </w:r>
          </w:p>
        </w:tc>
        <w:tc>
          <w:tcPr>
            <w:tcW w:w="9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2021</w:t>
            </w:r>
          </w:p>
        </w:tc>
        <w:tc>
          <w:tcPr>
            <w:tcW w:w="9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2022</w:t>
            </w:r>
          </w:p>
        </w:tc>
        <w:tc>
          <w:tcPr>
            <w:tcW w:w="9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2023</w:t>
            </w:r>
          </w:p>
        </w:tc>
        <w:tc>
          <w:tcPr>
            <w:tcW w:w="8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2024</w:t>
            </w:r>
          </w:p>
        </w:tc>
        <w:tc>
          <w:tcPr>
            <w:tcW w:w="960"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2025</w:t>
            </w:r>
          </w:p>
        </w:tc>
        <w:tc>
          <w:tcPr>
            <w:tcW w:w="1751" w:type="dxa"/>
            <w:shd w:val="clear" w:color="auto" w:fill="D9D9D9" w:themeFill="background1" w:themeFillShade="D9"/>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2026 até a Data de Vencimento</w:t>
            </w:r>
          </w:p>
        </w:tc>
      </w:tr>
      <w:tr w:rsidR="00FC7B71" w:rsidTr="006E37EC">
        <w:trPr>
          <w:trHeight w:val="300"/>
        </w:trPr>
        <w:tc>
          <w:tcPr>
            <w:tcW w:w="1520" w:type="dxa"/>
            <w:shd w:val="clear" w:color="auto" w:fill="auto"/>
            <w:noWrap/>
            <w:tcMar>
              <w:top w:w="0" w:type="dxa"/>
              <w:left w:w="70" w:type="dxa"/>
              <w:bottom w:w="0" w:type="dxa"/>
              <w:right w:w="70" w:type="dxa"/>
            </w:tcMar>
            <w:vAlign w:val="center"/>
            <w:hideMark/>
          </w:tcPr>
          <w:p w:rsidR="00FC7B71" w:rsidRPr="00FC7B71" w:rsidRDefault="00FC7B71" w:rsidP="006E37EC">
            <w:pPr>
              <w:pStyle w:val="xmso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Dívida Líquida/ EBITDA</w:t>
            </w:r>
          </w:p>
        </w:tc>
        <w:tc>
          <w:tcPr>
            <w:tcW w:w="9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2,00</w:t>
            </w:r>
          </w:p>
        </w:tc>
        <w:tc>
          <w:tcPr>
            <w:tcW w:w="9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2,50</w:t>
            </w:r>
          </w:p>
        </w:tc>
        <w:tc>
          <w:tcPr>
            <w:tcW w:w="9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2,25</w:t>
            </w:r>
          </w:p>
        </w:tc>
        <w:tc>
          <w:tcPr>
            <w:tcW w:w="9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2,00</w:t>
            </w:r>
          </w:p>
        </w:tc>
        <w:tc>
          <w:tcPr>
            <w:tcW w:w="8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2,00</w:t>
            </w:r>
          </w:p>
        </w:tc>
        <w:tc>
          <w:tcPr>
            <w:tcW w:w="960"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2,00</w:t>
            </w:r>
          </w:p>
        </w:tc>
        <w:tc>
          <w:tcPr>
            <w:tcW w:w="1751" w:type="dxa"/>
            <w:shd w:val="clear" w:color="auto" w:fill="auto"/>
            <w:noWrap/>
            <w:tcMar>
              <w:top w:w="0" w:type="dxa"/>
              <w:left w:w="70" w:type="dxa"/>
              <w:bottom w:w="0" w:type="dxa"/>
              <w:right w:w="70" w:type="dxa"/>
            </w:tcMar>
            <w:vAlign w:val="center"/>
            <w:hideMark/>
          </w:tcPr>
          <w:p w:rsidR="00FC7B71" w:rsidRPr="00FC7B71" w:rsidRDefault="00FC7B71">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2,00</w:t>
            </w:r>
          </w:p>
        </w:tc>
      </w:tr>
    </w:tbl>
    <w:p w:rsidR="00FC7B71" w:rsidRDefault="00FC7B71" w:rsidP="00AC018B">
      <w:pPr>
        <w:pStyle w:val="PargrafodaLista"/>
        <w:tabs>
          <w:tab w:val="left" w:pos="0"/>
        </w:tabs>
        <w:suppressAutoHyphens/>
        <w:autoSpaceDE w:val="0"/>
        <w:spacing w:line="312" w:lineRule="auto"/>
        <w:ind w:left="732"/>
        <w:jc w:val="both"/>
        <w:rPr>
          <w:rFonts w:eastAsia="Calibri"/>
          <w:lang w:eastAsia="en-US"/>
        </w:rPr>
      </w:pPr>
    </w:p>
    <w:p w:rsidR="00AA122A" w:rsidRPr="00FC7B71" w:rsidRDefault="00FC7B7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FC7B71">
        <w:rPr>
          <w:rFonts w:eastAsia="Calibri"/>
          <w:lang w:eastAsia="en-US"/>
        </w:rPr>
        <w:t>não manutenção, pela Garantidora (considerando o consolidado das suas subsidiárias integrais, conforme aplicável), do índice financeiro descrito a seguir, o qual será acompanhado semestralmente pelo Agente Fiduciário com base nas informações enviadas conforme Cláusula 9.1: relação “Dívida Líquida/EBITDA”, a partir do exercício social encerrado em 31 de dezembro de 2019, inclusive, obedeça a tabela abaixo até a Data de Vencimento (“</w:t>
      </w:r>
      <w:r w:rsidRPr="00FC7B71">
        <w:rPr>
          <w:rFonts w:eastAsia="Calibri"/>
          <w:u w:val="single"/>
          <w:lang w:eastAsia="en-US"/>
        </w:rPr>
        <w:t>Índice Financeiro</w:t>
      </w:r>
      <w:r w:rsidR="006E37EC">
        <w:rPr>
          <w:rFonts w:eastAsia="Calibri"/>
          <w:u w:val="single"/>
          <w:lang w:eastAsia="en-US"/>
        </w:rPr>
        <w:t xml:space="preserve"> Garantidora</w:t>
      </w:r>
      <w:r w:rsidRPr="00FC7B71">
        <w:rPr>
          <w:rFonts w:eastAsia="Calibri"/>
          <w:lang w:eastAsia="en-US"/>
        </w:rPr>
        <w:t>”)</w:t>
      </w:r>
      <w:r w:rsidR="006E37EC" w:rsidRPr="006E37EC">
        <w:rPr>
          <w:rFonts w:eastAsia="Calibri"/>
          <w:lang w:eastAsia="en-US"/>
        </w:rPr>
        <w:t xml:space="preserve"> </w:t>
      </w:r>
      <w:r w:rsidR="006E37EC">
        <w:rPr>
          <w:rFonts w:eastAsia="Calibri"/>
          <w:lang w:eastAsia="en-US"/>
        </w:rPr>
        <w:t xml:space="preserve">(a) até a liquidação integral da </w:t>
      </w:r>
      <w:r w:rsidR="006E37EC" w:rsidRPr="00310EB3">
        <w:rPr>
          <w:rFonts w:eastAsia="Calibri"/>
          <w:iCs/>
          <w:lang w:eastAsia="en-US"/>
        </w:rPr>
        <w:t>Emissão Anterior</w:t>
      </w:r>
      <w:r w:rsidR="006E37EC">
        <w:rPr>
          <w:rFonts w:eastAsia="Calibri"/>
          <w:iCs/>
          <w:lang w:eastAsia="en-US"/>
        </w:rPr>
        <w:t xml:space="preserve"> e/ou da 3ª (terceira) emissão de debêntures simples, em série única, da Garantidora (“</w:t>
      </w:r>
      <w:r w:rsidR="006E37EC" w:rsidRPr="006E37EC">
        <w:rPr>
          <w:rFonts w:eastAsia="Calibri"/>
          <w:iCs/>
          <w:u w:val="single"/>
          <w:lang w:eastAsia="en-US"/>
        </w:rPr>
        <w:t>Emissão Anterior da Garantidora</w:t>
      </w:r>
      <w:r w:rsidR="006E37EC">
        <w:rPr>
          <w:rFonts w:eastAsia="Calibri"/>
          <w:iCs/>
          <w:lang w:eastAsia="en-US"/>
        </w:rPr>
        <w:t>”)</w:t>
      </w:r>
      <w:r w:rsidR="006E37EC">
        <w:rPr>
          <w:rFonts w:eastAsia="Calibri"/>
          <w:lang w:eastAsia="en-US"/>
        </w:rPr>
        <w:t>, ou ainda (b) caso, no âmbito da Emissão Anterior</w:t>
      </w:r>
      <w:r w:rsidR="006E37EC">
        <w:rPr>
          <w:rFonts w:eastAsia="Calibri"/>
          <w:lang w:eastAsia="en-US"/>
        </w:rPr>
        <w:t xml:space="preserve"> ou da </w:t>
      </w:r>
      <w:r w:rsidR="006E37EC" w:rsidRPr="006E37EC">
        <w:rPr>
          <w:rFonts w:eastAsia="Calibri"/>
          <w:iCs/>
          <w:lang w:eastAsia="en-US"/>
        </w:rPr>
        <w:t>Emissão Anterior da Garantidora</w:t>
      </w:r>
      <w:r w:rsidR="006E37EC">
        <w:rPr>
          <w:rFonts w:eastAsia="Calibri"/>
          <w:lang w:eastAsia="en-US"/>
        </w:rPr>
        <w:t xml:space="preserve">, os </w:t>
      </w:r>
      <w:r w:rsidR="006E37EC">
        <w:rPr>
          <w:rFonts w:eastAsia="Calibri"/>
          <w:lang w:eastAsia="en-US"/>
        </w:rPr>
        <w:t xml:space="preserve">seus respectivos </w:t>
      </w:r>
      <w:r w:rsidR="006E37EC">
        <w:rPr>
          <w:rFonts w:eastAsia="Calibri"/>
          <w:lang w:eastAsia="en-US"/>
        </w:rPr>
        <w:t xml:space="preserve">titulares das debêntures deliberem, em assembleia geral de debenturistas, pela anuência em relação à </w:t>
      </w:r>
      <w:r w:rsidR="006E37EC" w:rsidRPr="00FC7B71">
        <w:rPr>
          <w:rFonts w:eastAsia="Calibri"/>
          <w:lang w:eastAsia="en-US"/>
        </w:rPr>
        <w:t xml:space="preserve">não manutenção, pela </w:t>
      </w:r>
      <w:r w:rsidR="006E37EC">
        <w:rPr>
          <w:rFonts w:eastAsia="Calibri"/>
          <w:lang w:eastAsia="en-US"/>
        </w:rPr>
        <w:t xml:space="preserve">Garantidora </w:t>
      </w:r>
      <w:r w:rsidR="006E37EC" w:rsidRPr="00FC7B71">
        <w:rPr>
          <w:rFonts w:eastAsia="Calibri"/>
          <w:lang w:eastAsia="en-US"/>
        </w:rPr>
        <w:t xml:space="preserve">(considerando o consolidado das suas subsidiárias integrais, conforme aplicável), do </w:t>
      </w:r>
      <w:r w:rsidR="006E37EC">
        <w:rPr>
          <w:rFonts w:eastAsia="Calibri"/>
          <w:lang w:eastAsia="en-US"/>
        </w:rPr>
        <w:t>Í</w:t>
      </w:r>
      <w:r w:rsidR="006E37EC" w:rsidRPr="00FC7B71">
        <w:rPr>
          <w:rFonts w:eastAsia="Calibri"/>
          <w:lang w:eastAsia="en-US"/>
        </w:rPr>
        <w:t xml:space="preserve">ndice </w:t>
      </w:r>
      <w:r w:rsidR="006E37EC">
        <w:rPr>
          <w:rFonts w:eastAsia="Calibri"/>
          <w:lang w:eastAsia="en-US"/>
        </w:rPr>
        <w:t>F</w:t>
      </w:r>
      <w:r w:rsidR="006E37EC" w:rsidRPr="00FC7B71">
        <w:rPr>
          <w:rFonts w:eastAsia="Calibri"/>
          <w:lang w:eastAsia="en-US"/>
        </w:rPr>
        <w:t xml:space="preserve">inanceiro </w:t>
      </w:r>
      <w:r w:rsidR="006E37EC">
        <w:rPr>
          <w:rFonts w:eastAsia="Calibri"/>
          <w:lang w:eastAsia="en-US"/>
        </w:rPr>
        <w:t xml:space="preserve">Garantidora </w:t>
      </w:r>
      <w:r w:rsidR="006E37EC">
        <w:rPr>
          <w:rFonts w:eastAsia="Calibri"/>
          <w:lang w:eastAsia="en-US"/>
        </w:rPr>
        <w:t>aqui descrito, ou ainda pela alteração do índice financeiro previsto na Emissão Anterior</w:t>
      </w:r>
      <w:r w:rsidR="006E37EC">
        <w:rPr>
          <w:rFonts w:eastAsia="Calibri"/>
          <w:lang w:eastAsia="en-US"/>
        </w:rPr>
        <w:t xml:space="preserve"> e/ou na Emissão Anterior da Garantidora</w:t>
      </w:r>
      <w:r w:rsidRPr="00FC7B71">
        <w:rPr>
          <w:rFonts w:eastAsia="Calibri"/>
          <w:lang w:eastAsia="en-US"/>
        </w:rPr>
        <w:t>.</w:t>
      </w:r>
      <w:r w:rsidRPr="00FC7B71" w:rsidDel="00FC7B71">
        <w:rPr>
          <w:rFonts w:eastAsia="Calibri"/>
          <w:lang w:eastAsia="en-US"/>
        </w:rPr>
        <w:t xml:space="preserve"> </w:t>
      </w:r>
    </w:p>
    <w:p w:rsidR="00807A6A" w:rsidRDefault="00807A6A" w:rsidP="00AC018B">
      <w:pPr>
        <w:pStyle w:val="PargrafodaLista"/>
        <w:spacing w:line="312" w:lineRule="auto"/>
        <w:rPr>
          <w:rFonts w:eastAsia="Calibri"/>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0"/>
        <w:gridCol w:w="960"/>
        <w:gridCol w:w="960"/>
        <w:gridCol w:w="960"/>
        <w:gridCol w:w="960"/>
        <w:gridCol w:w="860"/>
        <w:gridCol w:w="960"/>
        <w:gridCol w:w="1751"/>
      </w:tblGrid>
      <w:tr w:rsidR="006E37EC" w:rsidTr="00B457D3">
        <w:trPr>
          <w:trHeight w:val="300"/>
        </w:trPr>
        <w:tc>
          <w:tcPr>
            <w:tcW w:w="152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jc w:val="center"/>
              <w:rPr>
                <w:rFonts w:eastAsia="Calibri"/>
                <w:lang w:eastAsia="en-US"/>
              </w:rPr>
            </w:pPr>
            <w:r>
              <w:rPr>
                <w:rFonts w:eastAsia="Calibri"/>
                <w:lang w:eastAsia="en-US"/>
              </w:rPr>
              <w:t>Período</w:t>
            </w:r>
          </w:p>
        </w:tc>
        <w:tc>
          <w:tcPr>
            <w:tcW w:w="9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2020</w:t>
            </w:r>
          </w:p>
        </w:tc>
        <w:tc>
          <w:tcPr>
            <w:tcW w:w="9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2021</w:t>
            </w:r>
          </w:p>
        </w:tc>
        <w:tc>
          <w:tcPr>
            <w:tcW w:w="9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2022</w:t>
            </w:r>
          </w:p>
        </w:tc>
        <w:tc>
          <w:tcPr>
            <w:tcW w:w="9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2023</w:t>
            </w:r>
          </w:p>
        </w:tc>
        <w:tc>
          <w:tcPr>
            <w:tcW w:w="8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2024</w:t>
            </w:r>
          </w:p>
        </w:tc>
        <w:tc>
          <w:tcPr>
            <w:tcW w:w="960"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2025</w:t>
            </w:r>
          </w:p>
        </w:tc>
        <w:tc>
          <w:tcPr>
            <w:tcW w:w="1751" w:type="dxa"/>
            <w:shd w:val="clear" w:color="auto" w:fill="D9D9D9" w:themeFill="background1" w:themeFillShade="D9"/>
            <w:noWrap/>
            <w:tcMar>
              <w:top w:w="0" w:type="dxa"/>
              <w:left w:w="70" w:type="dxa"/>
              <w:bottom w:w="0" w:type="dxa"/>
              <w:right w:w="70" w:type="dxa"/>
            </w:tcMar>
            <w:vAlign w:val="center"/>
            <w:hideMark/>
          </w:tcPr>
          <w:p w:rsidR="006E37EC" w:rsidRPr="00FC7B71" w:rsidRDefault="006E37EC" w:rsidP="00B457D3">
            <w:pPr>
              <w:pStyle w:val="xmsonormal"/>
              <w:jc w:val="center"/>
              <w:rPr>
                <w:rFonts w:ascii="Times New Roman" w:eastAsia="Calibri" w:hAnsi="Times New Roman" w:cs="Times New Roman"/>
                <w:sz w:val="24"/>
                <w:szCs w:val="24"/>
                <w:lang w:eastAsia="en-US"/>
              </w:rPr>
            </w:pPr>
            <w:r w:rsidRPr="00FC7B71">
              <w:rPr>
                <w:rFonts w:ascii="Times New Roman" w:eastAsia="Calibri" w:hAnsi="Times New Roman" w:cs="Times New Roman"/>
                <w:sz w:val="24"/>
                <w:szCs w:val="24"/>
                <w:lang w:eastAsia="en-US"/>
              </w:rPr>
              <w:t>2026 até a Data de Vencimento</w:t>
            </w:r>
          </w:p>
        </w:tc>
      </w:tr>
      <w:tr w:rsidR="006E37EC" w:rsidTr="00B457D3">
        <w:trPr>
          <w:trHeight w:val="300"/>
        </w:trPr>
        <w:tc>
          <w:tcPr>
            <w:tcW w:w="152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Dívida Líquida/ EBITDA</w:t>
            </w:r>
          </w:p>
        </w:tc>
        <w:tc>
          <w:tcPr>
            <w:tcW w:w="9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3,00</w:t>
            </w:r>
          </w:p>
        </w:tc>
        <w:tc>
          <w:tcPr>
            <w:tcW w:w="9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3,25</w:t>
            </w:r>
          </w:p>
        </w:tc>
        <w:tc>
          <w:tcPr>
            <w:tcW w:w="9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3,50</w:t>
            </w:r>
          </w:p>
        </w:tc>
        <w:tc>
          <w:tcPr>
            <w:tcW w:w="9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3,50</w:t>
            </w:r>
          </w:p>
        </w:tc>
        <w:tc>
          <w:tcPr>
            <w:tcW w:w="8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3,25</w:t>
            </w:r>
          </w:p>
        </w:tc>
        <w:tc>
          <w:tcPr>
            <w:tcW w:w="960"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3,00</w:t>
            </w:r>
          </w:p>
        </w:tc>
        <w:tc>
          <w:tcPr>
            <w:tcW w:w="1751" w:type="dxa"/>
            <w:shd w:val="clear" w:color="auto" w:fill="auto"/>
            <w:noWrap/>
            <w:tcMar>
              <w:top w:w="0" w:type="dxa"/>
              <w:left w:w="70" w:type="dxa"/>
              <w:bottom w:w="0" w:type="dxa"/>
              <w:right w:w="70" w:type="dxa"/>
            </w:tcMar>
            <w:vAlign w:val="center"/>
            <w:hideMark/>
          </w:tcPr>
          <w:p w:rsidR="006E37EC" w:rsidRPr="00FC7B71" w:rsidRDefault="006E37EC" w:rsidP="006E37EC">
            <w:pPr>
              <w:pStyle w:val="xmsonormal"/>
              <w:jc w:val="center"/>
              <w:rPr>
                <w:rFonts w:ascii="Times New Roman" w:eastAsia="Calibri" w:hAnsi="Times New Roman" w:cs="Times New Roman"/>
                <w:sz w:val="24"/>
                <w:szCs w:val="24"/>
                <w:lang w:eastAsia="en-US"/>
              </w:rPr>
            </w:pPr>
            <w:r w:rsidRPr="006E37EC">
              <w:rPr>
                <w:rFonts w:ascii="Times New Roman" w:eastAsia="Calibri" w:hAnsi="Times New Roman" w:cs="Times New Roman"/>
                <w:sz w:val="24"/>
                <w:szCs w:val="24"/>
                <w:lang w:eastAsia="en-US"/>
              </w:rPr>
              <w:t>3,00</w:t>
            </w:r>
          </w:p>
        </w:tc>
      </w:tr>
    </w:tbl>
    <w:p w:rsidR="006E37EC" w:rsidRDefault="006E37EC" w:rsidP="00AC018B">
      <w:pPr>
        <w:pStyle w:val="PargrafodaLista"/>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PargrafodaLista"/>
        <w:spacing w:line="312" w:lineRule="auto"/>
        <w:rPr>
          <w:rFonts w:eastAsia="Calibri"/>
          <w:lang w:eastAsia="en-US"/>
        </w:rPr>
      </w:pPr>
    </w:p>
    <w:p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CE1209">
        <w:rPr>
          <w:rFonts w:eastAsia="Calibri"/>
          <w:lang w:eastAsia="en-US"/>
        </w:rPr>
        <w:t>R$ 20.000.000,00 (vinte milhões de reais)</w:t>
      </w:r>
      <w:r w:rsidR="00A13E65">
        <w:rPr>
          <w:rFonts w:eastAsia="Calibri"/>
          <w:lang w:eastAsia="en-US"/>
        </w:rPr>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Pr="00AA122A">
        <w:rPr>
          <w:rFonts w:eastAsia="Calibri"/>
          <w:lang w:eastAsia="en-US"/>
        </w:rPr>
        <w:t>;</w:t>
      </w:r>
      <w:r w:rsidR="00AE75EC" w:rsidRPr="00B2481D">
        <w:rPr>
          <w:rFonts w:eastAsia="Calibri"/>
          <w:lang w:eastAsia="en-US"/>
        </w:rPr>
        <w:t xml:space="preserve"> </w:t>
      </w:r>
    </w:p>
    <w:p w:rsidR="001D45D9" w:rsidRPr="00B2481D" w:rsidRDefault="001D45D9"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PargrafodaLista"/>
        <w:spacing w:line="312" w:lineRule="auto"/>
        <w:rPr>
          <w:rFonts w:eastAsia="Calibri"/>
          <w:lang w:eastAsia="en-US"/>
        </w:rPr>
      </w:pPr>
    </w:p>
    <w:p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PargrafodaLista"/>
        <w:spacing w:line="312" w:lineRule="auto"/>
        <w:ind w:left="900"/>
        <w:jc w:val="both"/>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PargrafodaLista"/>
        <w:spacing w:line="312" w:lineRule="auto"/>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rsidR="0087339E" w:rsidRPr="00B2481D" w:rsidRDefault="0087339E" w:rsidP="005A7305">
      <w:pPr>
        <w:rPr>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20% (vinte por cento) da receita operacional bruta da Emissora, apurada e refletida no último demonstrativo contábil auditado ou objeto da revisão limitada da Emissora, disponível à época;</w:t>
      </w:r>
      <w:r w:rsidR="00CE1209">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r w:rsidRPr="00CE1209">
        <w:t>R$ 20.000.000,00 (vinte milhões de reais)</w:t>
      </w:r>
      <w:r w:rsidR="00A13E65">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AA122A">
        <w:t xml:space="preserve"> e, com relação aos processos administrativos, desde que a Emissora não tenha obtido provimento jurisdicional que suspenda seus efeitos no prazo de </w:t>
      </w:r>
      <w:r w:rsidRPr="00CE1209">
        <w:t>15 (quinze) dias</w:t>
      </w:r>
      <w:r w:rsidRPr="00AA122A">
        <w:t xml:space="preserve"> contados da intimação da respectiva decisão;</w:t>
      </w:r>
      <w:r w:rsidR="00F76891">
        <w:t xml:space="preserve"> </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PargrafodaLista"/>
        <w:spacing w:line="312" w:lineRule="auto"/>
        <w:rPr>
          <w:rFonts w:eastAsia="Calibri"/>
          <w:lang w:eastAsia="en-US"/>
        </w:rPr>
      </w:pPr>
    </w:p>
    <w:p w:rsidR="0016065C"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PargrafodaLista"/>
        <w:rPr>
          <w:rFonts w:eastAsia="Calibri"/>
          <w:lang w:eastAsia="en-US"/>
        </w:rPr>
      </w:pPr>
    </w:p>
    <w:p w:rsidR="00F76891" w:rsidRPr="00B2481D" w:rsidRDefault="00F76891"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10 (dez) </w:t>
      </w:r>
      <w:r w:rsidR="00A13E65">
        <w:rPr>
          <w:rFonts w:eastAsia="Calibri"/>
          <w:lang w:eastAsia="en-US"/>
        </w:rPr>
        <w:t>D</w:t>
      </w:r>
      <w:r w:rsidRPr="00AA122A">
        <w:rPr>
          <w:rFonts w:eastAsia="Calibri"/>
          <w:lang w:eastAsia="en-US"/>
        </w:rPr>
        <w:t xml:space="preserve">ias </w:t>
      </w:r>
      <w:r w:rsidR="00A13E65">
        <w:rPr>
          <w:rFonts w:eastAsia="Calibri"/>
          <w:lang w:eastAsia="en-US"/>
        </w:rPr>
        <w:t>Úteis</w:t>
      </w:r>
      <w:r w:rsidRPr="00AA122A">
        <w:rPr>
          <w:rFonts w:eastAsia="Calibri"/>
          <w:lang w:eastAsia="en-US"/>
        </w:rPr>
        <w:t xml:space="preserve"> contados da data do respectivo inadimplemento;</w:t>
      </w:r>
      <w:r w:rsidR="002A38F3" w:rsidRPr="00B2481D">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AA122A" w:rsidRP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F76891" w:rsidRPr="00F76891" w:rsidRDefault="00F76891" w:rsidP="00617AA0">
      <w:pPr>
        <w:pStyle w:val="PargrafodaLista"/>
        <w:tabs>
          <w:tab w:val="left" w:pos="0"/>
        </w:tabs>
        <w:spacing w:line="312" w:lineRule="auto"/>
        <w:ind w:left="720"/>
        <w:jc w:val="both"/>
        <w:rPr>
          <w:rFonts w:eastAsia="Calibri"/>
          <w:lang w:eastAsia="en-US"/>
        </w:rPr>
      </w:pPr>
    </w:p>
    <w:p w:rsidR="00F76891" w:rsidRPr="00B13F17" w:rsidRDefault="00DD6899"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r w:rsidRPr="00B13F17">
        <w:rPr>
          <w:rFonts w:eastAsia="Calibri"/>
          <w:i/>
          <w:lang w:eastAsia="en-US"/>
        </w:rPr>
        <w:t>notches</w:t>
      </w:r>
      <w:r w:rsidRPr="00B13F17">
        <w:rPr>
          <w:rFonts w:eastAsia="Calibri"/>
          <w:lang w:eastAsia="en-US"/>
        </w:rPr>
        <w:t xml:space="preserve">, pela Fitch Ratings, Moody’s e/ou Standard and Poor’s, em relação aos </w:t>
      </w:r>
      <w:r w:rsidRPr="00B13F17">
        <w:rPr>
          <w:rFonts w:eastAsia="Calibri"/>
          <w:i/>
          <w:lang w:eastAsia="en-US"/>
        </w:rPr>
        <w:t>notches</w:t>
      </w:r>
      <w:r w:rsidRPr="00B13F17">
        <w:rPr>
          <w:rFonts w:eastAsia="Calibri"/>
          <w:lang w:eastAsia="en-US"/>
        </w:rPr>
        <w:t xml:space="preserve"> vigentes na data de assinatura desta Escritura de Emissão, quais sejam: </w:t>
      </w:r>
      <w:r w:rsidRPr="00AC018B">
        <w:rPr>
          <w:rFonts w:eastAsia="Calibri"/>
          <w:lang w:eastAsia="en-US"/>
        </w:rPr>
        <w:t>AA(bra)</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Poor’s</w:t>
      </w:r>
      <w:r>
        <w:rPr>
          <w:rFonts w:eastAsia="Calibri"/>
          <w:lang w:eastAsia="en-US"/>
        </w:rPr>
        <w:t>;</w:t>
      </w:r>
    </w:p>
    <w:p w:rsidR="00891622" w:rsidRPr="00B2481D" w:rsidRDefault="00891622" w:rsidP="00880187">
      <w:pPr>
        <w:rPr>
          <w:lang w:eastAsia="en-US"/>
        </w:rPr>
      </w:pPr>
    </w:p>
    <w:p w:rsid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591040" w:rsidRDefault="00591040" w:rsidP="00591040">
      <w:pPr>
        <w:pStyle w:val="PargrafodaLista"/>
        <w:tabs>
          <w:tab w:val="left" w:pos="0"/>
        </w:tabs>
        <w:spacing w:line="312" w:lineRule="auto"/>
        <w:ind w:left="720"/>
        <w:jc w:val="both"/>
        <w:rPr>
          <w:rFonts w:eastAsia="Calibri"/>
          <w:lang w:eastAsia="en-US"/>
        </w:rPr>
      </w:pPr>
    </w:p>
    <w:p w:rsidR="00591040" w:rsidRDefault="00591040" w:rsidP="00A47991">
      <w:pPr>
        <w:pStyle w:val="PargrafodaLista"/>
        <w:numPr>
          <w:ilvl w:val="0"/>
          <w:numId w:val="24"/>
        </w:numPr>
        <w:tabs>
          <w:tab w:val="left" w:pos="0"/>
        </w:tabs>
        <w:spacing w:line="312" w:lineRule="auto"/>
        <w:ind w:left="720"/>
        <w:jc w:val="both"/>
        <w:rPr>
          <w:rFonts w:eastAsia="Calibri"/>
          <w:lang w:eastAsia="en-US"/>
        </w:rPr>
      </w:pPr>
      <w:r>
        <w:rPr>
          <w:rFonts w:eastAsia="Calibri"/>
          <w:lang w:eastAsia="en-US"/>
        </w:rPr>
        <w:t xml:space="preserve">ocorrência de qualquer indício de </w:t>
      </w:r>
      <w:r w:rsidRPr="00680CA1">
        <w:rPr>
          <w:rFonts w:eastAsia="Calibri"/>
          <w:lang w:eastAsia="en-US"/>
        </w:rPr>
        <w:t>violação de qualquer dispositivo d</w:t>
      </w:r>
      <w:r>
        <w:rPr>
          <w:rFonts w:eastAsia="Calibri"/>
          <w:lang w:eastAsia="en-US"/>
        </w:rPr>
        <w:t xml:space="preserve">a </w:t>
      </w:r>
      <w:r w:rsidRPr="00591040">
        <w:rPr>
          <w:rFonts w:eastAsia="Calibri"/>
          <w:lang w:eastAsia="en-US"/>
        </w:rPr>
        <w:t>Lei de Defesa da Concorrência</w:t>
      </w:r>
      <w:r>
        <w:rPr>
          <w:rFonts w:eastAsia="Calibri"/>
          <w:lang w:eastAsia="en-US"/>
        </w:rPr>
        <w:t xml:space="preserve">, da </w:t>
      </w:r>
      <w:r w:rsidRPr="00591040">
        <w:rPr>
          <w:rFonts w:eastAsia="Calibri"/>
          <w:lang w:eastAsia="en-US"/>
        </w:rPr>
        <w:t>Lei da Improbidade Administrativa</w:t>
      </w:r>
      <w:r>
        <w:rPr>
          <w:rFonts w:eastAsia="Calibri"/>
          <w:lang w:eastAsia="en-US"/>
        </w:rPr>
        <w:t xml:space="preserve">, da </w:t>
      </w:r>
      <w:r w:rsidRPr="00591040">
        <w:rPr>
          <w:rFonts w:eastAsia="Calibri"/>
          <w:lang w:eastAsia="en-US"/>
        </w:rPr>
        <w:t>Lei 12.846</w:t>
      </w:r>
      <w:r>
        <w:rPr>
          <w:rFonts w:eastAsia="Calibri"/>
          <w:lang w:eastAsia="en-US"/>
        </w:rPr>
        <w:t xml:space="preserve"> </w:t>
      </w:r>
      <w:r w:rsidRPr="00680CA1">
        <w:rPr>
          <w:rFonts w:eastAsia="Calibri"/>
          <w:lang w:eastAsia="en-US"/>
        </w:rPr>
        <w:t xml:space="preserve">e </w:t>
      </w:r>
      <w:r>
        <w:rPr>
          <w:rFonts w:eastAsia="Calibri"/>
          <w:lang w:eastAsia="en-US"/>
        </w:rPr>
        <w:t xml:space="preserve">das </w:t>
      </w:r>
      <w:r w:rsidRPr="00680CA1">
        <w:rPr>
          <w:rFonts w:eastAsia="Calibri"/>
          <w:lang w:eastAsia="en-US"/>
        </w:rPr>
        <w:t>Lei</w:t>
      </w:r>
      <w:r>
        <w:rPr>
          <w:rFonts w:eastAsia="Calibri"/>
          <w:lang w:eastAsia="en-US"/>
        </w:rPr>
        <w:t>s</w:t>
      </w:r>
      <w:r w:rsidRPr="00680CA1">
        <w:rPr>
          <w:rFonts w:eastAsia="Calibri"/>
          <w:lang w:eastAsia="en-US"/>
        </w:rPr>
        <w:t xml:space="preserve"> Anticorrupçã</w:t>
      </w:r>
      <w:r>
        <w:rPr>
          <w:rFonts w:eastAsia="Calibri"/>
          <w:lang w:eastAsia="en-US"/>
        </w:rPr>
        <w:t xml:space="preserve">o </w:t>
      </w:r>
      <w:r w:rsidRPr="00680CA1">
        <w:rPr>
          <w:rFonts w:eastAsia="Calibri"/>
          <w:lang w:eastAsia="en-US"/>
        </w:rPr>
        <w:t>pela Emissora e/ou Garantidora ou qualquer de seus acionistas e/ou Controladas, controladoras, coligadas, sociedades sob controle comum, dirigentes, funcionários ou coobrigados;</w:t>
      </w:r>
    </w:p>
    <w:p w:rsidR="00B86384" w:rsidRPr="00B86384" w:rsidRDefault="00B86384" w:rsidP="00B86384">
      <w:pPr>
        <w:pStyle w:val="PargrafodaLista"/>
        <w:rPr>
          <w:rFonts w:eastAsia="Calibri"/>
          <w:lang w:eastAsia="en-US"/>
        </w:rPr>
      </w:pPr>
    </w:p>
    <w:p w:rsidR="00B86384" w:rsidRDefault="00B86384" w:rsidP="00A47991">
      <w:pPr>
        <w:pStyle w:val="PargrafodaLista"/>
        <w:numPr>
          <w:ilvl w:val="0"/>
          <w:numId w:val="24"/>
        </w:numPr>
        <w:tabs>
          <w:tab w:val="left" w:pos="0"/>
        </w:tabs>
        <w:spacing w:line="312" w:lineRule="auto"/>
        <w:ind w:left="720"/>
        <w:jc w:val="both"/>
        <w:rPr>
          <w:rFonts w:eastAsia="Calibri"/>
          <w:lang w:eastAsia="en-US"/>
        </w:rPr>
      </w:pPr>
      <w:r w:rsidRPr="00747BA2">
        <w:rPr>
          <w:rFonts w:eastAsia="Calibri"/>
          <w:lang w:eastAsia="en-US"/>
        </w:rPr>
        <w:t xml:space="preserve">protesto(s) legítimo(s) de título(s) contra a </w:t>
      </w:r>
      <w:r>
        <w:rPr>
          <w:rFonts w:eastAsia="Calibri"/>
          <w:lang w:eastAsia="en-US"/>
        </w:rPr>
        <w:t>Garantidora</w:t>
      </w:r>
      <w:r w:rsidRPr="00680CA1">
        <w:rPr>
          <w:rFonts w:eastAsia="Calibri"/>
          <w:lang w:eastAsia="en-US"/>
        </w:rPr>
        <w:t xml:space="preserve"> em valor individual ou agregado igual ou superior a </w:t>
      </w:r>
      <w:r w:rsidRPr="00614963">
        <w:rPr>
          <w:rFonts w:eastAsia="Calibri"/>
          <w:lang w:eastAsia="en-US"/>
        </w:rPr>
        <w:t>R$ 20.000.000,00 (vinte milhões de reais)</w:t>
      </w:r>
      <w:r>
        <w:rPr>
          <w:rFonts w:eastAsia="Calibri"/>
          <w:lang w:eastAsia="en-US"/>
        </w:rPr>
        <w:t>,</w:t>
      </w:r>
      <w:r w:rsidRPr="00680CA1">
        <w:rPr>
          <w:rFonts w:eastAsia="Calibri"/>
          <w:lang w:eastAsia="en-US"/>
        </w:rPr>
        <w:t xml:space="preserve"> ou o seu equivalente em outras moedas, </w:t>
      </w:r>
      <w:r w:rsidRPr="00680CA1">
        <w:t xml:space="preserve">sendo que estes valores deverão ser atualizados mensalmente pelo </w:t>
      </w:r>
      <w:r w:rsidRPr="00A13E65">
        <w:t>IPCA</w:t>
      </w:r>
      <w:r w:rsidRPr="00680CA1">
        <w:t xml:space="preserve"> a partir da Data de Emissão</w:t>
      </w:r>
      <w:r>
        <w:rPr>
          <w:rFonts w:eastAsia="Calibri"/>
          <w:lang w:eastAsia="en-US"/>
        </w:rPr>
        <w:t xml:space="preserve">, </w:t>
      </w:r>
      <w:r w:rsidRPr="00680CA1">
        <w:rPr>
          <w:rFonts w:eastAsia="Calibri"/>
          <w:lang w:eastAsia="en-US"/>
        </w:rPr>
        <w:t>salvo se tiver sido validamente comprovado ao agente fiduciário, que o(s) protesto(s) foi(ram) cancelado(s) ou suspenso(s);</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PargrafodaLista"/>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CE1209">
        <w:rPr>
          <w:rFonts w:eastAsia="Calibri"/>
          <w:lang w:eastAsia="en-US"/>
        </w:rPr>
        <w:t>20% (vinte por cento)</w:t>
      </w:r>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p>
    <w:p w:rsidR="006A3186" w:rsidRPr="006A3186" w:rsidRDefault="006A3186" w:rsidP="006A3186">
      <w:pPr>
        <w:pStyle w:val="PargrafodaLista"/>
        <w:rPr>
          <w:rFonts w:eastAsia="Calibri"/>
          <w:lang w:eastAsia="en-US"/>
        </w:rPr>
      </w:pPr>
    </w:p>
    <w:p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w:t>
      </w:r>
      <w:r w:rsidR="00865CF1">
        <w:rPr>
          <w:color w:val="000000"/>
        </w:rPr>
        <w:t>Atualizado,</w:t>
      </w:r>
      <w:r w:rsidR="0048074D" w:rsidRPr="00747BA2">
        <w:rPr>
          <w:color w:val="000000"/>
        </w:rPr>
        <w:t xml:space="preserve"> de cada Debênture, acrescido da Remuneração, calculados </w:t>
      </w:r>
      <w:r w:rsidR="0048074D" w:rsidRPr="00747BA2">
        <w:rPr>
          <w:i/>
          <w:iCs/>
          <w:color w:val="000000"/>
        </w:rPr>
        <w:t>pro rata temporis</w:t>
      </w:r>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PargrafodaLista"/>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38"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38"/>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r w:rsidR="00740AF4" w:rsidRPr="00B2481D">
        <w:rPr>
          <w:color w:val="000000"/>
        </w:rPr>
        <w:t>xx</w:t>
      </w:r>
      <w:r w:rsidR="00550093">
        <w:rPr>
          <w:color w:val="000000"/>
        </w:rPr>
        <w:t>v</w:t>
      </w:r>
      <w:r w:rsidR="00740AF4" w:rsidRPr="00B2481D">
        <w:rPr>
          <w:color w:val="000000"/>
        </w:rPr>
        <w:t>ii</w:t>
      </w:r>
      <w:r w:rsidR="00F41EEC" w:rsidRPr="00B2481D">
        <w:rPr>
          <w:color w:val="000000"/>
        </w:rPr>
        <w:t>)</w:t>
      </w:r>
      <w:r w:rsidR="00550093">
        <w:rPr>
          <w:color w:val="000000"/>
        </w:rPr>
        <w:t xml:space="preserve"> e (xxviii)</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Pr="00E5568A" w:rsidRDefault="00E5568A" w:rsidP="00AC018B">
      <w:pPr>
        <w:pStyle w:val="PargrafodaLista"/>
        <w:numPr>
          <w:ilvl w:val="1"/>
          <w:numId w:val="13"/>
        </w:numPr>
        <w:tabs>
          <w:tab w:val="left" w:pos="0"/>
        </w:tabs>
        <w:spacing w:line="312" w:lineRule="auto"/>
        <w:ind w:left="1440"/>
        <w:jc w:val="both"/>
        <w:rPr>
          <w:color w:val="000000"/>
        </w:rPr>
      </w:pPr>
      <w:r w:rsidRPr="00E5568A">
        <w:rPr>
          <w:iCs/>
          <w:color w:val="000000"/>
        </w:rPr>
        <w:t>dentro de, no máximo, 45 (quarenta e cinco) dias após o término de 30 de junho de cada ano, ou na data de sua divulgação, o que ocorrer primeiro, (b.1) cópia de suas informações semestrais relativas ao semestre então encerrado, preparadas de acordo com os princípios contábeis geralmente aceitos no Brasil, acompanhadas do relatório da administração e do parecer dos auditores independentes, 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(b.2) relatório consolidado da memória de cálculo, elaborado pela Emissora e pela Garantidora e assinado pelos seus representantes legais, obtido a partir dos números revisados da Emissora e da Garantidora, compreendendo todas as rubricas necessárias, de forma explícita, para a obtenção dos Índices Financeiros indicados nas Cláusula 7.1 (xxvii) e (xxviii) acima, sob pena de impossibilidade de verificação pelo Agente Fiduciário, podendo este solicitar à Emissora e/ou à Garantidora todos os eventuais esclarecimentos adicionais que se façam necessários;</w:t>
      </w:r>
      <w:r>
        <w:rPr>
          <w:iCs/>
          <w:color w:val="000000"/>
        </w:rPr>
        <w:t xml:space="preserve"> </w:t>
      </w:r>
    </w:p>
    <w:p w:rsidR="00845599" w:rsidRPr="00845599" w:rsidRDefault="00845599" w:rsidP="00845599">
      <w:pPr>
        <w:pStyle w:val="PargrafodaLista"/>
        <w:rPr>
          <w:color w:val="000000"/>
        </w:rPr>
      </w:pPr>
    </w:p>
    <w:p w:rsidR="00E77204" w:rsidRPr="00B2481D" w:rsidRDefault="00634866" w:rsidP="00AC018B">
      <w:pPr>
        <w:pStyle w:val="PargrafodaLista"/>
        <w:numPr>
          <w:ilvl w:val="1"/>
          <w:numId w:val="13"/>
        </w:numPr>
        <w:tabs>
          <w:tab w:val="left" w:pos="0"/>
        </w:tabs>
        <w:spacing w:line="312" w:lineRule="auto"/>
        <w:ind w:left="1440"/>
        <w:jc w:val="both"/>
        <w:rPr>
          <w:color w:val="000000"/>
        </w:rPr>
      </w:pPr>
      <w:r w:rsidRPr="00E5568A">
        <w:rPr>
          <w:rFonts w:eastAsiaTheme="minorEastAsia"/>
          <w:color w:val="000000"/>
        </w:rPr>
        <w:t>dentro de, no máximo, 45 (quarenta e cinco) dias após o término de cada trimestre do exercício social, ou na data de sua divulgação, o que ocorrer primeiro, cópia das demonstrações financeiras consolidadas da Emissora e da Garantidora relativas ao respectivo trimestre, com necessário acompanhamento do relatório de revisão especial dos auditores independentes apenas para a Garantidora;</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PargrafodaLista"/>
        <w:spacing w:line="312" w:lineRule="auto"/>
        <w:rPr>
          <w:color w:val="000000"/>
        </w:rPr>
      </w:pPr>
    </w:p>
    <w:p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(ii)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PargrafodaLista"/>
        <w:spacing w:line="312" w:lineRule="auto"/>
        <w:rPr>
          <w:color w:val="000000"/>
          <w:w w:val="0"/>
        </w:rPr>
      </w:pPr>
    </w:p>
    <w:p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PargrafodaLista"/>
        <w:tabs>
          <w:tab w:val="left" w:pos="0"/>
        </w:tabs>
        <w:spacing w:line="312" w:lineRule="auto"/>
        <w:ind w:left="1440"/>
        <w:jc w:val="both"/>
        <w:rPr>
          <w:color w:val="000000"/>
          <w:w w:val="0"/>
        </w:rPr>
      </w:pPr>
    </w:p>
    <w:p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r w:rsidR="00CE1209">
        <w:rPr>
          <w:color w:val="000000"/>
        </w:rPr>
        <w:t>PDF</w:t>
      </w:r>
      <w:r w:rsidR="004625BA">
        <w:rPr>
          <w:color w:val="000000"/>
        </w:rPr>
        <w:t>)</w:t>
      </w:r>
      <w:r w:rsidR="00CE1209">
        <w:rPr>
          <w:color w:val="000000"/>
        </w:rPr>
        <w:t xml:space="preserve"> ou original, conforme aplicável,</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PargrafodaLista"/>
        <w:tabs>
          <w:tab w:val="left" w:pos="0"/>
        </w:tabs>
        <w:spacing w:line="312" w:lineRule="auto"/>
        <w:ind w:left="720"/>
        <w:jc w:val="both"/>
        <w:rPr>
          <w:color w:val="000000"/>
        </w:rPr>
      </w:pPr>
    </w:p>
    <w:p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r w:rsidR="00AC78E2" w:rsidRPr="00B2481D">
        <w:rPr>
          <w:color w:val="000000"/>
        </w:rPr>
        <w:t xml:space="preserve">Escriturador,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PargrafodaLista"/>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PargrafodaLista"/>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PargrafodaLista"/>
        <w:spacing w:line="312" w:lineRule="auto"/>
      </w:pPr>
    </w:p>
    <w:p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PargrafodaLista"/>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manter os documentos mencionados no inciso (iii)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PargrafodaLista"/>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PargrafodaLista"/>
        <w:spacing w:line="312" w:lineRule="auto"/>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A13E65">
        <w:t>, contados do recebimento,</w:t>
      </w:r>
      <w:r w:rsidR="00042668" w:rsidRPr="00A13E65">
        <w:t xml:space="preserve"> </w:t>
      </w:r>
      <w:r w:rsidRPr="00A13E65">
        <w:t>o</w:t>
      </w:r>
      <w:r w:rsidRPr="00B2481D">
        <w:t xml:space="preserve">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PargrafodaLista"/>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PargrafodaLista"/>
        <w:spacing w:line="312" w:lineRule="auto"/>
      </w:pPr>
    </w:p>
    <w:p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r w:rsidR="004C0B3B" w:rsidRPr="00B2481D">
        <w:rPr>
          <w:i/>
        </w:rPr>
        <w:t>Foreign Corrupt Practices Act of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PargrafodaLista"/>
        <w:spacing w:line="312" w:lineRule="auto"/>
      </w:pPr>
    </w:p>
    <w:p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PargrafodaLista"/>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PargrafodaLista"/>
      </w:pPr>
    </w:p>
    <w:p w:rsidR="004779FF" w:rsidRDefault="00BA4AA1" w:rsidP="00AC018B">
      <w:pPr>
        <w:pStyle w:val="PargrafodaLista"/>
        <w:numPr>
          <w:ilvl w:val="0"/>
          <w:numId w:val="26"/>
        </w:numPr>
        <w:tabs>
          <w:tab w:val="left" w:pos="0"/>
        </w:tabs>
        <w:spacing w:line="312" w:lineRule="auto"/>
        <w:ind w:left="720"/>
        <w:jc w:val="both"/>
      </w:pPr>
      <w:bookmarkStart w:id="39" w:name="_Ref427707775"/>
      <w:bookmarkStart w:id="40"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Fitch Ratings, Moody’s ou Standard and Poor’s</w:t>
      </w:r>
      <w:r w:rsidRPr="00B13F17">
        <w:t>; ou (ii)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r w:rsidR="004779FF">
        <w:t>; e</w:t>
      </w:r>
    </w:p>
    <w:p w:rsidR="004779FF" w:rsidRDefault="004779FF" w:rsidP="004779FF">
      <w:pPr>
        <w:pStyle w:val="PargrafodaLista"/>
        <w:tabs>
          <w:tab w:val="left" w:pos="0"/>
        </w:tabs>
        <w:spacing w:line="312" w:lineRule="auto"/>
        <w:ind w:left="720"/>
        <w:jc w:val="both"/>
      </w:pPr>
    </w:p>
    <w:p w:rsidR="00BA4AA1" w:rsidRDefault="004779FF" w:rsidP="00AC018B">
      <w:pPr>
        <w:pStyle w:val="PargrafodaLista"/>
        <w:numPr>
          <w:ilvl w:val="0"/>
          <w:numId w:val="26"/>
        </w:numPr>
        <w:tabs>
          <w:tab w:val="left" w:pos="0"/>
        </w:tabs>
        <w:spacing w:line="312" w:lineRule="auto"/>
        <w:ind w:left="720"/>
        <w:jc w:val="both"/>
      </w:pPr>
      <w:r>
        <w:rPr>
          <w:color w:val="000000"/>
        </w:rPr>
        <w:t>com relação a Emissora e a Garantidora e as sociedades dos seus respectivos grupos econômic</w:t>
      </w:r>
      <w:r w:rsidRPr="00BD59DA">
        <w:rPr>
          <w:color w:val="000000"/>
        </w:rPr>
        <w:t>os,</w:t>
      </w:r>
      <w:r w:rsidR="00BA19EA" w:rsidRPr="00BD59DA">
        <w:rPr>
          <w:color w:val="000000"/>
        </w:rPr>
        <w:t xml:space="preserve"> suas controladas e seus respectivos Representantes (conforme abaixo definido),</w:t>
      </w:r>
      <w:r w:rsidRPr="00BD59DA">
        <w:rPr>
          <w:color w:val="000000"/>
        </w:rPr>
        <w:t xml:space="preserve"> não</w:t>
      </w:r>
      <w:r>
        <w:rPr>
          <w:color w:val="000000"/>
        </w:rPr>
        <w:t xml:space="preserve"> incorrer em quaisquer Condutas Indevidas, conforme abaixo definido</w:t>
      </w:r>
      <w:r w:rsidR="00BA4AA1" w:rsidRPr="00B13F17">
        <w:t>.</w:t>
      </w:r>
      <w:bookmarkEnd w:id="39"/>
      <w:bookmarkEnd w:id="40"/>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41" w:name="_Toc496113115"/>
      <w:r w:rsidRPr="00B2481D">
        <w:rPr>
          <w:color w:val="000000"/>
          <w:sz w:val="24"/>
          <w:szCs w:val="24"/>
        </w:rPr>
        <w:t>CLÁUSULA IX</w:t>
      </w:r>
      <w:r w:rsidRPr="00B2481D">
        <w:rPr>
          <w:color w:val="000000"/>
          <w:sz w:val="24"/>
          <w:szCs w:val="24"/>
        </w:rPr>
        <w:br/>
        <w:t>AGENTE FIDUCIÁRIO</w:t>
      </w:r>
      <w:bookmarkEnd w:id="41"/>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42" w:name="_DV_M303"/>
      <w:bookmarkStart w:id="43" w:name="_DV_M304"/>
      <w:bookmarkStart w:id="44" w:name="_DV_M305"/>
      <w:bookmarkStart w:id="45" w:name="_DV_M306"/>
      <w:bookmarkStart w:id="46" w:name="_DV_M307"/>
      <w:bookmarkStart w:id="47" w:name="_DV_M308"/>
      <w:bookmarkStart w:id="48" w:name="_DV_M309"/>
      <w:bookmarkStart w:id="49" w:name="_DV_M310"/>
      <w:bookmarkStart w:id="50" w:name="_DV_M313"/>
      <w:bookmarkStart w:id="51" w:name="_DV_M314"/>
      <w:bookmarkEnd w:id="42"/>
      <w:bookmarkEnd w:id="43"/>
      <w:bookmarkEnd w:id="44"/>
      <w:bookmarkEnd w:id="45"/>
      <w:bookmarkEnd w:id="46"/>
      <w:bookmarkEnd w:id="47"/>
      <w:bookmarkEnd w:id="48"/>
      <w:bookmarkEnd w:id="49"/>
      <w:bookmarkEnd w:id="50"/>
      <w:bookmarkEnd w:id="51"/>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pro rata temporis</w:t>
      </w:r>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pro rata temporis</w:t>
      </w:r>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rsidR="00F06524" w:rsidRPr="00B2481D" w:rsidRDefault="00F06524" w:rsidP="00AC018B">
      <w:pPr>
        <w:pStyle w:val="PargrafodaLista"/>
        <w:spacing w:line="312" w:lineRule="auto"/>
      </w:pPr>
    </w:p>
    <w:p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w:t>
      </w:r>
      <w:r w:rsidR="003D5808" w:rsidRPr="00B2481D">
        <w:t>os</w:t>
      </w:r>
      <w:r w:rsidRPr="00B2481D">
        <w:t>; (iv)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52" w:name="_DV_M347"/>
      <w:bookmarkStart w:id="53" w:name="_DV_M348"/>
      <w:bookmarkStart w:id="54" w:name="_DV_M349"/>
      <w:bookmarkStart w:id="55" w:name="_DV_M350"/>
      <w:bookmarkStart w:id="56" w:name="_DV_M319"/>
      <w:bookmarkEnd w:id="52"/>
      <w:bookmarkEnd w:id="53"/>
      <w:bookmarkEnd w:id="54"/>
      <w:bookmarkEnd w:id="55"/>
      <w:bookmarkEnd w:id="56"/>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w:t>
      </w:r>
      <w:r w:rsidRPr="00B2481D">
        <w:rPr>
          <w:color w:val="000000"/>
        </w:rPr>
        <w:t>ressarcirá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r w:rsidR="00B6281A">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7" w:name="_Toc496113116"/>
      <w:r w:rsidRPr="00B2481D">
        <w:rPr>
          <w:color w:val="000000"/>
          <w:sz w:val="24"/>
          <w:szCs w:val="24"/>
        </w:rPr>
        <w:t>CLÁUSULA X</w:t>
      </w:r>
      <w:r w:rsidRPr="00B2481D">
        <w:rPr>
          <w:color w:val="000000"/>
          <w:sz w:val="24"/>
          <w:szCs w:val="24"/>
        </w:rPr>
        <w:br/>
        <w:t>ASSEMBLEIA GERAL DE DEBENTURISTAS</w:t>
      </w:r>
      <w:bookmarkEnd w:id="57"/>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 xml:space="preserve">das Debêntures em Circulação, </w:t>
      </w:r>
      <w:r w:rsidR="005526FC" w:rsidRPr="00B2481D">
        <w:rPr>
          <w:color w:val="000000"/>
        </w:rPr>
        <w:t>incluindo, mas não se limitando, à aprovação em caso de renúncia e/ou perdão temporário.</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w:t>
      </w:r>
      <w:r w:rsidR="00002F72">
        <w:rPr>
          <w:color w:val="000000"/>
        </w:rPr>
        <w:t>do IPCA</w:t>
      </w:r>
      <w:r w:rsidR="00CD2D8D" w:rsidRPr="00B2481D">
        <w:rPr>
          <w:color w:val="000000"/>
        </w:rPr>
        <w:t>)</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8"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58"/>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PargrafodaLista"/>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(ii)</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tem plena ciência e concorda integralmente com a forma de divulgação e apuração </w:t>
      </w:r>
      <w:r w:rsidR="00002F72">
        <w:rPr>
          <w:kern w:val="16"/>
        </w:rPr>
        <w:t>do IPCA</w:t>
      </w:r>
      <w:r w:rsidRPr="00B2481D">
        <w:rPr>
          <w:kern w:val="16"/>
        </w:rPr>
        <w:t xml:space="preserve">, prevista na Cláusula 4.2.2 acima, e as formas de cálculo da Remuneração das Debêntures foram estipuladas por livre vontade da Emissora;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Pr="00EE6CDE">
        <w:rPr>
          <w:kern w:val="16"/>
        </w:rPr>
        <w:t xml:space="preserve">31 de dezembro de </w:t>
      </w:r>
      <w:r w:rsidR="00EE6CDE">
        <w:rPr>
          <w:kern w:val="16"/>
        </w:rPr>
        <w:t>[</w:t>
      </w:r>
      <w:r w:rsidR="00EE6CDE">
        <w:rPr>
          <w:kern w:val="16"/>
          <w:highlight w:val="yellow"/>
        </w:rPr>
        <w:t>2018/</w:t>
      </w:r>
      <w:r w:rsidRPr="00F4078A">
        <w:rPr>
          <w:kern w:val="16"/>
          <w:highlight w:val="yellow"/>
        </w:rPr>
        <w:t>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r w:rsidR="0059607D">
        <w:rPr>
          <w:kern w:val="16"/>
        </w:rPr>
        <w:t xml:space="preserve"> </w:t>
      </w:r>
      <w:r w:rsidR="00BD59DA">
        <w:rPr>
          <w:b/>
          <w:smallCaps/>
        </w:rPr>
        <w:t xml:space="preserve"> [</w:t>
      </w:r>
      <w:r w:rsidR="00BD59DA" w:rsidRPr="00BD59DA">
        <w:rPr>
          <w:b/>
          <w:smallCaps/>
          <w:highlight w:val="yellow"/>
        </w:rPr>
        <w:t>Nota VBSO: A ser definido próximo à data de assinatura dos documentos.</w:t>
      </w:r>
      <w:r w:rsidR="00BD59DA">
        <w:rPr>
          <w:b/>
          <w:smallCaps/>
        </w:rPr>
        <w:t>]</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PargrafodaLista"/>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w:t>
      </w:r>
      <w:r w:rsidR="00A13E65">
        <w:rPr>
          <w:color w:val="000000"/>
        </w:rPr>
        <w:t>.</w:t>
      </w:r>
    </w:p>
    <w:p w:rsidR="00E15E52" w:rsidRPr="00B2481D" w:rsidRDefault="00E15E52" w:rsidP="00C96AA1">
      <w:pPr>
        <w:tabs>
          <w:tab w:val="left" w:pos="7371"/>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59" w:name="_Toc496113118"/>
      <w:r w:rsidRPr="00B2481D">
        <w:rPr>
          <w:color w:val="000000" w:themeColor="text1"/>
          <w:sz w:val="24"/>
          <w:szCs w:val="24"/>
        </w:rPr>
        <w:t>CLÁUSULA XII</w:t>
      </w:r>
      <w:r w:rsidRPr="00B2481D">
        <w:rPr>
          <w:color w:val="000000" w:themeColor="text1"/>
          <w:sz w:val="24"/>
          <w:szCs w:val="24"/>
        </w:rPr>
        <w:br/>
        <w:t>DISPOSIÇÕES GERAIS</w:t>
      </w:r>
      <w:bookmarkEnd w:id="59"/>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00865CF1">
        <w:rPr>
          <w:color w:val="000000"/>
        </w:rPr>
        <w:t>Títulos Corporativos e Fundos - SCF</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865CF1">
        <w:rPr>
          <w:color w:val="000000"/>
        </w:rPr>
        <w:t>(11) 2565-5061</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r w:rsidR="00865CF1" w:rsidRPr="00865CF1">
        <w:t>valores.mobiliarios@b3.com.br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60" w:name="_DV_M428"/>
      <w:bookmarkEnd w:id="60"/>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61" w:name="_DV_M430"/>
      <w:bookmarkEnd w:id="61"/>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Escriturador</w:t>
      </w:r>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 xml:space="preserve">todos os valores de referência em reais (R$) dela constantes deverão ser corrigidos pela variação do </w:t>
      </w:r>
      <w:r w:rsidR="0059607D">
        <w:rPr>
          <w:color w:val="000000"/>
        </w:rPr>
        <w:t>IPCA</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r w:rsidR="0059607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(ii)</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xml:space="preserve">, (iii)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 xml:space="preserve">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C815AA">
        <w:rPr>
          <w:color w:val="000000"/>
        </w:rPr>
        <w:t>2</w:t>
      </w:r>
      <w:r w:rsidR="00CC5038">
        <w:rPr>
          <w:color w:val="000000"/>
        </w:rPr>
        <w:t>5</w:t>
      </w:r>
      <w:r w:rsidR="00C815AA">
        <w:rPr>
          <w:color w:val="000000"/>
        </w:rPr>
        <w:t xml:space="preserve"> de março</w:t>
      </w:r>
      <w:r w:rsidR="0059607D">
        <w:rPr>
          <w:color w:val="000000"/>
        </w:rPr>
        <w:t xml:space="preserve"> 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4"/>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t>ANEXO I</w:t>
      </w:r>
    </w:p>
    <w:p w:rsidR="00AF57F1" w:rsidRPr="000240B4" w:rsidRDefault="00AF57F1" w:rsidP="00AF57F1">
      <w:pPr>
        <w:spacing w:line="312" w:lineRule="auto"/>
        <w:jc w:val="center"/>
        <w:rPr>
          <w:b/>
          <w:u w:val="single"/>
        </w:rPr>
      </w:pPr>
    </w:p>
    <w:p w:rsidR="00AF57F1" w:rsidRPr="00067058" w:rsidRDefault="00641AA3"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3B67DB" w:rsidRPr="003B67DB" w:rsidRDefault="003B67DB" w:rsidP="003B67DB">
      <w:pPr>
        <w:pStyle w:val="Corpodetexto2"/>
        <w:spacing w:line="312" w:lineRule="auto"/>
        <w:rPr>
          <w:b/>
        </w:rPr>
      </w:pPr>
      <w:r w:rsidRPr="003B67DB">
        <w:rPr>
          <w:b/>
          <w:bCs/>
        </w:rPr>
        <w:t>PRIMEIRO ADITAMENTO À</w:t>
      </w:r>
      <w:r w:rsidRPr="003B67DB">
        <w:rPr>
          <w:b/>
        </w:rPr>
        <w:t xml:space="preserve"> ESCRITURA PARTICULAR DA 3ª (TERCEIRA) EMISSÃO DE DEBÊNTUR</w:t>
      </w:r>
      <w:bookmarkStart w:id="62" w:name="_GoBack"/>
      <w:bookmarkEnd w:id="62"/>
      <w:r w:rsidRPr="003B67DB">
        <w:rPr>
          <w:b/>
        </w:rPr>
        <w:t xml:space="preserve">ES SIMPLES, NÃO CONVERSÍVEIS EM AÇÕES, DA ESPÉCIE QUIROGRAFÁRIA, COM GARANTIA ADICIONAL FIDEJUSSÓRIA, EM SÉRIE ÚNICA, PARA DISTRIBUIÇÃO PÚBLICA COM ESFORÇOS RESTRITOS, DA CELESC GERAÇÃO </w:t>
      </w:r>
      <w:r w:rsidRPr="003B67DB">
        <w:rPr>
          <w:b/>
          <w:bCs/>
        </w:rPr>
        <w:t>S.A.</w:t>
      </w:r>
    </w:p>
    <w:p w:rsidR="003B67DB" w:rsidRPr="00D16F97" w:rsidRDefault="003B67DB" w:rsidP="003B67DB">
      <w:pPr>
        <w:spacing w:line="312" w:lineRule="auto"/>
        <w:rPr>
          <w:b/>
          <w:bCs/>
        </w:rPr>
      </w:pPr>
    </w:p>
    <w:p w:rsidR="003B67DB" w:rsidRPr="00D16F97" w:rsidRDefault="003B67DB" w:rsidP="003B67DB">
      <w:pPr>
        <w:spacing w:line="312" w:lineRule="auto"/>
      </w:pPr>
      <w:r w:rsidRPr="00D16F97">
        <w:t>Pelo presente instrumento particular,</w:t>
      </w:r>
    </w:p>
    <w:p w:rsidR="003B67DB" w:rsidRPr="00D16F97" w:rsidRDefault="003B67DB" w:rsidP="003B67DB">
      <w:pPr>
        <w:spacing w:line="312" w:lineRule="auto"/>
      </w:pPr>
    </w:p>
    <w:p w:rsidR="003B67DB" w:rsidRPr="00D16F97" w:rsidRDefault="003B67DB" w:rsidP="00CC5038">
      <w:pPr>
        <w:numPr>
          <w:ilvl w:val="0"/>
          <w:numId w:val="47"/>
        </w:numPr>
        <w:spacing w:line="312" w:lineRule="auto"/>
        <w:jc w:val="both"/>
      </w:pPr>
      <w:r w:rsidRPr="00D16F97">
        <w:t>de um lado, na qualidade de emissora das Debêntures (conforme definidas abaixo):</w:t>
      </w:r>
    </w:p>
    <w:p w:rsidR="003B67DB" w:rsidRPr="00D16F97" w:rsidRDefault="003B67DB" w:rsidP="003B67DB">
      <w:pPr>
        <w:spacing w:line="312" w:lineRule="auto"/>
        <w:rPr>
          <w:b/>
        </w:rPr>
      </w:pPr>
    </w:p>
    <w:p w:rsidR="003B67DB" w:rsidRPr="00D16F97" w:rsidRDefault="003B67DB" w:rsidP="003B67DB">
      <w:pPr>
        <w:spacing w:line="312" w:lineRule="auto"/>
        <w:ind w:left="709"/>
        <w:jc w:val="both"/>
      </w:pPr>
      <w:r w:rsidRPr="00D16F97">
        <w:rPr>
          <w:b/>
        </w:rPr>
        <w:t>CELESC GERAÇÃO S.A.</w:t>
      </w:r>
      <w:r w:rsidRPr="00D16F97">
        <w:t>, sociedade anônima sem registro de companhia aberta perante a Comissão de Valores Mobiliários (“</w:t>
      </w:r>
      <w:r w:rsidRPr="00D16F97">
        <w:rPr>
          <w:u w:val="single"/>
        </w:rPr>
        <w:t>CVM</w:t>
      </w:r>
      <w:r w:rsidRPr="00D16F97">
        <w:t>”), com sede na Cidade de Florianópolis, Estado de Santa Catarina, na Avenida Itamarati, nº 160, Itacorubi, Bloco A2, inscrita no Cadastro Nacional da Pessoa Jurídica do Ministério da Economia (“</w:t>
      </w:r>
      <w:r w:rsidRPr="00D16F97">
        <w:rPr>
          <w:u w:val="single"/>
        </w:rPr>
        <w:t>CNPJ</w:t>
      </w:r>
      <w:r w:rsidRPr="00D16F97">
        <w:t>”) sob o nº 08.336.804/0001-78 e na Junta Comercial do Estado de Santa Catarina (“</w:t>
      </w:r>
      <w:r w:rsidRPr="00D16F97">
        <w:rPr>
          <w:u w:val="single"/>
        </w:rPr>
        <w:t>JUCESC</w:t>
      </w:r>
      <w:r w:rsidRPr="00D16F97">
        <w:t>”) sob o Número de Identificação do Registro de Empresa – NIRE 42300030767, neste ato representada por seus representantes legais devidamente constituídos na forma de seu estatuto social e identificados na respectiva página de assinaturas do presente instrumento (“</w:t>
      </w:r>
      <w:r w:rsidRPr="00D16F97">
        <w:rPr>
          <w:u w:val="single"/>
        </w:rPr>
        <w:t>Emissora</w:t>
      </w:r>
      <w:r w:rsidRPr="00D16F97">
        <w:t>”); e</w:t>
      </w:r>
    </w:p>
    <w:p w:rsidR="003B67DB" w:rsidRPr="00D16F97" w:rsidRDefault="003B67DB" w:rsidP="003B67DB">
      <w:pPr>
        <w:spacing w:line="312" w:lineRule="auto"/>
      </w:pPr>
    </w:p>
    <w:p w:rsidR="003B67DB" w:rsidRPr="00B2481D" w:rsidRDefault="003B67DB" w:rsidP="003B67DB">
      <w:pPr>
        <w:pStyle w:val="Parties"/>
        <w:numPr>
          <w:ilvl w:val="0"/>
          <w:numId w:val="28"/>
        </w:numPr>
        <w:spacing w:after="0" w:line="312" w:lineRule="auto"/>
        <w:rPr>
          <w:rFonts w:ascii="Times New Roman" w:hAnsi="Times New Roman"/>
          <w:b/>
          <w:sz w:val="24"/>
          <w:szCs w:val="24"/>
        </w:rPr>
      </w:pPr>
      <w:r w:rsidRPr="00B2481D">
        <w:rPr>
          <w:rFonts w:ascii="Times New Roman" w:hAnsi="Times New Roman"/>
          <w:sz w:val="24"/>
          <w:szCs w:val="24"/>
        </w:rPr>
        <w:t>de outro lado, na qualidade de representante da comunhão dos titulares das Debêntures (“</w:t>
      </w:r>
      <w:r w:rsidRPr="00B2481D">
        <w:rPr>
          <w:rFonts w:ascii="Times New Roman" w:hAnsi="Times New Roman"/>
          <w:sz w:val="24"/>
          <w:szCs w:val="24"/>
          <w:u w:val="single"/>
        </w:rPr>
        <w:t>Debenturistas</w:t>
      </w:r>
      <w:r w:rsidRPr="00B2481D">
        <w:rPr>
          <w:rFonts w:ascii="Times New Roman" w:hAnsi="Times New Roman"/>
          <w:sz w:val="24"/>
          <w:szCs w:val="24"/>
        </w:rPr>
        <w:t>”):</w:t>
      </w:r>
    </w:p>
    <w:p w:rsidR="003B67DB" w:rsidRDefault="003B67DB" w:rsidP="003B67DB">
      <w:pPr>
        <w:spacing w:line="312" w:lineRule="auto"/>
        <w:rPr>
          <w:b/>
        </w:rPr>
      </w:pPr>
    </w:p>
    <w:p w:rsidR="003B67DB" w:rsidRPr="00D16F97" w:rsidRDefault="003B67DB" w:rsidP="003B67DB">
      <w:pPr>
        <w:spacing w:line="312" w:lineRule="auto"/>
        <w:ind w:left="709"/>
        <w:jc w:val="both"/>
      </w:pPr>
      <w:r w:rsidRPr="00131E30">
        <w:rPr>
          <w:b/>
        </w:rPr>
        <w:t>SIMPLIFIC PAVARINI DISTRIBUIDORA DE TÍTULOS E VALORES MOBILIÁRIOS LTDA.</w:t>
      </w:r>
      <w:r w:rsidRPr="00D16F97">
        <w:t>, sociedade empresária limitada, atuando através de sua filial, localizada na Cidade de São Paulo, Estado de São Paulo, na Rua Joaquim Floriano, nº 466, Bloco B, sala 1.401, CEP 04534-002, inscrita no CNPJ sob o nº 15.227.994/0004-01, neste ato representada por seu representante legal devidamente constituído na forma de seu contrato social e identificado na respectiva página de assinaturas do presente instrumento (“</w:t>
      </w:r>
      <w:r w:rsidRPr="00D16F97">
        <w:rPr>
          <w:u w:val="single"/>
        </w:rPr>
        <w:t>Agente Fiduciário</w:t>
      </w:r>
      <w:r w:rsidRPr="00D16F97">
        <w:t>”);</w:t>
      </w:r>
    </w:p>
    <w:p w:rsidR="003B67DB" w:rsidRDefault="003B67DB" w:rsidP="003B67DB">
      <w:pPr>
        <w:spacing w:line="312" w:lineRule="auto"/>
      </w:pPr>
    </w:p>
    <w:p w:rsidR="003B67DB" w:rsidRDefault="003B67DB" w:rsidP="003B67DB">
      <w:pPr>
        <w:spacing w:line="312" w:lineRule="auto"/>
      </w:pPr>
      <w:r>
        <w:t>e, ainda,</w:t>
      </w:r>
    </w:p>
    <w:p w:rsidR="003B67DB" w:rsidRPr="00D16F97" w:rsidRDefault="003B67DB" w:rsidP="003B67DB">
      <w:pPr>
        <w:spacing w:line="312" w:lineRule="auto"/>
      </w:pPr>
    </w:p>
    <w:p w:rsidR="003B67DB" w:rsidRPr="00B2481D" w:rsidRDefault="003B67DB" w:rsidP="003B67DB">
      <w:pPr>
        <w:pStyle w:val="Parties"/>
        <w:keepNext/>
        <w:numPr>
          <w:ilvl w:val="0"/>
          <w:numId w:val="28"/>
        </w:numPr>
        <w:spacing w:after="0" w:line="312" w:lineRule="auto"/>
        <w:rPr>
          <w:rFonts w:ascii="Times New Roman" w:hAnsi="Times New Roman"/>
          <w:b/>
          <w:sz w:val="24"/>
          <w:szCs w:val="24"/>
        </w:rPr>
      </w:pPr>
      <w:r w:rsidRPr="00131E30">
        <w:rPr>
          <w:sz w:val="24"/>
          <w:szCs w:val="24"/>
        </w:rPr>
        <w:t xml:space="preserve"> </w:t>
      </w:r>
      <w:r w:rsidRPr="00B2481D">
        <w:rPr>
          <w:rFonts w:ascii="Times New Roman" w:hAnsi="Times New Roman"/>
          <w:sz w:val="24"/>
          <w:szCs w:val="24"/>
        </w:rPr>
        <w:t>na qualidade de interveniente garantidora:</w:t>
      </w:r>
    </w:p>
    <w:p w:rsidR="003B67DB" w:rsidRPr="00D16F97" w:rsidRDefault="003B67DB" w:rsidP="003B67DB">
      <w:pPr>
        <w:spacing w:line="312" w:lineRule="auto"/>
        <w:rPr>
          <w:smallCaps/>
        </w:rPr>
      </w:pPr>
    </w:p>
    <w:p w:rsidR="003B67DB" w:rsidRPr="00D16F97" w:rsidRDefault="003B67DB" w:rsidP="003B67DB">
      <w:pPr>
        <w:spacing w:line="312" w:lineRule="auto"/>
        <w:ind w:left="709"/>
        <w:jc w:val="both"/>
      </w:pPr>
      <w:r w:rsidRPr="00131E30">
        <w:rPr>
          <w:b/>
          <w:bCs/>
        </w:rPr>
        <w:t>CENTRAIS ELÉTRICAS DE SANTA CATARINA S.A.</w:t>
      </w:r>
      <w:r w:rsidRPr="00131E30">
        <w:t>, sociedade por ações de economia mista, com registro de companhia aberta perante a CVM, com sede na Cidade de Florianópolis, Estado de Santa Catarina, na Avenida Itamarati, nº 160, Itacorubi, inscrita no CNPJ sob o nº 83.878.892/0001-55, neste ato representada por seus representantes legais devidamente constituídos na forma de seu estatuto social e identificados na respectiva página de assinaturas do presente instrumento (“</w:t>
      </w:r>
      <w:r w:rsidRPr="00131E30">
        <w:rPr>
          <w:u w:val="single"/>
        </w:rPr>
        <w:t>Garantidora</w:t>
      </w:r>
      <w:r w:rsidRPr="00131E30">
        <w:t>”);</w:t>
      </w:r>
    </w:p>
    <w:p w:rsidR="003B67DB" w:rsidRPr="00D16F97" w:rsidRDefault="003B67DB" w:rsidP="003B67DB">
      <w:pPr>
        <w:spacing w:line="312" w:lineRule="auto"/>
      </w:pPr>
    </w:p>
    <w:p w:rsidR="003B67DB" w:rsidRPr="00D16F97" w:rsidRDefault="003B67DB" w:rsidP="003B67DB">
      <w:pPr>
        <w:spacing w:line="312" w:lineRule="auto"/>
        <w:jc w:val="both"/>
        <w:rPr>
          <w:color w:val="000000"/>
        </w:rPr>
      </w:pPr>
      <w:r w:rsidRPr="00D16F97">
        <w:rPr>
          <w:color w:val="000000"/>
        </w:rPr>
        <w:t>sendo a Emissora, o Agente Fiduciário e a Garantidora doravante designados, em conjunto, como “</w:t>
      </w:r>
      <w:r w:rsidRPr="00D16F97">
        <w:rPr>
          <w:color w:val="000000"/>
          <w:u w:val="single"/>
        </w:rPr>
        <w:t>Partes</w:t>
      </w:r>
      <w:r w:rsidRPr="00D16F97">
        <w:rPr>
          <w:color w:val="000000"/>
        </w:rPr>
        <w:t>” e, individual e indistintamente, como “</w:t>
      </w:r>
      <w:r w:rsidRPr="00D16F97">
        <w:rPr>
          <w:color w:val="000000"/>
          <w:u w:val="single"/>
        </w:rPr>
        <w:t>Parte</w:t>
      </w:r>
      <w:r w:rsidRPr="00D16F97">
        <w:rPr>
          <w:color w:val="000000"/>
        </w:rPr>
        <w:t>”,</w:t>
      </w:r>
    </w:p>
    <w:p w:rsidR="003B67DB" w:rsidRPr="00D16F97" w:rsidRDefault="003B67DB" w:rsidP="003B67DB">
      <w:pPr>
        <w:spacing w:line="312" w:lineRule="auto"/>
        <w:rPr>
          <w:color w:val="000000"/>
        </w:rPr>
      </w:pPr>
    </w:p>
    <w:p w:rsidR="003B67DB" w:rsidRPr="00D16F97" w:rsidRDefault="003B67DB" w:rsidP="003B67DB">
      <w:pPr>
        <w:spacing w:line="312" w:lineRule="auto"/>
        <w:jc w:val="both"/>
        <w:rPr>
          <w:bCs/>
          <w:color w:val="000000"/>
        </w:rPr>
      </w:pPr>
      <w:r w:rsidRPr="00D16F97">
        <w:rPr>
          <w:color w:val="000000"/>
        </w:rPr>
        <w:t xml:space="preserve">vêm, de comum acordo e na melhor forma de direito, firmar </w:t>
      </w:r>
      <w:r>
        <w:rPr>
          <w:color w:val="000000"/>
        </w:rPr>
        <w:t>o</w:t>
      </w:r>
      <w:r w:rsidRPr="00D16F97">
        <w:rPr>
          <w:color w:val="000000"/>
        </w:rPr>
        <w:t xml:space="preserve"> presente “</w:t>
      </w:r>
      <w:r w:rsidRPr="00D16F97">
        <w:rPr>
          <w:i/>
          <w:color w:val="000000"/>
        </w:rPr>
        <w:t>Primeiro Aditamento à</w:t>
      </w:r>
      <w:r>
        <w:rPr>
          <w:color w:val="000000"/>
        </w:rPr>
        <w:t xml:space="preserve"> </w:t>
      </w:r>
      <w:r w:rsidRPr="00D16F97">
        <w:rPr>
          <w:i/>
          <w:color w:val="000000"/>
        </w:rPr>
        <w:t>Escritura Particular da 3ª (Terceira) Emissão de Debêntures Simples, Não Conversíveis em Ações, da Espécie Quirografária, com Garantia Adicional Fidejussória, em Série Única, para Distribuição Pública com Esforços Restritos, da Celesc Geração S.A.</w:t>
      </w:r>
      <w:r w:rsidRPr="00D16F97">
        <w:rPr>
          <w:bCs/>
          <w:color w:val="000000"/>
        </w:rPr>
        <w:t>”</w:t>
      </w:r>
      <w:r w:rsidRPr="00D16F97" w:rsidDel="00584400">
        <w:rPr>
          <w:color w:val="000000"/>
        </w:rPr>
        <w:t xml:space="preserve"> </w:t>
      </w:r>
      <w:r w:rsidRPr="00D16F97">
        <w:rPr>
          <w:color w:val="000000"/>
        </w:rPr>
        <w:t>(“</w:t>
      </w:r>
      <w:r w:rsidRPr="00D16F97">
        <w:rPr>
          <w:color w:val="000000"/>
          <w:u w:val="single"/>
        </w:rPr>
        <w:t>Aditamento</w:t>
      </w:r>
      <w:r w:rsidRPr="00D16F97">
        <w:rPr>
          <w:color w:val="000000"/>
        </w:rPr>
        <w:t>”), mediante as cláusulas e condições a seguir.</w:t>
      </w:r>
    </w:p>
    <w:p w:rsidR="003B67DB" w:rsidRPr="003F00E2" w:rsidRDefault="003B67DB" w:rsidP="003B67DB">
      <w:pPr>
        <w:spacing w:line="312" w:lineRule="auto"/>
      </w:pPr>
    </w:p>
    <w:p w:rsidR="003B67DB" w:rsidRPr="00D16F97" w:rsidRDefault="003B67DB" w:rsidP="003B67DB">
      <w:pPr>
        <w:pStyle w:val="Parties"/>
        <w:spacing w:after="0" w:line="312" w:lineRule="auto"/>
        <w:rPr>
          <w:rFonts w:ascii="Times New Roman" w:hAnsi="Times New Roman"/>
          <w:sz w:val="24"/>
          <w:szCs w:val="24"/>
        </w:rPr>
      </w:pPr>
      <w:r w:rsidRPr="003F00E2">
        <w:rPr>
          <w:rFonts w:ascii="Times New Roman" w:hAnsi="Times New Roman"/>
          <w:sz w:val="24"/>
          <w:szCs w:val="24"/>
        </w:rPr>
        <w:t>Os termos aqui iniciados em letra maiúscula, que estejam no singular ou no plural, terão o significado a eles atribuído na Escritura de Emissão e/ou no presente Aditamento, ainda que posteriormente ao seu uso.</w:t>
      </w:r>
    </w:p>
    <w:p w:rsidR="003B67DB" w:rsidRPr="00D16F97" w:rsidRDefault="003B67DB" w:rsidP="003B67DB">
      <w:pPr>
        <w:pStyle w:val="Parties"/>
        <w:spacing w:after="0" w:line="312" w:lineRule="auto"/>
        <w:jc w:val="left"/>
      </w:pPr>
    </w:p>
    <w:p w:rsidR="003B67DB" w:rsidRPr="00D16F97" w:rsidRDefault="003B67DB" w:rsidP="003B67DB">
      <w:pPr>
        <w:autoSpaceDE w:val="0"/>
        <w:autoSpaceDN w:val="0"/>
        <w:adjustRightInd w:val="0"/>
        <w:spacing w:line="312" w:lineRule="auto"/>
        <w:ind w:left="720" w:hanging="720"/>
        <w:jc w:val="both"/>
      </w:pPr>
      <w:r w:rsidRPr="00D16F97">
        <w:rPr>
          <w:b/>
        </w:rPr>
        <w:t>CONSIDERANDO QUE:</w:t>
      </w:r>
    </w:p>
    <w:p w:rsidR="003B67DB" w:rsidRPr="00D16F97" w:rsidRDefault="003B67DB" w:rsidP="003B67DB">
      <w:pPr>
        <w:autoSpaceDE w:val="0"/>
        <w:autoSpaceDN w:val="0"/>
        <w:adjustRightInd w:val="0"/>
        <w:spacing w:line="312" w:lineRule="auto"/>
        <w:ind w:left="720" w:hanging="720"/>
      </w:pPr>
    </w:p>
    <w:p w:rsidR="003B67DB" w:rsidRPr="00D16F97" w:rsidRDefault="003B67DB" w:rsidP="003B67DB">
      <w:pPr>
        <w:pStyle w:val="PargrafodaLista"/>
        <w:numPr>
          <w:ilvl w:val="0"/>
          <w:numId w:val="46"/>
        </w:numPr>
        <w:tabs>
          <w:tab w:val="left" w:pos="720"/>
        </w:tabs>
        <w:autoSpaceDE w:val="0"/>
        <w:autoSpaceDN w:val="0"/>
        <w:adjustRightInd w:val="0"/>
        <w:spacing w:line="312" w:lineRule="auto"/>
        <w:ind w:left="709" w:hanging="425"/>
        <w:contextualSpacing/>
        <w:jc w:val="both"/>
      </w:pPr>
      <w:r w:rsidRPr="00D16F97">
        <w:t xml:space="preserve">em </w:t>
      </w:r>
      <w:r w:rsidR="00CC5038">
        <w:t xml:space="preserve">25 de março </w:t>
      </w:r>
      <w:r>
        <w:t xml:space="preserve">de </w:t>
      </w:r>
      <w:r w:rsidRPr="00D16F97">
        <w:t xml:space="preserve">2020, a Emissora, a </w:t>
      </w:r>
      <w:r>
        <w:t>Garantidora</w:t>
      </w:r>
      <w:r w:rsidRPr="00D16F97">
        <w:t xml:space="preserve"> e o Agente Fiduciário, na qualidade de representante dos Debenturistas, celebraram </w:t>
      </w:r>
      <w:r>
        <w:t>a</w:t>
      </w:r>
      <w:r w:rsidRPr="00D16F97">
        <w:t xml:space="preserve"> “</w:t>
      </w:r>
      <w:r w:rsidRPr="003F00E2">
        <w:rPr>
          <w:i/>
          <w:color w:val="000000"/>
        </w:rPr>
        <w:t>Escritura Particular da 3ª (Terceira) Emissão de Debêntures Simples, Não Conversíveis em Ações, da Espécie Quirografária, com Garantia Adicional Fidejussória, em Série Única, para Distribuição Pública com Esforços Restritos, da Celesc Geração S.A.</w:t>
      </w:r>
      <w:r w:rsidRPr="00D16F97">
        <w:rPr>
          <w:i/>
        </w:rPr>
        <w:t>"</w:t>
      </w:r>
      <w:r w:rsidRPr="00D16F97">
        <w:t>, devidamente arquivad</w:t>
      </w:r>
      <w:r>
        <w:t>a</w:t>
      </w:r>
      <w:r w:rsidRPr="00D16F97">
        <w:t xml:space="preserve"> na </w:t>
      </w:r>
      <w:r>
        <w:t>JUCESC</w:t>
      </w:r>
      <w:r w:rsidRPr="00D16F97">
        <w:t xml:space="preserve">, sob o nº </w:t>
      </w:r>
      <w:r>
        <w:t>[</w:t>
      </w:r>
      <w:r w:rsidRPr="00D16F97">
        <w:t>•</w:t>
      </w:r>
      <w:r>
        <w:t>]</w:t>
      </w:r>
      <w:r w:rsidRPr="00D16F97">
        <w:t xml:space="preserve">, no </w:t>
      </w:r>
      <w:r w:rsidRPr="00D16F97">
        <w:rPr>
          <w:b/>
          <w:smallCaps/>
        </w:rPr>
        <w:t>[RTD SC]</w:t>
      </w:r>
      <w:r w:rsidRPr="00D16F97">
        <w:t xml:space="preserve">, sob o nº </w:t>
      </w:r>
      <w:r>
        <w:t>[</w:t>
      </w:r>
      <w:r w:rsidRPr="00D16F97">
        <w:t>•</w:t>
      </w:r>
      <w:r>
        <w:t>]</w:t>
      </w:r>
      <w:r w:rsidRPr="00D16F97">
        <w:t xml:space="preserve">, no </w:t>
      </w:r>
      <w:r w:rsidRPr="003F00E2">
        <w:rPr>
          <w:b/>
          <w:smallCaps/>
        </w:rPr>
        <w:t>[</w:t>
      </w:r>
      <w:r w:rsidRPr="00D16F97">
        <w:rPr>
          <w:b/>
          <w:smallCaps/>
        </w:rPr>
        <w:t>RTD SP</w:t>
      </w:r>
      <w:r w:rsidRPr="003F00E2">
        <w:rPr>
          <w:b/>
          <w:smallCaps/>
        </w:rPr>
        <w:t>]</w:t>
      </w:r>
      <w:r w:rsidRPr="00D16F97">
        <w:t xml:space="preserve">, sob o nº </w:t>
      </w:r>
      <w:r>
        <w:t>[</w:t>
      </w:r>
      <w:r w:rsidRPr="00D16F97">
        <w:t>•</w:t>
      </w:r>
      <w:r>
        <w:t xml:space="preserve">] </w:t>
      </w:r>
      <w:r w:rsidRPr="00D16F97">
        <w:t>(“</w:t>
      </w:r>
      <w:r w:rsidRPr="00D16F97">
        <w:rPr>
          <w:u w:val="single"/>
        </w:rPr>
        <w:t>Escritura de Emissão</w:t>
      </w:r>
      <w:r w:rsidRPr="00D16F97">
        <w:t xml:space="preserve">”); e </w:t>
      </w:r>
    </w:p>
    <w:p w:rsidR="003B67DB" w:rsidRPr="00D16F97" w:rsidRDefault="003B67DB" w:rsidP="003B67DB">
      <w:pPr>
        <w:pStyle w:val="PargrafodaLista"/>
        <w:spacing w:line="312" w:lineRule="auto"/>
      </w:pPr>
    </w:p>
    <w:p w:rsidR="003B67DB" w:rsidRPr="00D16F97" w:rsidRDefault="003B67DB" w:rsidP="003B67DB">
      <w:pPr>
        <w:pStyle w:val="PargrafodaLista"/>
        <w:numPr>
          <w:ilvl w:val="0"/>
          <w:numId w:val="46"/>
        </w:numPr>
        <w:tabs>
          <w:tab w:val="left" w:pos="720"/>
        </w:tabs>
        <w:autoSpaceDE w:val="0"/>
        <w:autoSpaceDN w:val="0"/>
        <w:adjustRightInd w:val="0"/>
        <w:spacing w:line="312" w:lineRule="auto"/>
        <w:ind w:left="709" w:hanging="425"/>
        <w:contextualSpacing/>
        <w:jc w:val="both"/>
      </w:pPr>
      <w:r w:rsidRPr="00D16F97">
        <w:t xml:space="preserve">em razão da realização do Procedimento de </w:t>
      </w:r>
      <w:r w:rsidRPr="00D16F97">
        <w:rPr>
          <w:i/>
        </w:rPr>
        <w:t>Bookbuilding</w:t>
      </w:r>
      <w:r w:rsidRPr="00D16F97">
        <w:t xml:space="preserve">, conforme descrito na Cláusula </w:t>
      </w:r>
      <w:r>
        <w:t>3.5.7</w:t>
      </w:r>
      <w:r w:rsidRPr="00D16F97">
        <w:t xml:space="preserve"> da Escritura de Emissão, as Partes desejam alterar a Cláusula 4.</w:t>
      </w:r>
      <w:r>
        <w:t>2.2</w:t>
      </w:r>
      <w:r w:rsidRPr="00D16F97">
        <w:t xml:space="preserve"> da Escritura de Emissão, sem necessidade de realização de Assembleia Geral de Debenturistas ou aprovação societária pela Emissora e/ou </w:t>
      </w:r>
      <w:r>
        <w:t>pela Garantidora</w:t>
      </w:r>
      <w:r w:rsidRPr="00D16F97">
        <w:t xml:space="preserve">, mediante celebração, pelas Partes, do presente instrumento e em cumprimento das formalidades previstas na Cláusula </w:t>
      </w:r>
      <w:r>
        <w:t>I</w:t>
      </w:r>
      <w:r w:rsidRPr="00D16F97">
        <w:t xml:space="preserve"> da Escritura de Emissão.</w:t>
      </w:r>
    </w:p>
    <w:p w:rsidR="003B67DB" w:rsidRPr="00D16F97" w:rsidRDefault="003B67DB" w:rsidP="003B67DB">
      <w:pPr>
        <w:autoSpaceDE w:val="0"/>
        <w:autoSpaceDN w:val="0"/>
        <w:adjustRightInd w:val="0"/>
        <w:spacing w:line="312" w:lineRule="auto"/>
      </w:pPr>
    </w:p>
    <w:p w:rsidR="003B67DB" w:rsidRPr="00D16F97" w:rsidRDefault="003B67DB" w:rsidP="003B67DB">
      <w:pPr>
        <w:keepNext/>
        <w:autoSpaceDE w:val="0"/>
        <w:autoSpaceDN w:val="0"/>
        <w:adjustRightInd w:val="0"/>
        <w:spacing w:line="312" w:lineRule="auto"/>
        <w:jc w:val="center"/>
        <w:outlineLvl w:val="0"/>
      </w:pPr>
      <w:r w:rsidRPr="00D16F97">
        <w:rPr>
          <w:b/>
        </w:rPr>
        <w:t xml:space="preserve">CLÁUSULA </w:t>
      </w:r>
      <w:r>
        <w:rPr>
          <w:b/>
        </w:rPr>
        <w:t>I</w:t>
      </w:r>
      <w:r w:rsidRPr="00D16F97">
        <w:rPr>
          <w:b/>
        </w:rPr>
        <w:t xml:space="preserve"> - AUTORIZAÇÕES</w:t>
      </w:r>
    </w:p>
    <w:p w:rsidR="003B67DB" w:rsidRPr="00D16F97" w:rsidRDefault="003B67DB" w:rsidP="003B67DB">
      <w:pPr>
        <w:autoSpaceDE w:val="0"/>
        <w:autoSpaceDN w:val="0"/>
        <w:adjustRightInd w:val="0"/>
        <w:spacing w:line="312" w:lineRule="auto"/>
      </w:pPr>
    </w:p>
    <w:p w:rsidR="003B67DB" w:rsidRPr="00D16F97" w:rsidRDefault="003B67DB" w:rsidP="003B67DB">
      <w:pPr>
        <w:numPr>
          <w:ilvl w:val="1"/>
          <w:numId w:val="44"/>
        </w:numPr>
        <w:autoSpaceDE w:val="0"/>
        <w:autoSpaceDN w:val="0"/>
        <w:adjustRightInd w:val="0"/>
        <w:spacing w:line="312" w:lineRule="auto"/>
        <w:ind w:left="0" w:firstLine="0"/>
        <w:jc w:val="both"/>
        <w:rPr>
          <w:b/>
        </w:rPr>
      </w:pPr>
      <w:r w:rsidRPr="00D16F97">
        <w:rPr>
          <w:b/>
        </w:rPr>
        <w:t>Autorizações para celebração do Aditamento</w:t>
      </w:r>
    </w:p>
    <w:p w:rsidR="003B67DB" w:rsidRPr="00D16F97" w:rsidRDefault="003B67DB" w:rsidP="003B67DB">
      <w:pPr>
        <w:autoSpaceDE w:val="0"/>
        <w:autoSpaceDN w:val="0"/>
        <w:adjustRightInd w:val="0"/>
        <w:spacing w:line="312" w:lineRule="auto"/>
      </w:pPr>
    </w:p>
    <w:p w:rsidR="003B67DB" w:rsidRPr="00D16F97" w:rsidRDefault="003B67DB" w:rsidP="003B67DB">
      <w:pPr>
        <w:numPr>
          <w:ilvl w:val="2"/>
          <w:numId w:val="44"/>
        </w:numPr>
        <w:autoSpaceDE w:val="0"/>
        <w:autoSpaceDN w:val="0"/>
        <w:adjustRightInd w:val="0"/>
        <w:spacing w:line="312" w:lineRule="auto"/>
        <w:ind w:left="0" w:firstLine="0"/>
        <w:jc w:val="both"/>
      </w:pPr>
      <w:r w:rsidRPr="00D16F97">
        <w:t xml:space="preserve">O presente Aditamento é celebrado de acordo com o disposto nas Cláusulas 1.1 e 1.2 da Escritura de Emissão e sua celebração é autorizada com a dispensa de nova aprovação societária pela Emissora e/ou pela </w:t>
      </w:r>
      <w:r>
        <w:t>Garantidora</w:t>
      </w:r>
      <w:r w:rsidRPr="00D16F97">
        <w:t>, ou de realização de Assembleia Geral de Debenturistas para o presente Aditamento.</w:t>
      </w:r>
    </w:p>
    <w:p w:rsidR="003B67DB" w:rsidRPr="00D16F97" w:rsidRDefault="003B67DB" w:rsidP="003B67DB">
      <w:pPr>
        <w:autoSpaceDE w:val="0"/>
        <w:autoSpaceDN w:val="0"/>
        <w:adjustRightInd w:val="0"/>
        <w:spacing w:line="312" w:lineRule="auto"/>
      </w:pPr>
      <w:r w:rsidRPr="00D16F97">
        <w:t xml:space="preserve"> </w:t>
      </w:r>
    </w:p>
    <w:p w:rsidR="003B67DB" w:rsidRPr="00D16F97" w:rsidRDefault="003B67DB" w:rsidP="003B67DB">
      <w:pPr>
        <w:numPr>
          <w:ilvl w:val="2"/>
          <w:numId w:val="44"/>
        </w:numPr>
        <w:autoSpaceDE w:val="0"/>
        <w:autoSpaceDN w:val="0"/>
        <w:adjustRightInd w:val="0"/>
        <w:spacing w:line="312" w:lineRule="auto"/>
        <w:ind w:left="0" w:firstLine="0"/>
        <w:jc w:val="both"/>
      </w:pPr>
      <w:r w:rsidRPr="00D16F97">
        <w:t xml:space="preserve">Este Aditamento será protocolado para arquivamento na </w:t>
      </w:r>
      <w:r>
        <w:t>JUCESC</w:t>
      </w:r>
      <w:r w:rsidRPr="00D16F97">
        <w:t xml:space="preserve">, conforme disposto no artigo 62, inciso II e parágrafo 3º, da Lei das Sociedades por Ações, no prazo de até </w:t>
      </w:r>
      <w:r>
        <w:t>5</w:t>
      </w:r>
      <w:r w:rsidRPr="00D16F97">
        <w:t xml:space="preserve"> (</w:t>
      </w:r>
      <w:r>
        <w:t>cinco</w:t>
      </w:r>
      <w:r w:rsidRPr="00D16F97">
        <w:t xml:space="preserve">) dias úteis contado da respectiva data de assinatura. A Emissora entregará ao Agente Fiduciário 1 (uma) via </w:t>
      </w:r>
      <w:r>
        <w:t>eletrônica</w:t>
      </w:r>
      <w:r w:rsidRPr="00D16F97">
        <w:t xml:space="preserve"> </w:t>
      </w:r>
      <w:r>
        <w:t xml:space="preserve">(PDF) </w:t>
      </w:r>
      <w:r w:rsidRPr="00D16F97">
        <w:t xml:space="preserve">do presente Aditamento, devidamente arquivado na </w:t>
      </w:r>
      <w:r>
        <w:t>JUCESC</w:t>
      </w:r>
      <w:r w:rsidRPr="00D16F97">
        <w:t>, em até 5 (cinco) dias úteis após o seu respectivo arquivamento.</w:t>
      </w:r>
    </w:p>
    <w:p w:rsidR="003B67DB" w:rsidRPr="00D16F97" w:rsidRDefault="003B67DB" w:rsidP="003B67DB">
      <w:pPr>
        <w:autoSpaceDE w:val="0"/>
        <w:autoSpaceDN w:val="0"/>
        <w:adjustRightInd w:val="0"/>
        <w:spacing w:line="312" w:lineRule="auto"/>
      </w:pPr>
    </w:p>
    <w:p w:rsidR="003B67DB" w:rsidRPr="00D16F97" w:rsidRDefault="003B67DB" w:rsidP="003B67DB">
      <w:pPr>
        <w:numPr>
          <w:ilvl w:val="2"/>
          <w:numId w:val="44"/>
        </w:numPr>
        <w:autoSpaceDE w:val="0"/>
        <w:autoSpaceDN w:val="0"/>
        <w:adjustRightInd w:val="0"/>
        <w:spacing w:line="312" w:lineRule="auto"/>
        <w:ind w:left="0" w:firstLine="0"/>
        <w:jc w:val="both"/>
      </w:pPr>
      <w:r w:rsidRPr="00D16F97">
        <w:t>Este Aditamento será levado a registro, em até 3 (três) dias úteis contados da sua assinatura, nos cartórios de registro de títulos e documentos competentes. A Emissora entregará ao Agente Fiduciário 1 (uma) via original do presente Aditamento, devidamente registrado nos cartórios competentes, em até 5 (cinco) dias após os registros.</w:t>
      </w:r>
    </w:p>
    <w:p w:rsidR="003B67DB" w:rsidRPr="00D16F97" w:rsidRDefault="003B67DB" w:rsidP="003B67DB">
      <w:pPr>
        <w:keepNext/>
        <w:autoSpaceDE w:val="0"/>
        <w:autoSpaceDN w:val="0"/>
        <w:adjustRightInd w:val="0"/>
        <w:spacing w:line="312" w:lineRule="auto"/>
        <w:outlineLvl w:val="0"/>
        <w:rPr>
          <w:b/>
          <w:bCs/>
        </w:rPr>
      </w:pPr>
    </w:p>
    <w:p w:rsidR="003B67DB" w:rsidRPr="00D16F97" w:rsidRDefault="003B67DB" w:rsidP="003B67DB">
      <w:pPr>
        <w:keepNext/>
        <w:autoSpaceDE w:val="0"/>
        <w:autoSpaceDN w:val="0"/>
        <w:adjustRightInd w:val="0"/>
        <w:spacing w:line="312" w:lineRule="auto"/>
        <w:jc w:val="center"/>
        <w:outlineLvl w:val="0"/>
        <w:rPr>
          <w:b/>
          <w:bCs/>
        </w:rPr>
      </w:pPr>
      <w:r w:rsidRPr="00D16F97">
        <w:rPr>
          <w:b/>
          <w:bCs/>
        </w:rPr>
        <w:t xml:space="preserve">CLÁUSULA </w:t>
      </w:r>
      <w:r>
        <w:rPr>
          <w:b/>
          <w:bCs/>
        </w:rPr>
        <w:t>II</w:t>
      </w:r>
      <w:r w:rsidRPr="00D16F97">
        <w:rPr>
          <w:b/>
          <w:bCs/>
        </w:rPr>
        <w:t xml:space="preserve"> - OBJETO E ALTERAÇÕES</w:t>
      </w:r>
    </w:p>
    <w:p w:rsidR="003B67DB" w:rsidRPr="00D16F97" w:rsidRDefault="003B67DB" w:rsidP="003B67DB">
      <w:pPr>
        <w:keepNext/>
        <w:tabs>
          <w:tab w:val="left" w:pos="720"/>
        </w:tabs>
        <w:autoSpaceDE w:val="0"/>
        <w:autoSpaceDN w:val="0"/>
        <w:adjustRightInd w:val="0"/>
        <w:spacing w:line="312" w:lineRule="auto"/>
      </w:pPr>
    </w:p>
    <w:p w:rsidR="003B67DB" w:rsidRPr="00D16F97" w:rsidRDefault="003B67DB" w:rsidP="003B67DB">
      <w:pPr>
        <w:numPr>
          <w:ilvl w:val="1"/>
          <w:numId w:val="45"/>
        </w:numPr>
        <w:autoSpaceDE w:val="0"/>
        <w:autoSpaceDN w:val="0"/>
        <w:adjustRightInd w:val="0"/>
        <w:spacing w:line="312" w:lineRule="auto"/>
        <w:ind w:left="0" w:firstLine="0"/>
        <w:jc w:val="both"/>
      </w:pPr>
      <w:r w:rsidRPr="00D16F97">
        <w:t xml:space="preserve">Pelo presente Aditamento, resolvem as Partes aditar </w:t>
      </w:r>
      <w:r>
        <w:t xml:space="preserve">(i) </w:t>
      </w:r>
      <w:r w:rsidRPr="00D16F97">
        <w:t>a Cláusula 4.</w:t>
      </w:r>
      <w:r>
        <w:t>2.2</w:t>
      </w:r>
      <w:r w:rsidRPr="00D16F97">
        <w:t xml:space="preserve"> da Escritura de Emissão,</w:t>
      </w:r>
      <w:r>
        <w:t xml:space="preserve"> bem como (ii) a taxa constante da Cláusula</w:t>
      </w:r>
      <w:r w:rsidRPr="00D16F97">
        <w:t xml:space="preserve"> </w:t>
      </w:r>
      <w:r>
        <w:t xml:space="preserve">4.2.2.1 da Escritura de Emissão, </w:t>
      </w:r>
      <w:r w:rsidRPr="00D16F97">
        <w:t>a fim de refletir os Juros Remuneratórios das Debêntures definido no Procedimento de</w:t>
      </w:r>
      <w:r w:rsidRPr="00D16F97">
        <w:rPr>
          <w:i/>
          <w:iCs/>
        </w:rPr>
        <w:t xml:space="preserve"> Bookbuilding</w:t>
      </w:r>
      <w:r w:rsidRPr="00D16F97">
        <w:t>, de modo que ta</w:t>
      </w:r>
      <w:r>
        <w:t>is</w:t>
      </w:r>
      <w:r w:rsidRPr="00D16F97">
        <w:t xml:space="preserve"> </w:t>
      </w:r>
      <w:r>
        <w:t>itens</w:t>
      </w:r>
      <w:r w:rsidRPr="00D16F97">
        <w:t xml:space="preserve"> passa</w:t>
      </w:r>
      <w:r>
        <w:t>m</w:t>
      </w:r>
      <w:r w:rsidRPr="00D16F97">
        <w:t xml:space="preserve"> a vigorar com a</w:t>
      </w:r>
      <w:r>
        <w:t>s</w:t>
      </w:r>
      <w:r w:rsidRPr="00D16F97">
        <w:t xml:space="preserve"> seguinte</w:t>
      </w:r>
      <w:r>
        <w:t>s</w:t>
      </w:r>
      <w:r w:rsidRPr="00D16F97">
        <w:t xml:space="preserve"> redaç</w:t>
      </w:r>
      <w:r>
        <w:t>ões</w:t>
      </w:r>
      <w:r w:rsidRPr="00D16F97">
        <w:t>:</w:t>
      </w:r>
    </w:p>
    <w:p w:rsidR="003B67DB" w:rsidRPr="00D16F97" w:rsidRDefault="003B67DB" w:rsidP="003B67DB">
      <w:pPr>
        <w:autoSpaceDE w:val="0"/>
        <w:autoSpaceDN w:val="0"/>
        <w:adjustRightInd w:val="0"/>
        <w:spacing w:line="312" w:lineRule="auto"/>
        <w:rPr>
          <w:bCs/>
        </w:rPr>
      </w:pPr>
    </w:p>
    <w:p w:rsidR="003B67DB" w:rsidRPr="00D16F97" w:rsidRDefault="003B67DB" w:rsidP="003B67DB">
      <w:pPr>
        <w:autoSpaceDE w:val="0"/>
        <w:autoSpaceDN w:val="0"/>
        <w:adjustRightInd w:val="0"/>
        <w:spacing w:line="312" w:lineRule="auto"/>
        <w:jc w:val="both"/>
        <w:rPr>
          <w:i/>
          <w:iCs/>
        </w:rPr>
      </w:pPr>
      <w:r>
        <w:rPr>
          <w:bCs/>
          <w:i/>
          <w:iCs/>
        </w:rPr>
        <w:t>[“4.2.2.</w:t>
      </w:r>
      <w:r>
        <w:rPr>
          <w:bCs/>
          <w:i/>
          <w:iCs/>
        </w:rPr>
        <w:tab/>
      </w:r>
      <w:r w:rsidRPr="00E20E7C">
        <w:rPr>
          <w:bCs/>
          <w:i/>
          <w:iCs/>
        </w:rPr>
        <w:t>Juros Remuneratórios</w:t>
      </w:r>
      <w:r w:rsidRPr="00E20E7C">
        <w:rPr>
          <w:i/>
          <w:iCs/>
        </w:rPr>
        <w:t>: Sobre o Valor Nominal Atualizado das Debêntures incidirão juros remuneratórios prefixados</w:t>
      </w:r>
      <w:r>
        <w:rPr>
          <w:i/>
          <w:iCs/>
        </w:rPr>
        <w:t>,</w:t>
      </w:r>
      <w:r w:rsidRPr="00E20E7C">
        <w:rPr>
          <w:i/>
          <w:iCs/>
        </w:rPr>
        <w:t xml:space="preserve"> correspondentes ao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Bookbuilding, acrescida exponencialmente de um spread equivalente a 1,60% (um inteiro e sessenta centésimos por cento) ao ano, base 252 (duzentos</w:t>
      </w:r>
      <w:r>
        <w:rPr>
          <w:i/>
          <w:iCs/>
        </w:rPr>
        <w:t xml:space="preserve"> e cinquenta e dois) Dias Úteis</w:t>
      </w:r>
      <w:r w:rsidRPr="00E20E7C">
        <w:rPr>
          <w:i/>
          <w:iCs/>
        </w:rPr>
        <w:t xml:space="preserve"> (“</w:t>
      </w:r>
      <w:r w:rsidRPr="00E20E7C">
        <w:rPr>
          <w:i/>
          <w:iCs/>
          <w:u w:val="single"/>
        </w:rPr>
        <w:t>Remuneração</w:t>
      </w:r>
      <w:r w:rsidRPr="00E20E7C">
        <w:rPr>
          <w:i/>
          <w:iCs/>
        </w:rPr>
        <w:t>”).</w:t>
      </w:r>
      <w:r>
        <w:rPr>
          <w:i/>
          <w:iCs/>
        </w:rPr>
        <w:t>”</w:t>
      </w:r>
    </w:p>
    <w:p w:rsidR="003B67DB" w:rsidRDefault="003B67DB" w:rsidP="003B67DB">
      <w:pPr>
        <w:autoSpaceDE w:val="0"/>
        <w:autoSpaceDN w:val="0"/>
        <w:adjustRightInd w:val="0"/>
        <w:spacing w:line="312" w:lineRule="auto"/>
        <w:rPr>
          <w:i/>
          <w:iCs/>
        </w:rPr>
      </w:pPr>
    </w:p>
    <w:p w:rsidR="003B67DB" w:rsidRPr="00D16F97" w:rsidRDefault="003B67DB" w:rsidP="003B67DB">
      <w:pPr>
        <w:autoSpaceDE w:val="0"/>
        <w:autoSpaceDN w:val="0"/>
        <w:adjustRightInd w:val="0"/>
        <w:spacing w:line="312" w:lineRule="auto"/>
        <w:jc w:val="center"/>
        <w:rPr>
          <w:iCs/>
        </w:rPr>
      </w:pPr>
      <w:r w:rsidRPr="00D16F97">
        <w:rPr>
          <w:iCs/>
        </w:rPr>
        <w:t>ou</w:t>
      </w:r>
    </w:p>
    <w:p w:rsidR="003B67DB" w:rsidRDefault="003B67DB" w:rsidP="003B67DB">
      <w:pPr>
        <w:autoSpaceDE w:val="0"/>
        <w:autoSpaceDN w:val="0"/>
        <w:adjustRightInd w:val="0"/>
        <w:spacing w:line="312" w:lineRule="auto"/>
        <w:rPr>
          <w:i/>
          <w:iCs/>
        </w:rPr>
      </w:pPr>
    </w:p>
    <w:p w:rsidR="003B67DB" w:rsidRDefault="003B67DB" w:rsidP="003B67DB">
      <w:pPr>
        <w:autoSpaceDE w:val="0"/>
        <w:autoSpaceDN w:val="0"/>
        <w:adjustRightInd w:val="0"/>
        <w:spacing w:line="312" w:lineRule="auto"/>
        <w:jc w:val="both"/>
        <w:rPr>
          <w:i/>
          <w:iCs/>
        </w:rPr>
      </w:pPr>
      <w:r>
        <w:rPr>
          <w:bCs/>
          <w:i/>
          <w:iCs/>
        </w:rPr>
        <w:t>“4.2.2.</w:t>
      </w:r>
      <w:r>
        <w:rPr>
          <w:bCs/>
          <w:i/>
          <w:iCs/>
        </w:rPr>
        <w:tab/>
      </w:r>
      <w:r w:rsidRPr="00E20E7C">
        <w:rPr>
          <w:bCs/>
          <w:i/>
          <w:iCs/>
        </w:rPr>
        <w:t>Juros Remuneratórios</w:t>
      </w:r>
      <w:r w:rsidRPr="00E20E7C">
        <w:rPr>
          <w:i/>
          <w:iCs/>
        </w:rPr>
        <w:t>: Sobre o Valor Nominal Atualizado das Debêntures incidirão juros remuneratórios prefixados</w:t>
      </w:r>
      <w:r>
        <w:rPr>
          <w:i/>
          <w:iCs/>
        </w:rPr>
        <w:t>,</w:t>
      </w:r>
      <w:r w:rsidRPr="00E20E7C">
        <w:rPr>
          <w:i/>
          <w:iCs/>
        </w:rPr>
        <w:t xml:space="preserve"> correspondentes ao IPCA acrescido exponencialmente de um spread equivalente a 4,25% (quatro inteiros e vinte e cinco centésimos por cento) ao ano, base 252 (duzentos e cinquenta e dois) Dias Úteis (“</w:t>
      </w:r>
      <w:r w:rsidRPr="00E20E7C">
        <w:rPr>
          <w:i/>
          <w:iCs/>
          <w:u w:val="single"/>
        </w:rPr>
        <w:t>Remuneração</w:t>
      </w:r>
      <w:r w:rsidRPr="00E20E7C">
        <w:rPr>
          <w:i/>
          <w:iCs/>
        </w:rPr>
        <w:t>”).</w:t>
      </w:r>
      <w:r>
        <w:rPr>
          <w:i/>
          <w:iCs/>
        </w:rPr>
        <w:t>”]</w:t>
      </w:r>
    </w:p>
    <w:p w:rsidR="003B67DB" w:rsidRDefault="003B67DB" w:rsidP="003B67DB">
      <w:pPr>
        <w:autoSpaceDE w:val="0"/>
        <w:autoSpaceDN w:val="0"/>
        <w:adjustRightInd w:val="0"/>
        <w:spacing w:line="312" w:lineRule="auto"/>
        <w:rPr>
          <w:i/>
          <w:iCs/>
        </w:rPr>
      </w:pPr>
    </w:p>
    <w:p w:rsidR="003B67DB" w:rsidRDefault="003B67DB" w:rsidP="003B67DB">
      <w:pPr>
        <w:autoSpaceDE w:val="0"/>
        <w:autoSpaceDN w:val="0"/>
        <w:adjustRightInd w:val="0"/>
        <w:spacing w:line="312" w:lineRule="auto"/>
        <w:jc w:val="both"/>
        <w:rPr>
          <w:i/>
          <w:iCs/>
        </w:rPr>
      </w:pPr>
      <w:r>
        <w:rPr>
          <w:i/>
          <w:iCs/>
        </w:rPr>
        <w:t>“4.2.2.1</w:t>
      </w:r>
      <w:r>
        <w:rPr>
          <w:i/>
          <w:iCs/>
        </w:rPr>
        <w:tab/>
        <w:t>Taxa = [</w:t>
      </w:r>
      <w:r w:rsidRPr="00D16F97">
        <w:rPr>
          <w:i/>
          <w:iCs/>
        </w:rPr>
        <w:t>•</w:t>
      </w:r>
      <w:r>
        <w:rPr>
          <w:i/>
          <w:iCs/>
        </w:rPr>
        <w:t>]”</w:t>
      </w:r>
    </w:p>
    <w:p w:rsidR="003B67DB" w:rsidRPr="00D16F97" w:rsidRDefault="003B67DB" w:rsidP="003B67DB">
      <w:pPr>
        <w:autoSpaceDE w:val="0"/>
        <w:autoSpaceDN w:val="0"/>
        <w:adjustRightInd w:val="0"/>
        <w:spacing w:line="312" w:lineRule="auto"/>
        <w:rPr>
          <w:i/>
          <w:iCs/>
        </w:rPr>
      </w:pPr>
    </w:p>
    <w:p w:rsidR="003B67DB" w:rsidRPr="00D16F97" w:rsidRDefault="003B67DB" w:rsidP="003B67DB">
      <w:pPr>
        <w:autoSpaceDE w:val="0"/>
        <w:autoSpaceDN w:val="0"/>
        <w:adjustRightInd w:val="0"/>
        <w:spacing w:line="312" w:lineRule="auto"/>
        <w:jc w:val="center"/>
        <w:rPr>
          <w:b/>
        </w:rPr>
      </w:pPr>
      <w:r w:rsidRPr="00D16F97">
        <w:rPr>
          <w:b/>
        </w:rPr>
        <w:t xml:space="preserve">CLÁUSULA </w:t>
      </w:r>
      <w:r>
        <w:rPr>
          <w:b/>
        </w:rPr>
        <w:t>III</w:t>
      </w:r>
      <w:r w:rsidRPr="00D16F97">
        <w:rPr>
          <w:b/>
        </w:rPr>
        <w:t xml:space="preserve"> - RATIFICAÇÕES</w:t>
      </w:r>
    </w:p>
    <w:p w:rsidR="003B67DB" w:rsidRPr="00D16F97" w:rsidRDefault="003B67DB" w:rsidP="003B67DB">
      <w:pPr>
        <w:autoSpaceDE w:val="0"/>
        <w:autoSpaceDN w:val="0"/>
        <w:adjustRightInd w:val="0"/>
        <w:spacing w:line="312" w:lineRule="auto"/>
        <w:ind w:left="709"/>
        <w:rPr>
          <w:b/>
        </w:rPr>
      </w:pPr>
    </w:p>
    <w:p w:rsidR="003B67DB" w:rsidRPr="00D16F97" w:rsidRDefault="003B67DB" w:rsidP="003B67DB">
      <w:pPr>
        <w:widowControl w:val="0"/>
        <w:autoSpaceDE w:val="0"/>
        <w:autoSpaceDN w:val="0"/>
        <w:adjustRightInd w:val="0"/>
        <w:spacing w:line="312" w:lineRule="auto"/>
        <w:jc w:val="both"/>
      </w:pPr>
      <w:r w:rsidRPr="00D16F97">
        <w:t>3.1.</w:t>
      </w:r>
      <w:r w:rsidRPr="00D16F97">
        <w:tab/>
        <w:t>Ficam ratificadas, nos termos em que se encontram redigidas, todas as demais cláusulas, itens, características e condições constantes da Escritura de Emissão.</w:t>
      </w:r>
    </w:p>
    <w:p w:rsidR="003B67DB" w:rsidRPr="00D16F97" w:rsidRDefault="003B67DB" w:rsidP="003B67DB">
      <w:pPr>
        <w:autoSpaceDE w:val="0"/>
        <w:autoSpaceDN w:val="0"/>
        <w:adjustRightInd w:val="0"/>
        <w:spacing w:line="312" w:lineRule="auto"/>
        <w:ind w:left="709" w:hanging="709"/>
      </w:pPr>
    </w:p>
    <w:p w:rsidR="003B67DB" w:rsidRPr="00D16F97" w:rsidRDefault="003B67DB" w:rsidP="003B67DB">
      <w:pPr>
        <w:autoSpaceDE w:val="0"/>
        <w:autoSpaceDN w:val="0"/>
        <w:adjustRightInd w:val="0"/>
        <w:spacing w:line="312" w:lineRule="auto"/>
        <w:jc w:val="center"/>
      </w:pPr>
      <w:r w:rsidRPr="00D16F97">
        <w:rPr>
          <w:b/>
        </w:rPr>
        <w:t xml:space="preserve">CLÁUSULA </w:t>
      </w:r>
      <w:r>
        <w:rPr>
          <w:b/>
        </w:rPr>
        <w:t>IV</w:t>
      </w:r>
      <w:r w:rsidRPr="00D16F97">
        <w:rPr>
          <w:b/>
        </w:rPr>
        <w:t xml:space="preserve"> - DISPOSIÇÕES FINAIS</w:t>
      </w:r>
    </w:p>
    <w:p w:rsidR="003B67DB" w:rsidRPr="00D16F97" w:rsidRDefault="003B67DB" w:rsidP="003B67DB">
      <w:pPr>
        <w:autoSpaceDE w:val="0"/>
        <w:autoSpaceDN w:val="0"/>
        <w:adjustRightInd w:val="0"/>
        <w:spacing w:line="312" w:lineRule="auto"/>
      </w:pPr>
    </w:p>
    <w:p w:rsidR="003B67DB" w:rsidRPr="00D16F97" w:rsidRDefault="003B67DB" w:rsidP="003B67DB">
      <w:pPr>
        <w:autoSpaceDE w:val="0"/>
        <w:autoSpaceDN w:val="0"/>
        <w:adjustRightInd w:val="0"/>
        <w:spacing w:line="312" w:lineRule="auto"/>
        <w:jc w:val="both"/>
      </w:pPr>
      <w:r w:rsidRPr="00D16F97">
        <w:t>4.1.</w:t>
      </w:r>
      <w:r w:rsidRPr="00D16F97">
        <w:tab/>
        <w:t>Este Aditamento é firmado em caráter irrevogável e irretratável, obrigando as Partes ao seu fiel, pontual e integral cumprimento, por si e por seus sucessores e cessionários, a qualquer título.</w:t>
      </w:r>
    </w:p>
    <w:p w:rsidR="003B67DB" w:rsidRPr="00D16F97" w:rsidRDefault="003B67DB" w:rsidP="003B67DB">
      <w:pPr>
        <w:autoSpaceDE w:val="0"/>
        <w:autoSpaceDN w:val="0"/>
        <w:adjustRightInd w:val="0"/>
        <w:spacing w:line="312" w:lineRule="auto"/>
      </w:pPr>
    </w:p>
    <w:p w:rsidR="003B67DB" w:rsidRPr="00D16F97" w:rsidRDefault="003B67DB" w:rsidP="003B67DB">
      <w:pPr>
        <w:autoSpaceDE w:val="0"/>
        <w:autoSpaceDN w:val="0"/>
        <w:adjustRightInd w:val="0"/>
        <w:spacing w:line="312" w:lineRule="auto"/>
        <w:jc w:val="both"/>
      </w:pPr>
      <w:r w:rsidRPr="00D16F97">
        <w:t>4.2.</w:t>
      </w:r>
      <w:r w:rsidRPr="00D16F97">
        <w:tab/>
        <w:t>Os termos utilizados neste Aditamento que não estiverem aqui definidos têm o mesmo significado que lhes foi atribuído na Escritura de Emissão.</w:t>
      </w:r>
    </w:p>
    <w:p w:rsidR="003B67DB" w:rsidRPr="00D16F97" w:rsidRDefault="003B67DB" w:rsidP="003B67DB">
      <w:pPr>
        <w:autoSpaceDE w:val="0"/>
        <w:autoSpaceDN w:val="0"/>
        <w:adjustRightInd w:val="0"/>
        <w:spacing w:line="312" w:lineRule="auto"/>
      </w:pPr>
    </w:p>
    <w:p w:rsidR="003B67DB" w:rsidRPr="00D16F97" w:rsidRDefault="003B67DB" w:rsidP="003B67DB">
      <w:pPr>
        <w:autoSpaceDE w:val="0"/>
        <w:autoSpaceDN w:val="0"/>
        <w:adjustRightInd w:val="0"/>
        <w:spacing w:line="312" w:lineRule="auto"/>
        <w:jc w:val="both"/>
      </w:pPr>
      <w:r w:rsidRPr="00D16F97">
        <w:t>4.3.</w:t>
      </w:r>
      <w:r w:rsidRPr="00D16F97">
        <w:tab/>
        <w:t>Este Aditamento é regida pelas Leis da República Federativa do Brasil.</w:t>
      </w:r>
    </w:p>
    <w:p w:rsidR="003B67DB" w:rsidRPr="00D16F97" w:rsidRDefault="003B67DB" w:rsidP="003B67DB">
      <w:pPr>
        <w:autoSpaceDE w:val="0"/>
        <w:autoSpaceDN w:val="0"/>
        <w:adjustRightInd w:val="0"/>
        <w:spacing w:line="312" w:lineRule="auto"/>
      </w:pPr>
    </w:p>
    <w:p w:rsidR="003B67DB" w:rsidRPr="00D16F97" w:rsidRDefault="003B67DB" w:rsidP="003B67DB">
      <w:pPr>
        <w:autoSpaceDE w:val="0"/>
        <w:autoSpaceDN w:val="0"/>
        <w:adjustRightInd w:val="0"/>
        <w:spacing w:line="312" w:lineRule="auto"/>
        <w:jc w:val="both"/>
      </w:pPr>
      <w:r w:rsidRPr="00D16F97">
        <w:t>4.4.</w:t>
      </w:r>
      <w:r w:rsidRPr="00D16F97">
        <w:tab/>
        <w:t>Fica eleito o foro da Cidade do São Paulo, Estado do São Paulo, para dirimir quaisquer dúvidas ou controvérsias oriundas deste Aditamento, com renúncia a qualquer outro, por mais privilegiado que seja.</w:t>
      </w:r>
    </w:p>
    <w:p w:rsidR="003B67DB" w:rsidRPr="00D16F97" w:rsidRDefault="003B67DB" w:rsidP="003B67DB">
      <w:pPr>
        <w:shd w:val="clear" w:color="auto" w:fill="FFFFFF"/>
        <w:autoSpaceDE w:val="0"/>
        <w:autoSpaceDN w:val="0"/>
        <w:adjustRightInd w:val="0"/>
        <w:spacing w:line="312" w:lineRule="auto"/>
        <w:rPr>
          <w:rFonts w:eastAsia="Arial Unicode MS"/>
        </w:rPr>
      </w:pPr>
    </w:p>
    <w:p w:rsidR="003B67DB" w:rsidRPr="00D16F97" w:rsidRDefault="003B67DB" w:rsidP="003B67DB">
      <w:pPr>
        <w:shd w:val="clear" w:color="auto" w:fill="FFFFFF"/>
        <w:autoSpaceDE w:val="0"/>
        <w:autoSpaceDN w:val="0"/>
        <w:adjustRightInd w:val="0"/>
        <w:spacing w:line="312" w:lineRule="auto"/>
        <w:jc w:val="both"/>
        <w:rPr>
          <w:rFonts w:eastAsia="Arial Unicode MS"/>
        </w:rPr>
      </w:pPr>
      <w:r w:rsidRPr="00D16F97">
        <w:rPr>
          <w:rFonts w:eastAsia="Arial Unicode MS"/>
        </w:rPr>
        <w:t xml:space="preserve">Estando assim, as Partes, certas e ajustadas, firmam o presente instrumento, em </w:t>
      </w:r>
      <w:r>
        <w:rPr>
          <w:rFonts w:eastAsia="Arial Unicode MS"/>
        </w:rPr>
        <w:t>6</w:t>
      </w:r>
      <w:r w:rsidRPr="00D16F97">
        <w:rPr>
          <w:rFonts w:eastAsia="Arial Unicode MS"/>
        </w:rPr>
        <w:t xml:space="preserve"> (</w:t>
      </w:r>
      <w:r>
        <w:rPr>
          <w:rFonts w:eastAsia="Arial Unicode MS"/>
        </w:rPr>
        <w:t>seis</w:t>
      </w:r>
      <w:r w:rsidRPr="00D16F97">
        <w:rPr>
          <w:rFonts w:eastAsia="Arial Unicode MS"/>
        </w:rPr>
        <w:t>) vias de igual teor e forma, juntamente com 2 (duas) testemunhas, que também o assinam.</w:t>
      </w:r>
    </w:p>
    <w:p w:rsidR="003B67DB" w:rsidRPr="00D16F97" w:rsidRDefault="003B67DB" w:rsidP="003B67DB">
      <w:pPr>
        <w:autoSpaceDE w:val="0"/>
        <w:autoSpaceDN w:val="0"/>
        <w:adjustRightInd w:val="0"/>
        <w:spacing w:line="312" w:lineRule="auto"/>
        <w:rPr>
          <w:rFonts w:eastAsia="Arial Unicode MS"/>
        </w:rPr>
      </w:pPr>
    </w:p>
    <w:p w:rsidR="003B67DB" w:rsidRPr="00D16F97" w:rsidRDefault="003B67DB" w:rsidP="003B67DB">
      <w:pPr>
        <w:shd w:val="clear" w:color="auto" w:fill="FFFFFF"/>
        <w:autoSpaceDE w:val="0"/>
        <w:autoSpaceDN w:val="0"/>
        <w:adjustRightInd w:val="0"/>
        <w:spacing w:line="312" w:lineRule="auto"/>
        <w:jc w:val="center"/>
        <w:rPr>
          <w:rFonts w:eastAsia="Arial Unicode MS"/>
        </w:rPr>
      </w:pPr>
      <w:r w:rsidRPr="00D16F97">
        <w:rPr>
          <w:rFonts w:eastAsia="Arial Unicode MS"/>
        </w:rPr>
        <w:t xml:space="preserve">São Paulo, </w:t>
      </w:r>
      <w:r>
        <w:rPr>
          <w:rFonts w:eastAsia="Arial Unicode MS"/>
        </w:rPr>
        <w:t>[•]</w:t>
      </w:r>
      <w:r w:rsidRPr="00D16F97">
        <w:rPr>
          <w:rFonts w:eastAsia="Arial Unicode MS"/>
        </w:rPr>
        <w:t xml:space="preserve"> de 2020.</w:t>
      </w:r>
    </w:p>
    <w:p w:rsidR="003B67DB" w:rsidRPr="00D16F97" w:rsidRDefault="003B67DB" w:rsidP="003B67DB">
      <w:pPr>
        <w:shd w:val="clear" w:color="auto" w:fill="FFFFFF"/>
        <w:autoSpaceDE w:val="0"/>
        <w:autoSpaceDN w:val="0"/>
        <w:adjustRightInd w:val="0"/>
        <w:spacing w:line="312" w:lineRule="auto"/>
        <w:rPr>
          <w:rFonts w:eastAsia="Arial Unicode MS"/>
        </w:rPr>
      </w:pPr>
    </w:p>
    <w:p w:rsidR="003B67DB" w:rsidRDefault="003B67DB" w:rsidP="003B67DB">
      <w:pPr>
        <w:spacing w:line="312" w:lineRule="auto"/>
        <w:jc w:val="center"/>
        <w:rPr>
          <w:rFonts w:eastAsia="Arial Unicode MS"/>
          <w:i/>
        </w:rPr>
      </w:pPr>
      <w:r w:rsidRPr="00D16F97">
        <w:rPr>
          <w:rFonts w:eastAsia="Arial Unicode MS"/>
          <w:i/>
        </w:rPr>
        <w:t>[Restante da página intencionalmente deixado em branco. Seguem páginas de assinaturas]</w:t>
      </w:r>
    </w:p>
    <w:p w:rsidR="00641AA3" w:rsidRDefault="00641AA3" w:rsidP="003B67DB">
      <w:pPr>
        <w:spacing w:line="312" w:lineRule="auto"/>
        <w:jc w:val="center"/>
        <w:rPr>
          <w:rFonts w:eastAsia="Arial Unicode MS"/>
          <w:i/>
        </w:rPr>
      </w:pPr>
    </w:p>
    <w:p w:rsidR="00641AA3" w:rsidRDefault="00641AA3" w:rsidP="003B67DB">
      <w:pPr>
        <w:spacing w:line="312" w:lineRule="auto"/>
        <w:jc w:val="center"/>
        <w:rPr>
          <w:rFonts w:eastAsia="Arial Unicode MS"/>
          <w:i/>
        </w:rPr>
      </w:pPr>
    </w:p>
    <w:p w:rsidR="00641AA3" w:rsidRPr="00D16F97" w:rsidRDefault="00641AA3" w:rsidP="003B67DB">
      <w:pPr>
        <w:spacing w:line="312" w:lineRule="auto"/>
        <w:jc w:val="center"/>
        <w:rPr>
          <w:b/>
          <w:w w:val="0"/>
          <w:u w:val="single"/>
        </w:rPr>
      </w:pPr>
      <w:r>
        <w:rPr>
          <w:rFonts w:eastAsia="Arial Unicode MS"/>
          <w:i/>
        </w:rPr>
        <w:t>[Incluir páginas de assinaturas ao final deste documento]</w:t>
      </w:r>
    </w:p>
    <w:p w:rsidR="003B67DB" w:rsidRPr="00D16F97" w:rsidRDefault="003B67DB" w:rsidP="00641AA3">
      <w:pPr>
        <w:spacing w:after="160" w:line="312" w:lineRule="auto"/>
      </w:pPr>
      <w:r w:rsidRPr="00D16F97">
        <w:br w:type="page"/>
      </w:r>
    </w:p>
    <w:p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E4225D" w:rsidRDefault="00E4225D" w:rsidP="00E4225D">
      <w:pPr>
        <w:tabs>
          <w:tab w:val="left" w:pos="2366"/>
        </w:tabs>
        <w:spacing w:line="312" w:lineRule="auto"/>
        <w:jc w:val="center"/>
        <w:rPr>
          <w:b/>
          <w:smallCaps/>
          <w:color w:val="000000"/>
        </w:rPr>
      </w:pPr>
    </w:p>
    <w:tbl>
      <w:tblPr>
        <w:tblW w:w="5000" w:type="pct"/>
        <w:tblCellMar>
          <w:left w:w="0" w:type="dxa"/>
          <w:right w:w="0" w:type="dxa"/>
        </w:tblCellMar>
        <w:tblLook w:val="04A0" w:firstRow="1" w:lastRow="0" w:firstColumn="1" w:lastColumn="0" w:noHBand="0" w:noVBand="1"/>
      </w:tblPr>
      <w:tblGrid>
        <w:gridCol w:w="4501"/>
        <w:gridCol w:w="4502"/>
      </w:tblGrid>
      <w:tr w:rsidR="00E4225D" w:rsidRPr="00D97640" w:rsidTr="00515E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Agente Fiduciário</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E4225D">
            <w:pPr>
              <w:spacing w:before="100" w:beforeAutospacing="1"/>
            </w:pPr>
            <w:r w:rsidRPr="00D97640">
              <w:t xml:space="preserve">CELESC </w:t>
            </w:r>
            <w:r>
              <w:t>GERAÇÃO</w:t>
            </w:r>
            <w:r w:rsidRPr="00D97640">
              <w:t xml:space="preserve"> S.A.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Debêntures simples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Segunda / Série Única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R$ 150.000.000,00 (cento e cinquenta milhões de reais).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Quantidade de </w:t>
            </w:r>
            <w:r>
              <w:t>Debêntures</w:t>
            </w:r>
            <w:r w:rsidRPr="00D97640">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15.000 (quinze mil)</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Da Espécie Com Garantia Real, contando com garantia adicional fidejussória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E</w:t>
            </w:r>
            <w:r w:rsidRPr="00D97640">
              <w:t>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2018</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V</w:t>
            </w:r>
            <w:r w:rsidRPr="00D97640">
              <w:t xml:space="preserve">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de 2023</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DI + 2,50% a.a. </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Não houve</w:t>
            </w:r>
          </w:p>
        </w:tc>
      </w:tr>
    </w:tbl>
    <w:p w:rsidR="00555486" w:rsidRDefault="00555486" w:rsidP="00E4225D">
      <w:pPr>
        <w:tabs>
          <w:tab w:val="left" w:pos="2366"/>
        </w:tabs>
        <w:spacing w:line="312" w:lineRule="auto"/>
        <w:rPr>
          <w:b/>
          <w:smallCaps/>
          <w:color w:val="000000"/>
        </w:rPr>
      </w:pPr>
    </w:p>
    <w:tbl>
      <w:tblPr>
        <w:tblW w:w="8931" w:type="dxa"/>
        <w:tblInd w:w="108" w:type="dxa"/>
        <w:tblCellMar>
          <w:left w:w="0" w:type="dxa"/>
          <w:right w:w="0" w:type="dxa"/>
        </w:tblCellMar>
        <w:tblLook w:val="04A0" w:firstRow="1" w:lastRow="0" w:firstColumn="1" w:lastColumn="0" w:noHBand="0" w:noVBand="1"/>
      </w:tblPr>
      <w:tblGrid>
        <w:gridCol w:w="4395"/>
        <w:gridCol w:w="4536"/>
      </w:tblGrid>
      <w:tr w:rsidR="00CC3B24" w:rsidRPr="00CC3B24" w:rsidTr="00CC3B24">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rPr>
                <w:rFonts w:eastAsiaTheme="minorHAnsi"/>
              </w:rPr>
            </w:pPr>
            <w:r w:rsidRPr="00CC3B24">
              <w:t>Emissora:</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EDP Transmissão Aliança SC S.A.</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Valores mobiliários emitidos: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Debêntures simples / ICVM 476</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Número da emissão: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Primeira / Série Única</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Valor da emissão: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 xml:space="preserve">R$ 1.200.000.000,00 </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Quantidade emitidas: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1.200.000 debêntures</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Espécie e garantias envolvidas: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Garantia Real representada por cessão fiduciária de recursos e com garantia fidejussória adicional representada por fiança da EDP Energias do Brasil S.A.</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Data de emissão: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rPr>
                <w:color w:val="000000"/>
              </w:rPr>
              <w:t>15 de outubro de 2018</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 xml:space="preserve">Data de vencimento: </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15 de outubro de 2028</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Taxa de Juros: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rPr>
                <w:color w:val="000000"/>
              </w:rPr>
            </w:pPr>
            <w:r w:rsidRPr="00CC3B24">
              <w:rPr>
                <w:color w:val="000000"/>
              </w:rPr>
              <w:t>IPCA + 6,72% a.a.</w:t>
            </w:r>
          </w:p>
        </w:tc>
      </w:tr>
      <w:tr w:rsidR="00CC3B24" w:rsidRPr="00CC3B24" w:rsidTr="00CC3B24">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Inadimplementos no período: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B24" w:rsidRPr="00CC3B24" w:rsidRDefault="00CC3B24" w:rsidP="00C815AA">
            <w:pPr>
              <w:spacing w:line="288" w:lineRule="auto"/>
            </w:pPr>
            <w:r w:rsidRPr="00CC3B24">
              <w:t>Não houve.</w:t>
            </w:r>
          </w:p>
        </w:tc>
      </w:tr>
    </w:tbl>
    <w:p w:rsidR="00CC3B24" w:rsidRPr="00B2481D" w:rsidRDefault="00CC3B24" w:rsidP="00E4225D">
      <w:pPr>
        <w:tabs>
          <w:tab w:val="left" w:pos="2366"/>
        </w:tabs>
        <w:spacing w:line="312" w:lineRule="auto"/>
        <w:rPr>
          <w:b/>
          <w:smallCaps/>
          <w:color w:val="000000"/>
        </w:rPr>
      </w:pPr>
    </w:p>
    <w:sectPr w:rsidR="00CC3B24" w:rsidRPr="00B2481D" w:rsidSect="00DB57BE">
      <w:foot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71" w:rsidRDefault="00FC7B71">
      <w:pPr>
        <w:rPr>
          <w:rFonts w:cstheme="minorBidi"/>
        </w:rPr>
      </w:pPr>
      <w:r>
        <w:rPr>
          <w:rFonts w:cstheme="minorBidi"/>
        </w:rPr>
        <w:separator/>
      </w:r>
    </w:p>
    <w:p w:rsidR="00FC7B71" w:rsidRDefault="00FC7B71"/>
    <w:p w:rsidR="00FC7B71" w:rsidRDefault="00FC7B71"/>
  </w:endnote>
  <w:endnote w:type="continuationSeparator" w:id="0">
    <w:p w:rsidR="00FC7B71" w:rsidRDefault="00FC7B71">
      <w:pPr>
        <w:rPr>
          <w:rFonts w:cstheme="minorBidi"/>
        </w:rPr>
      </w:pPr>
      <w:r>
        <w:rPr>
          <w:rFonts w:cstheme="minorBidi"/>
        </w:rPr>
        <w:continuationSeparator/>
      </w:r>
    </w:p>
    <w:p w:rsidR="00FC7B71" w:rsidRDefault="00FC7B71"/>
    <w:p w:rsidR="00FC7B71" w:rsidRDefault="00FC7B71"/>
  </w:endnote>
  <w:endnote w:type="continuationNotice" w:id="1">
    <w:p w:rsidR="00FC7B71" w:rsidRDefault="00FC7B71"/>
    <w:p w:rsidR="00FC7B71" w:rsidRDefault="00FC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B71" w:rsidRPr="001847FA" w:rsidRDefault="00FC7B71"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2</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B71" w:rsidRPr="005B2EA3" w:rsidRDefault="00FC7B71">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71" w:rsidRDefault="00FC7B71">
      <w:pPr>
        <w:rPr>
          <w:rFonts w:cstheme="minorBidi"/>
        </w:rPr>
      </w:pPr>
      <w:r>
        <w:rPr>
          <w:rFonts w:cstheme="minorBidi"/>
        </w:rPr>
        <w:separator/>
      </w:r>
    </w:p>
    <w:p w:rsidR="00FC7B71" w:rsidRDefault="00FC7B71"/>
    <w:p w:rsidR="00FC7B71" w:rsidRDefault="00FC7B71"/>
  </w:footnote>
  <w:footnote w:type="continuationSeparator" w:id="0">
    <w:p w:rsidR="00FC7B71" w:rsidRDefault="00FC7B71">
      <w:pPr>
        <w:rPr>
          <w:rFonts w:cstheme="minorBidi"/>
        </w:rPr>
      </w:pPr>
      <w:r>
        <w:rPr>
          <w:rFonts w:cstheme="minorBidi"/>
        </w:rPr>
        <w:continuationSeparator/>
      </w:r>
    </w:p>
    <w:p w:rsidR="00FC7B71" w:rsidRDefault="00FC7B71"/>
    <w:p w:rsidR="00FC7B71" w:rsidRDefault="00FC7B71"/>
  </w:footnote>
  <w:footnote w:type="continuationNotice" w:id="1">
    <w:p w:rsidR="00FC7B71" w:rsidRDefault="00FC7B71"/>
    <w:p w:rsidR="00FC7B71" w:rsidRDefault="00FC7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B71" w:rsidRPr="00C815AA" w:rsidRDefault="00FC7B71" w:rsidP="006321AF">
    <w:pPr>
      <w:pStyle w:val="Cabealho"/>
      <w:jc w:val="right"/>
      <w:rPr>
        <w:b/>
        <w:smallCaps/>
        <w:lang w:val="en-US"/>
      </w:rPr>
    </w:pPr>
    <w:r w:rsidRPr="00C815AA">
      <w:rPr>
        <w:b/>
        <w:smallCaps/>
        <w:lang w:val="en-US"/>
      </w:rPr>
      <w:t xml:space="preserve">Minuta VBSO – </w:t>
    </w:r>
    <w:r>
      <w:rPr>
        <w:b/>
        <w:smallCaps/>
        <w:lang w:val="en-US"/>
      </w:rPr>
      <w:t>v</w:t>
    </w:r>
    <w:r w:rsidRPr="00C815AA">
      <w:rPr>
        <w:b/>
        <w:smallCaps/>
        <w:lang w:val="en-US"/>
      </w:rPr>
      <w:t xml:space="preserve">. </w:t>
    </w:r>
    <w:r>
      <w:rPr>
        <w:b/>
        <w:smallCaps/>
        <w:lang w:val="en-US"/>
      </w:rPr>
      <w:t>s</w:t>
    </w:r>
    <w:r w:rsidRPr="00C815AA">
      <w:rPr>
        <w:b/>
        <w:smallCaps/>
        <w:lang w:val="en-US"/>
      </w:rPr>
      <w:t xml:space="preserve">ign </w:t>
    </w:r>
    <w:r>
      <w:rPr>
        <w:b/>
        <w:smallCaps/>
        <w:lang w:val="en-US"/>
      </w:rPr>
      <w:t>o</w:t>
    </w:r>
    <w:r w:rsidRPr="00C815AA">
      <w:rPr>
        <w:b/>
        <w:smallCaps/>
        <w:lang w:val="en-US"/>
      </w:rPr>
      <w:t>ff</w:t>
    </w:r>
  </w:p>
  <w:p w:rsidR="00FC7B71" w:rsidRPr="001D2F76" w:rsidRDefault="00FC7B71" w:rsidP="006321AF">
    <w:pPr>
      <w:pStyle w:val="Cabealho"/>
      <w:jc w:val="right"/>
      <w:rPr>
        <w:b/>
        <w:smallCaps/>
      </w:rPr>
    </w:pPr>
    <w:r w:rsidRPr="001D2F76">
      <w:rPr>
        <w:b/>
        <w:smallCaps/>
      </w:rPr>
      <w:t>(</w:t>
    </w:r>
    <w:r>
      <w:rPr>
        <w:b/>
        <w:smallCaps/>
      </w:rPr>
      <w:t>25</w:t>
    </w:r>
    <w:r w:rsidRPr="001D2F76">
      <w:rPr>
        <w:b/>
        <w:smallCaps/>
      </w:rPr>
      <w:t>.0</w:t>
    </w:r>
    <w:r>
      <w:rPr>
        <w:b/>
        <w:smallCaps/>
      </w:rPr>
      <w:t>3</w:t>
    </w:r>
    <w:r w:rsidRPr="001D2F76">
      <w:rPr>
        <w:b/>
        <w:smallCaps/>
      </w:rPr>
      <w:t>.2020)</w:t>
    </w:r>
  </w:p>
  <w:p w:rsidR="00FC7B71" w:rsidRPr="003C70DE" w:rsidRDefault="00FC7B71" w:rsidP="003C70DE">
    <w:pPr>
      <w:pStyle w:val="Cabealho"/>
      <w:rPr>
        <w:b/>
        <w:smallCaps/>
      </w:rPr>
    </w:pPr>
    <w:r>
      <w:rPr>
        <w:noProof/>
      </w:rPr>
      <w:drawing>
        <wp:inline distT="0" distB="0" distL="0" distR="0" wp14:anchorId="05C854F7" wp14:editId="7170441F">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7"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9"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3"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5"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3"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5BB7C46"/>
    <w:multiLevelType w:val="multilevel"/>
    <w:tmpl w:val="E3D86C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D73F9D"/>
    <w:multiLevelType w:val="hybridMultilevel"/>
    <w:tmpl w:val="01E056D0"/>
    <w:lvl w:ilvl="0" w:tplc="C53AB5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7"/>
  </w:num>
  <w:num w:numId="2">
    <w:abstractNumId w:val="14"/>
  </w:num>
  <w:num w:numId="3">
    <w:abstractNumId w:val="25"/>
  </w:num>
  <w:num w:numId="4">
    <w:abstractNumId w:val="12"/>
  </w:num>
  <w:num w:numId="5">
    <w:abstractNumId w:val="6"/>
  </w:num>
  <w:num w:numId="6">
    <w:abstractNumId w:val="10"/>
  </w:num>
  <w:num w:numId="7">
    <w:abstractNumId w:val="20"/>
  </w:num>
  <w:num w:numId="8">
    <w:abstractNumId w:val="21"/>
  </w:num>
  <w:num w:numId="9">
    <w:abstractNumId w:val="33"/>
  </w:num>
  <w:num w:numId="10">
    <w:abstractNumId w:val="45"/>
  </w:num>
  <w:num w:numId="11">
    <w:abstractNumId w:val="23"/>
  </w:num>
  <w:num w:numId="12">
    <w:abstractNumId w:val="11"/>
  </w:num>
  <w:num w:numId="13">
    <w:abstractNumId w:val="34"/>
  </w:num>
  <w:num w:numId="14">
    <w:abstractNumId w:val="8"/>
  </w:num>
  <w:num w:numId="15">
    <w:abstractNumId w:val="3"/>
  </w:num>
  <w:num w:numId="16">
    <w:abstractNumId w:val="5"/>
  </w:num>
  <w:num w:numId="17">
    <w:abstractNumId w:val="26"/>
  </w:num>
  <w:num w:numId="18">
    <w:abstractNumId w:val="7"/>
  </w:num>
  <w:num w:numId="19">
    <w:abstractNumId w:val="32"/>
  </w:num>
  <w:num w:numId="20">
    <w:abstractNumId w:val="22"/>
  </w:num>
  <w:num w:numId="21">
    <w:abstractNumId w:val="30"/>
  </w:num>
  <w:num w:numId="22">
    <w:abstractNumId w:val="40"/>
  </w:num>
  <w:num w:numId="23">
    <w:abstractNumId w:val="15"/>
  </w:num>
  <w:num w:numId="24">
    <w:abstractNumId w:val="39"/>
  </w:num>
  <w:num w:numId="25">
    <w:abstractNumId w:val="27"/>
  </w:num>
  <w:num w:numId="26">
    <w:abstractNumId w:val="29"/>
  </w:num>
  <w:num w:numId="27">
    <w:abstractNumId w:val="38"/>
  </w:num>
  <w:num w:numId="28">
    <w:abstractNumId w:val="1"/>
  </w:num>
  <w:num w:numId="29">
    <w:abstractNumId w:val="2"/>
  </w:num>
  <w:num w:numId="30">
    <w:abstractNumId w:val="24"/>
  </w:num>
  <w:num w:numId="31">
    <w:abstractNumId w:val="44"/>
  </w:num>
  <w:num w:numId="32">
    <w:abstractNumId w:val="13"/>
  </w:num>
  <w:num w:numId="33">
    <w:abstractNumId w:val="19"/>
  </w:num>
  <w:num w:numId="34">
    <w:abstractNumId w:val="31"/>
  </w:num>
  <w:num w:numId="35">
    <w:abstractNumId w:val="17"/>
  </w:num>
  <w:num w:numId="36">
    <w:abstractNumId w:val="9"/>
  </w:num>
  <w:num w:numId="37">
    <w:abstractNumId w:val="35"/>
  </w:num>
  <w:num w:numId="38">
    <w:abstractNumId w:val="28"/>
  </w:num>
  <w:num w:numId="39">
    <w:abstractNumId w:val="42"/>
  </w:num>
  <w:num w:numId="40">
    <w:abstractNumId w:val="16"/>
  </w:num>
  <w:num w:numId="41">
    <w:abstractNumId w:val="43"/>
  </w:num>
  <w:num w:numId="42">
    <w:abstractNumId w:val="18"/>
  </w:num>
  <w:num w:numId="43">
    <w:abstractNumId w:val="0"/>
  </w:num>
  <w:num w:numId="44">
    <w:abstractNumId w:val="4"/>
  </w:num>
  <w:num w:numId="45">
    <w:abstractNumId w:val="36"/>
  </w:num>
  <w:num w:numId="46">
    <w:abstractNumId w:val="4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2F72"/>
    <w:rsid w:val="00003419"/>
    <w:rsid w:val="000037A4"/>
    <w:rsid w:val="00004959"/>
    <w:rsid w:val="00007727"/>
    <w:rsid w:val="00011051"/>
    <w:rsid w:val="000136AB"/>
    <w:rsid w:val="00013B32"/>
    <w:rsid w:val="00014B22"/>
    <w:rsid w:val="00015737"/>
    <w:rsid w:val="0001740A"/>
    <w:rsid w:val="00020B50"/>
    <w:rsid w:val="00021C2B"/>
    <w:rsid w:val="00022138"/>
    <w:rsid w:val="00023471"/>
    <w:rsid w:val="00023C00"/>
    <w:rsid w:val="00025405"/>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53A4"/>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17A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33EC"/>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2347"/>
    <w:rsid w:val="00145FBB"/>
    <w:rsid w:val="00147B03"/>
    <w:rsid w:val="00151D5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3BE"/>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34A9"/>
    <w:rsid w:val="0025488C"/>
    <w:rsid w:val="0025491E"/>
    <w:rsid w:val="00254956"/>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042A"/>
    <w:rsid w:val="002B48DA"/>
    <w:rsid w:val="002B5980"/>
    <w:rsid w:val="002B6ADF"/>
    <w:rsid w:val="002B7A50"/>
    <w:rsid w:val="002C0B4A"/>
    <w:rsid w:val="002C368E"/>
    <w:rsid w:val="002C417F"/>
    <w:rsid w:val="002C552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0EB3"/>
    <w:rsid w:val="00311B72"/>
    <w:rsid w:val="003123A7"/>
    <w:rsid w:val="003130C8"/>
    <w:rsid w:val="003149C3"/>
    <w:rsid w:val="00316C1A"/>
    <w:rsid w:val="00316E1A"/>
    <w:rsid w:val="00320F10"/>
    <w:rsid w:val="003213C3"/>
    <w:rsid w:val="00325C14"/>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3E9F"/>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A646F"/>
    <w:rsid w:val="003B1FA0"/>
    <w:rsid w:val="003B291A"/>
    <w:rsid w:val="003B45C5"/>
    <w:rsid w:val="003B6087"/>
    <w:rsid w:val="003B67DB"/>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779F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07AF"/>
    <w:rsid w:val="004B672C"/>
    <w:rsid w:val="004B76C9"/>
    <w:rsid w:val="004C0B3B"/>
    <w:rsid w:val="004C2E2C"/>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4F3EE1"/>
    <w:rsid w:val="0050119F"/>
    <w:rsid w:val="005018D1"/>
    <w:rsid w:val="00502021"/>
    <w:rsid w:val="005040AC"/>
    <w:rsid w:val="005040B6"/>
    <w:rsid w:val="005049D1"/>
    <w:rsid w:val="00505AA9"/>
    <w:rsid w:val="005122AD"/>
    <w:rsid w:val="00514204"/>
    <w:rsid w:val="0051421F"/>
    <w:rsid w:val="0051424C"/>
    <w:rsid w:val="005152A9"/>
    <w:rsid w:val="00515E9F"/>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040"/>
    <w:rsid w:val="00591596"/>
    <w:rsid w:val="005922F2"/>
    <w:rsid w:val="00592921"/>
    <w:rsid w:val="005946BE"/>
    <w:rsid w:val="0059607D"/>
    <w:rsid w:val="005A0358"/>
    <w:rsid w:val="005A0775"/>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1FBF"/>
    <w:rsid w:val="005F49C3"/>
    <w:rsid w:val="005F5E59"/>
    <w:rsid w:val="006029A5"/>
    <w:rsid w:val="00603733"/>
    <w:rsid w:val="00603A9B"/>
    <w:rsid w:val="00603C8B"/>
    <w:rsid w:val="006047AF"/>
    <w:rsid w:val="0060717C"/>
    <w:rsid w:val="00613A8C"/>
    <w:rsid w:val="00613FC9"/>
    <w:rsid w:val="006148FB"/>
    <w:rsid w:val="00614963"/>
    <w:rsid w:val="00614B69"/>
    <w:rsid w:val="00617AA0"/>
    <w:rsid w:val="00621DC8"/>
    <w:rsid w:val="006237D9"/>
    <w:rsid w:val="0062389B"/>
    <w:rsid w:val="00624145"/>
    <w:rsid w:val="00624C3A"/>
    <w:rsid w:val="006254E5"/>
    <w:rsid w:val="00626E73"/>
    <w:rsid w:val="006270F8"/>
    <w:rsid w:val="006321AF"/>
    <w:rsid w:val="0063465C"/>
    <w:rsid w:val="00634866"/>
    <w:rsid w:val="0063741C"/>
    <w:rsid w:val="00640B7B"/>
    <w:rsid w:val="0064152A"/>
    <w:rsid w:val="00641AA3"/>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76440"/>
    <w:rsid w:val="00680C54"/>
    <w:rsid w:val="00680CA1"/>
    <w:rsid w:val="00681B06"/>
    <w:rsid w:val="00681C72"/>
    <w:rsid w:val="006820A4"/>
    <w:rsid w:val="0068311A"/>
    <w:rsid w:val="0068459A"/>
    <w:rsid w:val="00685D17"/>
    <w:rsid w:val="006905FA"/>
    <w:rsid w:val="00693028"/>
    <w:rsid w:val="006935B4"/>
    <w:rsid w:val="00693A33"/>
    <w:rsid w:val="006945A8"/>
    <w:rsid w:val="006946D2"/>
    <w:rsid w:val="006963CC"/>
    <w:rsid w:val="00697CE6"/>
    <w:rsid w:val="006A10AD"/>
    <w:rsid w:val="006A1957"/>
    <w:rsid w:val="006A3186"/>
    <w:rsid w:val="006A4E05"/>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661"/>
    <w:rsid w:val="006E1BC3"/>
    <w:rsid w:val="006E28FE"/>
    <w:rsid w:val="006E2FA4"/>
    <w:rsid w:val="006E37EC"/>
    <w:rsid w:val="006E6A23"/>
    <w:rsid w:val="006E6FB1"/>
    <w:rsid w:val="006F19AD"/>
    <w:rsid w:val="006F1DF3"/>
    <w:rsid w:val="006F25B8"/>
    <w:rsid w:val="006F5120"/>
    <w:rsid w:val="006F51A7"/>
    <w:rsid w:val="00703179"/>
    <w:rsid w:val="00703E40"/>
    <w:rsid w:val="00705819"/>
    <w:rsid w:val="00705E36"/>
    <w:rsid w:val="007079A0"/>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18"/>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0BA"/>
    <w:rsid w:val="00805563"/>
    <w:rsid w:val="008071B2"/>
    <w:rsid w:val="00807A6A"/>
    <w:rsid w:val="00807EF4"/>
    <w:rsid w:val="00810227"/>
    <w:rsid w:val="00810675"/>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4F9C"/>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5CF1"/>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13B0"/>
    <w:rsid w:val="00912D4C"/>
    <w:rsid w:val="0091508D"/>
    <w:rsid w:val="009151DA"/>
    <w:rsid w:val="0091537A"/>
    <w:rsid w:val="00915F32"/>
    <w:rsid w:val="00917B6E"/>
    <w:rsid w:val="0092030D"/>
    <w:rsid w:val="0092533D"/>
    <w:rsid w:val="00925E18"/>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71"/>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538A"/>
    <w:rsid w:val="009A6506"/>
    <w:rsid w:val="009A7D83"/>
    <w:rsid w:val="009B09BF"/>
    <w:rsid w:val="009B0A54"/>
    <w:rsid w:val="009B0AD4"/>
    <w:rsid w:val="009B391E"/>
    <w:rsid w:val="009B3B52"/>
    <w:rsid w:val="009B4B95"/>
    <w:rsid w:val="009B6449"/>
    <w:rsid w:val="009B7E3D"/>
    <w:rsid w:val="009C0FA4"/>
    <w:rsid w:val="009C34B4"/>
    <w:rsid w:val="009C34B6"/>
    <w:rsid w:val="009C6D77"/>
    <w:rsid w:val="009D2BA9"/>
    <w:rsid w:val="009D2ED8"/>
    <w:rsid w:val="009D2FF4"/>
    <w:rsid w:val="009D32E1"/>
    <w:rsid w:val="009D352F"/>
    <w:rsid w:val="009D3913"/>
    <w:rsid w:val="009D694A"/>
    <w:rsid w:val="009E2249"/>
    <w:rsid w:val="009E33A9"/>
    <w:rsid w:val="009E48EA"/>
    <w:rsid w:val="009E5415"/>
    <w:rsid w:val="009E6A14"/>
    <w:rsid w:val="009E6A4E"/>
    <w:rsid w:val="009E6AF4"/>
    <w:rsid w:val="009E6B09"/>
    <w:rsid w:val="009E6D33"/>
    <w:rsid w:val="009E745E"/>
    <w:rsid w:val="009E75D1"/>
    <w:rsid w:val="009E7E36"/>
    <w:rsid w:val="009F24A5"/>
    <w:rsid w:val="009F299A"/>
    <w:rsid w:val="009F3CD7"/>
    <w:rsid w:val="009F5103"/>
    <w:rsid w:val="009F6F00"/>
    <w:rsid w:val="009F7BEA"/>
    <w:rsid w:val="00A013D4"/>
    <w:rsid w:val="00A01831"/>
    <w:rsid w:val="00A02F41"/>
    <w:rsid w:val="00A03D08"/>
    <w:rsid w:val="00A0462B"/>
    <w:rsid w:val="00A06568"/>
    <w:rsid w:val="00A06D78"/>
    <w:rsid w:val="00A10460"/>
    <w:rsid w:val="00A1107E"/>
    <w:rsid w:val="00A11A6B"/>
    <w:rsid w:val="00A125BB"/>
    <w:rsid w:val="00A1274D"/>
    <w:rsid w:val="00A12FCA"/>
    <w:rsid w:val="00A133A2"/>
    <w:rsid w:val="00A13E65"/>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1655"/>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34E3"/>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281A"/>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384"/>
    <w:rsid w:val="00B86EA1"/>
    <w:rsid w:val="00B8743E"/>
    <w:rsid w:val="00B9366D"/>
    <w:rsid w:val="00B9402E"/>
    <w:rsid w:val="00B945A7"/>
    <w:rsid w:val="00B94D41"/>
    <w:rsid w:val="00B94F70"/>
    <w:rsid w:val="00B955BB"/>
    <w:rsid w:val="00B95FDF"/>
    <w:rsid w:val="00B97360"/>
    <w:rsid w:val="00BA0D2A"/>
    <w:rsid w:val="00BA16B3"/>
    <w:rsid w:val="00BA19EA"/>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51A5"/>
    <w:rsid w:val="00BC6666"/>
    <w:rsid w:val="00BC6D02"/>
    <w:rsid w:val="00BC7BAB"/>
    <w:rsid w:val="00BD03BD"/>
    <w:rsid w:val="00BD1005"/>
    <w:rsid w:val="00BD125D"/>
    <w:rsid w:val="00BD42C3"/>
    <w:rsid w:val="00BD4369"/>
    <w:rsid w:val="00BD59DA"/>
    <w:rsid w:val="00BD61E0"/>
    <w:rsid w:val="00BD7F14"/>
    <w:rsid w:val="00BE0166"/>
    <w:rsid w:val="00BE1BB2"/>
    <w:rsid w:val="00BE4603"/>
    <w:rsid w:val="00BE5545"/>
    <w:rsid w:val="00BE6DE1"/>
    <w:rsid w:val="00BE7230"/>
    <w:rsid w:val="00BF104A"/>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448E"/>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57268"/>
    <w:rsid w:val="00C60CB4"/>
    <w:rsid w:val="00C62B0A"/>
    <w:rsid w:val="00C662FD"/>
    <w:rsid w:val="00C66DB9"/>
    <w:rsid w:val="00C70231"/>
    <w:rsid w:val="00C76CBA"/>
    <w:rsid w:val="00C772C5"/>
    <w:rsid w:val="00C77457"/>
    <w:rsid w:val="00C80818"/>
    <w:rsid w:val="00C80C8B"/>
    <w:rsid w:val="00C813B7"/>
    <w:rsid w:val="00C815AA"/>
    <w:rsid w:val="00C81AF2"/>
    <w:rsid w:val="00C82FE4"/>
    <w:rsid w:val="00C8300E"/>
    <w:rsid w:val="00C868C0"/>
    <w:rsid w:val="00C91D4C"/>
    <w:rsid w:val="00C924C3"/>
    <w:rsid w:val="00C92B40"/>
    <w:rsid w:val="00C94BB9"/>
    <w:rsid w:val="00C967EB"/>
    <w:rsid w:val="00C96AA1"/>
    <w:rsid w:val="00C973D5"/>
    <w:rsid w:val="00CA0558"/>
    <w:rsid w:val="00CA1812"/>
    <w:rsid w:val="00CA2236"/>
    <w:rsid w:val="00CA3626"/>
    <w:rsid w:val="00CA52D0"/>
    <w:rsid w:val="00CA5497"/>
    <w:rsid w:val="00CB0292"/>
    <w:rsid w:val="00CB0E03"/>
    <w:rsid w:val="00CB1A6D"/>
    <w:rsid w:val="00CB391F"/>
    <w:rsid w:val="00CB3B29"/>
    <w:rsid w:val="00CB5A68"/>
    <w:rsid w:val="00CB634C"/>
    <w:rsid w:val="00CB7B06"/>
    <w:rsid w:val="00CC0E0C"/>
    <w:rsid w:val="00CC185E"/>
    <w:rsid w:val="00CC3B24"/>
    <w:rsid w:val="00CC3F5C"/>
    <w:rsid w:val="00CC4FAA"/>
    <w:rsid w:val="00CC5038"/>
    <w:rsid w:val="00CC7A32"/>
    <w:rsid w:val="00CD060D"/>
    <w:rsid w:val="00CD1437"/>
    <w:rsid w:val="00CD1D9E"/>
    <w:rsid w:val="00CD2D8D"/>
    <w:rsid w:val="00CD2EBD"/>
    <w:rsid w:val="00CD634E"/>
    <w:rsid w:val="00CD6F9C"/>
    <w:rsid w:val="00CE1209"/>
    <w:rsid w:val="00CE1C03"/>
    <w:rsid w:val="00CE2BBD"/>
    <w:rsid w:val="00CE522B"/>
    <w:rsid w:val="00CE7397"/>
    <w:rsid w:val="00CF161E"/>
    <w:rsid w:val="00CF1F33"/>
    <w:rsid w:val="00CF4699"/>
    <w:rsid w:val="00CF5758"/>
    <w:rsid w:val="00CF7CEF"/>
    <w:rsid w:val="00D00184"/>
    <w:rsid w:val="00D00BE2"/>
    <w:rsid w:val="00D01210"/>
    <w:rsid w:val="00D018B6"/>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4C89"/>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4E31"/>
    <w:rsid w:val="00DE5FF6"/>
    <w:rsid w:val="00DF0700"/>
    <w:rsid w:val="00DF0E9B"/>
    <w:rsid w:val="00DF234F"/>
    <w:rsid w:val="00DF243D"/>
    <w:rsid w:val="00DF723A"/>
    <w:rsid w:val="00E02465"/>
    <w:rsid w:val="00E024B7"/>
    <w:rsid w:val="00E0399A"/>
    <w:rsid w:val="00E03F32"/>
    <w:rsid w:val="00E0593D"/>
    <w:rsid w:val="00E07E4C"/>
    <w:rsid w:val="00E109F4"/>
    <w:rsid w:val="00E11827"/>
    <w:rsid w:val="00E12817"/>
    <w:rsid w:val="00E12D1E"/>
    <w:rsid w:val="00E13C34"/>
    <w:rsid w:val="00E13F30"/>
    <w:rsid w:val="00E146F2"/>
    <w:rsid w:val="00E14710"/>
    <w:rsid w:val="00E14D78"/>
    <w:rsid w:val="00E15044"/>
    <w:rsid w:val="00E15E52"/>
    <w:rsid w:val="00E17DC8"/>
    <w:rsid w:val="00E21CBA"/>
    <w:rsid w:val="00E24399"/>
    <w:rsid w:val="00E2543A"/>
    <w:rsid w:val="00E25C60"/>
    <w:rsid w:val="00E2621D"/>
    <w:rsid w:val="00E37304"/>
    <w:rsid w:val="00E37903"/>
    <w:rsid w:val="00E41E0D"/>
    <w:rsid w:val="00E4225D"/>
    <w:rsid w:val="00E44302"/>
    <w:rsid w:val="00E44A0C"/>
    <w:rsid w:val="00E461E6"/>
    <w:rsid w:val="00E47554"/>
    <w:rsid w:val="00E50A75"/>
    <w:rsid w:val="00E51680"/>
    <w:rsid w:val="00E51E88"/>
    <w:rsid w:val="00E521D1"/>
    <w:rsid w:val="00E5568A"/>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A7DDA"/>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E6CDE"/>
    <w:rsid w:val="00EF0D95"/>
    <w:rsid w:val="00EF3D0C"/>
    <w:rsid w:val="00EF52F6"/>
    <w:rsid w:val="00EF6DB9"/>
    <w:rsid w:val="00EF7DFF"/>
    <w:rsid w:val="00F05409"/>
    <w:rsid w:val="00F06524"/>
    <w:rsid w:val="00F078BD"/>
    <w:rsid w:val="00F10C0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53F"/>
    <w:rsid w:val="00F527ED"/>
    <w:rsid w:val="00F52D69"/>
    <w:rsid w:val="00F540F6"/>
    <w:rsid w:val="00F57BC2"/>
    <w:rsid w:val="00F57D21"/>
    <w:rsid w:val="00F60A39"/>
    <w:rsid w:val="00F61EFD"/>
    <w:rsid w:val="00F661EA"/>
    <w:rsid w:val="00F667B3"/>
    <w:rsid w:val="00F66AE7"/>
    <w:rsid w:val="00F6765C"/>
    <w:rsid w:val="00F72511"/>
    <w:rsid w:val="00F76891"/>
    <w:rsid w:val="00F7694C"/>
    <w:rsid w:val="00F76FC5"/>
    <w:rsid w:val="00F77554"/>
    <w:rsid w:val="00F77649"/>
    <w:rsid w:val="00F776BC"/>
    <w:rsid w:val="00F77BF4"/>
    <w:rsid w:val="00F81DC7"/>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0DD9"/>
    <w:rsid w:val="00FC1CB0"/>
    <w:rsid w:val="00FC5476"/>
    <w:rsid w:val="00FC5A91"/>
    <w:rsid w:val="00FC620E"/>
    <w:rsid w:val="00FC6232"/>
    <w:rsid w:val="00FC7B71"/>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AE2ACD9"/>
  <w15:docId w15:val="{29A94EF5-7FA8-483A-81A8-2C3BC161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99"/>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99"/>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Commarcadores">
    <w:name w:val="List Bullet"/>
    <w:basedOn w:val="Normal"/>
    <w:uiPriority w:val="99"/>
    <w:unhideWhenUsed/>
    <w:rsid w:val="00747BA2"/>
    <w:pPr>
      <w:numPr>
        <w:numId w:val="43"/>
      </w:numPr>
      <w:contextualSpacing/>
    </w:pPr>
  </w:style>
  <w:style w:type="paragraph" w:customStyle="1" w:styleId="xmsonormal">
    <w:name w:val="x_msonormal"/>
    <w:basedOn w:val="Normal"/>
    <w:rsid w:val="00FC7B7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228856235">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884636791">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161769685">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1901017809">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FD74-64BF-493A-A7AD-36E511B8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23464</Words>
  <Characters>134723</Characters>
  <Application>Microsoft Office Word</Application>
  <DocSecurity>0</DocSecurity>
  <Lines>1122</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Henrique Takeda Kamoi</cp:lastModifiedBy>
  <cp:revision>2</cp:revision>
  <cp:lastPrinted>2018-05-10T01:52:00Z</cp:lastPrinted>
  <dcterms:created xsi:type="dcterms:W3CDTF">2020-03-30T14:21:00Z</dcterms:created>
  <dcterms:modified xsi:type="dcterms:W3CDTF">2020-03-30T14:21:00Z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