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635A" w14:textId="07BF265D" w:rsidR="00AE5AFD" w:rsidRPr="00F058F3" w:rsidRDefault="00F97BC0" w:rsidP="00CD0ED2">
      <w:pPr>
        <w:pStyle w:val="Ttulo2"/>
        <w:keepNext w:val="0"/>
        <w:jc w:val="center"/>
        <w:rPr>
          <w:rFonts w:ascii="Trebuchet MS" w:hAnsi="Trebuchet MS"/>
          <w:b/>
          <w:sz w:val="20"/>
          <w:szCs w:val="20"/>
        </w:rPr>
      </w:pPr>
      <w:r w:rsidRPr="00F058F3">
        <w:rPr>
          <w:rFonts w:ascii="Trebuchet MS" w:hAnsi="Trebuchet MS"/>
          <w:b/>
          <w:sz w:val="20"/>
          <w:szCs w:val="20"/>
        </w:rPr>
        <w:t>COLÉGIO VIMASA S.A.</w:t>
      </w:r>
    </w:p>
    <w:p w14:paraId="0DAA22C1" w14:textId="77777777" w:rsidR="00AE5AFD" w:rsidRPr="00F058F3" w:rsidRDefault="00AE5AFD" w:rsidP="00CD0ED2">
      <w:pPr>
        <w:pStyle w:val="Default"/>
        <w:jc w:val="center"/>
        <w:rPr>
          <w:rFonts w:ascii="Trebuchet MS" w:hAnsi="Trebuchet MS"/>
          <w:bCs/>
          <w:i/>
          <w:iCs/>
          <w:sz w:val="20"/>
          <w:szCs w:val="20"/>
        </w:rPr>
      </w:pPr>
      <w:r w:rsidRPr="00F058F3">
        <w:rPr>
          <w:rFonts w:ascii="Trebuchet MS" w:hAnsi="Trebuchet MS"/>
          <w:bCs/>
          <w:i/>
          <w:iCs/>
          <w:sz w:val="20"/>
          <w:szCs w:val="20"/>
        </w:rPr>
        <w:t xml:space="preserve">Companhia </w:t>
      </w:r>
      <w:r w:rsidR="00950F94" w:rsidRPr="00F058F3">
        <w:rPr>
          <w:rFonts w:ascii="Trebuchet MS" w:hAnsi="Trebuchet MS"/>
          <w:bCs/>
          <w:i/>
          <w:iCs/>
          <w:sz w:val="20"/>
          <w:szCs w:val="20"/>
        </w:rPr>
        <w:t>Fechada</w:t>
      </w:r>
    </w:p>
    <w:p w14:paraId="5303FC4A" w14:textId="77777777" w:rsidR="00AE5AFD" w:rsidRPr="00F058F3" w:rsidRDefault="00AE5AFD" w:rsidP="00CD0ED2">
      <w:pPr>
        <w:pStyle w:val="Default"/>
        <w:jc w:val="center"/>
        <w:rPr>
          <w:rFonts w:ascii="Trebuchet MS" w:hAnsi="Trebuchet MS"/>
          <w:bCs/>
          <w:i/>
          <w:sz w:val="20"/>
          <w:szCs w:val="20"/>
        </w:rPr>
      </w:pPr>
    </w:p>
    <w:p w14:paraId="5AF279E0" w14:textId="05182327" w:rsidR="00AE5AFD" w:rsidRPr="00F058F3" w:rsidRDefault="00AE5AFD" w:rsidP="00CD0ED2">
      <w:pPr>
        <w:pStyle w:val="Ttulo2"/>
        <w:keepNext w:val="0"/>
        <w:jc w:val="center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sz w:val="20"/>
          <w:szCs w:val="20"/>
        </w:rPr>
        <w:t>CNPJ/M</w:t>
      </w:r>
      <w:r w:rsidR="00F97BC0" w:rsidRPr="00F058F3">
        <w:rPr>
          <w:rFonts w:ascii="Trebuchet MS" w:hAnsi="Trebuchet MS"/>
          <w:sz w:val="20"/>
          <w:szCs w:val="20"/>
        </w:rPr>
        <w:t xml:space="preserve">E </w:t>
      </w:r>
      <w:r w:rsidRPr="00F058F3">
        <w:rPr>
          <w:rFonts w:ascii="Trebuchet MS" w:hAnsi="Trebuchet MS"/>
          <w:sz w:val="20"/>
          <w:szCs w:val="20"/>
        </w:rPr>
        <w:t xml:space="preserve">nº </w:t>
      </w:r>
      <w:r w:rsidR="00F97BC0" w:rsidRPr="00F058F3">
        <w:rPr>
          <w:rFonts w:ascii="Trebuchet MS" w:hAnsi="Trebuchet MS"/>
          <w:sz w:val="20"/>
          <w:szCs w:val="20"/>
        </w:rPr>
        <w:t>19.213.316/</w:t>
      </w:r>
      <w:r w:rsidR="00AA4AFD" w:rsidRPr="00AA4AFD">
        <w:rPr>
          <w:rFonts w:ascii="Trebuchet MS" w:hAnsi="Trebuchet MS"/>
          <w:sz w:val="20"/>
          <w:szCs w:val="20"/>
        </w:rPr>
        <w:t>0001-90</w:t>
      </w:r>
    </w:p>
    <w:p w14:paraId="233A5BCC" w14:textId="377597C1" w:rsidR="00AE5AFD" w:rsidRPr="00F058F3" w:rsidRDefault="00AE5AFD" w:rsidP="00CD0ED2">
      <w:pPr>
        <w:pStyle w:val="Ttulo2"/>
        <w:keepNext w:val="0"/>
        <w:jc w:val="center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color w:val="000000"/>
          <w:sz w:val="20"/>
          <w:szCs w:val="20"/>
        </w:rPr>
        <w:t xml:space="preserve">NIRE </w:t>
      </w:r>
      <w:r w:rsidR="00F97BC0" w:rsidRPr="00F058F3">
        <w:rPr>
          <w:rFonts w:ascii="Trebuchet MS" w:hAnsi="Trebuchet MS"/>
          <w:color w:val="000000"/>
          <w:sz w:val="20"/>
          <w:szCs w:val="20"/>
        </w:rPr>
        <w:t>31.300.105.881</w:t>
      </w:r>
      <w:r w:rsidRPr="00F058F3">
        <w:rPr>
          <w:rFonts w:ascii="Trebuchet MS" w:hAnsi="Trebuchet MS"/>
          <w:color w:val="000000"/>
          <w:sz w:val="20"/>
          <w:szCs w:val="20"/>
        </w:rPr>
        <w:t xml:space="preserve"> </w:t>
      </w:r>
    </w:p>
    <w:p w14:paraId="10E05749" w14:textId="77777777" w:rsidR="00AE5AFD" w:rsidRPr="00F058F3" w:rsidRDefault="00AE5AFD" w:rsidP="00CD0ED2">
      <w:pPr>
        <w:pStyle w:val="Default"/>
        <w:jc w:val="both"/>
        <w:rPr>
          <w:rFonts w:ascii="Trebuchet MS" w:hAnsi="Trebuchet MS"/>
          <w:bCs/>
          <w:sz w:val="20"/>
          <w:szCs w:val="20"/>
        </w:rPr>
      </w:pPr>
    </w:p>
    <w:p w14:paraId="34CE80A3" w14:textId="25CA0746" w:rsidR="00F97BC0" w:rsidRPr="00F058F3" w:rsidRDefault="00AE5AFD" w:rsidP="00F97BC0">
      <w:pPr>
        <w:pStyle w:val="Default"/>
        <w:jc w:val="center"/>
        <w:rPr>
          <w:rFonts w:ascii="Trebuchet MS" w:hAnsi="Trebuchet MS"/>
          <w:b/>
          <w:sz w:val="20"/>
          <w:szCs w:val="20"/>
        </w:rPr>
      </w:pPr>
      <w:r w:rsidRPr="00F058F3">
        <w:rPr>
          <w:rFonts w:ascii="Trebuchet MS" w:hAnsi="Trebuchet MS"/>
          <w:b/>
          <w:bCs/>
          <w:sz w:val="20"/>
          <w:szCs w:val="20"/>
        </w:rPr>
        <w:t xml:space="preserve">ASSEMBLEIA GERAL </w:t>
      </w:r>
      <w:r w:rsidR="00F97BC0" w:rsidRPr="00F058F3">
        <w:rPr>
          <w:rFonts w:ascii="Trebuchet MS" w:hAnsi="Trebuchet MS"/>
          <w:b/>
          <w:bCs/>
          <w:sz w:val="20"/>
          <w:szCs w:val="20"/>
        </w:rPr>
        <w:t>DOS TITULARES DA</w:t>
      </w:r>
      <w:r w:rsidR="006C1D86" w:rsidRPr="00F058F3">
        <w:rPr>
          <w:rFonts w:ascii="Trebuchet MS" w:hAnsi="Trebuchet MS"/>
          <w:b/>
          <w:bCs/>
          <w:sz w:val="20"/>
          <w:szCs w:val="20"/>
        </w:rPr>
        <w:t xml:space="preserve"> </w:t>
      </w:r>
      <w:bookmarkStart w:id="0" w:name="_Hlk70323897"/>
      <w:r w:rsidR="00F97BC0" w:rsidRPr="00F058F3">
        <w:rPr>
          <w:rFonts w:ascii="Trebuchet MS" w:hAnsi="Trebuchet MS"/>
          <w:b/>
          <w:sz w:val="20"/>
          <w:szCs w:val="20"/>
        </w:rPr>
        <w:t>2ª (SEGUNDA) EMISSÃO DE DEBÊNTURES SIMPLES, NÃO CONVERSÍVEIS EM AÇÕES, DA ESPÉCIE COM GARANTIA REAL, COM GARANTIA ADICIONAL FIDEJUSSÓRIA, EM 2 (DUAS) SÉRIES, PARA DISTRIBUIÇÃO PÚBLICA COM ESFORÇOS RESTRITOS DE DISTRIBUIÇÃO, DO COLÉGIO VIMASA S.A.</w:t>
      </w:r>
      <w:bookmarkEnd w:id="0"/>
    </w:p>
    <w:p w14:paraId="230159D5" w14:textId="4F86327A" w:rsidR="00AE5AFD" w:rsidRPr="00F058F3" w:rsidRDefault="00AE5AFD" w:rsidP="00F97BC0">
      <w:pPr>
        <w:pStyle w:val="Default"/>
        <w:jc w:val="center"/>
        <w:rPr>
          <w:rFonts w:ascii="Trebuchet MS" w:hAnsi="Trebuchet MS"/>
          <w:b/>
          <w:bCs/>
          <w:sz w:val="20"/>
          <w:szCs w:val="20"/>
        </w:rPr>
      </w:pPr>
      <w:r w:rsidRPr="00F058F3">
        <w:rPr>
          <w:rFonts w:ascii="Trebuchet MS" w:hAnsi="Trebuchet MS"/>
          <w:b/>
          <w:bCs/>
          <w:sz w:val="20"/>
          <w:szCs w:val="20"/>
        </w:rPr>
        <w:t xml:space="preserve">REALIZADA EM </w:t>
      </w:r>
      <w:r w:rsidR="00F97BC0" w:rsidRPr="00F058F3">
        <w:rPr>
          <w:rFonts w:ascii="Trebuchet MS" w:hAnsi="Trebuchet MS"/>
          <w:b/>
          <w:bCs/>
          <w:sz w:val="20"/>
          <w:szCs w:val="20"/>
        </w:rPr>
        <w:t>[=]</w:t>
      </w:r>
      <w:r w:rsidRPr="00F058F3">
        <w:rPr>
          <w:rFonts w:ascii="Trebuchet MS" w:hAnsi="Trebuchet MS"/>
          <w:b/>
          <w:bCs/>
          <w:sz w:val="20"/>
          <w:szCs w:val="20"/>
        </w:rPr>
        <w:t xml:space="preserve"> DE </w:t>
      </w:r>
      <w:r w:rsidR="00BB26D0">
        <w:rPr>
          <w:rFonts w:ascii="Trebuchet MS" w:hAnsi="Trebuchet MS"/>
          <w:b/>
          <w:bCs/>
          <w:sz w:val="20"/>
          <w:szCs w:val="20"/>
        </w:rPr>
        <w:t>JU</w:t>
      </w:r>
      <w:r w:rsidR="00107928">
        <w:rPr>
          <w:rFonts w:ascii="Trebuchet MS" w:hAnsi="Trebuchet MS"/>
          <w:b/>
          <w:bCs/>
          <w:sz w:val="20"/>
          <w:szCs w:val="20"/>
        </w:rPr>
        <w:t>L</w:t>
      </w:r>
      <w:r w:rsidR="00BB26D0">
        <w:rPr>
          <w:rFonts w:ascii="Trebuchet MS" w:hAnsi="Trebuchet MS"/>
          <w:b/>
          <w:bCs/>
          <w:sz w:val="20"/>
          <w:szCs w:val="20"/>
        </w:rPr>
        <w:t>HO</w:t>
      </w:r>
      <w:r w:rsidR="0059388A" w:rsidRPr="00F058F3">
        <w:rPr>
          <w:rFonts w:ascii="Trebuchet MS" w:hAnsi="Trebuchet MS"/>
          <w:b/>
          <w:bCs/>
          <w:sz w:val="20"/>
          <w:szCs w:val="20"/>
        </w:rPr>
        <w:t xml:space="preserve"> </w:t>
      </w:r>
      <w:r w:rsidRPr="00F058F3">
        <w:rPr>
          <w:rFonts w:ascii="Trebuchet MS" w:hAnsi="Trebuchet MS"/>
          <w:b/>
          <w:bCs/>
          <w:sz w:val="20"/>
          <w:szCs w:val="20"/>
        </w:rPr>
        <w:t>DE 20</w:t>
      </w:r>
      <w:r w:rsidR="00F97BC0" w:rsidRPr="00F058F3">
        <w:rPr>
          <w:rFonts w:ascii="Trebuchet MS" w:hAnsi="Trebuchet MS"/>
          <w:b/>
          <w:bCs/>
          <w:sz w:val="20"/>
          <w:szCs w:val="20"/>
        </w:rPr>
        <w:t>21</w:t>
      </w:r>
    </w:p>
    <w:p w14:paraId="05E00072" w14:textId="77777777" w:rsidR="00AE5AFD" w:rsidRPr="00F058F3" w:rsidRDefault="00AE5AFD" w:rsidP="00CD0ED2">
      <w:pPr>
        <w:pStyle w:val="Default"/>
        <w:jc w:val="both"/>
        <w:rPr>
          <w:rFonts w:ascii="Trebuchet MS" w:hAnsi="Trebuchet MS"/>
          <w:sz w:val="20"/>
          <w:szCs w:val="20"/>
        </w:rPr>
      </w:pPr>
    </w:p>
    <w:p w14:paraId="7D7DD480" w14:textId="77777777" w:rsidR="00324461" w:rsidRPr="00F058F3" w:rsidRDefault="00324461" w:rsidP="00CD0ED2">
      <w:pPr>
        <w:pStyle w:val="Default"/>
        <w:jc w:val="both"/>
        <w:rPr>
          <w:rFonts w:ascii="Trebuchet MS" w:hAnsi="Trebuchet MS"/>
          <w:sz w:val="20"/>
          <w:szCs w:val="20"/>
        </w:rPr>
      </w:pPr>
    </w:p>
    <w:p w14:paraId="5F4E3074" w14:textId="64BE5DB0" w:rsidR="00AE5AFD" w:rsidRPr="00F058F3" w:rsidRDefault="00AE5AFD" w:rsidP="00CD0ED2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b/>
          <w:bCs/>
          <w:smallCaps/>
          <w:sz w:val="20"/>
          <w:szCs w:val="20"/>
        </w:rPr>
        <w:t>DATA, HORA E LOCAL</w:t>
      </w:r>
      <w:r w:rsidRPr="00F058F3">
        <w:rPr>
          <w:rFonts w:ascii="Trebuchet MS" w:hAnsi="Trebuchet MS"/>
          <w:bCs/>
          <w:sz w:val="20"/>
          <w:szCs w:val="20"/>
        </w:rPr>
        <w:t xml:space="preserve">: </w:t>
      </w:r>
      <w:r w:rsidR="00DE760F" w:rsidRPr="00F058F3">
        <w:rPr>
          <w:rFonts w:ascii="Trebuchet MS" w:hAnsi="Trebuchet MS"/>
          <w:bCs/>
          <w:sz w:val="20"/>
          <w:szCs w:val="20"/>
        </w:rPr>
        <w:t xml:space="preserve">Realizada no dia </w:t>
      </w:r>
      <w:r w:rsidR="00F97BC0" w:rsidRPr="00F058F3">
        <w:rPr>
          <w:rFonts w:ascii="Trebuchet MS" w:hAnsi="Trebuchet MS"/>
          <w:bCs/>
          <w:sz w:val="20"/>
          <w:szCs w:val="20"/>
        </w:rPr>
        <w:t>[=]</w:t>
      </w:r>
      <w:r w:rsidR="00DE760F" w:rsidRPr="00F058F3">
        <w:rPr>
          <w:rFonts w:ascii="Trebuchet MS" w:hAnsi="Trebuchet MS"/>
          <w:sz w:val="20"/>
          <w:szCs w:val="20"/>
        </w:rPr>
        <w:t xml:space="preserve"> </w:t>
      </w:r>
      <w:r w:rsidRPr="00F058F3">
        <w:rPr>
          <w:rFonts w:ascii="Trebuchet MS" w:hAnsi="Trebuchet MS"/>
          <w:sz w:val="20"/>
          <w:szCs w:val="20"/>
        </w:rPr>
        <w:t xml:space="preserve">de </w:t>
      </w:r>
      <w:r w:rsidR="00BB26D0">
        <w:rPr>
          <w:rFonts w:ascii="Trebuchet MS" w:hAnsi="Trebuchet MS"/>
          <w:sz w:val="20"/>
          <w:szCs w:val="20"/>
        </w:rPr>
        <w:t>ju</w:t>
      </w:r>
      <w:r w:rsidR="00107928">
        <w:rPr>
          <w:rFonts w:ascii="Trebuchet MS" w:hAnsi="Trebuchet MS"/>
          <w:sz w:val="20"/>
          <w:szCs w:val="20"/>
        </w:rPr>
        <w:t>l</w:t>
      </w:r>
      <w:r w:rsidR="00BB26D0">
        <w:rPr>
          <w:rFonts w:ascii="Trebuchet MS" w:hAnsi="Trebuchet MS"/>
          <w:sz w:val="20"/>
          <w:szCs w:val="20"/>
        </w:rPr>
        <w:t>ho</w:t>
      </w:r>
      <w:r w:rsidR="0059388A" w:rsidRPr="00F058F3">
        <w:rPr>
          <w:rFonts w:ascii="Trebuchet MS" w:hAnsi="Trebuchet MS"/>
          <w:sz w:val="20"/>
          <w:szCs w:val="20"/>
        </w:rPr>
        <w:t xml:space="preserve"> </w:t>
      </w:r>
      <w:r w:rsidRPr="00F058F3">
        <w:rPr>
          <w:rFonts w:ascii="Trebuchet MS" w:hAnsi="Trebuchet MS"/>
          <w:sz w:val="20"/>
          <w:szCs w:val="20"/>
        </w:rPr>
        <w:t xml:space="preserve">de </w:t>
      </w:r>
      <w:r w:rsidR="00BB26D0">
        <w:rPr>
          <w:rFonts w:ascii="Trebuchet MS" w:hAnsi="Trebuchet MS"/>
          <w:sz w:val="20"/>
          <w:szCs w:val="20"/>
        </w:rPr>
        <w:t>2021</w:t>
      </w:r>
      <w:r w:rsidRPr="00F058F3">
        <w:rPr>
          <w:rFonts w:ascii="Trebuchet MS" w:hAnsi="Trebuchet MS"/>
          <w:sz w:val="20"/>
          <w:szCs w:val="20"/>
        </w:rPr>
        <w:t xml:space="preserve">, às </w:t>
      </w:r>
      <w:r w:rsidR="00107928">
        <w:rPr>
          <w:rFonts w:ascii="Trebuchet MS" w:hAnsi="Trebuchet MS"/>
          <w:sz w:val="20"/>
          <w:szCs w:val="20"/>
        </w:rPr>
        <w:t>10:00</w:t>
      </w:r>
      <w:r w:rsidRPr="00F058F3">
        <w:rPr>
          <w:rFonts w:ascii="Trebuchet MS" w:hAnsi="Trebuchet MS"/>
          <w:sz w:val="20"/>
          <w:szCs w:val="20"/>
        </w:rPr>
        <w:t xml:space="preserve"> horas, na sede social </w:t>
      </w:r>
      <w:r w:rsidR="00F97BC0" w:rsidRPr="00F058F3">
        <w:rPr>
          <w:rFonts w:ascii="Trebuchet MS" w:hAnsi="Trebuchet MS"/>
          <w:sz w:val="20"/>
          <w:szCs w:val="20"/>
        </w:rPr>
        <w:t xml:space="preserve">do Colégio Vimasa S.A. </w:t>
      </w:r>
      <w:r w:rsidRPr="00F058F3">
        <w:rPr>
          <w:rFonts w:ascii="Trebuchet MS" w:hAnsi="Trebuchet MS"/>
          <w:sz w:val="20"/>
          <w:szCs w:val="20"/>
        </w:rPr>
        <w:t>(“</w:t>
      </w:r>
      <w:r w:rsidRPr="00F058F3">
        <w:rPr>
          <w:rFonts w:ascii="Trebuchet MS" w:hAnsi="Trebuchet MS"/>
          <w:sz w:val="20"/>
          <w:szCs w:val="20"/>
          <w:u w:val="single"/>
        </w:rPr>
        <w:t>Companhia</w:t>
      </w:r>
      <w:r w:rsidRPr="00F058F3">
        <w:rPr>
          <w:rFonts w:ascii="Trebuchet MS" w:hAnsi="Trebuchet MS"/>
          <w:sz w:val="20"/>
          <w:szCs w:val="20"/>
        </w:rPr>
        <w:t>”), na</w:t>
      </w:r>
      <w:r w:rsidR="00F97BC0" w:rsidRPr="00F058F3">
        <w:rPr>
          <w:rFonts w:ascii="Trebuchet MS" w:hAnsi="Trebuchet MS"/>
          <w:sz w:val="20"/>
          <w:szCs w:val="20"/>
        </w:rPr>
        <w:t xml:space="preserve"> Rua Três Pontas, nº 605, Carlos Prates, CEP 30710-560, cidade de Belo Horizonte, estado de Minas Gerais</w:t>
      </w:r>
      <w:r w:rsidRPr="00F058F3">
        <w:rPr>
          <w:rFonts w:ascii="Trebuchet MS" w:hAnsi="Trebuchet MS"/>
          <w:sz w:val="20"/>
          <w:szCs w:val="20"/>
        </w:rPr>
        <w:t>.</w:t>
      </w:r>
    </w:p>
    <w:p w14:paraId="55A5B904" w14:textId="77777777" w:rsidR="00AE5AFD" w:rsidRPr="00F058F3" w:rsidRDefault="00AE5AFD" w:rsidP="00CD0ED2">
      <w:pPr>
        <w:pStyle w:val="Default"/>
        <w:jc w:val="both"/>
        <w:rPr>
          <w:rFonts w:ascii="Trebuchet MS" w:hAnsi="Trebuchet MS"/>
          <w:sz w:val="20"/>
          <w:szCs w:val="20"/>
        </w:rPr>
      </w:pPr>
    </w:p>
    <w:p w14:paraId="13FA966C" w14:textId="7BAB3448" w:rsidR="00F97BC0" w:rsidRPr="00F058F3" w:rsidRDefault="00AE5AFD" w:rsidP="00CD0ED2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b/>
          <w:bCs/>
          <w:smallCaps/>
          <w:sz w:val="20"/>
          <w:szCs w:val="20"/>
        </w:rPr>
        <w:t>CONVOCAÇÃ</w:t>
      </w:r>
      <w:r w:rsidR="00F97BC0" w:rsidRPr="00F058F3">
        <w:rPr>
          <w:rFonts w:ascii="Trebuchet MS" w:hAnsi="Trebuchet MS"/>
          <w:b/>
          <w:bCs/>
          <w:smallCaps/>
          <w:sz w:val="20"/>
          <w:szCs w:val="20"/>
        </w:rPr>
        <w:t>O</w:t>
      </w:r>
      <w:r w:rsidRPr="00F058F3">
        <w:rPr>
          <w:rFonts w:ascii="Trebuchet MS" w:hAnsi="Trebuchet MS"/>
          <w:bCs/>
          <w:sz w:val="20"/>
          <w:szCs w:val="20"/>
        </w:rPr>
        <w:t>:</w:t>
      </w:r>
      <w:r w:rsidR="00F97BC0" w:rsidRPr="00F058F3">
        <w:rPr>
          <w:rFonts w:ascii="Trebuchet MS" w:hAnsi="Trebuchet MS"/>
          <w:bCs/>
          <w:sz w:val="20"/>
          <w:szCs w:val="20"/>
        </w:rPr>
        <w:t xml:space="preserve"> Dispensada a convocação, tendo em vista a presença de 100% (cem por cento) dos titulares de debêntures (“</w:t>
      </w:r>
      <w:r w:rsidR="00F97BC0" w:rsidRPr="00F058F3">
        <w:rPr>
          <w:rFonts w:ascii="Trebuchet MS" w:hAnsi="Trebuchet MS"/>
          <w:bCs/>
          <w:sz w:val="20"/>
          <w:szCs w:val="20"/>
          <w:u w:val="single"/>
        </w:rPr>
        <w:t>Deb</w:t>
      </w:r>
      <w:r w:rsidR="007F79FB" w:rsidRPr="00F058F3">
        <w:rPr>
          <w:rFonts w:ascii="Trebuchet MS" w:hAnsi="Trebuchet MS"/>
          <w:bCs/>
          <w:sz w:val="20"/>
          <w:szCs w:val="20"/>
          <w:u w:val="single"/>
        </w:rPr>
        <w:t>e</w:t>
      </w:r>
      <w:r w:rsidR="00F97BC0" w:rsidRPr="00F058F3">
        <w:rPr>
          <w:rFonts w:ascii="Trebuchet MS" w:hAnsi="Trebuchet MS"/>
          <w:bCs/>
          <w:sz w:val="20"/>
          <w:szCs w:val="20"/>
          <w:u w:val="single"/>
        </w:rPr>
        <w:t>nturistas</w:t>
      </w:r>
      <w:r w:rsidR="00F97BC0" w:rsidRPr="00F058F3">
        <w:rPr>
          <w:rFonts w:ascii="Trebuchet MS" w:hAnsi="Trebuchet MS"/>
          <w:bCs/>
          <w:sz w:val="20"/>
          <w:szCs w:val="20"/>
        </w:rPr>
        <w:t>”) da segunda emissão de debêntures simples, não conversíveis em ações, da espécie com garantia real, em 2 (duas) séries, para distribuição pública com esforços restritos de distribuição da Companhia</w:t>
      </w:r>
      <w:r w:rsidRPr="00F058F3">
        <w:rPr>
          <w:rFonts w:ascii="Trebuchet MS" w:hAnsi="Trebuchet MS"/>
          <w:bCs/>
          <w:sz w:val="20"/>
          <w:szCs w:val="20"/>
        </w:rPr>
        <w:t xml:space="preserve"> </w:t>
      </w:r>
      <w:r w:rsidR="00F97BC0" w:rsidRPr="00F058F3">
        <w:rPr>
          <w:rFonts w:ascii="Trebuchet MS" w:hAnsi="Trebuchet MS"/>
          <w:bCs/>
          <w:sz w:val="20"/>
          <w:szCs w:val="20"/>
        </w:rPr>
        <w:t>(“</w:t>
      </w:r>
      <w:r w:rsidR="00F97BC0" w:rsidRPr="00F058F3">
        <w:rPr>
          <w:rFonts w:ascii="Trebuchet MS" w:hAnsi="Trebuchet MS"/>
          <w:bCs/>
          <w:sz w:val="20"/>
          <w:szCs w:val="20"/>
          <w:u w:val="single"/>
        </w:rPr>
        <w:t>Debêntures</w:t>
      </w:r>
      <w:r w:rsidR="00F97BC0" w:rsidRPr="00F058F3">
        <w:rPr>
          <w:rFonts w:ascii="Trebuchet MS" w:hAnsi="Trebuchet MS"/>
          <w:bCs/>
          <w:sz w:val="20"/>
          <w:szCs w:val="20"/>
        </w:rPr>
        <w:t>” e “</w:t>
      </w:r>
      <w:r w:rsidR="00F97BC0" w:rsidRPr="00F058F3">
        <w:rPr>
          <w:rFonts w:ascii="Trebuchet MS" w:hAnsi="Trebuchet MS"/>
          <w:bCs/>
          <w:sz w:val="20"/>
          <w:szCs w:val="20"/>
          <w:u w:val="single"/>
        </w:rPr>
        <w:t>Emissão</w:t>
      </w:r>
      <w:r w:rsidR="00F97BC0" w:rsidRPr="00F058F3">
        <w:rPr>
          <w:rFonts w:ascii="Trebuchet MS" w:hAnsi="Trebuchet MS"/>
          <w:bCs/>
          <w:sz w:val="20"/>
          <w:szCs w:val="20"/>
        </w:rPr>
        <w:t>”, respectivamente), nos termos do artigo 71, parágrafo 2º e artigo 124, parágrafo 4º, ambos da Lei nº 6.404, de 15 de dezembro de 1976, conforme alterada.</w:t>
      </w:r>
    </w:p>
    <w:p w14:paraId="0F696B59" w14:textId="77777777" w:rsidR="00F97BC0" w:rsidRPr="00F058F3" w:rsidRDefault="00F97BC0" w:rsidP="007F79FB">
      <w:pPr>
        <w:pStyle w:val="PargrafodaLista"/>
        <w:spacing w:after="0"/>
        <w:rPr>
          <w:rFonts w:ascii="Trebuchet MS" w:hAnsi="Trebuchet MS"/>
          <w:bCs/>
          <w:sz w:val="20"/>
          <w:szCs w:val="20"/>
        </w:rPr>
      </w:pPr>
    </w:p>
    <w:p w14:paraId="1001DCED" w14:textId="37CEEF1C" w:rsidR="00AE5AFD" w:rsidRPr="00F058F3" w:rsidRDefault="00F97BC0" w:rsidP="007F79FB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bCs/>
          <w:sz w:val="20"/>
          <w:szCs w:val="20"/>
        </w:rPr>
      </w:pPr>
      <w:r w:rsidRPr="00F058F3">
        <w:rPr>
          <w:rFonts w:ascii="Trebuchet MS" w:hAnsi="Trebuchet MS"/>
          <w:b/>
          <w:sz w:val="20"/>
          <w:szCs w:val="20"/>
        </w:rPr>
        <w:t>PRESENÇA</w:t>
      </w:r>
      <w:r w:rsidRPr="00F058F3">
        <w:rPr>
          <w:rFonts w:ascii="Trebuchet MS" w:hAnsi="Trebuchet MS"/>
          <w:bCs/>
          <w:sz w:val="20"/>
          <w:szCs w:val="20"/>
        </w:rPr>
        <w:t>: Presentes o</w:t>
      </w:r>
      <w:r w:rsidR="007F79FB" w:rsidRPr="00F058F3">
        <w:rPr>
          <w:rFonts w:ascii="Trebuchet MS" w:hAnsi="Trebuchet MS"/>
          <w:bCs/>
          <w:sz w:val="20"/>
          <w:szCs w:val="20"/>
        </w:rPr>
        <w:t>s</w:t>
      </w:r>
      <w:r w:rsidRPr="00F058F3">
        <w:rPr>
          <w:rFonts w:ascii="Trebuchet MS" w:hAnsi="Trebuchet MS"/>
          <w:bCs/>
          <w:sz w:val="20"/>
          <w:szCs w:val="20"/>
        </w:rPr>
        <w:t xml:space="preserve"> Debenturista</w:t>
      </w:r>
      <w:r w:rsidR="007F79FB" w:rsidRPr="00F058F3">
        <w:rPr>
          <w:rFonts w:ascii="Trebuchet MS" w:hAnsi="Trebuchet MS"/>
          <w:bCs/>
          <w:sz w:val="20"/>
          <w:szCs w:val="20"/>
        </w:rPr>
        <w:t>s</w:t>
      </w:r>
      <w:r w:rsidRPr="00F058F3">
        <w:rPr>
          <w:rFonts w:ascii="Trebuchet MS" w:hAnsi="Trebuchet MS"/>
          <w:bCs/>
          <w:sz w:val="20"/>
          <w:szCs w:val="20"/>
        </w:rPr>
        <w:t xml:space="preserve"> Itaú Unibanco S.A., </w:t>
      </w:r>
      <w:r w:rsidR="007F79FB" w:rsidRPr="00F058F3">
        <w:rPr>
          <w:rFonts w:ascii="Trebuchet MS" w:hAnsi="Trebuchet MS"/>
          <w:bCs/>
          <w:sz w:val="20"/>
          <w:szCs w:val="20"/>
        </w:rPr>
        <w:t xml:space="preserve">representado conjuntamente pelo Sr. [=] e pelo Sr. [=], e o Banco Bradesco S.A., representado conjuntamente pelo Sr. [=] e </w:t>
      </w:r>
      <w:r w:rsidRPr="00F058F3">
        <w:rPr>
          <w:rFonts w:ascii="Trebuchet MS" w:hAnsi="Trebuchet MS"/>
          <w:bCs/>
          <w:sz w:val="20"/>
          <w:szCs w:val="20"/>
        </w:rPr>
        <w:t>p</w:t>
      </w:r>
      <w:r w:rsidR="009F53FD" w:rsidRPr="00F058F3">
        <w:rPr>
          <w:rFonts w:ascii="Trebuchet MS" w:hAnsi="Trebuchet MS"/>
          <w:bCs/>
          <w:sz w:val="20"/>
          <w:szCs w:val="20"/>
        </w:rPr>
        <w:t>elo Sr.</w:t>
      </w:r>
      <w:r w:rsidRPr="00F058F3">
        <w:rPr>
          <w:rFonts w:ascii="Trebuchet MS" w:hAnsi="Trebuchet MS"/>
          <w:bCs/>
          <w:sz w:val="20"/>
          <w:szCs w:val="20"/>
        </w:rPr>
        <w:t xml:space="preserve"> [=], representando 100% (cem por cento) das Debêntures em circulação, conforme verificou-se da assinatura da Lista de Presença dos Debenturistas. Presentes</w:t>
      </w:r>
      <w:r w:rsidR="007F79FB" w:rsidRPr="00F058F3">
        <w:rPr>
          <w:rFonts w:ascii="Trebuchet MS" w:hAnsi="Trebuchet MS"/>
          <w:bCs/>
          <w:sz w:val="20"/>
          <w:szCs w:val="20"/>
        </w:rPr>
        <w:t>,</w:t>
      </w:r>
      <w:r w:rsidRPr="00F058F3">
        <w:rPr>
          <w:rFonts w:ascii="Trebuchet MS" w:hAnsi="Trebuchet MS"/>
          <w:bCs/>
          <w:sz w:val="20"/>
          <w:szCs w:val="20"/>
        </w:rPr>
        <w:t xml:space="preserve"> ainda</w:t>
      </w:r>
      <w:r w:rsidR="007F79FB" w:rsidRPr="00F058F3">
        <w:rPr>
          <w:rFonts w:ascii="Trebuchet MS" w:hAnsi="Trebuchet MS"/>
          <w:bCs/>
          <w:sz w:val="20"/>
          <w:szCs w:val="20"/>
        </w:rPr>
        <w:t>,</w:t>
      </w:r>
      <w:r w:rsidRPr="00F058F3">
        <w:rPr>
          <w:rFonts w:ascii="Trebuchet MS" w:hAnsi="Trebuchet MS"/>
          <w:bCs/>
          <w:sz w:val="20"/>
          <w:szCs w:val="20"/>
        </w:rPr>
        <w:t xml:space="preserve"> </w:t>
      </w:r>
      <w:r w:rsidR="009F53FD" w:rsidRPr="00F058F3">
        <w:rPr>
          <w:rFonts w:ascii="Trebuchet MS" w:hAnsi="Trebuchet MS"/>
          <w:bCs/>
          <w:sz w:val="20"/>
          <w:szCs w:val="20"/>
        </w:rPr>
        <w:t>o Sr. [=],</w:t>
      </w:r>
      <w:r w:rsidRPr="00F058F3">
        <w:rPr>
          <w:rFonts w:ascii="Trebuchet MS" w:hAnsi="Trebuchet MS"/>
          <w:bCs/>
          <w:sz w:val="20"/>
          <w:szCs w:val="20"/>
        </w:rPr>
        <w:t xml:space="preserve"> representante da Simplific Pavarini Distribuidora de Títulos e Valores Mobiliários Ltda., na qualidade de agente fiduciário da Emissão (“</w:t>
      </w:r>
      <w:r w:rsidRPr="00F058F3">
        <w:rPr>
          <w:rFonts w:ascii="Trebuchet MS" w:hAnsi="Trebuchet MS"/>
          <w:bCs/>
          <w:sz w:val="20"/>
          <w:szCs w:val="20"/>
          <w:u w:val="single"/>
        </w:rPr>
        <w:t>Agente Fiduciário</w:t>
      </w:r>
      <w:r w:rsidRPr="00F058F3">
        <w:rPr>
          <w:rFonts w:ascii="Trebuchet MS" w:hAnsi="Trebuchet MS"/>
          <w:bCs/>
          <w:sz w:val="20"/>
          <w:szCs w:val="20"/>
        </w:rPr>
        <w:t xml:space="preserve">”), e o </w:t>
      </w:r>
      <w:r w:rsidR="007F79FB" w:rsidRPr="00F058F3">
        <w:rPr>
          <w:rFonts w:ascii="Trebuchet MS" w:hAnsi="Trebuchet MS"/>
          <w:bCs/>
          <w:sz w:val="20"/>
          <w:szCs w:val="20"/>
        </w:rPr>
        <w:t xml:space="preserve">Sr. [=], </w:t>
      </w:r>
      <w:r w:rsidRPr="00F058F3">
        <w:rPr>
          <w:rFonts w:ascii="Trebuchet MS" w:hAnsi="Trebuchet MS"/>
          <w:bCs/>
          <w:sz w:val="20"/>
          <w:szCs w:val="20"/>
        </w:rPr>
        <w:t>representante da Companhia.</w:t>
      </w:r>
      <w:r w:rsidRPr="00F058F3">
        <w:rPr>
          <w:rFonts w:ascii="Trebuchet MS" w:hAnsi="Trebuchet MS"/>
          <w:bCs/>
          <w:sz w:val="20"/>
          <w:szCs w:val="20"/>
        </w:rPr>
        <w:cr/>
        <w:t xml:space="preserve">  </w:t>
      </w:r>
    </w:p>
    <w:p w14:paraId="328532C9" w14:textId="22CCEB9B" w:rsidR="00AE5AFD" w:rsidRPr="00F058F3" w:rsidRDefault="00AE5AFD" w:rsidP="00CD0ED2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b/>
          <w:bCs/>
          <w:smallCaps/>
          <w:sz w:val="20"/>
          <w:szCs w:val="20"/>
        </w:rPr>
        <w:t>MESA</w:t>
      </w:r>
      <w:r w:rsidRPr="00F058F3">
        <w:rPr>
          <w:rFonts w:ascii="Trebuchet MS" w:hAnsi="Trebuchet MS"/>
          <w:bCs/>
          <w:sz w:val="20"/>
          <w:szCs w:val="20"/>
        </w:rPr>
        <w:t xml:space="preserve">: </w:t>
      </w:r>
      <w:r w:rsidRPr="00F058F3">
        <w:rPr>
          <w:rFonts w:ascii="Trebuchet MS" w:hAnsi="Trebuchet MS"/>
          <w:sz w:val="20"/>
          <w:szCs w:val="20"/>
        </w:rPr>
        <w:t xml:space="preserve">Os trabalhos foram presididos pelo Sr. </w:t>
      </w:r>
      <w:r w:rsidR="00F97BC0" w:rsidRPr="00F058F3">
        <w:rPr>
          <w:rFonts w:ascii="Trebuchet MS" w:hAnsi="Trebuchet MS"/>
          <w:sz w:val="20"/>
          <w:szCs w:val="20"/>
        </w:rPr>
        <w:t>[=]</w:t>
      </w:r>
      <w:r w:rsidRPr="00F058F3">
        <w:rPr>
          <w:rFonts w:ascii="Trebuchet MS" w:hAnsi="Trebuchet MS"/>
          <w:sz w:val="20"/>
          <w:szCs w:val="20"/>
        </w:rPr>
        <w:t xml:space="preserve"> e secretariados pelo Sr. </w:t>
      </w:r>
      <w:r w:rsidR="00F97BC0" w:rsidRPr="00F058F3">
        <w:rPr>
          <w:rFonts w:ascii="Trebuchet MS" w:hAnsi="Trebuchet MS"/>
          <w:sz w:val="20"/>
          <w:szCs w:val="20"/>
        </w:rPr>
        <w:t>[=]</w:t>
      </w:r>
      <w:r w:rsidRPr="00F058F3">
        <w:rPr>
          <w:rFonts w:ascii="Trebuchet MS" w:hAnsi="Trebuchet MS"/>
          <w:sz w:val="20"/>
          <w:szCs w:val="20"/>
        </w:rPr>
        <w:t>.</w:t>
      </w:r>
    </w:p>
    <w:p w14:paraId="3AFA15D2" w14:textId="77777777" w:rsidR="00AE5AFD" w:rsidRPr="00F058F3" w:rsidRDefault="00AE5AFD" w:rsidP="00CD0ED2">
      <w:pPr>
        <w:pStyle w:val="Default"/>
        <w:jc w:val="both"/>
        <w:rPr>
          <w:rFonts w:ascii="Trebuchet MS" w:hAnsi="Trebuchet MS"/>
          <w:sz w:val="20"/>
          <w:szCs w:val="20"/>
        </w:rPr>
      </w:pPr>
    </w:p>
    <w:p w14:paraId="2723FA19" w14:textId="7201B22D" w:rsidR="00AE5AFD" w:rsidRPr="00F058F3" w:rsidRDefault="00AE5AFD" w:rsidP="007F79FB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b/>
          <w:bCs/>
          <w:smallCaps/>
          <w:sz w:val="20"/>
          <w:szCs w:val="20"/>
        </w:rPr>
        <w:t>ORDEM DO DIA</w:t>
      </w:r>
      <w:r w:rsidRPr="00F058F3">
        <w:rPr>
          <w:rFonts w:ascii="Trebuchet MS" w:hAnsi="Trebuchet MS"/>
          <w:bCs/>
          <w:sz w:val="20"/>
          <w:szCs w:val="20"/>
        </w:rPr>
        <w:t xml:space="preserve">: </w:t>
      </w:r>
      <w:r w:rsidR="005E74C4" w:rsidRPr="00F058F3">
        <w:rPr>
          <w:rFonts w:ascii="Trebuchet MS" w:hAnsi="Trebuchet MS"/>
          <w:bCs/>
          <w:sz w:val="20"/>
          <w:szCs w:val="20"/>
        </w:rPr>
        <w:t xml:space="preserve">Exame, discussão e votação sobre </w:t>
      </w:r>
      <w:r w:rsidR="000F2BD2" w:rsidRPr="00F058F3">
        <w:rPr>
          <w:rFonts w:ascii="Trebuchet MS" w:hAnsi="Trebuchet MS"/>
          <w:b/>
          <w:bCs/>
          <w:sz w:val="20"/>
          <w:szCs w:val="20"/>
        </w:rPr>
        <w:t>(i)</w:t>
      </w:r>
      <w:r w:rsidR="000F2BD2" w:rsidRPr="00F058F3">
        <w:rPr>
          <w:rFonts w:ascii="Trebuchet MS" w:hAnsi="Trebuchet MS"/>
          <w:sz w:val="20"/>
          <w:szCs w:val="20"/>
        </w:rPr>
        <w:t xml:space="preserve"> a </w:t>
      </w:r>
      <w:r w:rsidR="00A651FC" w:rsidRPr="00F058F3">
        <w:rPr>
          <w:rFonts w:ascii="Trebuchet MS" w:hAnsi="Trebuchet MS"/>
          <w:sz w:val="20"/>
          <w:szCs w:val="20"/>
        </w:rPr>
        <w:t xml:space="preserve">alteração da Cláusula </w:t>
      </w:r>
      <w:r w:rsidR="00F97BC0" w:rsidRPr="00F058F3">
        <w:rPr>
          <w:rFonts w:ascii="Trebuchet MS" w:hAnsi="Trebuchet MS"/>
          <w:sz w:val="20"/>
          <w:szCs w:val="20"/>
        </w:rPr>
        <w:t>6.1.2</w:t>
      </w:r>
      <w:r w:rsidR="00A651FC" w:rsidRPr="00F058F3">
        <w:rPr>
          <w:rFonts w:ascii="Trebuchet MS" w:hAnsi="Trebuchet MS"/>
          <w:sz w:val="20"/>
          <w:szCs w:val="20"/>
        </w:rPr>
        <w:t>, ite</w:t>
      </w:r>
      <w:r w:rsidR="00F97BC0" w:rsidRPr="00F058F3">
        <w:rPr>
          <w:rFonts w:ascii="Trebuchet MS" w:hAnsi="Trebuchet MS"/>
          <w:sz w:val="20"/>
          <w:szCs w:val="20"/>
        </w:rPr>
        <w:t>ns (vi)</w:t>
      </w:r>
      <w:r w:rsidR="00F058F3">
        <w:rPr>
          <w:rFonts w:ascii="Trebuchet MS" w:hAnsi="Trebuchet MS"/>
          <w:sz w:val="20"/>
          <w:szCs w:val="20"/>
        </w:rPr>
        <w:t>, (xiv)</w:t>
      </w:r>
      <w:r w:rsidR="00F97BC0" w:rsidRPr="00F058F3">
        <w:rPr>
          <w:rFonts w:ascii="Trebuchet MS" w:hAnsi="Trebuchet MS"/>
          <w:sz w:val="20"/>
          <w:szCs w:val="20"/>
        </w:rPr>
        <w:t xml:space="preserve"> e (xix)</w:t>
      </w:r>
      <w:r w:rsidR="00A651FC" w:rsidRPr="00F058F3">
        <w:rPr>
          <w:rFonts w:ascii="Trebuchet MS" w:hAnsi="Trebuchet MS"/>
          <w:sz w:val="20"/>
          <w:szCs w:val="20"/>
        </w:rPr>
        <w:t xml:space="preserve"> d</w:t>
      </w:r>
      <w:r w:rsidR="00BB26D0">
        <w:rPr>
          <w:rFonts w:ascii="Trebuchet MS" w:hAnsi="Trebuchet MS"/>
          <w:sz w:val="20"/>
          <w:szCs w:val="20"/>
        </w:rPr>
        <w:t>o “</w:t>
      </w:r>
      <w:r w:rsidR="00BB26D0" w:rsidRPr="00F058F3">
        <w:rPr>
          <w:rFonts w:ascii="Trebuchet MS" w:hAnsi="Trebuchet MS"/>
          <w:i/>
          <w:iCs/>
          <w:sz w:val="20"/>
          <w:szCs w:val="20"/>
        </w:rPr>
        <w:t>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</w:t>
      </w:r>
      <w:r w:rsidR="00BB26D0">
        <w:rPr>
          <w:rFonts w:ascii="Trebuchet MS" w:hAnsi="Trebuchet MS"/>
          <w:i/>
          <w:iCs/>
          <w:sz w:val="20"/>
          <w:szCs w:val="20"/>
        </w:rPr>
        <w:t>”</w:t>
      </w:r>
      <w:r w:rsidR="00F27DE2" w:rsidRPr="00F058F3">
        <w:rPr>
          <w:rFonts w:ascii="Trebuchet MS" w:hAnsi="Trebuchet MS"/>
          <w:sz w:val="20"/>
          <w:szCs w:val="20"/>
        </w:rPr>
        <w:t xml:space="preserve"> </w:t>
      </w:r>
      <w:r w:rsidR="00BB26D0">
        <w:rPr>
          <w:rFonts w:ascii="Trebuchet MS" w:hAnsi="Trebuchet MS"/>
          <w:sz w:val="20"/>
          <w:szCs w:val="20"/>
        </w:rPr>
        <w:t>(“</w:t>
      </w:r>
      <w:r w:rsidR="00924640" w:rsidRPr="00BB26D0">
        <w:rPr>
          <w:rFonts w:ascii="Trebuchet MS" w:hAnsi="Trebuchet MS"/>
          <w:sz w:val="20"/>
          <w:szCs w:val="20"/>
          <w:u w:val="single"/>
        </w:rPr>
        <w:t>E</w:t>
      </w:r>
      <w:r w:rsidR="00F27DE2" w:rsidRPr="00BB26D0">
        <w:rPr>
          <w:rFonts w:ascii="Trebuchet MS" w:hAnsi="Trebuchet MS"/>
          <w:sz w:val="20"/>
          <w:szCs w:val="20"/>
          <w:u w:val="single"/>
        </w:rPr>
        <w:t>scritura de Emissão</w:t>
      </w:r>
      <w:r w:rsidR="00BB26D0">
        <w:rPr>
          <w:rFonts w:ascii="Trebuchet MS" w:hAnsi="Trebuchet MS"/>
          <w:sz w:val="20"/>
          <w:szCs w:val="20"/>
        </w:rPr>
        <w:t>”)</w:t>
      </w:r>
      <w:r w:rsidR="000F2BD2" w:rsidRPr="00F058F3">
        <w:rPr>
          <w:rFonts w:ascii="Trebuchet MS" w:hAnsi="Trebuchet MS"/>
          <w:sz w:val="20"/>
          <w:szCs w:val="20"/>
        </w:rPr>
        <w:t xml:space="preserve">; e </w:t>
      </w:r>
      <w:r w:rsidR="000F2BD2" w:rsidRPr="00F058F3">
        <w:rPr>
          <w:rFonts w:ascii="Trebuchet MS" w:hAnsi="Trebuchet MS"/>
          <w:b/>
          <w:bCs/>
          <w:sz w:val="20"/>
          <w:szCs w:val="20"/>
        </w:rPr>
        <w:t>(ii)</w:t>
      </w:r>
      <w:r w:rsidR="000F2BD2" w:rsidRPr="00F058F3">
        <w:rPr>
          <w:rFonts w:ascii="Trebuchet MS" w:hAnsi="Trebuchet MS"/>
          <w:sz w:val="20"/>
          <w:szCs w:val="20"/>
        </w:rPr>
        <w:t xml:space="preserve"> a autorização </w:t>
      </w:r>
      <w:r w:rsidR="0017003D" w:rsidRPr="00F058F3">
        <w:rPr>
          <w:rFonts w:ascii="Trebuchet MS" w:hAnsi="Trebuchet MS"/>
          <w:sz w:val="20"/>
          <w:szCs w:val="20"/>
        </w:rPr>
        <w:t xml:space="preserve">para que </w:t>
      </w:r>
      <w:r w:rsidR="000F2BD2" w:rsidRPr="00F058F3">
        <w:rPr>
          <w:rFonts w:ascii="Trebuchet MS" w:hAnsi="Trebuchet MS"/>
          <w:sz w:val="20"/>
          <w:szCs w:val="20"/>
        </w:rPr>
        <w:t xml:space="preserve">o Agente Fiduciário </w:t>
      </w:r>
      <w:r w:rsidR="009F53FD" w:rsidRPr="00F058F3">
        <w:rPr>
          <w:rFonts w:ascii="Trebuchet MS" w:hAnsi="Trebuchet MS"/>
          <w:sz w:val="20"/>
          <w:szCs w:val="20"/>
        </w:rPr>
        <w:t xml:space="preserve">celebre </w:t>
      </w:r>
      <w:r w:rsidR="005E74C4" w:rsidRPr="00F058F3">
        <w:rPr>
          <w:rFonts w:ascii="Trebuchet MS" w:hAnsi="Trebuchet MS"/>
          <w:sz w:val="20"/>
          <w:szCs w:val="20"/>
        </w:rPr>
        <w:t>o “</w:t>
      </w:r>
      <w:r w:rsidR="005E74C4" w:rsidRPr="00F058F3">
        <w:rPr>
          <w:rFonts w:ascii="Trebuchet MS" w:hAnsi="Trebuchet MS"/>
          <w:i/>
          <w:iCs/>
          <w:sz w:val="20"/>
          <w:szCs w:val="20"/>
        </w:rPr>
        <w:t>Terceiro Aditamento ao 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</w:t>
      </w:r>
      <w:r w:rsidR="005E74C4" w:rsidRPr="00F058F3">
        <w:rPr>
          <w:rFonts w:ascii="Trebuchet MS" w:hAnsi="Trebuchet MS"/>
          <w:sz w:val="20"/>
          <w:szCs w:val="20"/>
        </w:rPr>
        <w:t>” (“</w:t>
      </w:r>
      <w:r w:rsidR="005E74C4" w:rsidRPr="00F058F3">
        <w:rPr>
          <w:rFonts w:ascii="Trebuchet MS" w:hAnsi="Trebuchet MS"/>
          <w:sz w:val="20"/>
          <w:szCs w:val="20"/>
          <w:u w:val="single"/>
        </w:rPr>
        <w:t>Terceiro Aditamento</w:t>
      </w:r>
      <w:r w:rsidR="007F79FB" w:rsidRPr="00F058F3">
        <w:rPr>
          <w:rFonts w:ascii="Trebuchet MS" w:hAnsi="Trebuchet MS"/>
          <w:sz w:val="20"/>
          <w:szCs w:val="20"/>
          <w:u w:val="single"/>
        </w:rPr>
        <w:t xml:space="preserve"> à Escritura de Emissão</w:t>
      </w:r>
      <w:r w:rsidR="005E74C4" w:rsidRPr="00F058F3">
        <w:rPr>
          <w:rFonts w:ascii="Trebuchet MS" w:hAnsi="Trebuchet MS"/>
          <w:sz w:val="20"/>
          <w:szCs w:val="20"/>
        </w:rPr>
        <w:t>”), de forma a refletir as alterações deliberadas na presente Assembleia</w:t>
      </w:r>
      <w:r w:rsidR="000F2BD2" w:rsidRPr="00F058F3">
        <w:rPr>
          <w:rFonts w:ascii="Trebuchet MS" w:hAnsi="Trebuchet MS"/>
          <w:sz w:val="20"/>
          <w:szCs w:val="20"/>
        </w:rPr>
        <w:t xml:space="preserve">.  </w:t>
      </w:r>
    </w:p>
    <w:p w14:paraId="5D297C35" w14:textId="77777777" w:rsidR="005E74C4" w:rsidRPr="00F058F3" w:rsidRDefault="005E74C4" w:rsidP="007F79FB">
      <w:pPr>
        <w:pStyle w:val="PargrafodaLista"/>
        <w:spacing w:after="0"/>
        <w:rPr>
          <w:rFonts w:ascii="Trebuchet MS" w:hAnsi="Trebuchet MS"/>
          <w:sz w:val="20"/>
          <w:szCs w:val="20"/>
        </w:rPr>
      </w:pPr>
    </w:p>
    <w:p w14:paraId="1DB8FF5E" w14:textId="18B7D413" w:rsidR="005E74C4" w:rsidRPr="00F058F3" w:rsidRDefault="005E74C4" w:rsidP="007F79FB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b/>
          <w:bCs/>
          <w:sz w:val="20"/>
          <w:szCs w:val="20"/>
        </w:rPr>
        <w:t>ABERTURA</w:t>
      </w:r>
      <w:r w:rsidRPr="00F058F3">
        <w:rPr>
          <w:rFonts w:ascii="Trebuchet MS" w:hAnsi="Trebuchet MS"/>
          <w:sz w:val="20"/>
          <w:szCs w:val="20"/>
        </w:rPr>
        <w:t xml:space="preserve">: o </w:t>
      </w:r>
      <w:r w:rsidR="009F53FD" w:rsidRPr="00F058F3">
        <w:rPr>
          <w:rFonts w:ascii="Trebuchet MS" w:hAnsi="Trebuchet MS"/>
          <w:sz w:val="20"/>
          <w:szCs w:val="20"/>
        </w:rPr>
        <w:t>representante do</w:t>
      </w:r>
      <w:r w:rsidRPr="00F058F3">
        <w:rPr>
          <w:rFonts w:ascii="Trebuchet MS" w:hAnsi="Trebuchet MS"/>
          <w:sz w:val="20"/>
          <w:szCs w:val="20"/>
        </w:rPr>
        <w:t xml:space="preserve"> Agente Fiduciário prop</w:t>
      </w:r>
      <w:r w:rsidR="009F53FD" w:rsidRPr="00F058F3">
        <w:rPr>
          <w:rFonts w:ascii="Trebuchet MS" w:hAnsi="Trebuchet MS"/>
          <w:sz w:val="20"/>
          <w:szCs w:val="20"/>
        </w:rPr>
        <w:t>ô</w:t>
      </w:r>
      <w:r w:rsidRPr="00F058F3">
        <w:rPr>
          <w:rFonts w:ascii="Trebuchet MS" w:hAnsi="Trebuchet MS"/>
          <w:sz w:val="20"/>
          <w:szCs w:val="20"/>
        </w:rPr>
        <w:t xml:space="preserve">s aos presentes a eleição do Presidente e do Secretário da Assembleia para, dentre outras providências, lavrar a presente ata. Após a devida eleição, foram abertos os trabalhos, tendo sido verificado pelo Secretário os pressupostos de quórum e convocação, bem como os instrumentos de mandato dos representantes dos Debenturistas presentes, declarando o Sr. </w:t>
      </w:r>
      <w:r w:rsidR="007F79FB" w:rsidRPr="00F058F3">
        <w:rPr>
          <w:rFonts w:ascii="Trebuchet MS" w:hAnsi="Trebuchet MS"/>
          <w:sz w:val="20"/>
          <w:szCs w:val="20"/>
        </w:rPr>
        <w:t xml:space="preserve">Presidente </w:t>
      </w:r>
      <w:r w:rsidRPr="00F058F3">
        <w:rPr>
          <w:rFonts w:ascii="Trebuchet MS" w:hAnsi="Trebuchet MS"/>
          <w:sz w:val="20"/>
          <w:szCs w:val="20"/>
        </w:rPr>
        <w:t xml:space="preserve">instalada a presente Assembleia. Em seguida, foi </w:t>
      </w:r>
      <w:r w:rsidR="009F53FD" w:rsidRPr="00F058F3">
        <w:rPr>
          <w:rFonts w:ascii="Trebuchet MS" w:hAnsi="Trebuchet MS"/>
          <w:sz w:val="20"/>
          <w:szCs w:val="20"/>
        </w:rPr>
        <w:t>realizada</w:t>
      </w:r>
      <w:r w:rsidRPr="00F058F3">
        <w:rPr>
          <w:rFonts w:ascii="Trebuchet MS" w:hAnsi="Trebuchet MS"/>
          <w:sz w:val="20"/>
          <w:szCs w:val="20"/>
        </w:rPr>
        <w:t xml:space="preserve"> a leitura da ordem do dia.</w:t>
      </w:r>
    </w:p>
    <w:p w14:paraId="2A3E5EA2" w14:textId="77777777" w:rsidR="00AE5AFD" w:rsidRPr="00F058F3" w:rsidRDefault="00AE5AFD" w:rsidP="00CD0ED2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35C1469E" w14:textId="764F5D43" w:rsidR="00AE5AFD" w:rsidRPr="00F058F3" w:rsidRDefault="00AE5AFD" w:rsidP="00CD0ED2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bCs/>
          <w:sz w:val="20"/>
          <w:szCs w:val="20"/>
        </w:rPr>
      </w:pPr>
      <w:r w:rsidRPr="00F058F3">
        <w:rPr>
          <w:rFonts w:ascii="Trebuchet MS" w:hAnsi="Trebuchet MS"/>
          <w:b/>
          <w:bCs/>
          <w:smallCaps/>
          <w:sz w:val="20"/>
          <w:szCs w:val="20"/>
        </w:rPr>
        <w:t>DELIBERAÇÕES</w:t>
      </w:r>
      <w:r w:rsidRPr="00F058F3">
        <w:rPr>
          <w:rFonts w:ascii="Trebuchet MS" w:hAnsi="Trebuchet MS"/>
          <w:bCs/>
          <w:sz w:val="20"/>
          <w:szCs w:val="20"/>
        </w:rPr>
        <w:t xml:space="preserve">: </w:t>
      </w:r>
      <w:r w:rsidR="005E74C4" w:rsidRPr="00F058F3">
        <w:rPr>
          <w:rFonts w:ascii="Trebuchet MS" w:hAnsi="Trebuchet MS"/>
          <w:bCs/>
          <w:sz w:val="20"/>
          <w:szCs w:val="20"/>
        </w:rPr>
        <w:t>Examinada e debatida a</w:t>
      </w:r>
      <w:r w:rsidR="007F79FB" w:rsidRPr="00F058F3">
        <w:rPr>
          <w:rFonts w:ascii="Trebuchet MS" w:hAnsi="Trebuchet MS"/>
          <w:bCs/>
          <w:sz w:val="20"/>
          <w:szCs w:val="20"/>
        </w:rPr>
        <w:t>s</w:t>
      </w:r>
      <w:r w:rsidR="005E74C4" w:rsidRPr="00F058F3">
        <w:rPr>
          <w:rFonts w:ascii="Trebuchet MS" w:hAnsi="Trebuchet MS"/>
          <w:bCs/>
          <w:sz w:val="20"/>
          <w:szCs w:val="20"/>
        </w:rPr>
        <w:t xml:space="preserve"> matéria</w:t>
      </w:r>
      <w:r w:rsidR="007F79FB" w:rsidRPr="00F058F3">
        <w:rPr>
          <w:rFonts w:ascii="Trebuchet MS" w:hAnsi="Trebuchet MS"/>
          <w:bCs/>
          <w:sz w:val="20"/>
          <w:szCs w:val="20"/>
        </w:rPr>
        <w:t>s</w:t>
      </w:r>
      <w:r w:rsidR="005E74C4" w:rsidRPr="00F058F3">
        <w:rPr>
          <w:rFonts w:ascii="Trebuchet MS" w:hAnsi="Trebuchet MS"/>
          <w:bCs/>
          <w:sz w:val="20"/>
          <w:szCs w:val="20"/>
        </w:rPr>
        <w:t xml:space="preserve"> constante</w:t>
      </w:r>
      <w:r w:rsidR="007F79FB" w:rsidRPr="00F058F3">
        <w:rPr>
          <w:rFonts w:ascii="Trebuchet MS" w:hAnsi="Trebuchet MS"/>
          <w:bCs/>
          <w:sz w:val="20"/>
          <w:szCs w:val="20"/>
        </w:rPr>
        <w:t>s</w:t>
      </w:r>
      <w:r w:rsidR="005E74C4" w:rsidRPr="00F058F3">
        <w:rPr>
          <w:rFonts w:ascii="Trebuchet MS" w:hAnsi="Trebuchet MS"/>
          <w:bCs/>
          <w:sz w:val="20"/>
          <w:szCs w:val="20"/>
        </w:rPr>
        <w:t xml:space="preserve"> da Ordem do Dia, os Debenturistas, representando 100% (cem por cento) das Debêntures em circulação, decidiram, sem </w:t>
      </w:r>
      <w:r w:rsidR="00BB26D0">
        <w:rPr>
          <w:rFonts w:ascii="Trebuchet MS" w:hAnsi="Trebuchet MS"/>
          <w:bCs/>
          <w:sz w:val="20"/>
          <w:szCs w:val="20"/>
        </w:rPr>
        <w:t xml:space="preserve">quaisquer restrições ou </w:t>
      </w:r>
      <w:r w:rsidR="005E74C4" w:rsidRPr="00F058F3">
        <w:rPr>
          <w:rFonts w:ascii="Trebuchet MS" w:hAnsi="Trebuchet MS"/>
          <w:bCs/>
          <w:sz w:val="20"/>
          <w:szCs w:val="20"/>
        </w:rPr>
        <w:t>ressalvas:</w:t>
      </w:r>
    </w:p>
    <w:p w14:paraId="52BEE61A" w14:textId="77777777" w:rsidR="00AE5AFD" w:rsidRPr="00F058F3" w:rsidRDefault="00AE5AFD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08E50F6" w14:textId="5F4F9AA4" w:rsidR="00A651FC" w:rsidRPr="00F058F3" w:rsidRDefault="00A651FC" w:rsidP="00DE760F">
      <w:pPr>
        <w:pStyle w:val="Default"/>
        <w:numPr>
          <w:ilvl w:val="0"/>
          <w:numId w:val="2"/>
        </w:numPr>
        <w:ind w:left="709" w:hanging="709"/>
        <w:jc w:val="both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sz w:val="20"/>
          <w:szCs w:val="20"/>
        </w:rPr>
        <w:lastRenderedPageBreak/>
        <w:t>aprov</w:t>
      </w:r>
      <w:r w:rsidR="005E74C4" w:rsidRPr="00F058F3">
        <w:rPr>
          <w:rFonts w:ascii="Trebuchet MS" w:hAnsi="Trebuchet MS"/>
          <w:sz w:val="20"/>
          <w:szCs w:val="20"/>
        </w:rPr>
        <w:t>ar</w:t>
      </w:r>
      <w:r w:rsidRPr="00F058F3">
        <w:rPr>
          <w:rFonts w:ascii="Trebuchet MS" w:hAnsi="Trebuchet MS"/>
          <w:sz w:val="20"/>
          <w:szCs w:val="20"/>
        </w:rPr>
        <w:t xml:space="preserve"> a alteração da Cláusula </w:t>
      </w:r>
      <w:r w:rsidR="00F97BC0" w:rsidRPr="00F058F3">
        <w:rPr>
          <w:rFonts w:ascii="Trebuchet MS" w:hAnsi="Trebuchet MS"/>
          <w:sz w:val="20"/>
          <w:szCs w:val="20"/>
        </w:rPr>
        <w:t>6.1.2, itens (vi)</w:t>
      </w:r>
      <w:r w:rsidR="00F058F3">
        <w:rPr>
          <w:rFonts w:ascii="Trebuchet MS" w:hAnsi="Trebuchet MS"/>
          <w:sz w:val="20"/>
          <w:szCs w:val="20"/>
        </w:rPr>
        <w:t>, (xiv)</w:t>
      </w:r>
      <w:r w:rsidR="00F97BC0" w:rsidRPr="00F058F3">
        <w:rPr>
          <w:rFonts w:ascii="Trebuchet MS" w:hAnsi="Trebuchet MS"/>
          <w:sz w:val="20"/>
          <w:szCs w:val="20"/>
        </w:rPr>
        <w:t xml:space="preserve"> e (xix) da Escritura de Emissão</w:t>
      </w:r>
      <w:r w:rsidRPr="00F058F3">
        <w:rPr>
          <w:rFonts w:ascii="Trebuchet MS" w:hAnsi="Trebuchet MS"/>
          <w:sz w:val="20"/>
          <w:szCs w:val="20"/>
        </w:rPr>
        <w:t>, que passar</w:t>
      </w:r>
      <w:r w:rsidR="007F79FB" w:rsidRPr="00F058F3">
        <w:rPr>
          <w:rFonts w:ascii="Trebuchet MS" w:hAnsi="Trebuchet MS"/>
          <w:sz w:val="20"/>
          <w:szCs w:val="20"/>
        </w:rPr>
        <w:t>ão</w:t>
      </w:r>
      <w:r w:rsidRPr="00F058F3">
        <w:rPr>
          <w:rFonts w:ascii="Trebuchet MS" w:hAnsi="Trebuchet MS"/>
          <w:sz w:val="20"/>
          <w:szCs w:val="20"/>
        </w:rPr>
        <w:t xml:space="preserve"> a vigorar com a seguinte redação:</w:t>
      </w:r>
    </w:p>
    <w:p w14:paraId="6EC494DA" w14:textId="77777777" w:rsidR="00A651FC" w:rsidRPr="00F058F3" w:rsidRDefault="00A651FC" w:rsidP="00CD0ED2">
      <w:pPr>
        <w:pStyle w:val="Default"/>
        <w:ind w:left="1080"/>
        <w:jc w:val="both"/>
        <w:rPr>
          <w:rFonts w:ascii="Trebuchet MS" w:hAnsi="Trebuchet MS"/>
          <w:sz w:val="20"/>
          <w:szCs w:val="20"/>
        </w:rPr>
      </w:pPr>
    </w:p>
    <w:p w14:paraId="1EC79E52" w14:textId="77777777" w:rsidR="00F058F3" w:rsidRPr="00053F4B" w:rsidRDefault="00F058F3" w:rsidP="00F058F3">
      <w:pPr>
        <w:spacing w:after="0" w:line="240" w:lineRule="exact"/>
        <w:ind w:left="1418"/>
        <w:jc w:val="both"/>
        <w:rPr>
          <w:rFonts w:ascii="Trebuchet MS" w:hAnsi="Trebuchet MS"/>
          <w:bCs/>
          <w:i/>
          <w:iCs/>
          <w:sz w:val="20"/>
          <w:szCs w:val="20"/>
        </w:rPr>
      </w:pPr>
      <w:bookmarkStart w:id="1" w:name="_Hlk74827953"/>
      <w:r w:rsidRPr="00053F4B">
        <w:rPr>
          <w:rFonts w:ascii="Trebuchet MS" w:hAnsi="Trebuchet MS"/>
          <w:bCs/>
          <w:i/>
          <w:iCs/>
          <w:sz w:val="20"/>
          <w:szCs w:val="20"/>
        </w:rPr>
        <w:t>“6.1.2 Constituem Eventos de Vencimento Antecipado não automático que podem acarretar o vencimento das obrigações decorrentes das Debêntures, aplicando-se o disposto na Cláusula 6.5 abaixo, quaisquer dos seguintes eventos:</w:t>
      </w:r>
    </w:p>
    <w:p w14:paraId="6B118428" w14:textId="77777777" w:rsidR="00F058F3" w:rsidRPr="00053F4B" w:rsidRDefault="00F058F3" w:rsidP="00F058F3">
      <w:pPr>
        <w:spacing w:after="0" w:line="240" w:lineRule="exact"/>
        <w:jc w:val="both"/>
        <w:rPr>
          <w:rFonts w:ascii="Trebuchet MS" w:hAnsi="Trebuchet MS"/>
          <w:bCs/>
          <w:sz w:val="20"/>
          <w:szCs w:val="20"/>
        </w:rPr>
      </w:pPr>
    </w:p>
    <w:p w14:paraId="1A07E09B" w14:textId="77777777" w:rsidR="00F058F3" w:rsidRPr="00053F4B" w:rsidRDefault="00F058F3" w:rsidP="00F058F3">
      <w:pPr>
        <w:spacing w:after="0" w:line="240" w:lineRule="exact"/>
        <w:ind w:left="1418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(...)</w:t>
      </w:r>
    </w:p>
    <w:p w14:paraId="3B404757" w14:textId="77777777" w:rsidR="00F058F3" w:rsidRPr="00053F4B" w:rsidRDefault="00F058F3" w:rsidP="00F058F3">
      <w:pPr>
        <w:spacing w:after="0" w:line="240" w:lineRule="exact"/>
        <w:ind w:left="1418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2BFDB4D1" w14:textId="41449E13" w:rsidR="00F058F3" w:rsidRPr="00053F4B" w:rsidRDefault="00F058F3" w:rsidP="00F058F3">
      <w:pPr>
        <w:pStyle w:val="PargrafodaLista"/>
        <w:numPr>
          <w:ilvl w:val="0"/>
          <w:numId w:val="4"/>
        </w:numPr>
        <w:spacing w:after="0" w:line="240" w:lineRule="exact"/>
        <w:contextualSpacing w:val="0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alterações na composição dos Controladores Atuais (conforme abaixo definido), sendo vedada a entrada de terceiros e/ou transferências de participação para terceiros que não os Controladores Atuais, ou se ocorrer qualquer mudança, transferência ou a cessão do controle societário (conforme definido nos termos do artigo 116 da Lei das Sociedades por Ações), direto ou indireto, ou ainda a incorporação, fusão, cisão ou qualquer outra forma de reorganização societária prevista em lei da </w:t>
      </w:r>
      <w:r w:rsidR="00BB26D0">
        <w:rPr>
          <w:rFonts w:ascii="Trebuchet MS" w:hAnsi="Trebuchet MS"/>
          <w:bCs/>
          <w:i/>
          <w:iCs/>
          <w:sz w:val="20"/>
          <w:szCs w:val="20"/>
        </w:rPr>
        <w:t>Emissora</w:t>
      </w:r>
      <w:r w:rsidR="00BB26D0" w:rsidRPr="00053F4B">
        <w:rPr>
          <w:rFonts w:ascii="Trebuchet MS" w:hAnsi="Trebuchet MS"/>
          <w:bCs/>
          <w:i/>
          <w:iCs/>
          <w:sz w:val="20"/>
          <w:szCs w:val="20"/>
        </w:rPr>
        <w:t xml:space="preserve"> 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sem a prévia e expressa anuência dos Debenturistas, exceto por: (i) Operações permitidas (tipo 1): transferências de ações entre os Controladores Atuais, ou para quaisquer pessoas físicas ou jurídicas desde que os Controladores Atuais mantenham o Controle societário, direto ou indireto, da </w:t>
      </w:r>
      <w:r w:rsidR="00BB26D0">
        <w:rPr>
          <w:rFonts w:ascii="Trebuchet MS" w:hAnsi="Trebuchet MS"/>
          <w:bCs/>
          <w:i/>
          <w:iCs/>
          <w:sz w:val="20"/>
          <w:szCs w:val="20"/>
        </w:rPr>
        <w:t>Emissora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, inclusive para quaisquer fundos de investimento geridos pela mesma gestora dos Controladores Atuais ou seus respectivos sucessores, a qualquer título (inclusive em razão de cisão, fusão, incorporação, incorporação de ações ou outra forma de reorganização societária); e (ii) Operações permitidas (tipo 2): exclusivamente na hipótese de uma oferta inicial de ações (“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IPO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”), os Controladores Atuais poderão transferir suas participações para terceiros que não os Controladores Atuais. A manutenção do controle societário, direto ou indireto, detido conjuntamente pelos Controladores Atuais na presente data, não será obrigatória, sendo vedada no âmbito do IPO a caracterização de um novo controlador único ou novo bloco de controle, de forma direta ou indireta, nos termos da Lei 6404. Para os fins desta Escritura de Emissão, 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Controladores Atuais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” significa: Eleva Educação I Fundo de Investimento e Participações – Multiestratégia, Eleva Educação II Fundo de Investimento e Participações – Multiestratégia e Eleva Educação III Fundo de Investimento e Participações – Multiestratégia e as determinadas afiliadas, conforme lista a ser entregue pela </w:t>
      </w:r>
      <w:r w:rsidR="00BB26D0">
        <w:rPr>
          <w:rFonts w:ascii="Trebuchet MS" w:hAnsi="Trebuchet MS"/>
          <w:bCs/>
          <w:i/>
          <w:iCs/>
          <w:sz w:val="20"/>
          <w:szCs w:val="20"/>
        </w:rPr>
        <w:t>Emissora</w:t>
      </w:r>
      <w:r w:rsidR="00BB26D0" w:rsidRPr="00053F4B">
        <w:rPr>
          <w:rFonts w:ascii="Trebuchet MS" w:hAnsi="Trebuchet MS"/>
          <w:bCs/>
          <w:i/>
          <w:iCs/>
          <w:sz w:val="20"/>
          <w:szCs w:val="20"/>
        </w:rPr>
        <w:t xml:space="preserve"> 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ao Agente Fiduciário (“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Afiliadas dos Controladores Atuais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”), os quais detêm conjuntamente 53% (cinquenta e três por cento) do capital social da </w:t>
      </w:r>
      <w:r>
        <w:rPr>
          <w:rFonts w:ascii="Trebuchet MS" w:hAnsi="Trebuchet MS"/>
          <w:bCs/>
          <w:i/>
          <w:iCs/>
          <w:sz w:val="20"/>
          <w:szCs w:val="20"/>
        </w:rPr>
        <w:t>Eleva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 na presente data.</w:t>
      </w:r>
    </w:p>
    <w:p w14:paraId="3F0E7218" w14:textId="77777777" w:rsidR="00F058F3" w:rsidRPr="00053F4B" w:rsidRDefault="00F058F3" w:rsidP="00F058F3">
      <w:pPr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283BD717" w14:textId="77777777" w:rsidR="00F058F3" w:rsidRPr="00053F4B" w:rsidRDefault="00F058F3" w:rsidP="00F058F3">
      <w:pPr>
        <w:spacing w:after="0" w:line="240" w:lineRule="exact"/>
        <w:ind w:left="708" w:firstLine="708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(...)</w:t>
      </w:r>
    </w:p>
    <w:p w14:paraId="1AB75510" w14:textId="0A9327F2" w:rsidR="00F058F3" w:rsidRPr="00053F4B" w:rsidRDefault="00F058F3" w:rsidP="00F058F3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condenação da </w:t>
      </w:r>
      <w:r w:rsidR="00BB26D0">
        <w:rPr>
          <w:rFonts w:ascii="Trebuchet MS" w:hAnsi="Trebuchet MS"/>
          <w:bCs/>
          <w:i/>
          <w:iCs/>
          <w:sz w:val="20"/>
          <w:szCs w:val="20"/>
        </w:rPr>
        <w:t>Emissora</w:t>
      </w:r>
      <w:r w:rsidR="00BB26D0" w:rsidRPr="00053F4B">
        <w:rPr>
          <w:rFonts w:ascii="Trebuchet MS" w:hAnsi="Trebuchet MS"/>
          <w:bCs/>
          <w:i/>
          <w:iCs/>
          <w:sz w:val="20"/>
          <w:szCs w:val="20"/>
        </w:rPr>
        <w:t xml:space="preserve"> 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ou de qualquer de suas Controladas, e/ou das Fiadoras, por sentenças arbitrais definitivas ou judiciais não sujeitas a recurso com efeito suspensivo que acarretem obrigação de pagamento cujo valor, individual ou agregado, seja igual ou superior a R$35.000.000,00 (trinta e cinco milhões de reais);</w:t>
      </w:r>
    </w:p>
    <w:p w14:paraId="06471A23" w14:textId="77777777" w:rsidR="00F058F3" w:rsidRPr="00053F4B" w:rsidRDefault="00F058F3" w:rsidP="00F058F3">
      <w:pPr>
        <w:spacing w:after="0" w:line="240" w:lineRule="exact"/>
        <w:ind w:left="708" w:firstLine="708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(...)</w:t>
      </w:r>
    </w:p>
    <w:p w14:paraId="70C26397" w14:textId="77777777" w:rsidR="00F058F3" w:rsidRPr="00053F4B" w:rsidRDefault="00F058F3" w:rsidP="00F058F3">
      <w:pPr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5E698D2E" w14:textId="77777777" w:rsidR="00D467AB" w:rsidRPr="00D467AB" w:rsidRDefault="00D467AB" w:rsidP="00F058F3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vanish/>
          <w:sz w:val="20"/>
          <w:szCs w:val="20"/>
        </w:rPr>
      </w:pPr>
    </w:p>
    <w:p w14:paraId="20F92835" w14:textId="77777777" w:rsidR="00D467AB" w:rsidRPr="00D467AB" w:rsidRDefault="00D467AB" w:rsidP="00F058F3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vanish/>
          <w:sz w:val="20"/>
          <w:szCs w:val="20"/>
        </w:rPr>
      </w:pPr>
    </w:p>
    <w:p w14:paraId="31AA0247" w14:textId="77777777" w:rsidR="00D467AB" w:rsidRPr="00D467AB" w:rsidRDefault="00D467AB" w:rsidP="00F058F3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vanish/>
          <w:sz w:val="20"/>
          <w:szCs w:val="20"/>
        </w:rPr>
      </w:pPr>
    </w:p>
    <w:p w14:paraId="6CDB2E6C" w14:textId="77777777" w:rsidR="00D467AB" w:rsidRPr="00D467AB" w:rsidRDefault="00D467AB" w:rsidP="00F058F3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vanish/>
          <w:sz w:val="20"/>
          <w:szCs w:val="20"/>
        </w:rPr>
      </w:pPr>
    </w:p>
    <w:p w14:paraId="71939EBC" w14:textId="6226280C" w:rsidR="00F058F3" w:rsidRPr="00053F4B" w:rsidRDefault="00F058F3" w:rsidP="00F058F3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descumprimento pela Eleva da manutenção do seguinte índice financeiro nos limites abaixo estabelecidos nas datas das suas 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lastRenderedPageBreak/>
        <w:t>respectivas apurações anuais constantes das demonstrações financeiras auditadas e consolidadas da Eleva, a ser acompanhada pelo Agente Fiduciário (“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Índice Financeiro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”). O Índice Financeiro será apurado com base nas demonstrações financeiras auditadas e consolidadas anuais da Eleva relativas aos exercícios sociais encerrados em 31 de dezembro de cada ano e acompanhado pelo Agente Fiduciário, sendo que a primeira verificação para fins deste subitem ocorrerá com relação ao exercício social encerrado em 31 de dezembro de 2021:</w:t>
      </w:r>
    </w:p>
    <w:p w14:paraId="473D7A39" w14:textId="77777777" w:rsidR="00F058F3" w:rsidRPr="00053F4B" w:rsidRDefault="00F058F3" w:rsidP="00F058F3">
      <w:pPr>
        <w:pStyle w:val="PargrafodaLista"/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1C86B427" w14:textId="77777777" w:rsidR="00F058F3" w:rsidRPr="00053F4B" w:rsidRDefault="00F058F3" w:rsidP="00F058F3">
      <w:pPr>
        <w:pStyle w:val="PargrafodaLista"/>
        <w:spacing w:after="0" w:line="240" w:lineRule="exact"/>
        <w:ind w:left="2483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O Índice Financeiro, correspondente à relação entre a Dívida Financeira Líquida (conforme definido abaixo), acrescida da Dívida de Aquisições (conforme definido abaixo), e o EBITDA (conforme definido abaixo), deverá ser igual ou inferior a:</w:t>
      </w:r>
    </w:p>
    <w:p w14:paraId="76B9EEAB" w14:textId="77777777" w:rsidR="00F058F3" w:rsidRPr="00053F4B" w:rsidRDefault="00F058F3" w:rsidP="00F058F3">
      <w:pPr>
        <w:pStyle w:val="PargrafodaLista"/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5606004B" w14:textId="204E9DBE" w:rsidR="00F058F3" w:rsidRPr="00053F4B" w:rsidRDefault="00F058F3" w:rsidP="00F058F3">
      <w:pPr>
        <w:pStyle w:val="PargrafodaLista"/>
        <w:numPr>
          <w:ilvl w:val="0"/>
          <w:numId w:val="6"/>
        </w:numPr>
        <w:spacing w:after="0" w:line="240" w:lineRule="exact"/>
        <w:ind w:left="3195"/>
        <w:contextualSpacing w:val="0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5,00 (cinco inteiros) em 2021;</w:t>
      </w:r>
    </w:p>
    <w:p w14:paraId="3F4625EC" w14:textId="030655CC" w:rsidR="00F058F3" w:rsidRPr="00053F4B" w:rsidRDefault="00F058F3" w:rsidP="00F058F3">
      <w:pPr>
        <w:pStyle w:val="PargrafodaLista"/>
        <w:numPr>
          <w:ilvl w:val="0"/>
          <w:numId w:val="6"/>
        </w:numPr>
        <w:spacing w:after="0" w:line="240" w:lineRule="exact"/>
        <w:ind w:left="3195"/>
        <w:contextualSpacing w:val="0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4,00 (quatro inteiros) em 2022; e</w:t>
      </w:r>
      <w:r w:rsidRPr="00053F4B" w:rsidDel="008F3B28">
        <w:rPr>
          <w:rFonts w:ascii="Trebuchet MS" w:hAnsi="Trebuchet MS"/>
          <w:bCs/>
          <w:i/>
          <w:iCs/>
          <w:sz w:val="20"/>
          <w:szCs w:val="20"/>
        </w:rPr>
        <w:t xml:space="preserve"> </w:t>
      </w:r>
    </w:p>
    <w:p w14:paraId="01299F10" w14:textId="77A46B33" w:rsidR="00F058F3" w:rsidRPr="00053F4B" w:rsidRDefault="00AA4AFD" w:rsidP="00F058F3">
      <w:pPr>
        <w:pStyle w:val="PargrafodaLista"/>
        <w:numPr>
          <w:ilvl w:val="0"/>
          <w:numId w:val="6"/>
        </w:numPr>
        <w:spacing w:after="0" w:line="240" w:lineRule="exact"/>
        <w:ind w:left="3195"/>
        <w:contextualSpacing w:val="0"/>
        <w:jc w:val="both"/>
        <w:rPr>
          <w:rFonts w:ascii="Trebuchet MS" w:hAnsi="Trebuchet MS"/>
          <w:bCs/>
          <w:i/>
          <w:iCs/>
          <w:sz w:val="20"/>
          <w:szCs w:val="20"/>
        </w:rPr>
      </w:pPr>
      <w:r>
        <w:rPr>
          <w:rFonts w:ascii="Trebuchet MS" w:hAnsi="Trebuchet MS"/>
          <w:bCs/>
          <w:i/>
          <w:iCs/>
          <w:sz w:val="20"/>
          <w:szCs w:val="20"/>
        </w:rPr>
        <w:t>3</w:t>
      </w:r>
      <w:r w:rsidR="00F058F3" w:rsidRPr="00053F4B">
        <w:rPr>
          <w:rFonts w:ascii="Trebuchet MS" w:hAnsi="Trebuchet MS"/>
          <w:bCs/>
          <w:i/>
          <w:iCs/>
          <w:sz w:val="20"/>
          <w:szCs w:val="20"/>
        </w:rPr>
        <w:t>,00 (três inteiros) em 2023 e até a Data de Vencimento;</w:t>
      </w:r>
      <w:r w:rsidR="00F058F3" w:rsidRPr="00053F4B" w:rsidDel="008F3B28">
        <w:rPr>
          <w:rFonts w:ascii="Trebuchet MS" w:hAnsi="Trebuchet MS"/>
          <w:bCs/>
          <w:i/>
          <w:iCs/>
          <w:sz w:val="20"/>
          <w:szCs w:val="20"/>
        </w:rPr>
        <w:t xml:space="preserve"> </w:t>
      </w:r>
    </w:p>
    <w:p w14:paraId="34C7D180" w14:textId="77777777" w:rsidR="00F058F3" w:rsidRPr="00053F4B" w:rsidRDefault="00F058F3" w:rsidP="00F058F3">
      <w:pPr>
        <w:pStyle w:val="PargrafodaLista"/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70BCE72D" w14:textId="77777777" w:rsidR="00F058F3" w:rsidRPr="00053F4B" w:rsidRDefault="00F058F3" w:rsidP="00F058F3">
      <w:pPr>
        <w:pStyle w:val="PargrafodaLista"/>
        <w:spacing w:after="0" w:line="240" w:lineRule="exact"/>
        <w:ind w:left="2483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Onde: </w:t>
      </w:r>
    </w:p>
    <w:p w14:paraId="19FDA039" w14:textId="77777777" w:rsidR="00F058F3" w:rsidRPr="00053F4B" w:rsidRDefault="00F058F3" w:rsidP="00F058F3">
      <w:pPr>
        <w:pStyle w:val="PargrafodaLista"/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31F8781C" w14:textId="77777777" w:rsidR="00F058F3" w:rsidRPr="00053F4B" w:rsidRDefault="00F058F3" w:rsidP="00F058F3">
      <w:pPr>
        <w:pStyle w:val="PargrafodaLista"/>
        <w:spacing w:after="0" w:line="240" w:lineRule="exact"/>
        <w:ind w:left="2483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Dívida Financeira Líquida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”: valor correspondente às somas das operações bancárias, incluindo desconto/antecipação de recebíveis (duplicatas, cheques e notas promissórias), adiantamento a depositantes, capital de giro em geral em moeda nacional ou estrangeira, contas rotativas (conta garantida, cheque especial) efetivamente utilizadas, leasing, Finame e leaseback e outras operações registradas no Sistema de Informação de Crédito – SCR do Banco Central do Brasil, com exceção às opções de compra e as opções de venda (put e call) no âmbito de operação de compra e venda de determinada sociedade (“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Sociedade Alvo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”), pela </w:t>
      </w:r>
      <w:r>
        <w:rPr>
          <w:rFonts w:ascii="Trebuchet MS" w:hAnsi="Trebuchet MS"/>
          <w:bCs/>
          <w:i/>
          <w:iCs/>
          <w:sz w:val="20"/>
          <w:szCs w:val="20"/>
        </w:rPr>
        <w:t>Eleva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, a serem exercidas entre 2027 e 2030, bem como operações ou qualquer instrumento, público ou privado, de mercado de capitais, com exceção das debêntures de emissão da </w:t>
      </w:r>
      <w:r>
        <w:rPr>
          <w:rFonts w:ascii="Trebuchet MS" w:hAnsi="Trebuchet MS"/>
          <w:bCs/>
          <w:i/>
          <w:iCs/>
          <w:sz w:val="20"/>
          <w:szCs w:val="20"/>
        </w:rPr>
        <w:t>Eleva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 e/ou de qualquer outro instrumentos de dívida que tenha como finalidade financiar a aquisição, pela </w:t>
      </w:r>
      <w:r>
        <w:rPr>
          <w:rFonts w:ascii="Trebuchet MS" w:hAnsi="Trebuchet MS"/>
          <w:bCs/>
          <w:i/>
          <w:iCs/>
          <w:sz w:val="20"/>
          <w:szCs w:val="20"/>
        </w:rPr>
        <w:t>Eleva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, das ações de emissão da SOE Operações Escolares S.A. de titularidade da Saber Serviços Educacionais S.A. (“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Saber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”), nos termos do fato relevante divulgado em conjunto pela Cogna Educação S.A. e pela Saber em 22 de fevereiro de 2021 (“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Aquisição SOE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”), e deduzidas as aplicações financeiras, as disponibilidades e os recebíveis de cartão de crédito a valor presente. Fica desde já esclarecido que contratos de aluguel, bem como fianças bancárias (ou seguro garantia) que asseguram a execução de contratos de construção de empreendimentos imobiliários na modalidade Built to Suit de longo prazo, não serão considerados dívida líquida bancária. </w:t>
      </w:r>
    </w:p>
    <w:p w14:paraId="24249600" w14:textId="77777777" w:rsidR="00F058F3" w:rsidRPr="00053F4B" w:rsidRDefault="00F058F3" w:rsidP="00F058F3">
      <w:pPr>
        <w:pStyle w:val="PargrafodaLista"/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2A9B50F2" w14:textId="77777777" w:rsidR="00F058F3" w:rsidRPr="00053F4B" w:rsidRDefault="00F058F3" w:rsidP="00F058F3">
      <w:pPr>
        <w:pStyle w:val="PargrafodaLista"/>
        <w:spacing w:after="0" w:line="240" w:lineRule="exact"/>
        <w:ind w:left="2483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Dívida de Aquisições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”: operações ou qualquer instrumento, público ou privado, de aquisições parceladas de empresas, exceto pelos valores correspondentes à diferença positiva entre o montante devido pela </w:t>
      </w:r>
      <w:r>
        <w:rPr>
          <w:rFonts w:ascii="Trebuchet MS" w:hAnsi="Trebuchet MS"/>
          <w:bCs/>
          <w:i/>
          <w:iCs/>
          <w:sz w:val="20"/>
          <w:szCs w:val="20"/>
        </w:rPr>
        <w:t>Eleva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 para a Saber em decorrência da Aquisição SOE e o montante a receber da Vasta Platform Limited, em decorrência da Alienação da Editora Eleva. Caso haja garantia do acionista controlador da </w:t>
      </w:r>
      <w:r>
        <w:rPr>
          <w:rFonts w:ascii="Trebuchet MS" w:hAnsi="Trebuchet MS"/>
          <w:bCs/>
          <w:i/>
          <w:iCs/>
          <w:sz w:val="20"/>
          <w:szCs w:val="20"/>
        </w:rPr>
        <w:t>Eleva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 (“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Fundo Gera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”) para aquisições 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lastRenderedPageBreak/>
        <w:t xml:space="preserve">parceladas de empresas, a parcela garantida pelo Fundo Gera será excluída desse cálculo. </w:t>
      </w:r>
    </w:p>
    <w:p w14:paraId="237D30AD" w14:textId="77777777" w:rsidR="00F058F3" w:rsidRPr="00053F4B" w:rsidRDefault="00F058F3" w:rsidP="00F058F3">
      <w:pPr>
        <w:pStyle w:val="PargrafodaLista"/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461C2B80" w14:textId="7CC21631" w:rsidR="000F2BD2" w:rsidRPr="00F058F3" w:rsidRDefault="00F058F3" w:rsidP="00F97BC0">
      <w:pPr>
        <w:pStyle w:val="Default"/>
        <w:spacing w:line="240" w:lineRule="exact"/>
        <w:ind w:left="2124" w:firstLine="14"/>
        <w:jc w:val="both"/>
        <w:rPr>
          <w:rFonts w:ascii="Trebuchet MS" w:hAnsi="Trebuchet MS"/>
          <w:b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EBITDA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”: corresponde ao lucro líquido apurado antes da consideração de: (a) despesa (ou receita) financeira; (b) provisão para o imposto de renda e contribuições sociais; (c) depreciações e amortizações; (d) perdas (ou lucros) resultantes de equivalência patrimonial nos resultados dos investimentos em sociedades coligadas ou controladas; (e) ágio; (f) despesas com plano de stock options; (g) baixas decorrentes de impairment de ativos (efeito não-caixa); (h) despesas com operações de compra e venda de sociedades (M&amp;A); (i) despesas pré-operacionais de novas unidades, calculado nos termos da Instrução da CVM n.º 527, de 4 de outubro de 2012; e (j) EBITDA apurado na Sociedade Alvo proporcional à participação societária minoritária detida pela </w:t>
      </w:r>
      <w:r>
        <w:rPr>
          <w:rFonts w:ascii="Trebuchet MS" w:hAnsi="Trebuchet MS"/>
          <w:bCs/>
          <w:i/>
          <w:iCs/>
          <w:sz w:val="20"/>
          <w:szCs w:val="20"/>
        </w:rPr>
        <w:t>Eleva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 na Sociedade Alvo. Entretanto, caso alguma aquisição seja feita ao longo do exercício social pela </w:t>
      </w:r>
      <w:r>
        <w:rPr>
          <w:rFonts w:ascii="Trebuchet MS" w:hAnsi="Trebuchet MS"/>
          <w:bCs/>
          <w:i/>
          <w:iCs/>
          <w:sz w:val="20"/>
          <w:szCs w:val="20"/>
        </w:rPr>
        <w:t>Eleva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 e suas Controladas, este poderá usar o seguinte cálculo de EBITDA para a sociedade adquirida para fins de covenants financeiros: EBITDA apresentado no relatório de due dilligence da auditoria/consultoria até momento da aquisição acrescido do EBITDA que a </w:t>
      </w:r>
      <w:r>
        <w:rPr>
          <w:rFonts w:ascii="Trebuchet MS" w:hAnsi="Trebuchet MS"/>
          <w:bCs/>
          <w:i/>
          <w:iCs/>
          <w:sz w:val="20"/>
          <w:szCs w:val="20"/>
        </w:rPr>
        <w:t>Eleva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 divulgará de forma consolidada a partir do momento da aquisição.”</w:t>
      </w:r>
      <w:bookmarkEnd w:id="1"/>
      <w:r w:rsidRPr="00F058F3" w:rsidDel="00F058F3">
        <w:rPr>
          <w:rFonts w:ascii="Trebuchet MS" w:hAnsi="Trebuchet MS"/>
          <w:bCs/>
          <w:i/>
          <w:iCs/>
          <w:sz w:val="20"/>
          <w:szCs w:val="20"/>
        </w:rPr>
        <w:t xml:space="preserve"> </w:t>
      </w:r>
      <w:r w:rsidR="00F97BC0" w:rsidRPr="00F058F3">
        <w:rPr>
          <w:rFonts w:ascii="Trebuchet MS" w:hAnsi="Trebuchet MS"/>
          <w:bCs/>
          <w:i/>
          <w:iCs/>
          <w:sz w:val="20"/>
          <w:szCs w:val="20"/>
        </w:rPr>
        <w:t xml:space="preserve"> </w:t>
      </w:r>
    </w:p>
    <w:p w14:paraId="11C41598" w14:textId="77777777" w:rsidR="00F97BC0" w:rsidRPr="00F058F3" w:rsidRDefault="00F97BC0" w:rsidP="00F97BC0">
      <w:pPr>
        <w:pStyle w:val="Default"/>
        <w:jc w:val="both"/>
        <w:rPr>
          <w:rFonts w:ascii="Trebuchet MS" w:hAnsi="Trebuchet MS"/>
          <w:bCs/>
          <w:sz w:val="20"/>
          <w:szCs w:val="20"/>
        </w:rPr>
      </w:pPr>
    </w:p>
    <w:p w14:paraId="41BDAB76" w14:textId="5D02482D" w:rsidR="000F2BD2" w:rsidRPr="00F058F3" w:rsidRDefault="000F2BD2" w:rsidP="00DE760F">
      <w:pPr>
        <w:pStyle w:val="Default"/>
        <w:ind w:left="709" w:hanging="709"/>
        <w:jc w:val="both"/>
        <w:rPr>
          <w:rFonts w:ascii="Trebuchet MS" w:hAnsi="Trebuchet MS"/>
          <w:bCs/>
          <w:sz w:val="20"/>
          <w:szCs w:val="20"/>
        </w:rPr>
      </w:pPr>
      <w:r w:rsidRPr="00F058F3">
        <w:rPr>
          <w:rFonts w:ascii="Trebuchet MS" w:hAnsi="Trebuchet MS"/>
          <w:bCs/>
          <w:sz w:val="20"/>
          <w:szCs w:val="20"/>
        </w:rPr>
        <w:t>(ii)</w:t>
      </w:r>
      <w:r w:rsidRPr="00F058F3">
        <w:rPr>
          <w:rFonts w:ascii="Trebuchet MS" w:hAnsi="Trebuchet MS"/>
          <w:bCs/>
          <w:sz w:val="20"/>
          <w:szCs w:val="20"/>
        </w:rPr>
        <w:tab/>
      </w:r>
      <w:r w:rsidR="005E74C4" w:rsidRPr="00F058F3">
        <w:rPr>
          <w:rFonts w:ascii="Trebuchet MS" w:hAnsi="Trebuchet MS"/>
          <w:bCs/>
          <w:sz w:val="20"/>
          <w:szCs w:val="20"/>
        </w:rPr>
        <w:t>autorizar o Agente Fiduciário a celebrar o Terceiro Aditamento</w:t>
      </w:r>
      <w:r w:rsidR="00B41B2A" w:rsidRPr="00F058F3">
        <w:rPr>
          <w:rFonts w:ascii="Trebuchet MS" w:hAnsi="Trebuchet MS"/>
          <w:bCs/>
          <w:sz w:val="20"/>
          <w:szCs w:val="20"/>
        </w:rPr>
        <w:t xml:space="preserve"> à Escritura de Emissão</w:t>
      </w:r>
      <w:r w:rsidR="005E74C4" w:rsidRPr="00F058F3">
        <w:rPr>
          <w:rFonts w:ascii="Trebuchet MS" w:hAnsi="Trebuchet MS"/>
          <w:bCs/>
          <w:sz w:val="20"/>
          <w:szCs w:val="20"/>
        </w:rPr>
        <w:t xml:space="preserve">, de forma a refletir as alterações deliberadas </w:t>
      </w:r>
      <w:r w:rsidR="00BB26D0">
        <w:rPr>
          <w:rFonts w:ascii="Trebuchet MS" w:hAnsi="Trebuchet MS"/>
          <w:bCs/>
          <w:sz w:val="20"/>
          <w:szCs w:val="20"/>
        </w:rPr>
        <w:t>conforme item (i) acima</w:t>
      </w:r>
      <w:r w:rsidR="005E74C4" w:rsidRPr="00F058F3">
        <w:rPr>
          <w:rFonts w:ascii="Trebuchet MS" w:hAnsi="Trebuchet MS"/>
          <w:bCs/>
          <w:sz w:val="20"/>
          <w:szCs w:val="20"/>
        </w:rPr>
        <w:t xml:space="preserve">. </w:t>
      </w:r>
    </w:p>
    <w:p w14:paraId="24679F2B" w14:textId="77777777" w:rsidR="00F27DE2" w:rsidRPr="00F058F3" w:rsidRDefault="00F27DE2" w:rsidP="00F27DE2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7CB01D5F" w14:textId="0B63B216" w:rsidR="001A6DCB" w:rsidRDefault="001A6DCB" w:rsidP="001A6DCB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As Deliberações acima estão restritas apenas à Ordem do Dia e não serão interpretadas como renúncia de qualquer direito dos Debenturistas e/ou deveres da Companhia e das Fiadoras, decorrentes de lei e/ou da Escritura de Emissão.</w:t>
      </w:r>
    </w:p>
    <w:p w14:paraId="0AB3B11D" w14:textId="77777777" w:rsidR="001A6DCB" w:rsidRDefault="001A6DCB" w:rsidP="001A6DCB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018ECA2E" w14:textId="06653FA1" w:rsidR="001A6DCB" w:rsidRDefault="005E74C4" w:rsidP="00F27DE2">
      <w:pPr>
        <w:spacing w:after="0" w:line="24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eastAsia="ar-SA"/>
        </w:rPr>
      </w:pPr>
      <w:r w:rsidRPr="00F058F3">
        <w:rPr>
          <w:rFonts w:ascii="Trebuchet MS" w:hAnsi="Trebuchet MS" w:cs="Arial"/>
          <w:bCs/>
          <w:color w:val="000000"/>
          <w:sz w:val="20"/>
          <w:szCs w:val="20"/>
          <w:lang w:eastAsia="ar-SA"/>
        </w:rPr>
        <w:t>Os termos iniciados em maiúsculas, utilizados, mas não definidos nesta ata de Assembleia, terão o significado a eles atribuído na Escritura de Emissão.</w:t>
      </w:r>
    </w:p>
    <w:p w14:paraId="03C13BDF" w14:textId="77777777" w:rsidR="001A6DCB" w:rsidRDefault="001A6DCB" w:rsidP="001A6DCB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272284A6" w14:textId="77777777" w:rsidR="001A6DCB" w:rsidRDefault="001A6DCB" w:rsidP="001A6DCB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As Fiadoras aqui comparecem e anuem com o ora deliberado, ratificando a validade, eficácia e vigência da Fiança prestada nos termos da Escritura.</w:t>
      </w:r>
    </w:p>
    <w:p w14:paraId="72479557" w14:textId="77777777" w:rsidR="001A6DCB" w:rsidRDefault="001A6DCB" w:rsidP="001A6DCB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3F391DEC" w14:textId="77777777" w:rsidR="001A6DCB" w:rsidRDefault="001A6DCB" w:rsidP="001A6DCB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Ficam ratificados todos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324908E6" w14:textId="77777777" w:rsidR="001A6DCB" w:rsidRPr="00F058F3" w:rsidRDefault="001A6DCB" w:rsidP="00F27DE2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7FB7B373" w14:textId="77777777" w:rsidR="00AE5AFD" w:rsidRPr="00F058F3" w:rsidRDefault="00AE5AFD" w:rsidP="00CD0ED2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7F30D39F" w14:textId="43785C9B" w:rsidR="005E74C4" w:rsidRPr="00F058F3" w:rsidRDefault="00AE5AFD" w:rsidP="00CD0ED2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b/>
          <w:bCs/>
          <w:smallCaps/>
          <w:sz w:val="20"/>
          <w:szCs w:val="20"/>
        </w:rPr>
        <w:t>ENCERRAMENTO</w:t>
      </w:r>
      <w:r w:rsidRPr="00F058F3">
        <w:rPr>
          <w:rFonts w:ascii="Trebuchet MS" w:hAnsi="Trebuchet MS"/>
          <w:bCs/>
          <w:sz w:val="20"/>
          <w:szCs w:val="20"/>
        </w:rPr>
        <w:t xml:space="preserve">: </w:t>
      </w:r>
      <w:r w:rsidR="005E74C4" w:rsidRPr="00F058F3">
        <w:rPr>
          <w:rFonts w:ascii="Trebuchet MS" w:hAnsi="Trebuchet MS"/>
          <w:bCs/>
          <w:sz w:val="20"/>
          <w:szCs w:val="20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digitalmente pelos presentes, </w:t>
      </w:r>
      <w:r w:rsidR="00B41B2A" w:rsidRPr="00F058F3">
        <w:rPr>
          <w:rFonts w:ascii="Trebuchet MS" w:hAnsi="Trebuchet MS"/>
          <w:bCs/>
          <w:sz w:val="20"/>
          <w:szCs w:val="20"/>
        </w:rPr>
        <w:t xml:space="preserve">Sr. </w:t>
      </w:r>
      <w:r w:rsidR="005E74C4" w:rsidRPr="00F058F3">
        <w:rPr>
          <w:rFonts w:ascii="Trebuchet MS" w:hAnsi="Trebuchet MS"/>
          <w:bCs/>
          <w:sz w:val="20"/>
          <w:szCs w:val="20"/>
        </w:rPr>
        <w:t xml:space="preserve">[=], na qualidade de Presidente da Assembleia e representante do debenturista Itaú Unibanco S.A., </w:t>
      </w:r>
      <w:r w:rsidR="00B41B2A" w:rsidRPr="00F058F3">
        <w:rPr>
          <w:rFonts w:ascii="Trebuchet MS" w:hAnsi="Trebuchet MS"/>
          <w:bCs/>
          <w:sz w:val="20"/>
          <w:szCs w:val="20"/>
        </w:rPr>
        <w:t xml:space="preserve">Sr. </w:t>
      </w:r>
      <w:r w:rsidR="005E74C4" w:rsidRPr="00F058F3">
        <w:rPr>
          <w:rFonts w:ascii="Trebuchet MS" w:hAnsi="Trebuchet MS"/>
          <w:bCs/>
          <w:sz w:val="20"/>
          <w:szCs w:val="20"/>
        </w:rPr>
        <w:t xml:space="preserve">[=], na qualidade de representante do debenturista Itaú Unibanco S.A., </w:t>
      </w:r>
      <w:r w:rsidR="00B41B2A" w:rsidRPr="00F058F3">
        <w:rPr>
          <w:rFonts w:ascii="Trebuchet MS" w:hAnsi="Trebuchet MS"/>
          <w:bCs/>
          <w:sz w:val="20"/>
          <w:szCs w:val="20"/>
        </w:rPr>
        <w:t>Sr. [=] e Sr. [=], ambos na qualidade de representantes do debenturista Banco Bradesco S.A., Sr.</w:t>
      </w:r>
      <w:r w:rsidR="005E74C4" w:rsidRPr="00F058F3">
        <w:rPr>
          <w:rFonts w:ascii="Trebuchet MS" w:hAnsi="Trebuchet MS"/>
          <w:bCs/>
          <w:sz w:val="20"/>
          <w:szCs w:val="20"/>
        </w:rPr>
        <w:t xml:space="preserve"> [=]</w:t>
      </w:r>
      <w:r w:rsidR="00B41B2A" w:rsidRPr="00F058F3">
        <w:rPr>
          <w:rFonts w:ascii="Trebuchet MS" w:hAnsi="Trebuchet MS"/>
          <w:bCs/>
          <w:sz w:val="20"/>
          <w:szCs w:val="20"/>
        </w:rPr>
        <w:t>,</w:t>
      </w:r>
      <w:r w:rsidR="005E74C4" w:rsidRPr="00F058F3">
        <w:rPr>
          <w:rFonts w:ascii="Trebuchet MS" w:hAnsi="Trebuchet MS"/>
          <w:bCs/>
          <w:sz w:val="20"/>
          <w:szCs w:val="20"/>
        </w:rPr>
        <w:t xml:space="preserve"> na qualidade de Secretário e representante do Agente Fiduciário</w:t>
      </w:r>
      <w:r w:rsidR="00B41B2A" w:rsidRPr="00F058F3">
        <w:rPr>
          <w:rFonts w:ascii="Trebuchet MS" w:hAnsi="Trebuchet MS"/>
          <w:bCs/>
          <w:sz w:val="20"/>
          <w:szCs w:val="20"/>
        </w:rPr>
        <w:t>,</w:t>
      </w:r>
      <w:r w:rsidR="005E74C4" w:rsidRPr="00F058F3">
        <w:rPr>
          <w:rFonts w:ascii="Trebuchet MS" w:hAnsi="Trebuchet MS"/>
          <w:bCs/>
          <w:sz w:val="20"/>
          <w:szCs w:val="20"/>
        </w:rPr>
        <w:t xml:space="preserve"> e </w:t>
      </w:r>
      <w:r w:rsidR="00B41B2A" w:rsidRPr="00F058F3">
        <w:rPr>
          <w:rFonts w:ascii="Trebuchet MS" w:hAnsi="Trebuchet MS"/>
          <w:bCs/>
          <w:sz w:val="20"/>
          <w:szCs w:val="20"/>
        </w:rPr>
        <w:t xml:space="preserve">Sr. </w:t>
      </w:r>
      <w:r w:rsidR="005E74C4" w:rsidRPr="00F058F3">
        <w:rPr>
          <w:rFonts w:ascii="Trebuchet MS" w:hAnsi="Trebuchet MS"/>
          <w:bCs/>
          <w:sz w:val="20"/>
          <w:szCs w:val="20"/>
        </w:rPr>
        <w:t>[=], na qualidade de representante da Companhia.</w:t>
      </w:r>
    </w:p>
    <w:p w14:paraId="058DDF0A" w14:textId="77777777" w:rsidR="005E74C4" w:rsidRPr="00F058F3" w:rsidRDefault="005E74C4" w:rsidP="005E74C4">
      <w:pPr>
        <w:pStyle w:val="Default"/>
        <w:jc w:val="both"/>
        <w:rPr>
          <w:rFonts w:ascii="Trebuchet MS" w:hAnsi="Trebuchet MS"/>
          <w:sz w:val="20"/>
          <w:szCs w:val="20"/>
        </w:rPr>
      </w:pPr>
    </w:p>
    <w:p w14:paraId="62EE248D" w14:textId="77777777" w:rsidR="00A8476A" w:rsidRPr="00F058F3" w:rsidRDefault="00A8476A" w:rsidP="005E74C4">
      <w:pPr>
        <w:pStyle w:val="Default"/>
        <w:rPr>
          <w:rFonts w:ascii="Trebuchet MS" w:hAnsi="Trebuchet MS"/>
          <w:b/>
          <w:bCs/>
          <w:smallCaps/>
          <w:sz w:val="20"/>
          <w:szCs w:val="20"/>
        </w:rPr>
      </w:pPr>
    </w:p>
    <w:p w14:paraId="64FD17FA" w14:textId="7B85720F" w:rsidR="00AE5AFD" w:rsidRPr="00F058F3" w:rsidRDefault="005E74C4" w:rsidP="00CD0ED2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sz w:val="20"/>
          <w:szCs w:val="20"/>
        </w:rPr>
        <w:t>Belo Horizonte</w:t>
      </w:r>
      <w:r w:rsidR="00AE5AFD" w:rsidRPr="00F058F3">
        <w:rPr>
          <w:rFonts w:ascii="Trebuchet MS" w:hAnsi="Trebuchet MS"/>
          <w:sz w:val="20"/>
          <w:szCs w:val="20"/>
        </w:rPr>
        <w:t xml:space="preserve">, </w:t>
      </w:r>
      <w:r w:rsidRPr="00F058F3">
        <w:rPr>
          <w:rFonts w:ascii="Trebuchet MS" w:hAnsi="Trebuchet MS"/>
          <w:sz w:val="20"/>
          <w:szCs w:val="20"/>
        </w:rPr>
        <w:t>[=]</w:t>
      </w:r>
      <w:r w:rsidR="00AE5AFD" w:rsidRPr="00F058F3">
        <w:rPr>
          <w:rFonts w:ascii="Trebuchet MS" w:hAnsi="Trebuchet MS"/>
          <w:sz w:val="20"/>
          <w:szCs w:val="20"/>
        </w:rPr>
        <w:t xml:space="preserve"> de </w:t>
      </w:r>
      <w:r w:rsidR="00BB26D0">
        <w:rPr>
          <w:rFonts w:ascii="Trebuchet MS" w:hAnsi="Trebuchet MS"/>
          <w:sz w:val="20"/>
          <w:szCs w:val="20"/>
        </w:rPr>
        <w:t>ju</w:t>
      </w:r>
      <w:r w:rsidR="00107928">
        <w:rPr>
          <w:rFonts w:ascii="Trebuchet MS" w:hAnsi="Trebuchet MS"/>
          <w:sz w:val="20"/>
          <w:szCs w:val="20"/>
        </w:rPr>
        <w:t>l</w:t>
      </w:r>
      <w:r w:rsidR="00BB26D0">
        <w:rPr>
          <w:rFonts w:ascii="Trebuchet MS" w:hAnsi="Trebuchet MS"/>
          <w:sz w:val="20"/>
          <w:szCs w:val="20"/>
        </w:rPr>
        <w:t>ho</w:t>
      </w:r>
      <w:r w:rsidR="0059388A" w:rsidRPr="00F058F3">
        <w:rPr>
          <w:rFonts w:ascii="Trebuchet MS" w:hAnsi="Trebuchet MS"/>
          <w:sz w:val="20"/>
          <w:szCs w:val="20"/>
        </w:rPr>
        <w:t xml:space="preserve"> </w:t>
      </w:r>
      <w:r w:rsidR="00AE5AFD" w:rsidRPr="00F058F3">
        <w:rPr>
          <w:rFonts w:ascii="Trebuchet MS" w:hAnsi="Trebuchet MS"/>
          <w:sz w:val="20"/>
          <w:szCs w:val="20"/>
        </w:rPr>
        <w:t xml:space="preserve">de </w:t>
      </w:r>
      <w:r w:rsidRPr="00F058F3">
        <w:rPr>
          <w:rFonts w:ascii="Trebuchet MS" w:hAnsi="Trebuchet MS"/>
          <w:sz w:val="20"/>
          <w:szCs w:val="20"/>
        </w:rPr>
        <w:t>2021</w:t>
      </w:r>
      <w:r w:rsidR="00AE5AFD" w:rsidRPr="00F058F3">
        <w:rPr>
          <w:rFonts w:ascii="Trebuchet MS" w:hAnsi="Trebuchet MS"/>
          <w:sz w:val="20"/>
          <w:szCs w:val="20"/>
        </w:rPr>
        <w:t>.</w:t>
      </w:r>
    </w:p>
    <w:p w14:paraId="2A343021" w14:textId="2F27360F" w:rsidR="005E74C4" w:rsidRPr="00F058F3" w:rsidRDefault="005E74C4" w:rsidP="00CD0ED2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0E51AFA6" w14:textId="2D32A1C5" w:rsidR="005E74C4" w:rsidRPr="00F058F3" w:rsidRDefault="005E74C4" w:rsidP="00CD0ED2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sz w:val="20"/>
          <w:szCs w:val="20"/>
        </w:rPr>
        <w:t>Certifico que a presente é cópia fiel da ata original lavada em livro próprio.</w:t>
      </w:r>
    </w:p>
    <w:p w14:paraId="0A74C854" w14:textId="3D35F61D" w:rsidR="005E74C4" w:rsidRPr="00F058F3" w:rsidRDefault="005E74C4" w:rsidP="00CD0ED2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5A2F87D5" w14:textId="1C312389" w:rsidR="005E74C4" w:rsidRPr="00F058F3" w:rsidRDefault="005E74C4" w:rsidP="00CD0ED2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sz w:val="20"/>
          <w:szCs w:val="20"/>
        </w:rPr>
        <w:t xml:space="preserve">Assinaram digitalmente o presente instrumento </w:t>
      </w:r>
      <w:r w:rsidR="00B41B2A" w:rsidRPr="00F058F3">
        <w:rPr>
          <w:rFonts w:ascii="Trebuchet MS" w:hAnsi="Trebuchet MS"/>
          <w:sz w:val="20"/>
          <w:szCs w:val="20"/>
        </w:rPr>
        <w:t>o</w:t>
      </w:r>
      <w:r w:rsidRPr="00F058F3">
        <w:rPr>
          <w:rFonts w:ascii="Trebuchet MS" w:hAnsi="Trebuchet MS"/>
          <w:sz w:val="20"/>
          <w:szCs w:val="20"/>
        </w:rPr>
        <w:t xml:space="preserve"> Presidente, </w:t>
      </w:r>
      <w:r w:rsidR="00B41B2A" w:rsidRPr="00F058F3">
        <w:rPr>
          <w:rFonts w:ascii="Trebuchet MS" w:hAnsi="Trebuchet MS"/>
          <w:sz w:val="20"/>
          <w:szCs w:val="20"/>
        </w:rPr>
        <w:t xml:space="preserve">Sr. </w:t>
      </w:r>
      <w:r w:rsidRPr="00F058F3">
        <w:rPr>
          <w:rFonts w:ascii="Trebuchet MS" w:hAnsi="Trebuchet MS"/>
          <w:sz w:val="20"/>
          <w:szCs w:val="20"/>
        </w:rPr>
        <w:t xml:space="preserve">[=] e o Secretário, </w:t>
      </w:r>
      <w:r w:rsidR="00B41B2A" w:rsidRPr="00F058F3">
        <w:rPr>
          <w:rFonts w:ascii="Trebuchet MS" w:hAnsi="Trebuchet MS"/>
          <w:sz w:val="20"/>
          <w:szCs w:val="20"/>
        </w:rPr>
        <w:t xml:space="preserve">Sr. </w:t>
      </w:r>
      <w:r w:rsidRPr="00F058F3">
        <w:rPr>
          <w:rFonts w:ascii="Trebuchet MS" w:hAnsi="Trebuchet MS"/>
          <w:sz w:val="20"/>
          <w:szCs w:val="20"/>
        </w:rPr>
        <w:t xml:space="preserve">[=]. </w:t>
      </w:r>
    </w:p>
    <w:p w14:paraId="2D70C134" w14:textId="59B0AE19" w:rsidR="009F53FD" w:rsidRPr="00F058F3" w:rsidRDefault="009F53FD" w:rsidP="00CD0ED2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6A13D67D" w14:textId="42983B23" w:rsidR="009F53FD" w:rsidRPr="00F058F3" w:rsidRDefault="009F53FD" w:rsidP="00CD0ED2">
      <w:pPr>
        <w:pStyle w:val="Default"/>
        <w:jc w:val="center"/>
        <w:rPr>
          <w:rFonts w:ascii="Trebuchet MS" w:hAnsi="Trebuchet MS"/>
          <w:i/>
          <w:iCs/>
          <w:sz w:val="20"/>
          <w:szCs w:val="20"/>
        </w:rPr>
      </w:pPr>
      <w:r w:rsidRPr="00F058F3">
        <w:rPr>
          <w:rFonts w:ascii="Trebuchet MS" w:hAnsi="Trebuchet MS"/>
          <w:i/>
          <w:iCs/>
          <w:sz w:val="20"/>
          <w:szCs w:val="20"/>
        </w:rPr>
        <w:t>(as assinaturas seguem nas páginas seguintes)</w:t>
      </w:r>
    </w:p>
    <w:p w14:paraId="1A165850" w14:textId="49759BCA" w:rsidR="009F53FD" w:rsidRPr="00F058F3" w:rsidRDefault="009F53FD">
      <w:pPr>
        <w:rPr>
          <w:rFonts w:ascii="Trebuchet MS" w:hAnsi="Trebuchet MS"/>
          <w:sz w:val="20"/>
          <w:szCs w:val="20"/>
          <w:u w:val="single"/>
        </w:rPr>
      </w:pPr>
    </w:p>
    <w:p w14:paraId="5FA7BD35" w14:textId="3FE6756A" w:rsidR="009F53FD" w:rsidRPr="00F058F3" w:rsidRDefault="009F53FD" w:rsidP="009F53FD">
      <w:pPr>
        <w:pStyle w:val="Default"/>
        <w:jc w:val="both"/>
        <w:rPr>
          <w:rFonts w:ascii="Trebuchet MS" w:hAnsi="Trebuchet MS"/>
          <w:i/>
          <w:iCs/>
          <w:sz w:val="20"/>
          <w:szCs w:val="20"/>
        </w:rPr>
      </w:pPr>
      <w:r w:rsidRPr="00F058F3">
        <w:rPr>
          <w:rFonts w:ascii="Trebuchet MS" w:hAnsi="Trebuchet MS"/>
          <w:i/>
          <w:iCs/>
          <w:sz w:val="20"/>
          <w:szCs w:val="20"/>
        </w:rPr>
        <w:t xml:space="preserve">(Página de assinaturas </w:t>
      </w:r>
      <w:r w:rsidR="00107928">
        <w:rPr>
          <w:rFonts w:ascii="Trebuchet MS" w:hAnsi="Trebuchet MS"/>
          <w:i/>
          <w:iCs/>
          <w:sz w:val="20"/>
          <w:szCs w:val="20"/>
        </w:rPr>
        <w:t xml:space="preserve">1/2 </w:t>
      </w:r>
      <w:r w:rsidRPr="00F058F3">
        <w:rPr>
          <w:rFonts w:ascii="Trebuchet MS" w:hAnsi="Trebuchet MS"/>
          <w:i/>
          <w:iCs/>
          <w:sz w:val="20"/>
          <w:szCs w:val="20"/>
        </w:rPr>
        <w:t xml:space="preserve">da ata da Assembleia Geral dos Titulares da 2ª (segunda) emissão de debêntures simples, não conversíveis em ações, da espécie com garantia real, com garantia adicional fidejussória, em 2 (duas) séries, para distribuição pública, com esforços restritos, do Colégio Vimasa S.A., realizada em [=] de </w:t>
      </w:r>
      <w:r w:rsidR="00BB26D0">
        <w:rPr>
          <w:rFonts w:ascii="Trebuchet MS" w:hAnsi="Trebuchet MS"/>
          <w:i/>
          <w:iCs/>
          <w:sz w:val="20"/>
          <w:szCs w:val="20"/>
        </w:rPr>
        <w:t>ju</w:t>
      </w:r>
      <w:r w:rsidR="00107928">
        <w:rPr>
          <w:rFonts w:ascii="Trebuchet MS" w:hAnsi="Trebuchet MS"/>
          <w:i/>
          <w:iCs/>
          <w:sz w:val="20"/>
          <w:szCs w:val="20"/>
        </w:rPr>
        <w:t>l</w:t>
      </w:r>
      <w:r w:rsidR="00BB26D0">
        <w:rPr>
          <w:rFonts w:ascii="Trebuchet MS" w:hAnsi="Trebuchet MS"/>
          <w:i/>
          <w:iCs/>
          <w:sz w:val="20"/>
          <w:szCs w:val="20"/>
        </w:rPr>
        <w:t>ho</w:t>
      </w:r>
      <w:r w:rsidRPr="00F058F3">
        <w:rPr>
          <w:rFonts w:ascii="Trebuchet MS" w:hAnsi="Trebuchet MS"/>
          <w:i/>
          <w:iCs/>
          <w:sz w:val="20"/>
          <w:szCs w:val="20"/>
        </w:rPr>
        <w:t xml:space="preserve"> de 2021)</w:t>
      </w:r>
    </w:p>
    <w:p w14:paraId="3737C8F0" w14:textId="72247162" w:rsidR="009F53FD" w:rsidRPr="00F058F3" w:rsidRDefault="009F53FD" w:rsidP="009F53FD">
      <w:pPr>
        <w:pStyle w:val="Default"/>
        <w:jc w:val="both"/>
        <w:rPr>
          <w:rFonts w:ascii="Trebuchet MS" w:hAnsi="Trebuchet MS"/>
          <w:i/>
          <w:iCs/>
          <w:sz w:val="20"/>
          <w:szCs w:val="20"/>
        </w:rPr>
      </w:pPr>
    </w:p>
    <w:p w14:paraId="75A58F80" w14:textId="6BC780DE" w:rsidR="00AE5AFD" w:rsidRPr="00F058F3" w:rsidRDefault="00AE5AFD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sz w:val="20"/>
          <w:szCs w:val="20"/>
          <w:u w:val="single"/>
        </w:rPr>
        <w:t>Mesa</w:t>
      </w:r>
      <w:r w:rsidRPr="00F058F3">
        <w:rPr>
          <w:rFonts w:ascii="Trebuchet MS" w:hAnsi="Trebuchet MS"/>
          <w:sz w:val="20"/>
          <w:szCs w:val="20"/>
        </w:rPr>
        <w:t>:</w:t>
      </w:r>
    </w:p>
    <w:p w14:paraId="6B7F1BEE" w14:textId="77777777" w:rsidR="00AE5AFD" w:rsidRPr="00F058F3" w:rsidRDefault="00AE5AFD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65F722D" w14:textId="77777777" w:rsidR="00AE5AFD" w:rsidRPr="00F058F3" w:rsidRDefault="00AE5AFD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E5AFD" w:rsidRPr="00F058F3" w14:paraId="24F237CB" w14:textId="77777777" w:rsidTr="00282C48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6ABCD71" w14:textId="495B2DEF" w:rsidR="00AE5AFD" w:rsidRPr="00F058F3" w:rsidRDefault="005E74C4" w:rsidP="00644D93">
            <w:pPr>
              <w:jc w:val="center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F058F3">
              <w:rPr>
                <w:rFonts w:ascii="Trebuchet MS" w:hAnsi="Trebuchet MS" w:cs="Georgia"/>
                <w:sz w:val="20"/>
                <w:szCs w:val="20"/>
              </w:rPr>
              <w:t>[=]</w:t>
            </w:r>
          </w:p>
        </w:tc>
        <w:tc>
          <w:tcPr>
            <w:tcW w:w="500" w:type="pct"/>
          </w:tcPr>
          <w:p w14:paraId="57F51827" w14:textId="77777777" w:rsidR="00AE5AFD" w:rsidRPr="00F058F3" w:rsidRDefault="00AE5AFD" w:rsidP="00CD0ED2">
            <w:pPr>
              <w:jc w:val="center"/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70AC8188" w14:textId="7CC07A44" w:rsidR="00AE5AFD" w:rsidRPr="00F058F3" w:rsidRDefault="005E74C4" w:rsidP="00644D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58F3">
              <w:rPr>
                <w:rFonts w:ascii="Trebuchet MS" w:hAnsi="Trebuchet MS" w:cs="Verdana"/>
                <w:sz w:val="20"/>
                <w:szCs w:val="20"/>
              </w:rPr>
              <w:t>[=]</w:t>
            </w:r>
          </w:p>
        </w:tc>
      </w:tr>
      <w:tr w:rsidR="00AE5AFD" w:rsidRPr="00F058F3" w14:paraId="27A36139" w14:textId="77777777" w:rsidTr="00282C48">
        <w:trPr>
          <w:jc w:val="center"/>
        </w:trPr>
        <w:tc>
          <w:tcPr>
            <w:tcW w:w="2250" w:type="pct"/>
          </w:tcPr>
          <w:p w14:paraId="7B53241C" w14:textId="77777777" w:rsidR="00AE5AFD" w:rsidRPr="00F058F3" w:rsidRDefault="00AE5AFD" w:rsidP="00CD0ED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58F3">
              <w:rPr>
                <w:rFonts w:ascii="Trebuchet MS" w:hAnsi="Trebuchet MS"/>
                <w:sz w:val="20"/>
                <w:szCs w:val="20"/>
              </w:rPr>
              <w:t>Presidente</w:t>
            </w:r>
          </w:p>
        </w:tc>
        <w:tc>
          <w:tcPr>
            <w:tcW w:w="500" w:type="pct"/>
          </w:tcPr>
          <w:p w14:paraId="3F9D3D4F" w14:textId="77777777" w:rsidR="00AE5AFD" w:rsidRPr="00F058F3" w:rsidRDefault="00AE5AFD" w:rsidP="00CD0ED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pct"/>
          </w:tcPr>
          <w:p w14:paraId="0E45D259" w14:textId="77777777" w:rsidR="00AE5AFD" w:rsidRPr="00F058F3" w:rsidRDefault="00AE5AFD" w:rsidP="00CD0ED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58F3">
              <w:rPr>
                <w:rFonts w:ascii="Trebuchet MS" w:hAnsi="Trebuchet MS"/>
                <w:sz w:val="20"/>
                <w:szCs w:val="20"/>
              </w:rPr>
              <w:t>Secretário</w:t>
            </w:r>
          </w:p>
        </w:tc>
      </w:tr>
    </w:tbl>
    <w:p w14:paraId="41D586B9" w14:textId="77777777" w:rsidR="00AE5AFD" w:rsidRPr="00F058F3" w:rsidRDefault="00AE5AFD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379E37D5" w14:textId="77777777" w:rsidR="00AE5AFD" w:rsidRPr="00F058F3" w:rsidRDefault="00AE5AFD" w:rsidP="00CD0ED2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BD0AAF0" w14:textId="77777777" w:rsidR="000F2BD2" w:rsidRPr="00F058F3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sz w:val="20"/>
          <w:szCs w:val="20"/>
          <w:u w:val="single"/>
        </w:rPr>
        <w:t>Agente Fiduciário</w:t>
      </w:r>
      <w:r w:rsidRPr="00F058F3">
        <w:rPr>
          <w:rFonts w:ascii="Trebuchet MS" w:hAnsi="Trebuchet MS"/>
          <w:sz w:val="20"/>
          <w:szCs w:val="20"/>
        </w:rPr>
        <w:t>:</w:t>
      </w:r>
    </w:p>
    <w:p w14:paraId="1F3A9ABF" w14:textId="77777777" w:rsidR="000F2BD2" w:rsidRPr="00F058F3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264F57E5" w14:textId="77777777" w:rsidR="000F2BD2" w:rsidRPr="00F058F3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CEBC31C" w14:textId="77777777" w:rsidR="00A8476A" w:rsidRPr="00F058F3" w:rsidRDefault="00A651FC" w:rsidP="00CD0ED2">
      <w:pPr>
        <w:spacing w:after="0" w:line="240" w:lineRule="auto"/>
        <w:jc w:val="center"/>
        <w:rPr>
          <w:rFonts w:ascii="Trebuchet MS" w:hAnsi="Trebuchet MS"/>
          <w:i/>
          <w:iCs/>
          <w:sz w:val="20"/>
          <w:szCs w:val="20"/>
        </w:rPr>
      </w:pPr>
      <w:r w:rsidRPr="00F058F3">
        <w:rPr>
          <w:rFonts w:ascii="Trebuchet MS" w:hAnsi="Trebuchet MS" w:cs="Tahoma"/>
          <w:b/>
          <w:sz w:val="20"/>
          <w:szCs w:val="20"/>
        </w:rPr>
        <w:t>SIMPLIFIC PAVARINI</w:t>
      </w:r>
      <w:r w:rsidR="00A8476A" w:rsidRPr="00F058F3">
        <w:rPr>
          <w:rFonts w:ascii="Trebuchet MS" w:hAnsi="Trebuchet MS" w:cs="Tahoma"/>
          <w:b/>
          <w:sz w:val="20"/>
          <w:szCs w:val="20"/>
        </w:rPr>
        <w:t xml:space="preserve"> DISTRIBUIDORA DE TÍTULOS E VALORES MOBILIÁRIOS </w:t>
      </w:r>
      <w:r w:rsidRPr="00F058F3">
        <w:rPr>
          <w:rFonts w:ascii="Trebuchet MS" w:hAnsi="Trebuchet MS" w:cs="Tahoma"/>
          <w:b/>
          <w:sz w:val="20"/>
          <w:szCs w:val="20"/>
        </w:rPr>
        <w:t>LTDA.</w:t>
      </w:r>
    </w:p>
    <w:p w14:paraId="0BA8D7A0" w14:textId="77777777" w:rsidR="000F2BD2" w:rsidRPr="00F058F3" w:rsidRDefault="000F2BD2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6764CF6B" w14:textId="77777777" w:rsidR="000F2BD2" w:rsidRPr="00F058F3" w:rsidRDefault="000F2BD2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73"/>
      </w:tblGrid>
      <w:tr w:rsidR="000F2BD2" w:rsidRPr="00F058F3" w14:paraId="41BE9901" w14:textId="77777777" w:rsidTr="00565FAC">
        <w:trPr>
          <w:jc w:val="center"/>
        </w:trPr>
        <w:tc>
          <w:tcPr>
            <w:tcW w:w="4773" w:type="dxa"/>
            <w:shd w:val="clear" w:color="auto" w:fill="auto"/>
          </w:tcPr>
          <w:p w14:paraId="217621DA" w14:textId="77777777" w:rsidR="000F2BD2" w:rsidRPr="00F058F3" w:rsidRDefault="000F2BD2" w:rsidP="00CD0ED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4BFD63D6" w14:textId="6109F3F1" w:rsidR="000F2BD2" w:rsidRPr="00F058F3" w:rsidRDefault="000F2BD2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 xml:space="preserve">Nome: </w:t>
            </w:r>
            <w:r w:rsidR="005E74C4" w:rsidRPr="00F058F3">
              <w:rPr>
                <w:rFonts w:ascii="Trebuchet MS" w:hAnsi="Trebuchet MS" w:cs="Tahoma"/>
                <w:sz w:val="20"/>
                <w:szCs w:val="20"/>
              </w:rPr>
              <w:t>[=]</w:t>
            </w:r>
          </w:p>
          <w:p w14:paraId="52EBF90F" w14:textId="7A00E9FF" w:rsidR="000F2BD2" w:rsidRPr="00F058F3" w:rsidRDefault="000F2BD2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 xml:space="preserve">Cargo: </w:t>
            </w:r>
            <w:r w:rsidR="005E74C4" w:rsidRPr="00F058F3">
              <w:rPr>
                <w:rFonts w:ascii="Trebuchet MS" w:hAnsi="Trebuchet MS" w:cs="Tahoma"/>
                <w:sz w:val="20"/>
                <w:szCs w:val="20"/>
              </w:rPr>
              <w:t>[=]</w:t>
            </w:r>
          </w:p>
        </w:tc>
      </w:tr>
    </w:tbl>
    <w:p w14:paraId="48008C10" w14:textId="77777777" w:rsidR="000F2BD2" w:rsidRPr="00F058F3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80A0D57" w14:textId="77777777" w:rsidR="00BF046D" w:rsidRPr="00F058F3" w:rsidRDefault="00BF046D" w:rsidP="00CD0ED2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4AEA00B" w14:textId="77777777" w:rsidR="000F2BD2" w:rsidRPr="00F058F3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sz w:val="20"/>
          <w:szCs w:val="20"/>
          <w:u w:val="single"/>
        </w:rPr>
        <w:t>Companhia</w:t>
      </w:r>
      <w:r w:rsidRPr="00F058F3">
        <w:rPr>
          <w:rFonts w:ascii="Trebuchet MS" w:hAnsi="Trebuchet MS"/>
          <w:sz w:val="20"/>
          <w:szCs w:val="20"/>
        </w:rPr>
        <w:t>:</w:t>
      </w:r>
    </w:p>
    <w:p w14:paraId="1CAF6723" w14:textId="2B70C0EF" w:rsidR="00324461" w:rsidRPr="00F058F3" w:rsidRDefault="005E74C4" w:rsidP="00CD0ED2">
      <w:pPr>
        <w:spacing w:after="0" w:line="240" w:lineRule="auto"/>
        <w:jc w:val="center"/>
        <w:rPr>
          <w:rFonts w:ascii="Trebuchet MS" w:hAnsi="Trebuchet MS" w:cs="Tahoma"/>
          <w:b/>
          <w:sz w:val="20"/>
          <w:szCs w:val="20"/>
        </w:rPr>
      </w:pPr>
      <w:r w:rsidRPr="00F058F3">
        <w:rPr>
          <w:rFonts w:ascii="Trebuchet MS" w:hAnsi="Trebuchet MS"/>
          <w:b/>
          <w:bCs/>
          <w:sz w:val="20"/>
          <w:szCs w:val="20"/>
        </w:rPr>
        <w:t>COLÉGIO VIMASA S.A.</w:t>
      </w:r>
    </w:p>
    <w:p w14:paraId="10146390" w14:textId="77777777" w:rsidR="00324461" w:rsidRPr="00F058F3" w:rsidRDefault="00324461" w:rsidP="00CD0ED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793C477A" w14:textId="77777777" w:rsidR="00324461" w:rsidRPr="00F058F3" w:rsidRDefault="00324461" w:rsidP="00CD0ED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87"/>
        <w:gridCol w:w="4217"/>
      </w:tblGrid>
      <w:tr w:rsidR="00324461" w:rsidRPr="00F058F3" w14:paraId="246EF4C3" w14:textId="77777777" w:rsidTr="00565FAC">
        <w:trPr>
          <w:jc w:val="center"/>
        </w:trPr>
        <w:tc>
          <w:tcPr>
            <w:tcW w:w="4773" w:type="dxa"/>
            <w:shd w:val="clear" w:color="auto" w:fill="auto"/>
          </w:tcPr>
          <w:p w14:paraId="188F0E0E" w14:textId="77777777" w:rsidR="00324461" w:rsidRPr="00F058F3" w:rsidRDefault="00324461" w:rsidP="00CD0ED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431AF6F1" w14:textId="77777777" w:rsidR="00324461" w:rsidRPr="00F058F3" w:rsidRDefault="00324461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>Nome:</w:t>
            </w:r>
          </w:p>
          <w:p w14:paraId="7C805CCE" w14:textId="77777777" w:rsidR="00324461" w:rsidRPr="00F058F3" w:rsidRDefault="00324461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>Cargo:</w:t>
            </w:r>
          </w:p>
        </w:tc>
        <w:tc>
          <w:tcPr>
            <w:tcW w:w="4773" w:type="dxa"/>
            <w:shd w:val="clear" w:color="auto" w:fill="auto"/>
          </w:tcPr>
          <w:p w14:paraId="5F56EA7F" w14:textId="79B174AA" w:rsidR="00324461" w:rsidRPr="00F058F3" w:rsidRDefault="00324461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14:paraId="4FB0A286" w14:textId="2FD65EC4" w:rsidR="00324461" w:rsidRDefault="00324461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506BC9C9" w14:textId="77777777" w:rsidR="00107928" w:rsidRDefault="00107928" w:rsidP="00CD0ED2">
      <w:pPr>
        <w:spacing w:after="0" w:line="240" w:lineRule="auto"/>
        <w:rPr>
          <w:rFonts w:ascii="Trebuchet MS" w:hAnsi="Trebuchet MS" w:cs="Tahoma"/>
          <w:sz w:val="20"/>
          <w:szCs w:val="20"/>
          <w:u w:val="single"/>
        </w:rPr>
      </w:pPr>
    </w:p>
    <w:p w14:paraId="4DFE6303" w14:textId="790503B2" w:rsidR="00107928" w:rsidRPr="00107928" w:rsidRDefault="00107928" w:rsidP="00CD0ED2">
      <w:pPr>
        <w:spacing w:after="0" w:line="240" w:lineRule="auto"/>
        <w:rPr>
          <w:rFonts w:ascii="Trebuchet MS" w:hAnsi="Trebuchet MS" w:cs="Tahoma"/>
          <w:sz w:val="20"/>
          <w:szCs w:val="20"/>
          <w:u w:val="single"/>
        </w:rPr>
      </w:pPr>
      <w:r>
        <w:rPr>
          <w:rFonts w:ascii="Trebuchet MS" w:hAnsi="Trebuchet MS" w:cs="Tahoma"/>
          <w:sz w:val="20"/>
          <w:szCs w:val="20"/>
          <w:u w:val="single"/>
        </w:rPr>
        <w:t>Fiadoras:</w:t>
      </w:r>
    </w:p>
    <w:p w14:paraId="538137B7" w14:textId="3EA77910" w:rsidR="00107928" w:rsidRDefault="00107928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39DC27C4" w14:textId="4DEE5295" w:rsidR="00107928" w:rsidRDefault="00107928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4616B7E5" w14:textId="7CE645E6" w:rsidR="00107928" w:rsidRPr="00F058F3" w:rsidRDefault="00107928" w:rsidP="00107928">
      <w:pPr>
        <w:spacing w:after="0" w:line="240" w:lineRule="auto"/>
        <w:jc w:val="center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SISTEMA ELITE DE ENSINO S.A.</w:t>
      </w:r>
    </w:p>
    <w:p w14:paraId="7099A20E" w14:textId="77777777" w:rsidR="00107928" w:rsidRPr="00F058F3" w:rsidRDefault="00107928" w:rsidP="00107928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50EAF96F" w14:textId="77777777" w:rsidR="00107928" w:rsidRPr="00F058F3" w:rsidRDefault="00107928" w:rsidP="00107928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87"/>
        <w:gridCol w:w="4217"/>
      </w:tblGrid>
      <w:tr w:rsidR="00107928" w:rsidRPr="00F058F3" w14:paraId="2F37CE5C" w14:textId="77777777" w:rsidTr="003C08C2">
        <w:trPr>
          <w:jc w:val="center"/>
        </w:trPr>
        <w:tc>
          <w:tcPr>
            <w:tcW w:w="4773" w:type="dxa"/>
            <w:shd w:val="clear" w:color="auto" w:fill="auto"/>
          </w:tcPr>
          <w:p w14:paraId="616FE506" w14:textId="77777777" w:rsidR="00107928" w:rsidRPr="00F058F3" w:rsidRDefault="00107928" w:rsidP="003C08C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1CB1FEE2" w14:textId="77777777" w:rsidR="00107928" w:rsidRPr="00F058F3" w:rsidRDefault="00107928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>Nome:</w:t>
            </w:r>
          </w:p>
          <w:p w14:paraId="738BE68F" w14:textId="77777777" w:rsidR="00107928" w:rsidRPr="00F058F3" w:rsidRDefault="00107928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>Cargo:</w:t>
            </w:r>
          </w:p>
        </w:tc>
        <w:tc>
          <w:tcPr>
            <w:tcW w:w="4773" w:type="dxa"/>
            <w:shd w:val="clear" w:color="auto" w:fill="auto"/>
          </w:tcPr>
          <w:p w14:paraId="59190092" w14:textId="77777777" w:rsidR="00107928" w:rsidRPr="00F058F3" w:rsidRDefault="00107928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14:paraId="4AE309CD" w14:textId="02FBD7FD" w:rsidR="00107928" w:rsidRDefault="00107928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1299C893" w14:textId="29147427" w:rsidR="00107928" w:rsidRDefault="00107928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10B8CFB7" w14:textId="1D056744" w:rsidR="00107928" w:rsidRDefault="00107928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5081E89" w14:textId="3470C085" w:rsidR="00107928" w:rsidRPr="00F058F3" w:rsidRDefault="00107928" w:rsidP="00107928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ELEVA EDUCAÇÃO S.A.</w:t>
      </w:r>
    </w:p>
    <w:p w14:paraId="43882A50" w14:textId="77777777" w:rsidR="00107928" w:rsidRPr="00F058F3" w:rsidRDefault="00107928" w:rsidP="00107928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59CC0FE9" w14:textId="77777777" w:rsidR="00107928" w:rsidRPr="00F058F3" w:rsidRDefault="00107928" w:rsidP="00107928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107928" w:rsidRPr="00F058F3" w14:paraId="76847294" w14:textId="77777777" w:rsidTr="003C08C2">
        <w:trPr>
          <w:jc w:val="center"/>
        </w:trPr>
        <w:tc>
          <w:tcPr>
            <w:tcW w:w="4773" w:type="dxa"/>
            <w:shd w:val="clear" w:color="auto" w:fill="auto"/>
          </w:tcPr>
          <w:p w14:paraId="048B371D" w14:textId="77777777" w:rsidR="00107928" w:rsidRPr="00F058F3" w:rsidRDefault="00107928" w:rsidP="003C08C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6BCE025D" w14:textId="77777777" w:rsidR="00107928" w:rsidRPr="00F058F3" w:rsidRDefault="00107928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>Nome:</w:t>
            </w:r>
          </w:p>
          <w:p w14:paraId="593D97C7" w14:textId="77777777" w:rsidR="00107928" w:rsidRPr="00F058F3" w:rsidRDefault="00107928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>Cargo:</w:t>
            </w:r>
          </w:p>
        </w:tc>
        <w:tc>
          <w:tcPr>
            <w:tcW w:w="4773" w:type="dxa"/>
            <w:shd w:val="clear" w:color="auto" w:fill="auto"/>
          </w:tcPr>
          <w:p w14:paraId="2AF4A003" w14:textId="77777777" w:rsidR="00107928" w:rsidRPr="00F058F3" w:rsidRDefault="00107928" w:rsidP="003C08C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05AB4A17" w14:textId="77777777" w:rsidR="00107928" w:rsidRPr="00F058F3" w:rsidRDefault="00107928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 xml:space="preserve">Nome: </w:t>
            </w:r>
          </w:p>
          <w:p w14:paraId="17461446" w14:textId="77777777" w:rsidR="00107928" w:rsidRPr="00F058F3" w:rsidRDefault="00107928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 xml:space="preserve">Cargo: </w:t>
            </w:r>
          </w:p>
        </w:tc>
      </w:tr>
    </w:tbl>
    <w:p w14:paraId="73574FA0" w14:textId="7796A89B" w:rsidR="00107928" w:rsidRDefault="00107928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69CF2955" w14:textId="6496896E" w:rsidR="00107928" w:rsidRDefault="00107928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br w:type="page"/>
      </w:r>
    </w:p>
    <w:p w14:paraId="4F954C82" w14:textId="2BF78864" w:rsidR="00107928" w:rsidRPr="00F058F3" w:rsidRDefault="00107928" w:rsidP="00107928">
      <w:pPr>
        <w:pStyle w:val="Default"/>
        <w:jc w:val="both"/>
        <w:rPr>
          <w:rFonts w:ascii="Trebuchet MS" w:hAnsi="Trebuchet MS"/>
          <w:i/>
          <w:iCs/>
          <w:sz w:val="20"/>
          <w:szCs w:val="20"/>
        </w:rPr>
      </w:pPr>
      <w:r w:rsidRPr="00F058F3">
        <w:rPr>
          <w:rFonts w:ascii="Trebuchet MS" w:hAnsi="Trebuchet MS"/>
          <w:i/>
          <w:iCs/>
          <w:sz w:val="20"/>
          <w:szCs w:val="20"/>
        </w:rPr>
        <w:lastRenderedPageBreak/>
        <w:t xml:space="preserve">(Página de assinaturas </w:t>
      </w:r>
      <w:r>
        <w:rPr>
          <w:rFonts w:ascii="Trebuchet MS" w:hAnsi="Trebuchet MS"/>
          <w:i/>
          <w:iCs/>
          <w:sz w:val="20"/>
          <w:szCs w:val="20"/>
        </w:rPr>
        <w:t xml:space="preserve">2/2 </w:t>
      </w:r>
      <w:r w:rsidRPr="00F058F3">
        <w:rPr>
          <w:rFonts w:ascii="Trebuchet MS" w:hAnsi="Trebuchet MS"/>
          <w:i/>
          <w:iCs/>
          <w:sz w:val="20"/>
          <w:szCs w:val="20"/>
        </w:rPr>
        <w:t xml:space="preserve">da ata da Assembleia Geral dos Titulares da 2ª (segunda) emissão de debêntures simples, não conversíveis em ações, da espécie com garantia real, com garantia adicional fidejussória, em 2 (duas) séries, para distribuição pública, com esforços restritos, do Colégio Vimasa S.A., realizada em [=] de </w:t>
      </w:r>
      <w:r>
        <w:rPr>
          <w:rFonts w:ascii="Trebuchet MS" w:hAnsi="Trebuchet MS"/>
          <w:i/>
          <w:iCs/>
          <w:sz w:val="20"/>
          <w:szCs w:val="20"/>
        </w:rPr>
        <w:t>julho</w:t>
      </w:r>
      <w:r w:rsidRPr="00F058F3">
        <w:rPr>
          <w:rFonts w:ascii="Trebuchet MS" w:hAnsi="Trebuchet MS"/>
          <w:i/>
          <w:iCs/>
          <w:sz w:val="20"/>
          <w:szCs w:val="20"/>
        </w:rPr>
        <w:t xml:space="preserve"> de 2021)</w:t>
      </w:r>
    </w:p>
    <w:p w14:paraId="7E232D01" w14:textId="77777777" w:rsidR="00107928" w:rsidRPr="00F058F3" w:rsidRDefault="00107928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4657C5AC" w14:textId="77777777" w:rsidR="00324461" w:rsidRPr="00F058F3" w:rsidRDefault="00324461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35927675" w14:textId="227E0A14" w:rsidR="000F2BD2" w:rsidRPr="00F058F3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F058F3">
        <w:rPr>
          <w:rFonts w:ascii="Trebuchet MS" w:hAnsi="Trebuchet MS"/>
          <w:sz w:val="20"/>
          <w:szCs w:val="20"/>
          <w:u w:val="single"/>
        </w:rPr>
        <w:t>Debenturista</w:t>
      </w:r>
      <w:r w:rsidR="00B41B2A" w:rsidRPr="00F058F3">
        <w:rPr>
          <w:rFonts w:ascii="Trebuchet MS" w:hAnsi="Trebuchet MS"/>
          <w:sz w:val="20"/>
          <w:szCs w:val="20"/>
          <w:u w:val="single"/>
        </w:rPr>
        <w:t>s</w:t>
      </w:r>
      <w:r w:rsidR="009D2ABA" w:rsidRPr="00F058F3">
        <w:rPr>
          <w:rFonts w:ascii="Trebuchet MS" w:hAnsi="Trebuchet MS" w:cs="Arial"/>
          <w:color w:val="000000"/>
          <w:sz w:val="20"/>
          <w:szCs w:val="20"/>
          <w:u w:val="single"/>
        </w:rPr>
        <w:t xml:space="preserve"> representando 100% (cem por cento) das Debêntures em circulação</w:t>
      </w:r>
      <w:r w:rsidRPr="00F058F3">
        <w:rPr>
          <w:rFonts w:ascii="Trebuchet MS" w:hAnsi="Trebuchet MS"/>
          <w:sz w:val="20"/>
          <w:szCs w:val="20"/>
        </w:rPr>
        <w:t>:</w:t>
      </w:r>
    </w:p>
    <w:p w14:paraId="4ED7267E" w14:textId="77777777" w:rsidR="000F2BD2" w:rsidRPr="00F058F3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2682CC9" w14:textId="77777777" w:rsidR="00107928" w:rsidRDefault="00107928" w:rsidP="00CD0ED2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14:paraId="441A55B0" w14:textId="52383C25" w:rsidR="000F2BD2" w:rsidRPr="00F058F3" w:rsidRDefault="00107928" w:rsidP="00CD0ED2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 w:rsidRPr="00F058F3">
        <w:rPr>
          <w:rFonts w:ascii="Trebuchet MS" w:hAnsi="Trebuchet MS"/>
          <w:b/>
          <w:bCs/>
          <w:sz w:val="20"/>
          <w:szCs w:val="20"/>
        </w:rPr>
        <w:t>ITAÚ UNIBANCO S.A.</w:t>
      </w:r>
    </w:p>
    <w:p w14:paraId="4156275D" w14:textId="018AF097" w:rsidR="009D2ABA" w:rsidRDefault="009D2ABA" w:rsidP="00CD0ED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4A3C94F7" w14:textId="77777777" w:rsidR="00107928" w:rsidRPr="00F058F3" w:rsidRDefault="00107928" w:rsidP="00CD0ED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2131003E" w14:textId="77777777" w:rsidR="000F2BD2" w:rsidRPr="00F058F3" w:rsidRDefault="000F2BD2" w:rsidP="00CD0ED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0F2BD2" w:rsidRPr="00F058F3" w14:paraId="143BA1D1" w14:textId="77777777" w:rsidTr="00565FAC">
        <w:trPr>
          <w:jc w:val="center"/>
        </w:trPr>
        <w:tc>
          <w:tcPr>
            <w:tcW w:w="4773" w:type="dxa"/>
            <w:shd w:val="clear" w:color="auto" w:fill="auto"/>
          </w:tcPr>
          <w:p w14:paraId="6FE2FBC0" w14:textId="77777777" w:rsidR="000F2BD2" w:rsidRPr="00F058F3" w:rsidRDefault="000F2BD2" w:rsidP="00CD0ED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71E0DB8D" w14:textId="77777777" w:rsidR="000F2BD2" w:rsidRPr="00F058F3" w:rsidRDefault="000F2BD2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>Nome:</w:t>
            </w:r>
          </w:p>
          <w:p w14:paraId="5A539227" w14:textId="77777777" w:rsidR="000F2BD2" w:rsidRPr="00F058F3" w:rsidRDefault="000F2BD2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>Cargo:</w:t>
            </w:r>
          </w:p>
        </w:tc>
        <w:tc>
          <w:tcPr>
            <w:tcW w:w="4773" w:type="dxa"/>
            <w:shd w:val="clear" w:color="auto" w:fill="auto"/>
          </w:tcPr>
          <w:p w14:paraId="531ACB97" w14:textId="77777777" w:rsidR="000F2BD2" w:rsidRPr="00F058F3" w:rsidRDefault="000F2BD2" w:rsidP="00CD0ED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46014F80" w14:textId="77777777" w:rsidR="000F2BD2" w:rsidRPr="00F058F3" w:rsidRDefault="000F2BD2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 xml:space="preserve">Nome: </w:t>
            </w:r>
          </w:p>
          <w:p w14:paraId="3B53ADB4" w14:textId="77777777" w:rsidR="000F2BD2" w:rsidRPr="00F058F3" w:rsidRDefault="000F2BD2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 xml:space="preserve">Cargo: </w:t>
            </w:r>
          </w:p>
        </w:tc>
      </w:tr>
    </w:tbl>
    <w:p w14:paraId="4EBB9715" w14:textId="112BA5D8" w:rsidR="000F2BD2" w:rsidRDefault="000F2BD2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528613CD" w14:textId="77777777" w:rsidR="00107928" w:rsidRPr="00F058F3" w:rsidRDefault="00107928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4232B734" w14:textId="5205011A" w:rsidR="00B41B2A" w:rsidRPr="00F058F3" w:rsidRDefault="00107928" w:rsidP="00B41B2A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 w:rsidRPr="00F058F3">
        <w:rPr>
          <w:rFonts w:ascii="Trebuchet MS" w:hAnsi="Trebuchet MS"/>
          <w:b/>
          <w:bCs/>
          <w:sz w:val="20"/>
          <w:szCs w:val="20"/>
        </w:rPr>
        <w:t>BANCO BRADESCO S.A.</w:t>
      </w:r>
    </w:p>
    <w:p w14:paraId="2EAB1F95" w14:textId="7CB2927C" w:rsidR="00B41B2A" w:rsidRDefault="00B41B2A" w:rsidP="00B41B2A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69AA9847" w14:textId="77777777" w:rsidR="00107928" w:rsidRPr="00F058F3" w:rsidRDefault="00107928" w:rsidP="00B41B2A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75E75ADC" w14:textId="77777777" w:rsidR="00B41B2A" w:rsidRPr="00F058F3" w:rsidRDefault="00B41B2A" w:rsidP="00B41B2A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41B2A" w:rsidRPr="00F058F3" w14:paraId="6F1EF857" w14:textId="77777777" w:rsidTr="003F7163">
        <w:trPr>
          <w:jc w:val="center"/>
        </w:trPr>
        <w:tc>
          <w:tcPr>
            <w:tcW w:w="4773" w:type="dxa"/>
            <w:shd w:val="clear" w:color="auto" w:fill="auto"/>
          </w:tcPr>
          <w:p w14:paraId="4795B1EB" w14:textId="77777777" w:rsidR="00B41B2A" w:rsidRPr="00F058F3" w:rsidRDefault="00B41B2A" w:rsidP="003F7163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54D751EC" w14:textId="77777777" w:rsidR="00B41B2A" w:rsidRPr="00F058F3" w:rsidRDefault="00B41B2A" w:rsidP="003F7163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>Nome:</w:t>
            </w:r>
          </w:p>
          <w:p w14:paraId="636EA47F" w14:textId="77777777" w:rsidR="00B41B2A" w:rsidRPr="00F058F3" w:rsidRDefault="00B41B2A" w:rsidP="003F7163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>Cargo:</w:t>
            </w:r>
          </w:p>
        </w:tc>
        <w:tc>
          <w:tcPr>
            <w:tcW w:w="4773" w:type="dxa"/>
            <w:shd w:val="clear" w:color="auto" w:fill="auto"/>
          </w:tcPr>
          <w:p w14:paraId="26A98D35" w14:textId="77777777" w:rsidR="00B41B2A" w:rsidRPr="00F058F3" w:rsidRDefault="00B41B2A" w:rsidP="003F7163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519AE166" w14:textId="77777777" w:rsidR="00B41B2A" w:rsidRPr="00F058F3" w:rsidRDefault="00B41B2A" w:rsidP="003F7163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 xml:space="preserve">Nome: </w:t>
            </w:r>
          </w:p>
          <w:p w14:paraId="3DC5FA45" w14:textId="77777777" w:rsidR="00B41B2A" w:rsidRPr="00F058F3" w:rsidRDefault="00B41B2A" w:rsidP="003F7163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F058F3">
              <w:rPr>
                <w:rFonts w:ascii="Trebuchet MS" w:hAnsi="Trebuchet MS" w:cs="Tahoma"/>
                <w:sz w:val="20"/>
                <w:szCs w:val="20"/>
              </w:rPr>
              <w:t xml:space="preserve">Cargo: </w:t>
            </w:r>
          </w:p>
        </w:tc>
      </w:tr>
    </w:tbl>
    <w:p w14:paraId="6C70E5F4" w14:textId="77777777" w:rsidR="00B41B2A" w:rsidRPr="00F058F3" w:rsidRDefault="00B41B2A" w:rsidP="00CD0ED2">
      <w:pPr>
        <w:spacing w:after="0" w:line="240" w:lineRule="auto"/>
        <w:rPr>
          <w:rFonts w:ascii="Trebuchet MS" w:hAnsi="Trebuchet MS" w:cs="Tahoma"/>
          <w:b/>
          <w:sz w:val="20"/>
          <w:szCs w:val="20"/>
        </w:rPr>
      </w:pPr>
    </w:p>
    <w:sectPr w:rsidR="00B41B2A" w:rsidRPr="00F058F3" w:rsidSect="00A537CE">
      <w:headerReference w:type="default" r:id="rId10"/>
      <w:footerReference w:type="default" r:id="rId11"/>
      <w:pgSz w:w="11906" w:h="16838" w:code="9"/>
      <w:pgMar w:top="1701" w:right="1701" w:bottom="1701" w:left="1701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83F6" w14:textId="77777777" w:rsidR="002631A1" w:rsidRDefault="002631A1" w:rsidP="00AE5AFD">
      <w:pPr>
        <w:spacing w:after="0" w:line="240" w:lineRule="auto"/>
      </w:pPr>
      <w:r>
        <w:separator/>
      </w:r>
    </w:p>
  </w:endnote>
  <w:endnote w:type="continuationSeparator" w:id="0">
    <w:p w14:paraId="5937C3DC" w14:textId="77777777" w:rsidR="002631A1" w:rsidRDefault="002631A1" w:rsidP="00AE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CA2C" w14:textId="550FE221" w:rsidR="005F523F" w:rsidRPr="00AE5AFD" w:rsidRDefault="00107928" w:rsidP="000D28EA">
    <w:pPr>
      <w:pStyle w:val="Rodap"/>
      <w:rPr>
        <w:rFonts w:ascii="Garamond" w:hAnsi="Garamond"/>
        <w:sz w:val="24"/>
        <w:szCs w:val="24"/>
      </w:rPr>
    </w:pPr>
    <w:sdt>
      <w:sdtPr>
        <w:rPr>
          <w:rFonts w:ascii="Garamond" w:hAnsi="Garamond"/>
          <w:sz w:val="20"/>
          <w:szCs w:val="20"/>
        </w:rPr>
        <w:id w:val="1057591563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5F7238" w:rsidRPr="00AE5AFD">
          <w:rPr>
            <w:rFonts w:ascii="Garamond" w:hAnsi="Garamond"/>
            <w:sz w:val="24"/>
            <w:szCs w:val="24"/>
          </w:rPr>
          <w:fldChar w:fldCharType="begin"/>
        </w:r>
        <w:r w:rsidR="005F7238" w:rsidRPr="00AE5AFD">
          <w:rPr>
            <w:rFonts w:ascii="Garamond" w:hAnsi="Garamond"/>
            <w:sz w:val="24"/>
            <w:szCs w:val="24"/>
          </w:rPr>
          <w:instrText>PAGE   \* MERGEFORMAT</w:instrText>
        </w:r>
        <w:r w:rsidR="005F7238" w:rsidRPr="00AE5AFD">
          <w:rPr>
            <w:rFonts w:ascii="Garamond" w:hAnsi="Garamond"/>
            <w:sz w:val="24"/>
            <w:szCs w:val="24"/>
          </w:rPr>
          <w:fldChar w:fldCharType="separate"/>
        </w:r>
        <w:r w:rsidR="00A537CE">
          <w:rPr>
            <w:rFonts w:ascii="Garamond" w:hAnsi="Garamond"/>
            <w:noProof/>
            <w:sz w:val="24"/>
            <w:szCs w:val="24"/>
          </w:rPr>
          <w:t>1</w:t>
        </w:r>
        <w:r w:rsidR="005F7238" w:rsidRPr="00AE5AFD">
          <w:rPr>
            <w:rFonts w:ascii="Garamond" w:hAnsi="Garamond"/>
            <w:sz w:val="24"/>
            <w:szCs w:val="24"/>
          </w:rPr>
          <w:fldChar w:fldCharType="end"/>
        </w:r>
      </w:sdtContent>
    </w:sdt>
  </w:p>
  <w:p w14:paraId="0273D733" w14:textId="77777777" w:rsidR="00A537CE" w:rsidRDefault="00A537CE" w:rsidP="00A537CE">
    <w:pPr>
      <w:pStyle w:val="Rodap"/>
      <w:rPr>
        <w:rFonts w:ascii="Times New Roman" w:hAnsi="Times New Roman" w:cs="Times New Roman"/>
        <w:color w:val="FFFFFF" w:themeColor="background1"/>
        <w:sz w:val="16"/>
      </w:rPr>
    </w:pPr>
    <w:r>
      <w:rPr>
        <w:rFonts w:ascii="Times New Roman" w:hAnsi="Times New Roman" w:cs="Times New Roman"/>
        <w:color w:val="FFFFFF" w:themeColor="background1"/>
        <w:sz w:val="16"/>
      </w:rPr>
      <w:fldChar w:fldCharType="begin"/>
    </w:r>
    <w:r>
      <w:rPr>
        <w:rFonts w:ascii="Times New Roman" w:hAnsi="Times New Roman" w:cs="Times New Roman"/>
        <w:color w:val="FFFFFF" w:themeColor="background1"/>
        <w:sz w:val="16"/>
      </w:rPr>
      <w:instrText xml:space="preserve"> DOCPROPERTY "iManageFooter"  \* MERGEFORMAT </w:instrText>
    </w:r>
    <w:r>
      <w:rPr>
        <w:rFonts w:ascii="Times New Roman" w:hAnsi="Times New Roman" w:cs="Times New Roman"/>
        <w:color w:val="FFFFFF" w:themeColor="background1"/>
        <w:sz w:val="16"/>
      </w:rPr>
      <w:fldChar w:fldCharType="separate"/>
    </w:r>
  </w:p>
  <w:p w14:paraId="31137181" w14:textId="77777777" w:rsidR="005F523F" w:rsidRPr="00A537CE" w:rsidRDefault="00A537CE" w:rsidP="00A537CE">
    <w:pPr>
      <w:pStyle w:val="Rodap"/>
      <w:rPr>
        <w:rFonts w:ascii="Times New Roman" w:hAnsi="Times New Roman" w:cs="Times New Roman"/>
        <w:color w:val="FFFFFF" w:themeColor="background1"/>
        <w:sz w:val="16"/>
      </w:rPr>
    </w:pPr>
    <w:r>
      <w:rPr>
        <w:rFonts w:ascii="Times New Roman" w:hAnsi="Times New Roman" w:cs="Times New Roman"/>
        <w:color w:val="FFFFFF" w:themeColor="background1"/>
        <w:sz w:val="16"/>
      </w:rPr>
      <w:t xml:space="preserve">1161758v8 / 01222-25 </w:t>
    </w:r>
    <w:r>
      <w:rPr>
        <w:rFonts w:ascii="Times New Roman" w:hAnsi="Times New Roman" w:cs="Times New Roman"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638D" w14:textId="77777777" w:rsidR="002631A1" w:rsidRDefault="002631A1" w:rsidP="00AE5AFD">
      <w:pPr>
        <w:spacing w:after="0" w:line="240" w:lineRule="auto"/>
      </w:pPr>
      <w:r>
        <w:separator/>
      </w:r>
    </w:p>
  </w:footnote>
  <w:footnote w:type="continuationSeparator" w:id="0">
    <w:p w14:paraId="5C9D42A6" w14:textId="77777777" w:rsidR="002631A1" w:rsidRDefault="002631A1" w:rsidP="00AE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68A2" w14:textId="77777777" w:rsidR="005F7238" w:rsidRPr="005F7238" w:rsidRDefault="005F7238" w:rsidP="005F7238">
    <w:pPr>
      <w:pStyle w:val="Cabealho"/>
      <w:jc w:val="right"/>
      <w:rPr>
        <w:rFonts w:ascii="Garamond" w:hAnsi="Garamond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B6F"/>
    <w:multiLevelType w:val="hybridMultilevel"/>
    <w:tmpl w:val="A04635AC"/>
    <w:lvl w:ilvl="0" w:tplc="7E9EF218">
      <w:start w:val="14"/>
      <w:numFmt w:val="lowerRoman"/>
      <w:lvlText w:val="%1."/>
      <w:lvlJc w:val="right"/>
      <w:pPr>
        <w:ind w:left="31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41C52"/>
    <w:multiLevelType w:val="hybridMultilevel"/>
    <w:tmpl w:val="7A187E7E"/>
    <w:lvl w:ilvl="0" w:tplc="1D4EAC48">
      <w:start w:val="1"/>
      <w:numFmt w:val="lowerLetter"/>
      <w:lvlText w:val="(%1)"/>
      <w:lvlJc w:val="left"/>
      <w:pPr>
        <w:ind w:left="28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 w15:restartNumberingAfterBreak="0">
    <w:nsid w:val="3156659B"/>
    <w:multiLevelType w:val="hybridMultilevel"/>
    <w:tmpl w:val="3230D4C0"/>
    <w:lvl w:ilvl="0" w:tplc="2B3E4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80954"/>
    <w:multiLevelType w:val="hybridMultilevel"/>
    <w:tmpl w:val="44F4C22C"/>
    <w:lvl w:ilvl="0" w:tplc="0416001B">
      <w:start w:val="1"/>
      <w:numFmt w:val="lowerRoman"/>
      <w:lvlText w:val="%1."/>
      <w:lvlJc w:val="righ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38387884"/>
    <w:multiLevelType w:val="hybridMultilevel"/>
    <w:tmpl w:val="E3FE2572"/>
    <w:lvl w:ilvl="0" w:tplc="F0964672">
      <w:start w:val="6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6B1D1232"/>
    <w:multiLevelType w:val="multilevel"/>
    <w:tmpl w:val="71D2242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73"/>
        </w:tabs>
        <w:ind w:left="1673" w:hanging="68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Garamond" w:hAnsi="Garamond" w:cs="Times New Roman" w:hint="default"/>
        <w:b/>
        <w:bCs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99"/>
        </w:tabs>
        <w:ind w:left="2099" w:hanging="681"/>
      </w:pPr>
      <w:rPr>
        <w:rFonts w:ascii="Garamond" w:hAnsi="Garamond" w:cs="Times New Roman" w:hint="default"/>
        <w:b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6FDF0310"/>
    <w:multiLevelType w:val="multilevel"/>
    <w:tmpl w:val="71FC48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FD"/>
    <w:rsid w:val="000D28EA"/>
    <w:rsid w:val="000F2BD2"/>
    <w:rsid w:val="001069D0"/>
    <w:rsid w:val="00107928"/>
    <w:rsid w:val="0016418E"/>
    <w:rsid w:val="0017003D"/>
    <w:rsid w:val="001A6DCB"/>
    <w:rsid w:val="00260F1A"/>
    <w:rsid w:val="002631A1"/>
    <w:rsid w:val="002956F4"/>
    <w:rsid w:val="002B0871"/>
    <w:rsid w:val="002F3545"/>
    <w:rsid w:val="002F4508"/>
    <w:rsid w:val="00324461"/>
    <w:rsid w:val="00371F6C"/>
    <w:rsid w:val="004D5C3E"/>
    <w:rsid w:val="00547B4B"/>
    <w:rsid w:val="0059388A"/>
    <w:rsid w:val="005E74C4"/>
    <w:rsid w:val="005F7238"/>
    <w:rsid w:val="00605EBE"/>
    <w:rsid w:val="00644D93"/>
    <w:rsid w:val="00691F97"/>
    <w:rsid w:val="006C1D86"/>
    <w:rsid w:val="00751C63"/>
    <w:rsid w:val="007A024A"/>
    <w:rsid w:val="007F79FB"/>
    <w:rsid w:val="00833444"/>
    <w:rsid w:val="00924640"/>
    <w:rsid w:val="00950F94"/>
    <w:rsid w:val="00956511"/>
    <w:rsid w:val="009D2ABA"/>
    <w:rsid w:val="009F2C5E"/>
    <w:rsid w:val="009F53FD"/>
    <w:rsid w:val="00A12B06"/>
    <w:rsid w:val="00A537CE"/>
    <w:rsid w:val="00A651FC"/>
    <w:rsid w:val="00A8476A"/>
    <w:rsid w:val="00AA4AFD"/>
    <w:rsid w:val="00AE5AFD"/>
    <w:rsid w:val="00B41B2A"/>
    <w:rsid w:val="00B87EAD"/>
    <w:rsid w:val="00BA1548"/>
    <w:rsid w:val="00BB26D0"/>
    <w:rsid w:val="00BF046D"/>
    <w:rsid w:val="00C51F23"/>
    <w:rsid w:val="00CA4D40"/>
    <w:rsid w:val="00CD0ED2"/>
    <w:rsid w:val="00D467AB"/>
    <w:rsid w:val="00DE760F"/>
    <w:rsid w:val="00E019E7"/>
    <w:rsid w:val="00E87CB5"/>
    <w:rsid w:val="00F026A3"/>
    <w:rsid w:val="00F058F3"/>
    <w:rsid w:val="00F27DE2"/>
    <w:rsid w:val="00F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E942E3"/>
  <w15:docId w15:val="{662D9D21-5465-4D3D-AD5A-A5FC5AB4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AFD"/>
  </w:style>
  <w:style w:type="paragraph" w:styleId="Ttulo2">
    <w:name w:val="heading 2"/>
    <w:basedOn w:val="Normal"/>
    <w:next w:val="Normal"/>
    <w:link w:val="Ttulo2Char"/>
    <w:qFormat/>
    <w:rsid w:val="00AE5AFD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5AFD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AE5AF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E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AE5AFD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E5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AFD"/>
  </w:style>
  <w:style w:type="paragraph" w:styleId="Rodap">
    <w:name w:val="footer"/>
    <w:basedOn w:val="Normal"/>
    <w:link w:val="RodapChar"/>
    <w:uiPriority w:val="99"/>
    <w:unhideWhenUsed/>
    <w:rsid w:val="00AE5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AFD"/>
  </w:style>
  <w:style w:type="character" w:customStyle="1" w:styleId="PargrafodaListaChar">
    <w:name w:val="Parágrafo da Lista Char"/>
    <w:link w:val="PargrafodaLista"/>
    <w:uiPriority w:val="34"/>
    <w:rsid w:val="00AE5AFD"/>
    <w:rPr>
      <w:rFonts w:ascii="Calibri" w:eastAsia="Calibri" w:hAnsi="Calibri" w:cs="Times New Roman"/>
    </w:rPr>
  </w:style>
  <w:style w:type="paragraph" w:customStyle="1" w:styleId="Level1">
    <w:name w:val="Level 1"/>
    <w:basedOn w:val="Normal"/>
    <w:next w:val="Normal"/>
    <w:rsid w:val="00A651FC"/>
    <w:pPr>
      <w:keepNext/>
      <w:numPr>
        <w:numId w:val="3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x-none"/>
    </w:rPr>
  </w:style>
  <w:style w:type="paragraph" w:customStyle="1" w:styleId="Level2">
    <w:name w:val="Level 2"/>
    <w:basedOn w:val="Normal"/>
    <w:rsid w:val="00A651FC"/>
    <w:pPr>
      <w:numPr>
        <w:ilvl w:val="1"/>
        <w:numId w:val="3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8"/>
      <w:lang w:val="x-none"/>
    </w:rPr>
  </w:style>
  <w:style w:type="paragraph" w:customStyle="1" w:styleId="Level3">
    <w:name w:val="Level 3"/>
    <w:basedOn w:val="Normal"/>
    <w:rsid w:val="00A651FC"/>
    <w:pPr>
      <w:numPr>
        <w:ilvl w:val="2"/>
        <w:numId w:val="3"/>
      </w:numPr>
      <w:tabs>
        <w:tab w:val="clear" w:pos="1787"/>
        <w:tab w:val="left" w:pos="2041"/>
        <w:tab w:val="num" w:pos="2212"/>
      </w:tabs>
      <w:spacing w:after="140" w:line="290" w:lineRule="auto"/>
      <w:ind w:left="2212"/>
      <w:jc w:val="both"/>
    </w:pPr>
    <w:rPr>
      <w:rFonts w:ascii="Arial" w:eastAsia="Times New Roman" w:hAnsi="Arial" w:cs="Times New Roman"/>
      <w:kern w:val="20"/>
      <w:sz w:val="20"/>
      <w:szCs w:val="28"/>
      <w:lang w:val="x-none"/>
    </w:rPr>
  </w:style>
  <w:style w:type="paragraph" w:customStyle="1" w:styleId="Level4">
    <w:name w:val="Level 4"/>
    <w:basedOn w:val="Normal"/>
    <w:rsid w:val="00A651FC"/>
    <w:pPr>
      <w:numPr>
        <w:ilvl w:val="3"/>
        <w:numId w:val="3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A651FC"/>
    <w:pPr>
      <w:numPr>
        <w:ilvl w:val="4"/>
        <w:numId w:val="3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A651FC"/>
    <w:pPr>
      <w:numPr>
        <w:ilvl w:val="5"/>
        <w:numId w:val="3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7">
    <w:name w:val="Level 7"/>
    <w:basedOn w:val="Normal"/>
    <w:rsid w:val="00A651FC"/>
    <w:pPr>
      <w:numPr>
        <w:ilvl w:val="6"/>
        <w:numId w:val="3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8">
    <w:name w:val="Level 8"/>
    <w:basedOn w:val="Normal"/>
    <w:rsid w:val="00A651FC"/>
    <w:pPr>
      <w:numPr>
        <w:ilvl w:val="7"/>
        <w:numId w:val="3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al"/>
    <w:rsid w:val="00A651FC"/>
    <w:pPr>
      <w:numPr>
        <w:ilvl w:val="8"/>
        <w:numId w:val="3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DDF00-4A00-4DE1-8D5E-2747B72F51A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9176a10-d6b4-45ab-b516-f822e759e923"/>
    <ds:schemaRef ds:uri="http://purl.org/dc/terms/"/>
    <ds:schemaRef ds:uri="http://purl.org/dc/dcmitype/"/>
    <ds:schemaRef ds:uri="http://schemas.microsoft.com/office/infopath/2007/PartnerControls"/>
    <ds:schemaRef ds:uri="abd91a91-105f-4dcb-8331-fff521a035b8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5F7D60-6EB9-4A12-AD9D-115A10007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2FE5E-2432-415C-85F5-46A7E303C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2133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</dc:creator>
  <cp:lastModifiedBy>SF</cp:lastModifiedBy>
  <cp:revision>2</cp:revision>
  <cp:lastPrinted>2015-06-30T20:39:00Z</cp:lastPrinted>
  <dcterms:created xsi:type="dcterms:W3CDTF">2021-07-01T15:36:00Z</dcterms:created>
  <dcterms:modified xsi:type="dcterms:W3CDTF">2021-07-01T15:36:00Z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_x000d_1161758v8 / 01222-25 </vt:lpwstr>
  </property>
  <property fmtid="{D5CDD505-2E9C-101B-9397-08002B2CF9AE}" pid="3" name="ContentTypeId">
    <vt:lpwstr>0x01010002316287F114104FB05C975809A4BDF2</vt:lpwstr>
  </property>
  <property fmtid="{D5CDD505-2E9C-101B-9397-08002B2CF9AE}" pid="4" name="MSIP_Label_4fc996bf-6aee-415c-aa4c-e35ad0009c67_Enabled">
    <vt:lpwstr>true</vt:lpwstr>
  </property>
  <property fmtid="{D5CDD505-2E9C-101B-9397-08002B2CF9AE}" pid="5" name="MSIP_Label_4fc996bf-6aee-415c-aa4c-e35ad0009c67_SetDate">
    <vt:lpwstr>2021-06-30T18:04:55Z</vt:lpwstr>
  </property>
  <property fmtid="{D5CDD505-2E9C-101B-9397-08002B2CF9AE}" pid="6" name="MSIP_Label_4fc996bf-6aee-415c-aa4c-e35ad0009c67_Method">
    <vt:lpwstr>Standard</vt:lpwstr>
  </property>
  <property fmtid="{D5CDD505-2E9C-101B-9397-08002B2CF9AE}" pid="7" name="MSIP_Label_4fc996bf-6aee-415c-aa4c-e35ad0009c67_Name">
    <vt:lpwstr>Compartilhamento Interno</vt:lpwstr>
  </property>
  <property fmtid="{D5CDD505-2E9C-101B-9397-08002B2CF9AE}" pid="8" name="MSIP_Label_4fc996bf-6aee-415c-aa4c-e35ad0009c67_SiteId">
    <vt:lpwstr>591669a0-183f-49a5-98f4-9aa0d0b63d81</vt:lpwstr>
  </property>
  <property fmtid="{D5CDD505-2E9C-101B-9397-08002B2CF9AE}" pid="9" name="MSIP_Label_4fc996bf-6aee-415c-aa4c-e35ad0009c67_ActionId">
    <vt:lpwstr>daf4df85-e459-4250-9743-6e604f0b4eae</vt:lpwstr>
  </property>
  <property fmtid="{D5CDD505-2E9C-101B-9397-08002B2CF9AE}" pid="10" name="MSIP_Label_4fc996bf-6aee-415c-aa4c-e35ad0009c67_ContentBits">
    <vt:lpwstr>2</vt:lpwstr>
  </property>
</Properties>
</file>