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05254A9D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4A580E">
        <w:rPr>
          <w:rFonts w:ascii="Palatino Linotype" w:hAnsi="Palatino Linotype"/>
          <w:b/>
          <w:bCs/>
        </w:rPr>
        <w:t>2</w:t>
      </w:r>
      <w:r w:rsidR="004A580E" w:rsidRPr="00D0554E">
        <w:rPr>
          <w:rFonts w:ascii="Palatino Linotype" w:hAnsi="Palatino Linotype"/>
          <w:b/>
          <w:bCs/>
        </w:rPr>
        <w:t xml:space="preserve">ª </w:t>
      </w:r>
      <w:r w:rsidRPr="00D0554E">
        <w:rPr>
          <w:rFonts w:ascii="Palatino Linotype" w:hAnsi="Palatino Linotype"/>
          <w:b/>
          <w:bCs/>
        </w:rPr>
        <w:t xml:space="preserve">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r w:rsidRPr="00D0554E">
        <w:rPr>
          <w:rFonts w:ascii="Palatino Linotype" w:hAnsi="Palatino Linotype"/>
          <w:b/>
          <w:bCs/>
          <w:highlight w:val="yellow"/>
        </w:rPr>
        <w:t>[•]</w:t>
      </w:r>
      <w:r w:rsidRPr="00D0554E">
        <w:rPr>
          <w:rFonts w:ascii="Palatino Linotype" w:hAnsi="Palatino Linotype"/>
          <w:b/>
          <w:bCs/>
        </w:rPr>
        <w:t xml:space="preserve"> DE </w:t>
      </w:r>
      <w:r w:rsidR="004A580E" w:rsidRPr="00D0554E">
        <w:rPr>
          <w:rFonts w:ascii="Palatino Linotype" w:hAnsi="Palatino Linotype"/>
          <w:b/>
          <w:bCs/>
        </w:rPr>
        <w:t>20</w:t>
      </w:r>
      <w:r w:rsidR="004A580E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1CE13B0B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dias do mês de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de 2021, às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horas, na sede social da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1C95C885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241A70">
        <w:rPr>
          <w:rFonts w:ascii="Palatino Linotype" w:hAnsi="Palatino Linotype"/>
          <w:bCs/>
          <w:sz w:val="22"/>
          <w:szCs w:val="22"/>
        </w:rPr>
        <w:t>2</w:t>
      </w:r>
      <w:r w:rsidR="00241A70" w:rsidRPr="00D0554E">
        <w:rPr>
          <w:rFonts w:ascii="Palatino Linotype" w:hAnsi="Palatino Linotype"/>
          <w:bCs/>
          <w:sz w:val="22"/>
          <w:szCs w:val="22"/>
        </w:rPr>
        <w:t xml:space="preserve">ª </w:t>
      </w:r>
      <w:r w:rsidRPr="00D0554E">
        <w:rPr>
          <w:rFonts w:ascii="Palatino Linotype" w:hAnsi="Palatino Linotype"/>
          <w:bCs/>
          <w:sz w:val="22"/>
          <w:szCs w:val="22"/>
        </w:rPr>
        <w:t xml:space="preserve">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4846FA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os representantes legais da Simplific Pavarini Distribuidora de Títulos e Valores Mobiliários Ltda., inscrita no CNPJ sob o nº 15.227.994/0001-50, na qualidade de agente fiduciário.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3628FAD0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Sr(a).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>; Secretário: Sr(a).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0" w:name="_Ref87638102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0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8C73A2F" w14:textId="362C21F1" w:rsidR="000201AF" w:rsidRPr="00D0554E" w:rsidRDefault="00B217BC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bookmarkStart w:id="1" w:name="_Hlk87478987"/>
      <w:r>
        <w:rPr>
          <w:rFonts w:ascii="Palatino Linotype" w:hAnsi="Palatino Linotype"/>
          <w:iCs/>
          <w:sz w:val="22"/>
          <w:szCs w:val="22"/>
        </w:rPr>
        <w:t>a outorga de</w:t>
      </w:r>
      <w:bookmarkEnd w:id="1"/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Gurilândia Holding S.A., inscrita no CNPJ sob o nº 36.741.557/0001-20; (c) Educandário Nossa Senhora D´Ajuda Ltda., inscrita no CNPJ sob o nº 06.071.210/0001-57 (em conjunto com Gurilândia Holding S.A.,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 xml:space="preserve">a”); (d) Os Batutinhas – Espaço Infantil Ltda., inscrita no CNPJ sob o nº 01.211.472/0001-56; (e) Casa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>Amarela Espaço de Educação Infantil Ltda., inscrita no CNPJ sob o nº 22.335.444/0001-10 (em conjunto com Os Batutinhas – Espaço Infantil Ltda.,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="00253BA5"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Vimasa e incorporação do acervo cindido, composto por ativos e passivos relativos ao Batutinhas, pelo Colégio Eleva, </w:t>
      </w:r>
      <w:r w:rsidR="008146ED" w:rsidRPr="00D0554E">
        <w:rPr>
          <w:rFonts w:ascii="Palatino Linotype" w:hAnsi="Palatino Linotype"/>
          <w:sz w:val="22"/>
          <w:szCs w:val="22"/>
        </w:rPr>
        <w:t xml:space="preserve">seguida da cisão parcial da Eleva Educação, com a versão do acervo cindido, composto por ativos e passivos relativos à Unidade de Negócios Global, para uma nova sociedade,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r w:rsidR="0019437A" w:rsidRPr="00D0554E">
        <w:rPr>
          <w:rFonts w:ascii="Palatino Linotype" w:hAnsi="Palatino Linotype"/>
          <w:sz w:val="22"/>
          <w:szCs w:val="22"/>
        </w:rPr>
        <w:t>”)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91F3F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6.1.2(iii)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de </w:t>
      </w:r>
      <w:r w:rsidR="006C3337" w:rsidRPr="00D0554E">
        <w:rPr>
          <w:rFonts w:ascii="Palatino Linotype" w:hAnsi="Palatino Linotype"/>
          <w:sz w:val="22"/>
          <w:szCs w:val="22"/>
        </w:rPr>
        <w:t>Debêntures Vimasa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  <w:r w:rsidR="000201AF" w:rsidRPr="00D0554E">
        <w:rPr>
          <w:rFonts w:ascii="Palatino Linotype" w:hAnsi="Palatino Linotype"/>
          <w:iCs/>
          <w:sz w:val="22"/>
          <w:szCs w:val="22"/>
        </w:rPr>
        <w:t>e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00FF3377" w14:textId="78E9FCE5" w:rsidR="00825A61" w:rsidRDefault="00554920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2" w:name="_Ref87638104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Gouges S.A., CNPJ nº 39.399.040/0001-93); e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</w:t>
      </w:r>
      <w:r w:rsidR="000201AF" w:rsidRPr="00D0554E">
        <w:rPr>
          <w:rFonts w:ascii="Palatino Linotype" w:hAnsi="Palatino Linotype"/>
          <w:sz w:val="22"/>
          <w:szCs w:val="22"/>
        </w:rPr>
        <w:t xml:space="preserve"> acima descrita, a </w:t>
      </w:r>
      <w:r w:rsidR="0097392B">
        <w:rPr>
          <w:rFonts w:ascii="Palatino Linotype" w:hAnsi="Palatino Linotype"/>
          <w:sz w:val="22"/>
          <w:szCs w:val="22"/>
        </w:rPr>
        <w:t xml:space="preserve">revisão da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“EBITDA”, para fins de apuração do “Índice Financeiro”</w:t>
      </w:r>
      <w:r w:rsidR="0097392B" w:rsidRPr="0097392B"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 xml:space="preserve">para o ano de </w:t>
      </w:r>
      <w:r w:rsidR="00825A61" w:rsidRPr="0097392B">
        <w:rPr>
          <w:rFonts w:ascii="Palatino Linotype" w:hAnsi="Palatino Linotype"/>
          <w:sz w:val="22"/>
          <w:szCs w:val="22"/>
        </w:rPr>
        <w:t>202</w:t>
      </w:r>
      <w:r w:rsidR="00572859">
        <w:rPr>
          <w:rFonts w:ascii="Palatino Linotype" w:hAnsi="Palatino Linotype"/>
          <w:sz w:val="22"/>
          <w:szCs w:val="22"/>
        </w:rPr>
        <w:t>1</w:t>
      </w:r>
      <w:r w:rsidR="00825A61" w:rsidRPr="0097392B">
        <w:rPr>
          <w:rFonts w:ascii="Palatino Linotype" w:hAnsi="Palatino Linotype"/>
          <w:sz w:val="22"/>
          <w:szCs w:val="22"/>
        </w:rPr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6.1.2(xix)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 xml:space="preserve">; </w:t>
      </w:r>
      <w:r w:rsidR="00572859">
        <w:rPr>
          <w:rFonts w:ascii="Palatino Linotype" w:hAnsi="Palatino Linotype"/>
          <w:sz w:val="22"/>
          <w:szCs w:val="22"/>
        </w:rPr>
        <w:t xml:space="preserve"> e</w:t>
      </w:r>
    </w:p>
    <w:bookmarkEnd w:id="2"/>
    <w:p w14:paraId="1B511AA7" w14:textId="24D92528" w:rsidR="000201AF" w:rsidRPr="00D0554E" w:rsidRDefault="000201AF" w:rsidP="00825A6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6F188084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 xml:space="preserve">a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expressa do Debenturista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3612F6D" w14:textId="6B654DAB" w:rsidR="00D46F66" w:rsidRPr="00D0554E" w:rsidRDefault="0047478F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91F3F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91F3F">
        <w:rPr>
          <w:rFonts w:ascii="Palatino Linotype" w:hAnsi="Palatino Linotype" w:cs="Tahoma"/>
          <w:sz w:val="22"/>
          <w:szCs w:val="22"/>
        </w:rPr>
        <w:t>(iii)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773058">
        <w:rPr>
          <w:rFonts w:ascii="Palatino Linotype" w:hAnsi="Palatino Linotype" w:cs="Tahoma"/>
          <w:sz w:val="22"/>
          <w:szCs w:val="22"/>
        </w:rPr>
        <w:t xml:space="preserve">, sendo certo que a Reorganização Societária não deverá prejudicar as garantias outorgadas no âmbito da Escritura, observado o quanto consignado no item </w:t>
      </w:r>
      <w:r w:rsidR="00773058">
        <w:rPr>
          <w:rFonts w:ascii="Palatino Linotype" w:hAnsi="Palatino Linotype" w:cs="Tahoma"/>
          <w:sz w:val="22"/>
          <w:szCs w:val="22"/>
        </w:rPr>
        <w:fldChar w:fldCharType="begin"/>
      </w:r>
      <w:r w:rsidR="00773058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773058">
        <w:rPr>
          <w:rFonts w:ascii="Palatino Linotype" w:hAnsi="Palatino Linotype" w:cs="Tahoma"/>
          <w:sz w:val="22"/>
          <w:szCs w:val="22"/>
        </w:rPr>
      </w:r>
      <w:r w:rsidR="00773058">
        <w:rPr>
          <w:rFonts w:ascii="Palatino Linotype" w:hAnsi="Palatino Linotype" w:cs="Tahoma"/>
          <w:sz w:val="22"/>
          <w:szCs w:val="22"/>
        </w:rPr>
        <w:fldChar w:fldCharType="separate"/>
      </w:r>
      <w:r w:rsidR="00773058">
        <w:rPr>
          <w:rFonts w:ascii="Palatino Linotype" w:hAnsi="Palatino Linotype" w:cs="Tahoma"/>
          <w:sz w:val="22"/>
          <w:szCs w:val="22"/>
        </w:rPr>
        <w:t>(iii)</w:t>
      </w:r>
      <w:r w:rsidR="00773058">
        <w:rPr>
          <w:rFonts w:ascii="Palatino Linotype" w:hAnsi="Palatino Linotype" w:cs="Tahoma"/>
          <w:sz w:val="22"/>
          <w:szCs w:val="22"/>
        </w:rPr>
        <w:fldChar w:fldCharType="end"/>
      </w:r>
      <w:r w:rsidR="00773058">
        <w:rPr>
          <w:rFonts w:ascii="Palatino Linotype" w:hAnsi="Palatino Linotype" w:cs="Tahoma"/>
          <w:sz w:val="22"/>
          <w:szCs w:val="22"/>
        </w:rPr>
        <w:t xml:space="preserve"> 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1424">
        <w:rPr>
          <w:rFonts w:ascii="Palatino Linotype" w:hAnsi="Palatino Linotype" w:cs="Tahoma"/>
          <w:iCs/>
          <w:sz w:val="22"/>
          <w:szCs w:val="22"/>
        </w:rPr>
        <w:t>S.A.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BC07F4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não ensejará (</w:t>
      </w:r>
      <w:r w:rsidR="001B2752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a exigência de qualquer condição de agravamento das Debêntures; (</w:t>
      </w:r>
      <w:r w:rsidR="001B2752">
        <w:rPr>
          <w:rFonts w:ascii="Palatino Linotype" w:hAnsi="Palatino Linotype" w:cs="Tahoma"/>
          <w:iCs/>
          <w:sz w:val="22"/>
          <w:szCs w:val="22"/>
        </w:rPr>
        <w:t>b</w:t>
      </w:r>
      <w:r w:rsidR="00BC07F4" w:rsidRPr="00D0554E">
        <w:rPr>
          <w:rFonts w:ascii="Palatino Linotype" w:hAnsi="Palatino Linotype" w:cs="Tahoma"/>
          <w:iCs/>
          <w:sz w:val="22"/>
          <w:szCs w:val="22"/>
        </w:rPr>
        <w:t>)</w:t>
      </w:r>
      <w:r w:rsidR="00BC07F4">
        <w:rPr>
          <w:rFonts w:ascii="Palatino Linotype" w:hAnsi="Palatino Linotype" w:cs="Tahoma"/>
          <w:iCs/>
          <w:sz w:val="22"/>
          <w:szCs w:val="22"/>
        </w:rPr>
        <w:t> </w:t>
      </w:r>
      <w:r w:rsidR="00617FCB" w:rsidRPr="00D0554E">
        <w:rPr>
          <w:rFonts w:ascii="Palatino Linotype" w:hAnsi="Palatino Linotype" w:cs="Tahoma"/>
          <w:sz w:val="22"/>
          <w:szCs w:val="22"/>
        </w:rPr>
        <w:t>o vencimento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1B2752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773058">
        <w:rPr>
          <w:rFonts w:ascii="Palatino Linotype" w:hAnsi="Palatino Linotype" w:cs="Tahoma"/>
          <w:sz w:val="22"/>
          <w:szCs w:val="22"/>
        </w:rPr>
        <w:t>;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78A02DC3" w:rsidR="00D46F66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47478F">
        <w:rPr>
          <w:rFonts w:ascii="Palatino Linotype" w:hAnsi="Palatino Linotype" w:cs="Tahoma"/>
          <w:sz w:val="22"/>
          <w:szCs w:val="22"/>
        </w:rPr>
        <w:t>revisão</w:t>
      </w:r>
      <w:r w:rsidR="0047478F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47478F" w:rsidRPr="0047478F"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2859" w:rsidRPr="0047478F">
        <w:rPr>
          <w:rFonts w:ascii="Palatino Linotype" w:hAnsi="Palatino Linotype" w:cs="Tahoma"/>
          <w:sz w:val="22"/>
          <w:szCs w:val="22"/>
        </w:rPr>
        <w:t>202</w:t>
      </w:r>
      <w:r w:rsidR="00572859">
        <w:rPr>
          <w:rFonts w:ascii="Palatino Linotype" w:hAnsi="Palatino Linotype" w:cs="Tahoma"/>
          <w:sz w:val="22"/>
          <w:szCs w:val="22"/>
        </w:rPr>
        <w:t>1</w:t>
      </w:r>
      <w:r w:rsidR="00572859" w:rsidRPr="0047478F">
        <w:rPr>
          <w:rFonts w:ascii="Palatino Linotype" w:hAnsi="Palatino Linotype" w:cs="Tahoma"/>
          <w:sz w:val="22"/>
          <w:szCs w:val="22"/>
        </w:rPr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(i.e., a ser apurado com base nas demonstrações financeiras consolidadas da Eleva Educação referentes ao </w:t>
      </w:r>
      <w:r w:rsidR="0047478F" w:rsidRPr="0047478F">
        <w:rPr>
          <w:rFonts w:ascii="Palatino Linotype" w:hAnsi="Palatino Linotype" w:cs="Tahoma"/>
          <w:sz w:val="22"/>
          <w:szCs w:val="22"/>
        </w:rPr>
        <w:lastRenderedPageBreak/>
        <w:t>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6.1.2(xix)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 xml:space="preserve">deverá considerar </w:t>
      </w:r>
      <w:r w:rsidR="005E487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de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 xml:space="preserve">” </w:t>
      </w:r>
      <w:r w:rsidR="004846FA">
        <w:rPr>
          <w:rFonts w:ascii="Palatino Linotype" w:hAnsi="Palatino Linotype"/>
          <w:sz w:val="22"/>
          <w:szCs w:val="22"/>
        </w:rPr>
        <w:t xml:space="preserve">relativos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846FA">
        <w:rPr>
          <w:rFonts w:ascii="Palatino Linotype" w:hAnsi="Palatino Linotype"/>
          <w:iCs/>
          <w:sz w:val="22"/>
          <w:szCs w:val="22"/>
        </w:rPr>
        <w:t>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4846FA" w:rsidRPr="00565439">
        <w:rPr>
          <w:rFonts w:ascii="Palatino Linotype" w:hAnsi="Palatino Linotype"/>
          <w:sz w:val="22"/>
        </w:rPr>
        <w:t xml:space="preserve">da 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4846FA" w:rsidRPr="00565439">
        <w:rPr>
          <w:rFonts w:ascii="Palatino Linotype" w:hAnsi="Palatino Linotype"/>
          <w:sz w:val="22"/>
        </w:rPr>
        <w:t xml:space="preserve">Eleva </w:t>
      </w:r>
      <w:r w:rsidR="004846FA" w:rsidRPr="003549AD">
        <w:rPr>
          <w:rFonts w:ascii="Palatino Linotype" w:hAnsi="Palatino Linotype"/>
          <w:iCs/>
          <w:sz w:val="22"/>
          <w:szCs w:val="22"/>
        </w:rPr>
        <w:t>S.A. (antiga denominação de Editora de Gouges S.A., CNPJ nº 39.399.040/0001-93);</w:t>
      </w:r>
      <w:r w:rsidR="004846FA" w:rsidRPr="00565439">
        <w:rPr>
          <w:rFonts w:ascii="Palatino Linotype" w:hAnsi="Palatino Linotype"/>
          <w:sz w:val="22"/>
        </w:rPr>
        <w:t xml:space="preserve"> e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 w:rsidRPr="00565439">
        <w:rPr>
          <w:rFonts w:ascii="Palatino Linotype" w:hAnsi="Palatino Linotype"/>
          <w:b/>
          <w:sz w:val="22"/>
        </w:rPr>
        <w:t>b)</w:t>
      </w:r>
      <w:r w:rsidR="004846FA">
        <w:rPr>
          <w:rFonts w:ascii="Palatino Linotype" w:hAnsi="Palatino Linotype"/>
          <w:iCs/>
          <w:sz w:val="22"/>
          <w:szCs w:val="22"/>
        </w:rPr>
        <w:t> 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4846FA">
        <w:rPr>
          <w:rFonts w:ascii="Palatino Linotype" w:hAnsi="Palatino Linotype"/>
          <w:iCs/>
          <w:sz w:val="22"/>
          <w:szCs w:val="22"/>
        </w:rPr>
        <w:t>d</w:t>
      </w:r>
      <w:r w:rsidR="004846FA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4846FA" w:rsidRPr="00D0554E">
        <w:rPr>
          <w:rFonts w:ascii="Palatino Linotype" w:hAnsi="Palatino Linotype"/>
          <w:sz w:val="22"/>
          <w:szCs w:val="22"/>
        </w:rPr>
        <w:t>Reorganização Societária</w:t>
      </w:r>
      <w:r w:rsidR="005E4878" w:rsidRPr="00546A0A">
        <w:rPr>
          <w:rFonts w:ascii="Palatino Linotype" w:hAnsi="Palatino Linotype"/>
          <w:sz w:val="22"/>
          <w:szCs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da Escritura. </w:t>
      </w:r>
      <w:r w:rsidR="005E487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5E487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0500746" w14:textId="2933F142" w:rsidR="00572859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6660EBB" w14:textId="77777777" w:rsidR="00773058" w:rsidRPr="000976DF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3" w:name="_Ref88739068"/>
      <w:bookmarkStart w:id="4" w:name="_Hlk88510730"/>
      <w:r w:rsidRPr="007501D0">
        <w:rPr>
          <w:rFonts w:ascii="Palatino Linotype" w:hAnsi="Palatino Linotype" w:cs="Tahoma"/>
          <w:sz w:val="22"/>
          <w:szCs w:val="22"/>
        </w:rPr>
        <w:t xml:space="preserve">consignar 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no sentido de que, uma vez que a NewCo tenha o registro de seus atos constitutivos devidamente deferido pela junta comercial competente, a Emissora e as Fiadoras deverão, no prazo de </w:t>
      </w:r>
      <w:r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dias úteis após notificação do Agente Fiduciário nesse sentido, realizar 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 inclusão da NewCo como fiadora, principal pagadora e solidariamente responsável (com a Emissora) pelo fiel, pontual e integral cumprimento de todas as obrigações da Emissora, nos termos das cláusulas 5.29.2 da Escritura</w:t>
      </w:r>
      <w:r>
        <w:rPr>
          <w:rFonts w:ascii="Palatino Linotype" w:hAnsi="Palatino Linotype"/>
          <w:iCs/>
          <w:sz w:val="22"/>
          <w:szCs w:val="22"/>
        </w:rPr>
        <w:t>, sendo certo que, previamente à notificação a ser enviada pelo Agente Fiduciário acima, a Emissora, as Fiadoras e o Debenturista deverão ter acordado a redação do aditamento à Escritura, com o fim de implementar as deliberações ora tomadas nesta Assembleia Geral de Debenturistas</w:t>
      </w:r>
      <w:r w:rsidRPr="000976DF">
        <w:rPr>
          <w:rFonts w:ascii="Palatino Linotype" w:hAnsi="Palatino Linotype"/>
          <w:iCs/>
          <w:sz w:val="22"/>
          <w:szCs w:val="22"/>
        </w:rPr>
        <w:t xml:space="preserve">. </w:t>
      </w:r>
      <w:r w:rsidRPr="000976DF">
        <w:rPr>
          <w:rFonts w:ascii="Palatino Linotype" w:hAnsi="Palatino Linotype" w:cs="Tahoma"/>
          <w:sz w:val="22"/>
          <w:szCs w:val="22"/>
        </w:rPr>
        <w:t xml:space="preserve">A Emissora e as Fiadoras ainda se comprometeram a: (a) realizar o protocolo dos atos relativos à Reorganização Societária, perante a junta comercial competente,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10 dias úteis, a partir da respectiva deliberação societária; (b) disponibilizar ao Agente Fiduciário a cópia do protocolo dos atos da Reorganização Societária; (c) cumprir eventuais exigências apresentadas pela junta comercial competente ou, conforme o </w:t>
      </w:r>
      <w:r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(d</w:t>
      </w:r>
      <w:r w:rsidRPr="00CF5295">
        <w:rPr>
          <w:rFonts w:ascii="Palatino Linotype" w:eastAsia="Arial Unicode MS" w:hAnsi="Palatino Linotype" w:cs="Arial"/>
          <w:sz w:val="22"/>
          <w:szCs w:val="22"/>
        </w:rPr>
        <w:t xml:space="preserve">)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notificar o Agente Fiduciário para que esse realize a notificação referida acima, para fins de aditamento da Escritura, anexando cópia dos atos relativos à Reorganização Societária devidamente registrados; </w:t>
      </w:r>
      <w:bookmarkEnd w:id="3"/>
    </w:p>
    <w:p w14:paraId="044FEF42" w14:textId="77777777" w:rsidR="00773058" w:rsidRDefault="00773058" w:rsidP="00773058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9A69DB" w14:textId="32AB4532" w:rsidR="00773058" w:rsidRPr="00C03C6D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C03C6D">
        <w:rPr>
          <w:rFonts w:ascii="Palatino Linotype" w:hAnsi="Palatino Linotype" w:cs="Tahoma"/>
          <w:sz w:val="22"/>
          <w:szCs w:val="22"/>
        </w:rPr>
        <w:t>consignar que, até o aditamento da Escritura</w:t>
      </w:r>
      <w:r>
        <w:rPr>
          <w:rFonts w:ascii="Palatino Linotype" w:hAnsi="Palatino Linotype" w:cs="Tahoma"/>
          <w:sz w:val="22"/>
          <w:szCs w:val="22"/>
        </w:rPr>
        <w:t xml:space="preserve">, </w:t>
      </w:r>
      <w:r w:rsidRPr="00C03C6D">
        <w:rPr>
          <w:rFonts w:ascii="Palatino Linotype" w:hAnsi="Palatino Linotype" w:cs="Tahoma"/>
          <w:sz w:val="22"/>
          <w:szCs w:val="22"/>
        </w:rPr>
        <w:t xml:space="preserve">a NewCo </w:t>
      </w:r>
      <w:r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Pr="00C03C6D">
        <w:rPr>
          <w:rFonts w:ascii="Palatino Linotype" w:hAnsi="Palatino Linotype" w:cs="Tahoma"/>
          <w:sz w:val="22"/>
          <w:szCs w:val="22"/>
        </w:rPr>
        <w:t>não poderão</w:t>
      </w:r>
      <w:r>
        <w:rPr>
          <w:rFonts w:ascii="Palatino Linotype" w:hAnsi="Palatino Linotype" w:cs="Tahoma"/>
          <w:sz w:val="22"/>
          <w:szCs w:val="22"/>
        </w:rPr>
        <w:t xml:space="preserve"> realizar</w:t>
      </w:r>
      <w:r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controle societário (conforme definido nos termos do artigo 116 da Lei das Sociedades por Ações), direto ou indireto, ou ainda a incorporação, fusão, cisão ou qualquer outra forma de reorganização societária prevista em lei, sem a prévia e expressa anuência do Debenturista, exceto em virtude de reorganização societária envolvendo a NewCo e/ou suas controladas, que mantenha a Emissora e/ou os Controladores Atuais</w:t>
      </w:r>
      <w:r w:rsidR="00B87C65">
        <w:rPr>
          <w:rFonts w:ascii="Palatino Linotype" w:hAnsi="Palatino Linotype" w:cs="Tahoma"/>
          <w:sz w:val="22"/>
          <w:szCs w:val="22"/>
        </w:rPr>
        <w:t xml:space="preserve"> (conforme definido na Escritura)</w:t>
      </w:r>
      <w:r w:rsidRPr="00C03C6D">
        <w:rPr>
          <w:rFonts w:ascii="Palatino Linotype" w:hAnsi="Palatino Linotype" w:cs="Tahoma"/>
          <w:sz w:val="22"/>
          <w:szCs w:val="22"/>
        </w:rPr>
        <w:t xml:space="preserve"> como seus </w:t>
      </w:r>
      <w:r w:rsidRPr="00C03C6D">
        <w:rPr>
          <w:rFonts w:ascii="Palatino Linotype" w:hAnsi="Palatino Linotype" w:cs="Tahoma"/>
          <w:sz w:val="22"/>
          <w:szCs w:val="22"/>
        </w:rPr>
        <w:lastRenderedPageBreak/>
        <w:t>controladores diretos e/ou indiretos, sob pena de vencimento antecipado não automático</w:t>
      </w:r>
      <w:r>
        <w:rPr>
          <w:rFonts w:ascii="Palatino Linotype" w:hAnsi="Palatino Linotype" w:cs="Tahoma"/>
          <w:sz w:val="22"/>
          <w:szCs w:val="22"/>
        </w:rPr>
        <w:t>, sendo certo que, uma vez aditada a Escritura, a NewCo estará sujeita a todas as obrigações e vedações aplicáveis às Fiadoras, conforme previsto atualmente na Escritura, sendo certo que caso de conflito entre o aqui previsto e o atualmente previsto na Escritura, a Escritura deverá prevalecer;</w:t>
      </w:r>
    </w:p>
    <w:bookmarkEnd w:id="4"/>
    <w:p w14:paraId="7B74377F" w14:textId="77777777" w:rsidR="00572859" w:rsidRPr="00D0554E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6499316" w14:textId="54932619" w:rsidR="00617FCB" w:rsidRDefault="00617FCB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sz w:val="22"/>
          <w:szCs w:val="22"/>
        </w:rPr>
        <w:t>autorizar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773058">
        <w:rPr>
          <w:rFonts w:ascii="Palatino Linotype" w:hAnsi="Palatino Linotype" w:cs="Tahoma"/>
          <w:sz w:val="22"/>
          <w:szCs w:val="22"/>
        </w:rPr>
        <w:t>; e</w:t>
      </w:r>
    </w:p>
    <w:p w14:paraId="4C6C7140" w14:textId="77777777" w:rsidR="00773058" w:rsidRDefault="00773058" w:rsidP="00773058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774179E4" w14:textId="77777777" w:rsidR="00773058" w:rsidRPr="00231E22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509015C6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 xml:space="preserve">Não havendo nada mais a tratar, foi encerrada a assembleia, da qual se lavrou esta ata que, lida e aprovada, foi assinada por todos os presentes. </w:t>
      </w:r>
    </w:p>
    <w:p w14:paraId="42A02D70" w14:textId="77777777" w:rsidR="002E3CB4" w:rsidRDefault="002E3CB4" w:rsidP="004846FA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56E6B84" w14:textId="5062E0F1" w:rsidR="002E3CB4" w:rsidRDefault="004846FA" w:rsidP="002E3CB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2E3CB4" w:rsidRPr="004846FA"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  <w:t>Assinatura Digital</w:t>
      </w:r>
      <w:r w:rsidR="002E3CB4" w:rsidRPr="004846FA">
        <w:rPr>
          <w:rFonts w:ascii="Palatino Linotype" w:hAnsi="Palatino Linotype"/>
          <w:sz w:val="22"/>
          <w:szCs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  <w:r>
        <w:rPr>
          <w:rFonts w:ascii="Palatino Linotype" w:hAnsi="Palatino Linotype"/>
          <w:sz w:val="22"/>
          <w:szCs w:val="22"/>
        </w:rPr>
        <w:t>]</w:t>
      </w:r>
      <w:r w:rsidRPr="004846FA">
        <w:rPr>
          <w:rStyle w:val="Refdenotaderodap"/>
          <w:rFonts w:ascii="Palatino Linotype" w:hAnsi="Palatino Linotype"/>
          <w:sz w:val="22"/>
          <w:szCs w:val="22"/>
        </w:rPr>
        <w:t xml:space="preserve"> 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1"/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7187085C" w:rsidR="00A30AF5" w:rsidRPr="00D0554E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5" w:name="_Hlk11747509"/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A30AF5" w:rsidRPr="00D0554E">
        <w:rPr>
          <w:rFonts w:ascii="Palatino Linotype" w:hAnsi="Palatino Linotype"/>
          <w:sz w:val="22"/>
          <w:szCs w:val="22"/>
        </w:rPr>
        <w:t xml:space="preserve"> 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5"/>
      <w:r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E55AE94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</w:p>
    <w:p w14:paraId="3817506A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[assinaturas na próxima página]</w:t>
      </w:r>
    </w:p>
    <w:p w14:paraId="7174B4AB" w14:textId="77777777" w:rsidR="00773058" w:rsidRDefault="00773058" w:rsidP="00773058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5C24CADD" w14:textId="26C1F77A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704F85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t>
      </w:r>
    </w:p>
    <w:p w14:paraId="0A8779D3" w14:textId="77777777" w:rsidR="00773058" w:rsidRPr="00773058" w:rsidRDefault="00773058" w:rsidP="00773058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249F7A1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6A88ACBC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205763A9" w:rsidR="004846FA" w:rsidRDefault="004846FA" w:rsidP="00A30AF5">
      <w:pPr>
        <w:spacing w:after="0" w:line="320" w:lineRule="atLeast"/>
        <w:rPr>
          <w:rFonts w:ascii="Palatino Linotype" w:hAnsi="Palatino Linotype"/>
        </w:rPr>
      </w:pPr>
    </w:p>
    <w:p w14:paraId="49278224" w14:textId="77777777" w:rsidR="00773058" w:rsidRDefault="00773058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5FAF578" w14:textId="203C6CD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39940AF" w14:textId="77777777" w:rsidR="00A30AF5" w:rsidRPr="00D0554E" w:rsidRDefault="00A30AF5" w:rsidP="00841467">
      <w:pPr>
        <w:rPr>
          <w:rFonts w:ascii="Palatino Linotype" w:hAnsi="Palatino Linotype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29F1D2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BEF16A" w:rsidR="00773058" w:rsidRDefault="00773058" w:rsidP="00A30AF5">
      <w:pPr>
        <w:spacing w:after="0" w:line="320" w:lineRule="atLeast"/>
        <w:rPr>
          <w:rFonts w:ascii="Palatino Linotype" w:hAnsi="Palatino Linotype"/>
        </w:rPr>
      </w:pPr>
    </w:p>
    <w:p w14:paraId="7E405F86" w14:textId="77777777" w:rsidR="00773058" w:rsidRDefault="0077305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069D86CD" w14:textId="77777777" w:rsidR="00773058" w:rsidRDefault="00773058" w:rsidP="00773058">
      <w:pPr>
        <w:rPr>
          <w:rFonts w:ascii="Palatino Linotype" w:hAnsi="Palatino Linotype"/>
        </w:rPr>
      </w:pPr>
    </w:p>
    <w:p w14:paraId="64492855" w14:textId="5ABB0A73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t xml:space="preserve">Página de assinaturas da </w:t>
      </w:r>
      <w:r w:rsidR="00D3378D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t>
      </w:r>
    </w:p>
    <w:p w14:paraId="2A57A0C2" w14:textId="77777777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5DD54F9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85E66D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89C1A8C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655BD3E7" w14:textId="4242863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  <w:r w:rsidRPr="00D0554E">
        <w:rPr>
          <w:rFonts w:ascii="Palatino Linotype" w:hAnsi="Palatino Linotype"/>
          <w:u w:val="single"/>
        </w:rPr>
        <w:t>Debenturista presente:</w:t>
      </w:r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5D2F745B" w:rsidR="0018044A" w:rsidRPr="00D0554E" w:rsidRDefault="00BC07F4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D0554E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3604" w14:textId="77777777" w:rsidR="009F7F68" w:rsidRDefault="009F7F68" w:rsidP="00713931">
      <w:pPr>
        <w:spacing w:after="0" w:line="240" w:lineRule="auto"/>
      </w:pPr>
      <w:r>
        <w:separator/>
      </w:r>
    </w:p>
  </w:endnote>
  <w:endnote w:type="continuationSeparator" w:id="0">
    <w:p w14:paraId="06E23BD0" w14:textId="77777777" w:rsidR="009F7F68" w:rsidRDefault="009F7F68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DED9" w14:textId="77777777" w:rsidR="00A0030D" w:rsidRDefault="00A00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97B2" w14:textId="0B6EE822" w:rsidR="00A30AF5" w:rsidRDefault="00A30AF5">
    <w:pPr>
      <w:pStyle w:val="Rodap"/>
      <w:jc w:val="right"/>
    </w:pPr>
  </w:p>
  <w:p w14:paraId="1641507F" w14:textId="77777777" w:rsidR="00A30AF5" w:rsidRPr="00C123E5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0C5" w14:textId="77777777" w:rsidR="00A0030D" w:rsidRDefault="00A00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476" w14:textId="77777777" w:rsidR="009F7F68" w:rsidRDefault="009F7F68" w:rsidP="00713931">
      <w:pPr>
        <w:spacing w:after="0" w:line="240" w:lineRule="auto"/>
      </w:pPr>
      <w:r>
        <w:separator/>
      </w:r>
    </w:p>
  </w:footnote>
  <w:footnote w:type="continuationSeparator" w:id="0">
    <w:p w14:paraId="76DF500C" w14:textId="77777777" w:rsidR="009F7F68" w:rsidRDefault="009F7F68" w:rsidP="00713931">
      <w:pPr>
        <w:spacing w:after="0" w:line="240" w:lineRule="auto"/>
      </w:pPr>
      <w:r>
        <w:continuationSeparator/>
      </w:r>
    </w:p>
  </w:footnote>
  <w:footnote w:id="1">
    <w:p w14:paraId="5998A79C" w14:textId="77777777" w:rsidR="004846FA" w:rsidRPr="00912E85" w:rsidRDefault="004846FA" w:rsidP="00912E85">
      <w:pPr>
        <w:pStyle w:val="Textodenotaderodap"/>
        <w:jc w:val="both"/>
        <w:rPr>
          <w:rFonts w:ascii="Palatino Linotype" w:hAnsi="Palatino Linotype"/>
        </w:rPr>
      </w:pPr>
      <w:r w:rsidRPr="00912E85">
        <w:rPr>
          <w:rStyle w:val="Refdenotaderodap"/>
          <w:rFonts w:ascii="Palatino Linotype" w:hAnsi="Palatino Linotype"/>
        </w:rPr>
        <w:footnoteRef/>
      </w:r>
      <w:r w:rsidRPr="00912E85">
        <w:rPr>
          <w:rFonts w:ascii="Palatino Linotype" w:hAnsi="Palatino Linotype"/>
        </w:rP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C2C" w14:textId="77777777" w:rsidR="00A0030D" w:rsidRDefault="00A003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9926" w14:textId="77777777" w:rsidR="00A0030D" w:rsidRDefault="00A003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5"/>
    <w:rsid w:val="00003DFA"/>
    <w:rsid w:val="000201AF"/>
    <w:rsid w:val="00030EE5"/>
    <w:rsid w:val="00053875"/>
    <w:rsid w:val="00054D62"/>
    <w:rsid w:val="00062634"/>
    <w:rsid w:val="000F31FB"/>
    <w:rsid w:val="00111615"/>
    <w:rsid w:val="00150933"/>
    <w:rsid w:val="00152CAF"/>
    <w:rsid w:val="0018044A"/>
    <w:rsid w:val="0019437A"/>
    <w:rsid w:val="001B2752"/>
    <w:rsid w:val="00241A70"/>
    <w:rsid w:val="00253BA5"/>
    <w:rsid w:val="00270CAD"/>
    <w:rsid w:val="00277E86"/>
    <w:rsid w:val="002A0CD5"/>
    <w:rsid w:val="002C2D17"/>
    <w:rsid w:val="002D2610"/>
    <w:rsid w:val="002E3CB4"/>
    <w:rsid w:val="002E4F2B"/>
    <w:rsid w:val="00306D97"/>
    <w:rsid w:val="003A49DB"/>
    <w:rsid w:val="004064EB"/>
    <w:rsid w:val="0047478F"/>
    <w:rsid w:val="004846FA"/>
    <w:rsid w:val="00491F3F"/>
    <w:rsid w:val="004A580E"/>
    <w:rsid w:val="00537D20"/>
    <w:rsid w:val="00554920"/>
    <w:rsid w:val="0056657C"/>
    <w:rsid w:val="00566F0A"/>
    <w:rsid w:val="00572859"/>
    <w:rsid w:val="00593AC9"/>
    <w:rsid w:val="00597254"/>
    <w:rsid w:val="005C1D99"/>
    <w:rsid w:val="005C597B"/>
    <w:rsid w:val="005E4878"/>
    <w:rsid w:val="00617FCB"/>
    <w:rsid w:val="00624BF1"/>
    <w:rsid w:val="0064459D"/>
    <w:rsid w:val="00646905"/>
    <w:rsid w:val="00675F2F"/>
    <w:rsid w:val="006B2D72"/>
    <w:rsid w:val="006C3337"/>
    <w:rsid w:val="00704F85"/>
    <w:rsid w:val="00713931"/>
    <w:rsid w:val="00727391"/>
    <w:rsid w:val="00746FBA"/>
    <w:rsid w:val="00763FA4"/>
    <w:rsid w:val="00766958"/>
    <w:rsid w:val="00773058"/>
    <w:rsid w:val="007D66AF"/>
    <w:rsid w:val="007E1E11"/>
    <w:rsid w:val="007F7F22"/>
    <w:rsid w:val="008146ED"/>
    <w:rsid w:val="00825A61"/>
    <w:rsid w:val="00833DE5"/>
    <w:rsid w:val="00841467"/>
    <w:rsid w:val="00851DEE"/>
    <w:rsid w:val="008C2F78"/>
    <w:rsid w:val="008D6D9A"/>
    <w:rsid w:val="008F6527"/>
    <w:rsid w:val="00904ED3"/>
    <w:rsid w:val="00912E85"/>
    <w:rsid w:val="009343A0"/>
    <w:rsid w:val="009370B0"/>
    <w:rsid w:val="00960E32"/>
    <w:rsid w:val="0097392B"/>
    <w:rsid w:val="00975B0F"/>
    <w:rsid w:val="009A12AD"/>
    <w:rsid w:val="009B7DBC"/>
    <w:rsid w:val="009C7A34"/>
    <w:rsid w:val="009D3C28"/>
    <w:rsid w:val="009F7F68"/>
    <w:rsid w:val="00A0030D"/>
    <w:rsid w:val="00A04E27"/>
    <w:rsid w:val="00A30AF5"/>
    <w:rsid w:val="00A64A82"/>
    <w:rsid w:val="00AC07FC"/>
    <w:rsid w:val="00AF1C98"/>
    <w:rsid w:val="00B0111E"/>
    <w:rsid w:val="00B217BC"/>
    <w:rsid w:val="00B434DA"/>
    <w:rsid w:val="00B87C65"/>
    <w:rsid w:val="00B95F67"/>
    <w:rsid w:val="00BC07F4"/>
    <w:rsid w:val="00C37072"/>
    <w:rsid w:val="00CD1424"/>
    <w:rsid w:val="00CD53C5"/>
    <w:rsid w:val="00CD5A2B"/>
    <w:rsid w:val="00D0554E"/>
    <w:rsid w:val="00D12E61"/>
    <w:rsid w:val="00D3378D"/>
    <w:rsid w:val="00D46F66"/>
    <w:rsid w:val="00DE48F6"/>
    <w:rsid w:val="00E006CF"/>
    <w:rsid w:val="00E40E16"/>
    <w:rsid w:val="00E74F54"/>
    <w:rsid w:val="00EA12F5"/>
    <w:rsid w:val="00ED2E9C"/>
    <w:rsid w:val="00EF1C35"/>
    <w:rsid w:val="00F27D1A"/>
    <w:rsid w:val="00FA6A8D"/>
    <w:rsid w:val="00FC63C2"/>
    <w:rsid w:val="00FD26B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 G E D R J ! 1 7 7 7 5 6 5 . 6 < / d o c u m e n t i d >  
     < s e n d e r i d > D D P < / s e n d e r i d >  
     < s e n d e r e m a i l > D D P @ B M A L A W . C O M . B R < / s e n d e r e m a i l >  
     < l a s t m o d i f i e d > 2 0 2 1 - 1 1 - 2 5 T 2 3 : 2 5 : 0 0 . 0 0 0 0 0 0 0 - 0 3 : 0 0 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CB6E-9C05-4EB1-BD5B-917121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2017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BMA</cp:lastModifiedBy>
  <cp:revision>6</cp:revision>
  <dcterms:created xsi:type="dcterms:W3CDTF">2021-11-26T01:31:00Z</dcterms:created>
  <dcterms:modified xsi:type="dcterms:W3CDTF">2021-11-26T02:25:00Z</dcterms:modified>
</cp:coreProperties>
</file>