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F38" w14:textId="77777777" w:rsidR="00947680" w:rsidRPr="00D46953" w:rsidRDefault="009471C9" w:rsidP="00D46953">
      <w:pPr>
        <w:pStyle w:val="Ttulo10"/>
        <w:keepNext/>
        <w:keepLines/>
        <w:widowControl/>
        <w:shd w:val="clear" w:color="auto" w:fill="auto"/>
        <w:tabs>
          <w:tab w:val="center" w:pos="4253"/>
          <w:tab w:val="left" w:pos="6072"/>
        </w:tabs>
        <w:spacing w:line="320" w:lineRule="exact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COLÉGIO VIMASA</w:t>
      </w:r>
      <w:r w:rsidR="005A3AA6" w:rsidRPr="00D46953">
        <w:rPr>
          <w:rFonts w:ascii="Times New Roman" w:hAnsi="Times New Roman" w:cs="Times New Roman"/>
          <w:sz w:val="24"/>
          <w:szCs w:val="24"/>
        </w:rPr>
        <w:t xml:space="preserve"> S.A.</w:t>
      </w:r>
    </w:p>
    <w:p w14:paraId="05473B3C" w14:textId="77777777" w:rsidR="00257D32" w:rsidRPr="00D46953" w:rsidRDefault="00257D32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CNPJ/M</w:t>
      </w:r>
      <w:r w:rsidR="005A3AA6"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</w:t>
      </w:r>
      <w:r w:rsidRPr="00D46953">
        <w:rPr>
          <w:rFonts w:ascii="Times New Roman" w:eastAsia="Times New Roman" w:hAnsi="Times New Roman" w:cs="Times New Roman"/>
          <w:color w:val="auto"/>
        </w:rPr>
        <w:t xml:space="preserve"> </w:t>
      </w:r>
      <w:r w:rsidR="009471C9" w:rsidRPr="00D46953">
        <w:rPr>
          <w:rFonts w:ascii="Times New Roman" w:eastAsia="Times New Roman" w:hAnsi="Times New Roman" w:cs="Times New Roman"/>
          <w:color w:val="auto"/>
        </w:rPr>
        <w:t>19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213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316</w:t>
      </w:r>
      <w:r w:rsidR="005A3AA6" w:rsidRPr="00D46953">
        <w:rPr>
          <w:rFonts w:ascii="Times New Roman" w:eastAsia="Times New Roman" w:hAnsi="Times New Roman" w:cs="Times New Roman"/>
          <w:color w:val="auto"/>
        </w:rPr>
        <w:t>/0001-</w:t>
      </w:r>
      <w:r w:rsidR="009471C9" w:rsidRPr="00D46953">
        <w:rPr>
          <w:rFonts w:ascii="Times New Roman" w:eastAsia="Times New Roman" w:hAnsi="Times New Roman" w:cs="Times New Roman"/>
          <w:color w:val="auto"/>
        </w:rPr>
        <w:t>90</w:t>
      </w:r>
    </w:p>
    <w:p w14:paraId="18B80FA4" w14:textId="77777777" w:rsidR="00947680" w:rsidRPr="00D46953" w:rsidRDefault="004A11D3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N</w:t>
      </w:r>
      <w:r w:rsidR="00257D32" w:rsidRPr="00D46953">
        <w:rPr>
          <w:rFonts w:ascii="Times New Roman" w:eastAsia="Times New Roman" w:hAnsi="Times New Roman" w:cs="Times New Roman"/>
          <w:color w:val="auto"/>
        </w:rPr>
        <w:t>IR</w:t>
      </w:r>
      <w:r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 3</w:t>
      </w:r>
      <w:r w:rsidR="009471C9" w:rsidRPr="00D46953">
        <w:rPr>
          <w:rFonts w:ascii="Times New Roman" w:eastAsia="Times New Roman" w:hAnsi="Times New Roman" w:cs="Times New Roman"/>
          <w:color w:val="auto"/>
        </w:rPr>
        <w:t>130010588-1</w:t>
      </w:r>
    </w:p>
    <w:p w14:paraId="683CCBCF" w14:textId="77777777" w:rsidR="002D29D0" w:rsidRPr="00D46953" w:rsidRDefault="002D29D0" w:rsidP="00A00EC3">
      <w:pPr>
        <w:widowControl/>
        <w:spacing w:line="320" w:lineRule="exact"/>
        <w:jc w:val="both"/>
        <w:rPr>
          <w:rFonts w:ascii="Times New Roman" w:hAnsi="Times New Roman" w:cs="Times New Roman"/>
        </w:rPr>
      </w:pPr>
    </w:p>
    <w:p w14:paraId="7F63BE1B" w14:textId="40C3F3DA" w:rsidR="00947680" w:rsidRPr="00BD2E8B" w:rsidRDefault="004A11D3" w:rsidP="00A00EC3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0" w:name="bookmark1"/>
      <w:r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ATA DA </w:t>
      </w:r>
      <w:r w:rsidR="00947186"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ASSEMBLEIA GERAL </w:t>
      </w:r>
      <w:r w:rsidR="009A2AB4" w:rsidRPr="00BD2E8B">
        <w:rPr>
          <w:rFonts w:ascii="Times New Roman" w:eastAsia="Times New Roman" w:hAnsi="Times New Roman" w:cs="Times New Roman"/>
          <w:b/>
          <w:bCs/>
          <w:color w:val="auto"/>
        </w:rPr>
        <w:t>DE DEBENTURISTAS DA</w:t>
      </w:r>
      <w:r w:rsidR="00931F8A">
        <w:rPr>
          <w:rFonts w:ascii="Times New Roman" w:eastAsia="Times New Roman" w:hAnsi="Times New Roman" w:cs="Times New Roman"/>
          <w:b/>
          <w:bCs/>
          <w:color w:val="auto"/>
        </w:rPr>
        <w:t xml:space="preserve"> 1ª (PR</w:t>
      </w:r>
      <w:bookmarkStart w:id="1" w:name="_GoBack"/>
      <w:bookmarkEnd w:id="1"/>
      <w:r w:rsidR="00931F8A">
        <w:rPr>
          <w:rFonts w:ascii="Times New Roman" w:eastAsia="Times New Roman" w:hAnsi="Times New Roman" w:cs="Times New Roman"/>
          <w:b/>
          <w:bCs/>
          <w:color w:val="auto"/>
        </w:rPr>
        <w:t>IMEIRA) SÉRIE DA</w:t>
      </w:r>
      <w:r w:rsidR="009A2AB4"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 2ª</w:t>
      </w:r>
      <w:r w:rsidR="006E270B">
        <w:rPr>
          <w:rFonts w:ascii="Times New Roman" w:eastAsia="Times New Roman" w:hAnsi="Times New Roman" w:cs="Times New Roman"/>
          <w:b/>
          <w:bCs/>
          <w:color w:val="auto"/>
        </w:rPr>
        <w:t xml:space="preserve"> (SEGUNDA)</w:t>
      </w:r>
      <w:r w:rsidR="009A2AB4"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17206" w:rsidRPr="00BD2E8B">
        <w:rPr>
          <w:rFonts w:ascii="Times New Roman" w:eastAsia="Times New Roman" w:hAnsi="Times New Roman" w:cs="Times New Roman"/>
          <w:b/>
          <w:bCs/>
          <w:color w:val="auto"/>
        </w:rPr>
        <w:t>EMISSÃO DE DEBÊNTURES SIMPLES, NÃO CONVERSÍVEIS EM AÇÕES, DA ESPÉCIE COM GARANTIA REAL, COM GARANTIA ADICIONAL FIDEJUSSÓRIA, EM 2 (DUAS) SÉRIES</w:t>
      </w:r>
      <w:r w:rsidR="00E82EF7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BD2E8B">
        <w:rPr>
          <w:rFonts w:ascii="Times New Roman" w:eastAsia="Times New Roman" w:hAnsi="Times New Roman" w:cs="Times New Roman"/>
          <w:b/>
          <w:bCs/>
          <w:color w:val="auto"/>
        </w:rPr>
        <w:t xml:space="preserve"> DO COLÉGIO VIMASA S.A.</w:t>
      </w:r>
      <w:r w:rsidR="0012398B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A00EC3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REALIZADA EM </w:t>
      </w:r>
      <w:bookmarkStart w:id="2" w:name="_Hlk23189424"/>
      <w:r w:rsidR="00BD2E8B">
        <w:rPr>
          <w:rFonts w:ascii="Times New Roman" w:eastAsia="Times New Roman" w:hAnsi="Times New Roman" w:cs="Times New Roman"/>
          <w:b/>
          <w:bCs/>
          <w:color w:val="auto"/>
        </w:rPr>
        <w:t>[</w:t>
      </w:r>
      <w:r w:rsidR="00BD2E8B" w:rsidRPr="00BD2E8B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●</w:t>
      </w:r>
      <w:r w:rsidR="00BD2E8B">
        <w:rPr>
          <w:rFonts w:ascii="Times New Roman" w:eastAsia="Times New Roman" w:hAnsi="Times New Roman" w:cs="Times New Roman"/>
          <w:b/>
          <w:bCs/>
          <w:color w:val="auto"/>
        </w:rPr>
        <w:t>]</w:t>
      </w:r>
      <w:bookmarkEnd w:id="2"/>
      <w:r w:rsidR="00930024"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DE </w:t>
      </w:r>
      <w:r w:rsidR="00BD2E8B">
        <w:rPr>
          <w:rFonts w:ascii="Times New Roman" w:eastAsia="Times New Roman" w:hAnsi="Times New Roman" w:cs="Times New Roman"/>
          <w:b/>
          <w:bCs/>
          <w:color w:val="auto"/>
        </w:rPr>
        <w:t>[</w:t>
      </w:r>
      <w:r w:rsidR="00BD2E8B" w:rsidRPr="000338FA"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</w:rPr>
        <w:t>MÊS</w:t>
      </w:r>
      <w:r w:rsidR="00BD2E8B">
        <w:rPr>
          <w:rFonts w:ascii="Times New Roman" w:eastAsia="Times New Roman" w:hAnsi="Times New Roman" w:cs="Times New Roman"/>
          <w:b/>
          <w:bCs/>
          <w:color w:val="auto"/>
        </w:rPr>
        <w:t>]</w:t>
      </w:r>
      <w:r w:rsidR="00D569BD"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DE </w:t>
      </w:r>
      <w:bookmarkEnd w:id="0"/>
      <w:r w:rsidR="005A3AA6" w:rsidRPr="00BD2E8B">
        <w:rPr>
          <w:rFonts w:ascii="Times New Roman" w:eastAsia="Times New Roman" w:hAnsi="Times New Roman" w:cs="Times New Roman"/>
          <w:b/>
          <w:bCs/>
          <w:color w:val="auto"/>
        </w:rPr>
        <w:t>2019</w:t>
      </w:r>
    </w:p>
    <w:p w14:paraId="3080FFF4" w14:textId="77777777" w:rsidR="00442E29" w:rsidRPr="004F5259" w:rsidRDefault="00442E29" w:rsidP="00717206">
      <w:pPr>
        <w:widowControl/>
        <w:spacing w:line="320" w:lineRule="exact"/>
        <w:rPr>
          <w:rFonts w:ascii="Times New Roman" w:hAnsi="Times New Roman" w:cs="Times New Roman"/>
          <w:bCs/>
        </w:rPr>
      </w:pPr>
    </w:p>
    <w:p w14:paraId="5FE80E14" w14:textId="77777777" w:rsidR="00257D32" w:rsidRPr="004F5259" w:rsidRDefault="00257D32" w:rsidP="00BD2E8B">
      <w:pPr>
        <w:widowControl/>
        <w:spacing w:line="320" w:lineRule="exact"/>
        <w:rPr>
          <w:rFonts w:ascii="Times New Roman" w:hAnsi="Times New Roman" w:cs="Times New Roman"/>
          <w:bCs/>
        </w:rPr>
      </w:pPr>
    </w:p>
    <w:p w14:paraId="6470F852" w14:textId="1F6AFBC8" w:rsidR="00947680" w:rsidRPr="00D46953" w:rsidRDefault="0076227D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Data, 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Hor</w:t>
      </w: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ário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 e Local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12398B" w:rsidRPr="00D46953">
        <w:rPr>
          <w:rFonts w:ascii="Times New Roman" w:hAnsi="Times New Roman" w:cs="Times New Roman"/>
          <w:sz w:val="24"/>
          <w:szCs w:val="24"/>
        </w:rPr>
        <w:t xml:space="preserve">Aos </w:t>
      </w:r>
      <w:r w:rsidR="00BD2E8B" w:rsidRPr="00BD2E8B">
        <w:rPr>
          <w:rFonts w:ascii="Times New Roman" w:hAnsi="Times New Roman" w:cs="Times New Roman"/>
          <w:sz w:val="24"/>
          <w:szCs w:val="24"/>
        </w:rPr>
        <w:t>[</w:t>
      </w:r>
      <w:r w:rsidR="00BD2E8B" w:rsidRPr="00BD2E8B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="00BD2E8B" w:rsidRPr="00BD2E8B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(</w:t>
      </w:r>
      <w:r w:rsidR="00BD2E8B" w:rsidRPr="00BD2E8B">
        <w:rPr>
          <w:rFonts w:ascii="Times New Roman" w:hAnsi="Times New Roman" w:cs="Times New Roman"/>
          <w:sz w:val="24"/>
          <w:szCs w:val="24"/>
        </w:rPr>
        <w:t>[</w:t>
      </w:r>
      <w:r w:rsidR="00BD2E8B" w:rsidRPr="00BD2E8B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="00BD2E8B" w:rsidRPr="00BD2E8B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) dias do mês de </w:t>
      </w:r>
      <w:r w:rsidR="00BD2E8B">
        <w:rPr>
          <w:rFonts w:ascii="Times New Roman" w:hAnsi="Times New Roman" w:cs="Times New Roman"/>
          <w:sz w:val="24"/>
          <w:szCs w:val="24"/>
        </w:rPr>
        <w:t>[</w:t>
      </w:r>
      <w:r w:rsidR="00BD2E8B" w:rsidRPr="000338F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mês</w:t>
      </w:r>
      <w:r w:rsidR="00BD2E8B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de 2019, às </w:t>
      </w:r>
      <w:r w:rsidR="00BD2E8B" w:rsidRPr="00BD2E8B">
        <w:rPr>
          <w:rFonts w:ascii="Times New Roman" w:hAnsi="Times New Roman" w:cs="Times New Roman"/>
          <w:sz w:val="24"/>
          <w:szCs w:val="24"/>
        </w:rPr>
        <w:t>[</w:t>
      </w:r>
      <w:r w:rsidR="00BD2E8B" w:rsidRPr="00BD2E8B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="00BD2E8B" w:rsidRPr="00BD2E8B">
        <w:rPr>
          <w:rFonts w:ascii="Times New Roman" w:hAnsi="Times New Roman" w:cs="Times New Roman"/>
          <w:sz w:val="24"/>
          <w:szCs w:val="24"/>
        </w:rPr>
        <w:t>]</w:t>
      </w:r>
      <w:r w:rsidR="00D46953">
        <w:rPr>
          <w:rFonts w:ascii="Times New Roman" w:hAnsi="Times New Roman" w:cs="Times New Roman"/>
          <w:sz w:val="24"/>
          <w:szCs w:val="24"/>
        </w:rPr>
        <w:t>:00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horas</w:t>
      </w:r>
      <w:r w:rsidRPr="00D46953">
        <w:rPr>
          <w:rFonts w:ascii="Times New Roman" w:hAnsi="Times New Roman" w:cs="Times New Roman"/>
          <w:sz w:val="24"/>
          <w:szCs w:val="24"/>
        </w:rPr>
        <w:t xml:space="preserve">, </w:t>
      </w:r>
      <w:r w:rsidRPr="000338FA">
        <w:rPr>
          <w:rFonts w:ascii="Times New Roman" w:hAnsi="Times New Roman" w:cs="Times New Roman"/>
          <w:sz w:val="24"/>
          <w:szCs w:val="24"/>
        </w:rPr>
        <w:t>na sede social do</w:t>
      </w:r>
      <w:r w:rsidR="004A11D3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="009471C9" w:rsidRPr="000338FA">
        <w:rPr>
          <w:rFonts w:ascii="Times New Roman" w:hAnsi="Times New Roman" w:cs="Times New Roman"/>
          <w:sz w:val="24"/>
          <w:szCs w:val="24"/>
        </w:rPr>
        <w:t xml:space="preserve">Colégio </w:t>
      </w:r>
      <w:proofErr w:type="spellStart"/>
      <w:r w:rsidR="009471C9" w:rsidRPr="000338FA">
        <w:rPr>
          <w:rFonts w:ascii="Times New Roman" w:hAnsi="Times New Roman" w:cs="Times New Roman"/>
          <w:sz w:val="24"/>
          <w:szCs w:val="24"/>
        </w:rPr>
        <w:t>Vimasa</w:t>
      </w:r>
      <w:proofErr w:type="spellEnd"/>
      <w:r w:rsidR="009471C9" w:rsidRPr="000338FA">
        <w:rPr>
          <w:rFonts w:ascii="Times New Roman" w:hAnsi="Times New Roman" w:cs="Times New Roman"/>
          <w:sz w:val="24"/>
          <w:szCs w:val="24"/>
        </w:rPr>
        <w:t xml:space="preserve"> S.A.</w:t>
      </w:r>
      <w:r w:rsidRPr="000338FA">
        <w:rPr>
          <w:rFonts w:ascii="Times New Roman" w:hAnsi="Times New Roman" w:cs="Times New Roman"/>
          <w:sz w:val="24"/>
          <w:szCs w:val="24"/>
        </w:rPr>
        <w:t xml:space="preserve"> (“</w:t>
      </w:r>
      <w:r w:rsidR="00931F8A" w:rsidRPr="000338FA">
        <w:rPr>
          <w:rStyle w:val="Textodocorpo0"/>
          <w:rFonts w:ascii="Times New Roman" w:hAnsi="Times New Roman" w:cs="Times New Roman"/>
          <w:sz w:val="24"/>
          <w:szCs w:val="24"/>
        </w:rPr>
        <w:t>Emissora</w:t>
      </w:r>
      <w:r w:rsidRPr="000338FA">
        <w:rPr>
          <w:rFonts w:ascii="Times New Roman" w:hAnsi="Times New Roman" w:cs="Times New Roman"/>
          <w:sz w:val="24"/>
          <w:szCs w:val="24"/>
        </w:rPr>
        <w:t>”)</w:t>
      </w:r>
      <w:r w:rsidR="004A11D3" w:rsidRPr="000338FA">
        <w:rPr>
          <w:rFonts w:ascii="Times New Roman" w:hAnsi="Times New Roman" w:cs="Times New Roman"/>
          <w:sz w:val="24"/>
          <w:szCs w:val="24"/>
        </w:rPr>
        <w:t>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na </w:t>
      </w:r>
      <w:r w:rsidRPr="000338FA">
        <w:rPr>
          <w:rFonts w:ascii="Times New Roman" w:hAnsi="Times New Roman" w:cs="Times New Roman"/>
          <w:sz w:val="24"/>
          <w:szCs w:val="24"/>
        </w:rPr>
        <w:t>Rua Três Pontas, nº 605, Carlos Prates, Cidade de Belo Horizonte, Estado de Minas Gerais,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Pr="000338FA">
        <w:rPr>
          <w:rFonts w:ascii="Times New Roman" w:hAnsi="Times New Roman" w:cs="Times New Roman"/>
          <w:sz w:val="24"/>
          <w:szCs w:val="24"/>
        </w:rPr>
        <w:t>CEP 30</w:t>
      </w:r>
      <w:r w:rsidR="005A3AA6" w:rsidRPr="000338FA">
        <w:rPr>
          <w:rFonts w:ascii="Times New Roman" w:hAnsi="Times New Roman" w:cs="Times New Roman"/>
          <w:sz w:val="24"/>
          <w:szCs w:val="24"/>
        </w:rPr>
        <w:t>.</w:t>
      </w:r>
      <w:r w:rsidRPr="000338FA">
        <w:rPr>
          <w:rFonts w:ascii="Times New Roman" w:hAnsi="Times New Roman" w:cs="Times New Roman"/>
          <w:sz w:val="24"/>
          <w:szCs w:val="24"/>
        </w:rPr>
        <w:t>710</w:t>
      </w:r>
      <w:r w:rsidR="005A3AA6" w:rsidRPr="000338FA">
        <w:rPr>
          <w:rFonts w:ascii="Times New Roman" w:hAnsi="Times New Roman" w:cs="Times New Roman"/>
          <w:sz w:val="24"/>
          <w:szCs w:val="24"/>
        </w:rPr>
        <w:t>-</w:t>
      </w:r>
      <w:r w:rsidRPr="000338FA">
        <w:rPr>
          <w:rFonts w:ascii="Times New Roman" w:hAnsi="Times New Roman" w:cs="Times New Roman"/>
          <w:sz w:val="24"/>
          <w:szCs w:val="24"/>
        </w:rPr>
        <w:t>560</w:t>
      </w:r>
      <w:r w:rsidR="005A3AA6" w:rsidRPr="0012398B">
        <w:rPr>
          <w:rFonts w:ascii="Times New Roman" w:hAnsi="Times New Roman" w:cs="Times New Roman"/>
          <w:sz w:val="24"/>
          <w:szCs w:val="24"/>
        </w:rPr>
        <w:t>.</w:t>
      </w:r>
      <w:r w:rsidR="00BD2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4092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01189F" w14:textId="6773ED8A" w:rsidR="00947186" w:rsidRPr="00D51D63" w:rsidRDefault="0076227D" w:rsidP="00D51D6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>Convocação,</w:t>
      </w:r>
      <w:r w:rsidR="005A3AA6"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Presença</w:t>
      </w: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e Quórum</w:t>
      </w:r>
      <w:r w:rsidR="00947186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12398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Dispensada 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convocação,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nos termos d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Cláusula 10.3.1 d</w:t>
      </w:r>
      <w:r w:rsidR="000338F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80D99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Instrumento Particular de Escritura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da 2ª (segunda)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Emissão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de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Debêntures Simples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Não Conversíveis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Ações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da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Espécie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com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Garantia Real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com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arantia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dicional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F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idejussória, em 2 (duas) séries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,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d</w:t>
      </w:r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o Colégio </w:t>
      </w:r>
      <w:proofErr w:type="spellStart"/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Vimasa</w:t>
      </w:r>
      <w:proofErr w:type="spellEnd"/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S.A.</w:t>
      </w:r>
      <w:r w:rsidR="00080D99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”</w:t>
      </w:r>
      <w:r w:rsidR="006E270B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Escritura de Emissão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</w:t>
      </w:r>
      <w:r w:rsidR="006E270B" w:rsidRP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Debêntures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 e 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Emissão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 respectivamente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) e do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artigo 71, parágrafo 2º, combinado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com o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artigo 124, parágrafo 4º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ambos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da Lei nº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6.404, de 15 de dezembro de 1976, conforme alterada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 virtude da presença de titular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es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representando 100% (cem por cento) das debêntures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em circulação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1ª (primeira)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érie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BD2FEB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Emissão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(“</w:t>
      </w:r>
      <w:r w:rsidR="00D51D63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Debenturista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s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Presentes ainda 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os 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representantes da Emissora e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proofErr w:type="spellStart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Simplific</w:t>
      </w:r>
      <w:proofErr w:type="spellEnd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Pavarini</w:t>
      </w:r>
      <w:proofErr w:type="spellEnd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Distribuidora de Títulos e Valores Mobiliários Ltda., na qualidade de agente fiduciário do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Debenturista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E82EF7" w:rsidRPr="0076055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Agente Fiduciário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41A8811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E2DB34" w14:textId="77777777" w:rsidR="005A3AA6" w:rsidRPr="00D46953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Mesa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6B3A53" w:rsidRPr="00D46953">
        <w:rPr>
          <w:rFonts w:ascii="Times New Roman" w:hAnsi="Times New Roman" w:cs="Times New Roman"/>
          <w:sz w:val="24"/>
          <w:szCs w:val="24"/>
        </w:rPr>
        <w:t>Presidente:</w:t>
      </w:r>
      <w:r w:rsidR="00E05E8D">
        <w:rPr>
          <w:rFonts w:ascii="Times New Roman" w:hAnsi="Times New Roman" w:cs="Times New Roman"/>
          <w:sz w:val="24"/>
          <w:szCs w:val="24"/>
        </w:rPr>
        <w:t xml:space="preserve"> </w:t>
      </w:r>
      <w:r w:rsidR="007E7B1D" w:rsidRPr="00BD2E8B">
        <w:rPr>
          <w:rFonts w:ascii="Times New Roman" w:hAnsi="Times New Roman" w:cs="Times New Roman"/>
          <w:sz w:val="24"/>
          <w:szCs w:val="24"/>
        </w:rPr>
        <w:t>[</w:t>
      </w:r>
      <w:r w:rsidR="007E7B1D" w:rsidRPr="00BD2E8B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="007E7B1D" w:rsidRPr="00BD2E8B">
        <w:rPr>
          <w:rFonts w:ascii="Times New Roman" w:hAnsi="Times New Roman" w:cs="Times New Roman"/>
          <w:sz w:val="24"/>
          <w:szCs w:val="24"/>
        </w:rPr>
        <w:t>]</w:t>
      </w:r>
      <w:r w:rsidR="000E3AA0">
        <w:rPr>
          <w:rFonts w:ascii="Times New Roman" w:hAnsi="Times New Roman" w:cs="Times New Roman"/>
          <w:sz w:val="24"/>
          <w:szCs w:val="24"/>
        </w:rPr>
        <w:t>; e Secretário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7E7B1D" w:rsidRPr="00BD2E8B">
        <w:rPr>
          <w:rFonts w:ascii="Times New Roman" w:hAnsi="Times New Roman" w:cs="Times New Roman"/>
          <w:sz w:val="24"/>
          <w:szCs w:val="24"/>
        </w:rPr>
        <w:t>[</w:t>
      </w:r>
      <w:r w:rsidR="007E7B1D" w:rsidRPr="00BD2E8B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="007E7B1D" w:rsidRPr="00BD2E8B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>.</w:t>
      </w:r>
    </w:p>
    <w:p w14:paraId="72002A70" w14:textId="77777777" w:rsidR="005A3AA6" w:rsidRPr="00D46953" w:rsidRDefault="005A3AA6" w:rsidP="00D46953">
      <w:pPr>
        <w:widowControl/>
        <w:spacing w:line="320" w:lineRule="exact"/>
        <w:rPr>
          <w:rFonts w:ascii="Times New Roman" w:hAnsi="Times New Roman" w:cs="Times New Roman"/>
        </w:rPr>
      </w:pPr>
    </w:p>
    <w:p w14:paraId="0B68EEA5" w14:textId="4CF9C224" w:rsidR="00B258B3" w:rsidRPr="00E64E39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39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Ord</w:t>
      </w:r>
      <w:r w:rsidRPr="00E64E39">
        <w:rPr>
          <w:rFonts w:ascii="Times New Roman" w:hAnsi="Times New Roman" w:cs="Times New Roman"/>
          <w:b/>
          <w:sz w:val="24"/>
          <w:szCs w:val="24"/>
          <w:u w:val="single"/>
        </w:rPr>
        <w:t>em do Dia</w:t>
      </w:r>
      <w:r w:rsidR="00B258B3" w:rsidRPr="00E64E39">
        <w:rPr>
          <w:rFonts w:ascii="Times New Roman" w:hAnsi="Times New Roman" w:cs="Times New Roman"/>
          <w:sz w:val="24"/>
          <w:szCs w:val="24"/>
        </w:rPr>
        <w:t xml:space="preserve">: </w:t>
      </w:r>
      <w:r w:rsidR="0012398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Deliberar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sobre </w:t>
      </w:r>
      <w:r w:rsidR="00E82EF7" w:rsidRP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(i) </w:t>
      </w:r>
      <w:r w:rsidR="00C7331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alteração dos termos e condições d</w:t>
      </w:r>
      <w:r w:rsidR="00D51D6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48661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cessão fiduciária constituída </w:t>
      </w:r>
      <w:r w:rsidR="00D51D6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por meio do</w:t>
      </w:r>
      <w:r w:rsidR="00C7331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“</w:t>
      </w:r>
      <w:r w:rsidR="0066753E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Instrumento Particular de Cessão Fiduciária em </w:t>
      </w:r>
      <w:r w:rsidR="00C73313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Garantia </w:t>
      </w:r>
      <w:r w:rsidR="0066753E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de </w:t>
      </w:r>
      <w:r w:rsidR="00C73313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Direitos Creditórios </w:t>
      </w:r>
      <w:r w:rsidR="0066753E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e </w:t>
      </w:r>
      <w:r w:rsidR="00C73313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Outras Avenças</w:t>
      </w:r>
      <w:r w:rsidR="00C7331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1239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celebrado em </w:t>
      </w:r>
      <w:r w:rsidR="00EB0531" w:rsidRPr="004F5259">
        <w:rPr>
          <w:rFonts w:ascii="Times New Roman" w:hAnsi="Times New Roman" w:cs="Times New Roman"/>
          <w:sz w:val="24"/>
          <w:szCs w:val="24"/>
        </w:rPr>
        <w:t>[</w:t>
      </w:r>
      <w:r w:rsidR="00EB0531" w:rsidRPr="00EB0531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="00EB0531" w:rsidRPr="004F5259">
        <w:rPr>
          <w:rFonts w:ascii="Times New Roman" w:hAnsi="Times New Roman" w:cs="Times New Roman"/>
          <w:sz w:val="24"/>
          <w:szCs w:val="24"/>
        </w:rPr>
        <w:t>]</w:t>
      </w:r>
      <w:r w:rsidR="00EB0531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 w:rsidR="00EB0531" w:rsidRPr="004F5259">
        <w:rPr>
          <w:rFonts w:ascii="Times New Roman" w:hAnsi="Times New Roman" w:cs="Times New Roman"/>
          <w:sz w:val="24"/>
          <w:szCs w:val="24"/>
        </w:rPr>
        <w:t>[</w:t>
      </w:r>
      <w:r w:rsidR="00EB0531" w:rsidRPr="00EB0531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="00EB0531" w:rsidRPr="004F5259">
        <w:rPr>
          <w:rFonts w:ascii="Times New Roman" w:hAnsi="Times New Roman" w:cs="Times New Roman"/>
          <w:sz w:val="24"/>
          <w:szCs w:val="24"/>
        </w:rPr>
        <w:t>]</w:t>
      </w:r>
      <w:r w:rsidR="00EB0531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2018</w:t>
      </w:r>
      <w:r w:rsid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6753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(“</w:t>
      </w:r>
      <w:r w:rsidR="0066753E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Cont</w:t>
      </w:r>
      <w:r w:rsidR="0012398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r</w:t>
      </w:r>
      <w:r w:rsidR="0066753E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ato de Cessão Fiduciária</w:t>
      </w:r>
      <w:r w:rsidR="0066753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C7331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forma a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especificar as unidades do </w:t>
      </w:r>
      <w:r w:rsidR="00E82EF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Elite de Ensino S.A.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(“</w:t>
      </w:r>
      <w:r w:rsidR="00E82EF7" w:rsidRPr="00EB0531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Sistema Elite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”) cujos direitos creditórios lastreados em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 w:rsidRPr="00015E1E">
        <w:rPr>
          <w:rFonts w:ascii="Times New Roman" w:eastAsia="Times New Roman" w:hAnsi="Times New Roman" w:cs="Times New Roman"/>
          <w:color w:val="auto"/>
          <w:sz w:val="24"/>
          <w:szCs w:val="24"/>
        </w:rPr>
        <w:t>mensalidades e/ou material didático devidos pelos alunos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serão abrangidos pela cessão fiduciária objeto do Contrato 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3" w:name="_Hlk23264043"/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autorização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para 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(a) 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 celebração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do “</w:t>
      </w:r>
      <w:r w:rsidR="0076055E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Primeiro Aditamento ao Instrumento Particular de Cessão Fiduciária em Garantia de Direitos Creditórios e Outras Avenças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382B94">
        <w:rPr>
          <w:rFonts w:ascii="Times New Roman" w:eastAsia="Times New Roman" w:hAnsi="Times New Roman" w:cs="Times New Roman"/>
          <w:color w:val="auto"/>
          <w:sz w:val="24"/>
          <w:szCs w:val="24"/>
        </w:rPr>
        <w:t>pela Emissora, pelo Sistema Elite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, pelo Agente Fiduciário e pelos Banco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Centralizadores (</w:t>
      </w:r>
      <w:r w:rsidR="00E64E39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definido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Contrato de Cessão Fiduciária)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(“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Primeiro Aditamento ao Contrato de Cessão Fiduciária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7D5CBF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(b) a 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prática de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todos e quaisquer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atos necessários à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formalização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Primeiro A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diamento ao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ontrato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especialmente com relação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ao seu registro nos cartórios competentes, nos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termos da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Cláusula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2.1 do Contrato de Cessão Fiduciária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bem como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todos os atos necessários à implementação das deliberações tomadas na presente data</w:t>
      </w:r>
      <w:bookmarkEnd w:id="3"/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iii</w:t>
      </w:r>
      <w:proofErr w:type="spellEnd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ratificação de todos os atos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relacionados às deliberações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acima 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já praticados pela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Emissora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pelo Sistema Elite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, seus acionistas controladores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ou seus procuradores.</w:t>
      </w:r>
    </w:p>
    <w:p w14:paraId="5397EF68" w14:textId="77777777" w:rsidR="009471C9" w:rsidRPr="00D46953" w:rsidRDefault="009471C9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C83CDB" w14:textId="4330DC4F" w:rsidR="00771CBE" w:rsidRPr="00D46953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b/>
          <w:sz w:val="24"/>
          <w:szCs w:val="24"/>
          <w:u w:val="single"/>
        </w:rPr>
        <w:t>Deliberações</w:t>
      </w:r>
      <w:r w:rsidR="00B258B3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D46953">
        <w:rPr>
          <w:rFonts w:ascii="Times New Roman" w:hAnsi="Times New Roman" w:cs="Times New Roman"/>
          <w:sz w:val="24"/>
          <w:szCs w:val="24"/>
        </w:rPr>
        <w:t xml:space="preserve">Examinadas </w:t>
      </w:r>
      <w:r w:rsidR="00C74583" w:rsidRPr="00D46953">
        <w:rPr>
          <w:rFonts w:ascii="Times New Roman" w:hAnsi="Times New Roman" w:cs="Times New Roman"/>
          <w:sz w:val="24"/>
          <w:szCs w:val="24"/>
        </w:rPr>
        <w:t xml:space="preserve">e debatidas as matérias constantes da Ordem do Dia, </w:t>
      </w:r>
      <w:r w:rsidR="00A6143B">
        <w:rPr>
          <w:rFonts w:ascii="Times New Roman" w:hAnsi="Times New Roman" w:cs="Times New Roman"/>
          <w:sz w:val="24"/>
          <w:szCs w:val="24"/>
        </w:rPr>
        <w:t>o</w:t>
      </w:r>
      <w:r w:rsidR="00C06C89">
        <w:rPr>
          <w:rFonts w:ascii="Times New Roman" w:hAnsi="Times New Roman" w:cs="Times New Roman"/>
          <w:sz w:val="24"/>
          <w:szCs w:val="24"/>
        </w:rPr>
        <w:t>s</w:t>
      </w:r>
      <w:r w:rsidR="00A6143B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C06C89">
        <w:rPr>
          <w:rFonts w:ascii="Times New Roman" w:hAnsi="Times New Roman" w:cs="Times New Roman"/>
          <w:sz w:val="24"/>
          <w:szCs w:val="24"/>
        </w:rPr>
        <w:t>s</w:t>
      </w:r>
      <w:r w:rsidR="00C74583" w:rsidRPr="00D46953">
        <w:rPr>
          <w:rFonts w:ascii="Times New Roman" w:hAnsi="Times New Roman" w:cs="Times New Roman"/>
          <w:sz w:val="24"/>
          <w:szCs w:val="24"/>
        </w:rPr>
        <w:t xml:space="preserve">, </w:t>
      </w:r>
      <w:r w:rsidR="00C06C89">
        <w:rPr>
          <w:rFonts w:ascii="Times New Roman" w:hAnsi="Times New Roman" w:cs="Times New Roman"/>
          <w:sz w:val="24"/>
          <w:szCs w:val="24"/>
        </w:rPr>
        <w:t xml:space="preserve">por unanimidade e </w:t>
      </w:r>
      <w:r w:rsidR="00442E29" w:rsidRPr="00D46953">
        <w:rPr>
          <w:rFonts w:ascii="Times New Roman" w:hAnsi="Times New Roman" w:cs="Times New Roman"/>
          <w:sz w:val="24"/>
          <w:szCs w:val="24"/>
        </w:rPr>
        <w:t>se</w:t>
      </w:r>
      <w:r w:rsidR="00F37A3D" w:rsidRPr="00D46953">
        <w:rPr>
          <w:rFonts w:ascii="Times New Roman" w:hAnsi="Times New Roman" w:cs="Times New Roman"/>
          <w:sz w:val="24"/>
          <w:szCs w:val="24"/>
        </w:rPr>
        <w:t>m qua</w:t>
      </w:r>
      <w:r w:rsidR="00E64E39">
        <w:rPr>
          <w:rFonts w:ascii="Times New Roman" w:hAnsi="Times New Roman" w:cs="Times New Roman"/>
          <w:sz w:val="24"/>
          <w:szCs w:val="24"/>
        </w:rPr>
        <w:t>l</w:t>
      </w:r>
      <w:r w:rsidR="00F37A3D" w:rsidRPr="00D46953">
        <w:rPr>
          <w:rFonts w:ascii="Times New Roman" w:hAnsi="Times New Roman" w:cs="Times New Roman"/>
          <w:sz w:val="24"/>
          <w:szCs w:val="24"/>
        </w:rPr>
        <w:t>quer restriç</w:t>
      </w:r>
      <w:r w:rsidR="00E64E39">
        <w:rPr>
          <w:rFonts w:ascii="Times New Roman" w:hAnsi="Times New Roman" w:cs="Times New Roman"/>
          <w:sz w:val="24"/>
          <w:szCs w:val="24"/>
        </w:rPr>
        <w:t>ão</w:t>
      </w:r>
      <w:r w:rsidR="00F37A3D" w:rsidRPr="00D46953">
        <w:rPr>
          <w:rFonts w:ascii="Times New Roman" w:hAnsi="Times New Roman" w:cs="Times New Roman"/>
          <w:sz w:val="24"/>
          <w:szCs w:val="24"/>
        </w:rPr>
        <w:t>,</w:t>
      </w:r>
      <w:r w:rsidR="00442E29" w:rsidRPr="00D46953">
        <w:rPr>
          <w:rFonts w:ascii="Times New Roman" w:hAnsi="Times New Roman" w:cs="Times New Roman"/>
          <w:sz w:val="24"/>
          <w:szCs w:val="24"/>
        </w:rPr>
        <w:t xml:space="preserve"> </w:t>
      </w:r>
      <w:r w:rsidR="00C06C89">
        <w:rPr>
          <w:rFonts w:ascii="Times New Roman" w:hAnsi="Times New Roman" w:cs="Times New Roman"/>
          <w:sz w:val="24"/>
          <w:szCs w:val="24"/>
        </w:rPr>
        <w:t>aprovaram</w:t>
      </w:r>
      <w:r w:rsidR="00771CBE" w:rsidRPr="00D46953">
        <w:rPr>
          <w:rFonts w:ascii="Times New Roman" w:hAnsi="Times New Roman" w:cs="Times New Roman"/>
          <w:sz w:val="24"/>
          <w:szCs w:val="24"/>
        </w:rPr>
        <w:t>:</w:t>
      </w:r>
    </w:p>
    <w:p w14:paraId="4AD34964" w14:textId="77777777" w:rsidR="00771CBE" w:rsidRPr="00D46953" w:rsidRDefault="00771CBE" w:rsidP="00D46953">
      <w:pPr>
        <w:widowControl/>
        <w:spacing w:line="320" w:lineRule="exact"/>
        <w:rPr>
          <w:rFonts w:ascii="Times New Roman" w:hAnsi="Times New Roman" w:cs="Times New Roman"/>
        </w:rPr>
      </w:pPr>
    </w:p>
    <w:p w14:paraId="26B36522" w14:textId="1BE07143" w:rsidR="00771CBE" w:rsidRPr="00D46953" w:rsidRDefault="00133087" w:rsidP="00D46953">
      <w:pPr>
        <w:widowControl/>
        <w:numPr>
          <w:ilvl w:val="0"/>
          <w:numId w:val="5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</w:t>
      </w:r>
      <w:r w:rsidRPr="00133087">
        <w:rPr>
          <w:rFonts w:ascii="Times New Roman" w:eastAsia="Times New Roman" w:hAnsi="Times New Roman" w:cs="Times New Roman"/>
          <w:color w:val="auto"/>
        </w:rPr>
        <w:t xml:space="preserve"> alteração dos termos e condições da cessão fiduciária</w:t>
      </w:r>
      <w:r w:rsidR="00C06C89">
        <w:rPr>
          <w:rFonts w:ascii="Times New Roman" w:eastAsia="Times New Roman" w:hAnsi="Times New Roman" w:cs="Times New Roman"/>
          <w:color w:val="auto"/>
        </w:rPr>
        <w:t xml:space="preserve"> </w:t>
      </w:r>
      <w:r w:rsidRPr="00133087">
        <w:rPr>
          <w:rFonts w:ascii="Times New Roman" w:eastAsia="Times New Roman" w:hAnsi="Times New Roman" w:cs="Times New Roman"/>
          <w:color w:val="auto"/>
        </w:rPr>
        <w:t>constituída por meio do Cont</w:t>
      </w:r>
      <w:r w:rsidR="00C06C89">
        <w:rPr>
          <w:rFonts w:ascii="Times New Roman" w:eastAsia="Times New Roman" w:hAnsi="Times New Roman" w:cs="Times New Roman"/>
          <w:color w:val="auto"/>
        </w:rPr>
        <w:t>r</w:t>
      </w:r>
      <w:r w:rsidRPr="00133087">
        <w:rPr>
          <w:rFonts w:ascii="Times New Roman" w:eastAsia="Times New Roman" w:hAnsi="Times New Roman" w:cs="Times New Roman"/>
          <w:color w:val="auto"/>
        </w:rPr>
        <w:t>ato de Cessão Fiduciária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133087">
        <w:rPr>
          <w:rFonts w:ascii="Times New Roman" w:eastAsia="Times New Roman" w:hAnsi="Times New Roman" w:cs="Times New Roman"/>
          <w:color w:val="auto"/>
        </w:rPr>
        <w:t xml:space="preserve"> </w:t>
      </w:r>
      <w:r w:rsidR="00C06C89">
        <w:rPr>
          <w:rFonts w:ascii="Times New Roman" w:eastAsia="Times New Roman" w:hAnsi="Times New Roman" w:cs="Times New Roman"/>
          <w:color w:val="auto"/>
        </w:rPr>
        <w:t>de forma a</w:t>
      </w:r>
      <w:r w:rsidR="004F5259" w:rsidRPr="004F5259">
        <w:rPr>
          <w:rFonts w:ascii="Times New Roman" w:eastAsia="Times New Roman" w:hAnsi="Times New Roman" w:cs="Times New Roman"/>
          <w:color w:val="auto"/>
        </w:rPr>
        <w:t xml:space="preserve"> </w:t>
      </w:r>
      <w:r w:rsidR="004F5259">
        <w:rPr>
          <w:rFonts w:ascii="Times New Roman" w:eastAsia="Times New Roman" w:hAnsi="Times New Roman" w:cs="Times New Roman"/>
          <w:color w:val="auto"/>
        </w:rPr>
        <w:t xml:space="preserve">especificar as seguintes unidades do </w:t>
      </w:r>
      <w:r w:rsidR="004F5259" w:rsidRPr="00E64E39">
        <w:rPr>
          <w:rFonts w:ascii="Times New Roman" w:eastAsia="Times New Roman" w:hAnsi="Times New Roman" w:cs="Times New Roman"/>
          <w:color w:val="auto"/>
        </w:rPr>
        <w:t xml:space="preserve">Sistema Elite de </w:t>
      </w:r>
      <w:r w:rsidR="004F5259">
        <w:rPr>
          <w:rFonts w:ascii="Times New Roman" w:eastAsia="Times New Roman" w:hAnsi="Times New Roman" w:cs="Times New Roman"/>
          <w:color w:val="auto"/>
        </w:rPr>
        <w:t xml:space="preserve">cujos direitos creditórios lastreados em </w:t>
      </w:r>
      <w:r w:rsidR="004F5259" w:rsidRPr="00015E1E">
        <w:rPr>
          <w:rFonts w:ascii="Times New Roman" w:eastAsia="Times New Roman" w:hAnsi="Times New Roman" w:cs="Times New Roman"/>
          <w:color w:val="auto"/>
        </w:rPr>
        <w:t>mensalidades e/ou material didático devidos pelos alunos</w:t>
      </w:r>
      <w:r w:rsidR="004F5259">
        <w:rPr>
          <w:rFonts w:ascii="Times New Roman" w:eastAsia="Times New Roman" w:hAnsi="Times New Roman" w:cs="Times New Roman"/>
          <w:color w:val="auto"/>
        </w:rPr>
        <w:t xml:space="preserve"> serão abrangidos pela cessão fiduciária objeto do Contrato de Cessão Fiduciária</w:t>
      </w:r>
      <w:r w:rsidR="00C06C89">
        <w:rPr>
          <w:rFonts w:ascii="Times New Roman" w:eastAsia="Times New Roman" w:hAnsi="Times New Roman" w:cs="Times New Roman"/>
          <w:color w:val="auto"/>
        </w:rPr>
        <w:t xml:space="preserve">: </w:t>
      </w:r>
      <w:r w:rsidR="00C06C89" w:rsidRPr="00BD2E8B">
        <w:rPr>
          <w:rFonts w:ascii="Times New Roman" w:hAnsi="Times New Roman" w:cs="Times New Roman"/>
        </w:rPr>
        <w:t>[</w:t>
      </w:r>
      <w:r w:rsidR="00C06C89" w:rsidRPr="00BD2E8B">
        <w:rPr>
          <w:rFonts w:ascii="Times New Roman" w:hAnsi="Times New Roman" w:cs="Times New Roman"/>
          <w:highlight w:val="yellow"/>
        </w:rPr>
        <w:t>●</w:t>
      </w:r>
      <w:r w:rsidR="00C06C89" w:rsidRPr="00BD2E8B">
        <w:rPr>
          <w:rFonts w:ascii="Times New Roman" w:hAnsi="Times New Roman" w:cs="Times New Roman"/>
        </w:rPr>
        <w:t>]</w:t>
      </w:r>
      <w:r w:rsidR="00C06C89">
        <w:rPr>
          <w:rFonts w:ascii="Times New Roman" w:hAnsi="Times New Roman" w:cs="Times New Roman"/>
        </w:rPr>
        <w:t xml:space="preserve"> </w:t>
      </w:r>
      <w:bookmarkStart w:id="4" w:name="_Hlk23963973"/>
      <w:r w:rsidR="00C06C89">
        <w:rPr>
          <w:rFonts w:ascii="Times New Roman" w:hAnsi="Times New Roman" w:cs="Times New Roman"/>
        </w:rPr>
        <w:t>[</w:t>
      </w:r>
      <w:r w:rsidR="00C06C89" w:rsidRPr="00EB0531">
        <w:rPr>
          <w:rFonts w:ascii="Times New Roman" w:hAnsi="Times New Roman" w:cs="Times New Roman"/>
          <w:b/>
          <w:bCs/>
          <w:i/>
          <w:iCs/>
          <w:highlight w:val="yellow"/>
        </w:rPr>
        <w:t>Nota Cescon Barrieu</w:t>
      </w:r>
      <w:r w:rsidR="00C06C89" w:rsidRPr="00EB0531">
        <w:rPr>
          <w:rFonts w:ascii="Times New Roman" w:hAnsi="Times New Roman" w:cs="Times New Roman"/>
          <w:i/>
          <w:iCs/>
          <w:highlight w:val="yellow"/>
        </w:rPr>
        <w:t>: Companhia, favor indicar</w:t>
      </w:r>
      <w:r w:rsidR="00C06C89">
        <w:rPr>
          <w:rFonts w:ascii="Times New Roman" w:hAnsi="Times New Roman" w:cs="Times New Roman"/>
        </w:rPr>
        <w:t>]</w:t>
      </w:r>
      <w:bookmarkEnd w:id="4"/>
      <w:r w:rsidR="00D46953">
        <w:rPr>
          <w:rFonts w:ascii="Times New Roman" w:eastAsia="Times New Roman" w:hAnsi="Times New Roman" w:cs="Times New Roman"/>
          <w:color w:val="auto"/>
        </w:rPr>
        <w:t>;</w:t>
      </w:r>
    </w:p>
    <w:p w14:paraId="4B3BA118" w14:textId="77777777" w:rsidR="00771CBE" w:rsidRPr="00D46953" w:rsidRDefault="00771CBE" w:rsidP="00D46953">
      <w:pPr>
        <w:widowControl/>
        <w:spacing w:line="320" w:lineRule="exact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499FE418" w14:textId="1D34D368" w:rsidR="00771CBE" w:rsidRPr="00D46953" w:rsidRDefault="00382B94" w:rsidP="00D46953">
      <w:pPr>
        <w:widowControl/>
        <w:numPr>
          <w:ilvl w:val="0"/>
          <w:numId w:val="5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(a) 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celebração do Primeiro Aditamento ao </w:t>
      </w:r>
      <w:r w:rsidR="00133087">
        <w:rPr>
          <w:rFonts w:ascii="Times New Roman" w:eastAsia="Times New Roman" w:hAnsi="Times New Roman" w:cs="Times New Roman"/>
          <w:color w:val="auto"/>
        </w:rPr>
        <w:t>Contrato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de Cessão Fiduciária e </w:t>
      </w:r>
      <w:r>
        <w:rPr>
          <w:rFonts w:ascii="Times New Roman" w:eastAsia="Times New Roman" w:hAnsi="Times New Roman" w:cs="Times New Roman"/>
          <w:color w:val="auto"/>
        </w:rPr>
        <w:t>(b) </w:t>
      </w:r>
      <w:r w:rsidR="00C06C89">
        <w:rPr>
          <w:rFonts w:ascii="Times New Roman" w:eastAsia="Times New Roman" w:hAnsi="Times New Roman" w:cs="Times New Roman"/>
          <w:color w:val="auto"/>
        </w:rPr>
        <w:t>a prática de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todos e quaisquer atos necessários à formalização do </w:t>
      </w:r>
      <w:r w:rsidR="00133087">
        <w:rPr>
          <w:rFonts w:ascii="Times New Roman" w:eastAsia="Times New Roman" w:hAnsi="Times New Roman" w:cs="Times New Roman"/>
          <w:color w:val="auto"/>
        </w:rPr>
        <w:t>Primeiro A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diamento ao Contrato de Cessão Fiduciária, especialmente com relação ao seu registro nos cartórios competentes, nos termos da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Cláusula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2.1 do Contrato de Cessão Fiduciária, bem como todos os atos necessários à implementação das deliberações tomadas na presente data</w:t>
      </w:r>
      <w:r w:rsidR="00D46953">
        <w:rPr>
          <w:rFonts w:ascii="Times New Roman" w:eastAsia="Times New Roman" w:hAnsi="Times New Roman" w:cs="Times New Roman"/>
          <w:color w:val="auto"/>
        </w:rPr>
        <w:t>; e</w:t>
      </w:r>
    </w:p>
    <w:p w14:paraId="15FE4669" w14:textId="77777777" w:rsidR="00771CBE" w:rsidRPr="00D46953" w:rsidRDefault="00771CBE" w:rsidP="00D46953">
      <w:pPr>
        <w:widowControl/>
        <w:spacing w:line="320" w:lineRule="exact"/>
        <w:contextualSpacing/>
        <w:rPr>
          <w:rFonts w:ascii="Times New Roman" w:eastAsia="Times New Roman" w:hAnsi="Times New Roman" w:cs="Times New Roman"/>
          <w:color w:val="auto"/>
        </w:rPr>
      </w:pPr>
    </w:p>
    <w:p w14:paraId="56DFEDE1" w14:textId="386D423C" w:rsidR="00771CBE" w:rsidRPr="00D46953" w:rsidRDefault="00771CBE" w:rsidP="00D46953">
      <w:pPr>
        <w:widowControl/>
        <w:numPr>
          <w:ilvl w:val="0"/>
          <w:numId w:val="5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 xml:space="preserve">ratificar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todos os atos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relacionados às deliberações </w:t>
      </w:r>
      <w:r w:rsidR="00C06C89" w:rsidRPr="00457F24">
        <w:rPr>
          <w:rFonts w:ascii="Times New Roman" w:eastAsia="Times New Roman" w:hAnsi="Times New Roman" w:cs="Times New Roman"/>
          <w:b/>
          <w:color w:val="auto"/>
        </w:rPr>
        <w:t>(i)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 e </w:t>
      </w:r>
      <w:r w:rsidR="00C06C89" w:rsidRPr="00457F24">
        <w:rPr>
          <w:rFonts w:ascii="Times New Roman" w:eastAsia="Times New Roman" w:hAnsi="Times New Roman" w:cs="Times New Roman"/>
          <w:b/>
          <w:color w:val="auto"/>
        </w:rPr>
        <w:t>(</w:t>
      </w:r>
      <w:proofErr w:type="spellStart"/>
      <w:r w:rsidR="00C06C89" w:rsidRPr="00457F24">
        <w:rPr>
          <w:rFonts w:ascii="Times New Roman" w:eastAsia="Times New Roman" w:hAnsi="Times New Roman" w:cs="Times New Roman"/>
          <w:b/>
          <w:color w:val="auto"/>
        </w:rPr>
        <w:t>ii</w:t>
      </w:r>
      <w:proofErr w:type="spellEnd"/>
      <w:r w:rsidR="00C06C89" w:rsidRPr="00457F24">
        <w:rPr>
          <w:rFonts w:ascii="Times New Roman" w:eastAsia="Times New Roman" w:hAnsi="Times New Roman" w:cs="Times New Roman"/>
          <w:b/>
          <w:color w:val="auto"/>
        </w:rPr>
        <w:t>)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 acima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já praticados pela Emissora, pel</w:t>
      </w:r>
      <w:r w:rsidR="00471A2A">
        <w:rPr>
          <w:rFonts w:ascii="Times New Roman" w:eastAsia="Times New Roman" w:hAnsi="Times New Roman" w:cs="Times New Roman"/>
          <w:color w:val="auto"/>
        </w:rPr>
        <w:t>o Sistem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</w:t>
      </w:r>
      <w:r w:rsidR="00471A2A">
        <w:rPr>
          <w:rFonts w:ascii="Times New Roman" w:eastAsia="Times New Roman" w:hAnsi="Times New Roman" w:cs="Times New Roman"/>
          <w:color w:val="auto"/>
        </w:rPr>
        <w:t>Elite</w:t>
      </w:r>
      <w:r w:rsidR="00133087" w:rsidRPr="00133087">
        <w:rPr>
          <w:rFonts w:ascii="Times New Roman" w:eastAsia="Times New Roman" w:hAnsi="Times New Roman" w:cs="Times New Roman"/>
          <w:color w:val="auto"/>
        </w:rPr>
        <w:t>, seus acionistas controladores ou seus procuradores</w:t>
      </w:r>
      <w:r w:rsidR="00D46953">
        <w:rPr>
          <w:rFonts w:ascii="Times New Roman" w:eastAsia="Times New Roman" w:hAnsi="Times New Roman" w:cs="Times New Roman"/>
          <w:color w:val="auto"/>
        </w:rPr>
        <w:t>.</w:t>
      </w:r>
    </w:p>
    <w:p w14:paraId="67B5B25E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88B3FD" w14:textId="391F16C8" w:rsidR="0036157D" w:rsidRPr="00D46953" w:rsidRDefault="00222735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b/>
          <w:sz w:val="24"/>
          <w:szCs w:val="24"/>
          <w:u w:val="single"/>
        </w:rPr>
        <w:t>Encerramento</w:t>
      </w:r>
      <w:r w:rsidR="00C479DA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mais havendo a ser tratado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inexistindo qualquer outra manifestação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foi encerrada a presente Assembleia Geral de 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>Debenturistas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, da qual se lavrou a presente ata, que, lida e achada conforme, foi por todos os presentes assinada.</w:t>
      </w:r>
    </w:p>
    <w:p w14:paraId="576DC3B4" w14:textId="77777777" w:rsidR="0036157D" w:rsidRPr="00D46953" w:rsidRDefault="003615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28F9C595" w14:textId="77777777" w:rsidR="0076227D" w:rsidRPr="00D46953" w:rsidRDefault="0076227D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Certifico que a presente é cópia fiel da ata original lavrada em livro próprio.</w:t>
      </w:r>
    </w:p>
    <w:p w14:paraId="111D9BE8" w14:textId="77777777" w:rsidR="0076227D" w:rsidRPr="00D46953" w:rsidRDefault="007622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37F2BE4A" w14:textId="77777777" w:rsidR="00492F66" w:rsidRPr="00D46953" w:rsidRDefault="00457F24" w:rsidP="00D46953">
      <w:pPr>
        <w:widowControl/>
        <w:spacing w:line="320" w:lineRule="exact"/>
        <w:jc w:val="center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>[</w:t>
      </w:r>
      <w:r w:rsidR="0076227D" w:rsidRPr="00457F24">
        <w:rPr>
          <w:rFonts w:ascii="Times New Roman" w:eastAsia="Garamond" w:hAnsi="Times New Roman" w:cs="Times New Roman"/>
          <w:color w:val="auto"/>
          <w:highlight w:val="yellow"/>
        </w:rPr>
        <w:t>Belo Horizonte</w:t>
      </w:r>
      <w:r>
        <w:rPr>
          <w:rFonts w:ascii="Times New Roman" w:eastAsia="Garamond" w:hAnsi="Times New Roman" w:cs="Times New Roman"/>
        </w:rPr>
        <w:t>]</w:t>
      </w:r>
      <w:r w:rsidR="004A11D3" w:rsidRPr="00D46953">
        <w:rPr>
          <w:rFonts w:ascii="Times New Roman" w:eastAsia="Garamond" w:hAnsi="Times New Roman" w:cs="Times New Roman"/>
        </w:rPr>
        <w:t xml:space="preserve">, </w:t>
      </w:r>
      <w:r w:rsidR="006E270B" w:rsidRPr="006E270B">
        <w:rPr>
          <w:rFonts w:ascii="Times New Roman" w:eastAsia="Garamond" w:hAnsi="Times New Roman" w:cs="Times New Roman"/>
        </w:rPr>
        <w:t>[</w:t>
      </w:r>
      <w:r w:rsidR="006E270B" w:rsidRPr="006E270B">
        <w:rPr>
          <w:rFonts w:ascii="Times New Roman" w:eastAsia="Garamond" w:hAnsi="Times New Roman" w:cs="Times New Roman"/>
          <w:highlight w:val="yellow"/>
        </w:rPr>
        <w:t>●</w:t>
      </w:r>
      <w:r w:rsidR="006E270B" w:rsidRPr="006E270B">
        <w:rPr>
          <w:rFonts w:ascii="Times New Roman" w:eastAsia="Garamond" w:hAnsi="Times New Roman" w:cs="Times New Roman"/>
        </w:rPr>
        <w:t>]</w:t>
      </w:r>
      <w:r w:rsidR="00930024" w:rsidRPr="00D46953">
        <w:rPr>
          <w:rFonts w:ascii="Times New Roman" w:eastAsia="Garamond" w:hAnsi="Times New Roman" w:cs="Times New Roman"/>
        </w:rPr>
        <w:t xml:space="preserve"> </w:t>
      </w:r>
      <w:r w:rsidR="004A11D3" w:rsidRPr="00D46953">
        <w:rPr>
          <w:rFonts w:ascii="Times New Roman" w:eastAsia="Garamond" w:hAnsi="Times New Roman" w:cs="Times New Roman"/>
        </w:rPr>
        <w:t xml:space="preserve">de </w:t>
      </w:r>
      <w:r w:rsidR="006E270B">
        <w:rPr>
          <w:rFonts w:ascii="Times New Roman" w:eastAsia="Garamond" w:hAnsi="Times New Roman" w:cs="Times New Roman"/>
        </w:rPr>
        <w:t>[</w:t>
      </w:r>
      <w:r w:rsidR="006E270B" w:rsidRPr="00EB0531">
        <w:rPr>
          <w:rFonts w:ascii="Times New Roman" w:eastAsia="Garamond" w:hAnsi="Times New Roman" w:cs="Times New Roman"/>
          <w:i/>
          <w:iCs/>
          <w:highlight w:val="yellow"/>
        </w:rPr>
        <w:t>mês</w:t>
      </w:r>
      <w:r w:rsidR="006E270B">
        <w:rPr>
          <w:rFonts w:ascii="Times New Roman" w:eastAsia="Garamond" w:hAnsi="Times New Roman" w:cs="Times New Roman"/>
        </w:rPr>
        <w:t>]</w:t>
      </w:r>
      <w:r w:rsidR="00D569BD" w:rsidRPr="00D46953">
        <w:rPr>
          <w:rFonts w:ascii="Times New Roman" w:eastAsia="Garamond" w:hAnsi="Times New Roman" w:cs="Times New Roman"/>
        </w:rPr>
        <w:t xml:space="preserve"> </w:t>
      </w:r>
      <w:r w:rsidR="004A11D3" w:rsidRPr="00D46953">
        <w:rPr>
          <w:rFonts w:ascii="Times New Roman" w:eastAsia="Garamond" w:hAnsi="Times New Roman" w:cs="Times New Roman"/>
        </w:rPr>
        <w:t xml:space="preserve">de </w:t>
      </w:r>
      <w:r w:rsidR="005A3AA6" w:rsidRPr="00D46953">
        <w:rPr>
          <w:rFonts w:ascii="Times New Roman" w:eastAsia="Garamond" w:hAnsi="Times New Roman" w:cs="Times New Roman"/>
        </w:rPr>
        <w:t>2019</w:t>
      </w:r>
      <w:r w:rsidR="004A11D3" w:rsidRPr="00D46953">
        <w:rPr>
          <w:rFonts w:ascii="Times New Roman" w:eastAsia="Garamond" w:hAnsi="Times New Roman" w:cs="Times New Roman"/>
        </w:rPr>
        <w:t>.</w:t>
      </w:r>
    </w:p>
    <w:p w14:paraId="0E69467B" w14:textId="52AFB6DF" w:rsidR="0076227D" w:rsidRDefault="0076227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6157D" w:rsidRPr="00D46953" w14:paraId="3762F172" w14:textId="77777777" w:rsidTr="00682D8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7CCE62D" w14:textId="77777777" w:rsidR="0036157D" w:rsidRPr="00D46953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5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AA73FCF" w14:textId="77777777" w:rsidR="0036157D" w:rsidRPr="00D46953" w:rsidRDefault="00457F24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0B">
              <w:rPr>
                <w:rFonts w:ascii="Times New Roman" w:eastAsia="Garamond" w:hAnsi="Times New Roman" w:cs="Times New Roman"/>
              </w:rPr>
              <w:t>[</w:t>
            </w:r>
            <w:r w:rsidRPr="006E270B">
              <w:rPr>
                <w:rFonts w:ascii="Times New Roman" w:eastAsia="Garamond" w:hAnsi="Times New Roman" w:cs="Times New Roman"/>
                <w:highlight w:val="yellow"/>
              </w:rPr>
              <w:t>●</w:t>
            </w:r>
            <w:r w:rsidRPr="006E270B">
              <w:rPr>
                <w:rFonts w:ascii="Times New Roman" w:eastAsia="Garamond" w:hAnsi="Times New Roman" w:cs="Times New Roman"/>
              </w:rPr>
              <w:t>]</w:t>
            </w:r>
          </w:p>
          <w:p w14:paraId="2D47E4E2" w14:textId="77777777" w:rsidR="0036157D" w:rsidRPr="00D46953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53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A246F2B" w14:textId="77777777" w:rsidR="0036157D" w:rsidRPr="00D46953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5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2C99FE3" w14:textId="77777777" w:rsidR="0036157D" w:rsidRPr="00D46953" w:rsidRDefault="00457F24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0B">
              <w:rPr>
                <w:rFonts w:ascii="Times New Roman" w:eastAsia="Garamond" w:hAnsi="Times New Roman" w:cs="Times New Roman"/>
              </w:rPr>
              <w:t>[</w:t>
            </w:r>
            <w:r w:rsidRPr="006E270B">
              <w:rPr>
                <w:rFonts w:ascii="Times New Roman" w:eastAsia="Garamond" w:hAnsi="Times New Roman" w:cs="Times New Roman"/>
                <w:highlight w:val="yellow"/>
              </w:rPr>
              <w:t>●</w:t>
            </w:r>
            <w:r w:rsidRPr="006E270B">
              <w:rPr>
                <w:rFonts w:ascii="Times New Roman" w:eastAsia="Garamond" w:hAnsi="Times New Roman" w:cs="Times New Roman"/>
              </w:rPr>
              <w:t>]</w:t>
            </w:r>
          </w:p>
          <w:p w14:paraId="2C078415" w14:textId="77777777" w:rsidR="0036157D" w:rsidRPr="00D46953" w:rsidRDefault="000E3AA0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69D577C1" w14:textId="77777777" w:rsidR="00457F24" w:rsidRDefault="00457F24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57F24" w:rsidRPr="00D46953" w14:paraId="601BA4B4" w14:textId="77777777" w:rsidTr="00682D8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D60230C" w14:textId="77777777" w:rsidR="00457F24" w:rsidRPr="00D46953" w:rsidRDefault="00457F24" w:rsidP="00D4695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C2D4779" w14:textId="77777777" w:rsidR="00457F24" w:rsidRPr="00D46953" w:rsidRDefault="00457F24" w:rsidP="00D4695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8A6CA0" w14:textId="4E292B95" w:rsidR="00D0011F" w:rsidRPr="00D0011F" w:rsidRDefault="00D0011F" w:rsidP="00D0011F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t>(</w:t>
      </w:r>
      <w:r w:rsidR="00C06C89">
        <w:rPr>
          <w:rFonts w:ascii="Times New Roman" w:eastAsia="Times New Roman" w:hAnsi="Times New Roman" w:cs="Times New Roman"/>
          <w:i/>
          <w:color w:val="auto"/>
        </w:rPr>
        <w:t>Página</w:t>
      </w:r>
      <w:r w:rsidR="00C06C89"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de assinaturas continuação da Ata de Assembleia Geral </w:t>
      </w:r>
      <w:r w:rsidR="00457F24"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</w:t>
      </w:r>
      <w:r w:rsidR="00457F24">
        <w:rPr>
          <w:rFonts w:ascii="Times New Roman" w:eastAsia="Times New Roman" w:hAnsi="Times New Roman" w:cs="Times New Roman"/>
          <w:i/>
          <w:color w:val="auto"/>
        </w:rPr>
        <w:t>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>1ª (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>Primeira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)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 xml:space="preserve">Série 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>da 2ª (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>Segunda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)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 xml:space="preserve">Emissão 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de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>Debêntures Simples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,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 xml:space="preserve">Não Conversíveis 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em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>Ações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, da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 xml:space="preserve">Espécie 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com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>Garantia Real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, com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>Garantia Adicional Fidejussória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>, em 2 (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>Duas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)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>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do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 xml:space="preserve">Colégio </w:t>
      </w:r>
      <w:proofErr w:type="spellStart"/>
      <w:r w:rsidR="00457F24" w:rsidRPr="00457F24">
        <w:rPr>
          <w:rFonts w:ascii="Times New Roman" w:eastAsia="Times New Roman" w:hAnsi="Times New Roman" w:cs="Times New Roman"/>
          <w:i/>
          <w:color w:val="auto"/>
        </w:rPr>
        <w:t>Vimasa</w:t>
      </w:r>
      <w:proofErr w:type="spellEnd"/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 S.A.</w:t>
      </w:r>
      <w:r w:rsidR="00457F24">
        <w:rPr>
          <w:rFonts w:ascii="Times New Roman" w:eastAsia="Times New Roman" w:hAnsi="Times New Roman" w:cs="Times New Roman"/>
          <w:i/>
          <w:color w:val="auto"/>
        </w:rPr>
        <w:t>,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[</w:t>
      </w:r>
      <w:r w:rsidR="00457F24" w:rsidRPr="00457F24">
        <w:rPr>
          <w:rFonts w:ascii="Times New Roman" w:eastAsia="Times New Roman" w:hAnsi="Times New Roman" w:cs="Times New Roman"/>
          <w:i/>
          <w:color w:val="auto"/>
          <w:highlight w:val="yellow"/>
        </w:rPr>
        <w:t>●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>] de [</w:t>
      </w:r>
      <w:r w:rsidR="00457F24" w:rsidRPr="00457F24">
        <w:rPr>
          <w:rFonts w:ascii="Times New Roman" w:eastAsia="Times New Roman" w:hAnsi="Times New Roman" w:cs="Times New Roman"/>
          <w:i/>
          <w:color w:val="auto"/>
          <w:highlight w:val="yellow"/>
        </w:rPr>
        <w:t>mês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>] de 2019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1C760ACC" w14:textId="77777777" w:rsidR="00D0011F" w:rsidRPr="00D0011F" w:rsidRDefault="00D0011F" w:rsidP="00D0011F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7788F153" w14:textId="77777777" w:rsidR="00D0011F" w:rsidRPr="00D0011F" w:rsidRDefault="00457F24" w:rsidP="00D0011F">
      <w:pPr>
        <w:widowControl/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Debenturista</w:t>
      </w:r>
      <w:r w:rsidR="00D0011F"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5B9EE65A" w14:textId="77777777" w:rsidR="00D0011F" w:rsidRPr="00D0011F" w:rsidRDefault="00D0011F" w:rsidP="00D0011F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9F7E56E" w14:textId="77777777" w:rsidR="00D0011F" w:rsidRPr="00D0011F" w:rsidRDefault="00D0011F" w:rsidP="00D0011F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3629ABE4" w14:textId="77777777" w:rsidR="00D0011F" w:rsidRPr="00D0011F" w:rsidRDefault="00D0011F" w:rsidP="00D0011F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7B41846" w14:textId="77777777" w:rsidR="00D0011F" w:rsidRPr="00D0011F" w:rsidRDefault="00D0011F" w:rsidP="00D0011F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53143C73" w14:textId="77777777" w:rsidR="00D0011F" w:rsidRPr="00D0011F" w:rsidRDefault="00D0011F" w:rsidP="00D0011F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A5FEDE8" w14:textId="77777777" w:rsidR="00D0011F" w:rsidRPr="003E2068" w:rsidRDefault="00D0011F" w:rsidP="00D0011F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5D36A6DC" w14:textId="77777777" w:rsidR="00D0011F" w:rsidRPr="00C06C89" w:rsidRDefault="00457F24" w:rsidP="00D0011F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Cs/>
          <w:iCs/>
          <w:color w:val="auto"/>
        </w:rPr>
      </w:pPr>
      <w:r w:rsidRPr="00EB0531">
        <w:rPr>
          <w:rFonts w:ascii="Times New Roman" w:eastAsia="Times New Roman" w:hAnsi="Times New Roman" w:cs="Times New Roman"/>
          <w:iCs/>
          <w:color w:val="auto"/>
        </w:rPr>
        <w:t>[</w:t>
      </w:r>
      <w:r w:rsidRPr="00EB0531">
        <w:rPr>
          <w:rFonts w:ascii="Times New Roman" w:eastAsia="Times New Roman" w:hAnsi="Times New Roman" w:cs="Times New Roman"/>
          <w:iCs/>
          <w:color w:val="auto"/>
          <w:highlight w:val="yellow"/>
        </w:rPr>
        <w:t>●</w:t>
      </w:r>
      <w:r w:rsidRPr="00EB0531">
        <w:rPr>
          <w:rFonts w:ascii="Times New Roman" w:eastAsia="Times New Roman" w:hAnsi="Times New Roman" w:cs="Times New Roman"/>
          <w:iCs/>
          <w:color w:val="auto"/>
        </w:rPr>
        <w:t>]</w:t>
      </w:r>
    </w:p>
    <w:p w14:paraId="14AC2E00" w14:textId="77777777" w:rsidR="00457F24" w:rsidRDefault="00D0011F" w:rsidP="00DC19CF">
      <w:pPr>
        <w:spacing w:line="320" w:lineRule="exact"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bCs/>
          <w:color w:val="auto"/>
        </w:rPr>
        <w:t>Representad</w:t>
      </w:r>
      <w:r w:rsidR="00457F24">
        <w:rPr>
          <w:rFonts w:ascii="Times New Roman" w:eastAsia="Times New Roman" w:hAnsi="Times New Roman" w:cs="Times New Roman"/>
          <w:bCs/>
          <w:color w:val="auto"/>
        </w:rPr>
        <w:t>o</w:t>
      </w:r>
      <w:r w:rsidRPr="00D0011F">
        <w:rPr>
          <w:rFonts w:ascii="Times New Roman" w:eastAsia="Times New Roman" w:hAnsi="Times New Roman" w:cs="Times New Roman"/>
          <w:bCs/>
          <w:color w:val="auto"/>
        </w:rPr>
        <w:t xml:space="preserve"> por </w:t>
      </w:r>
      <w:r w:rsidR="00457F24" w:rsidRPr="00EB0531">
        <w:rPr>
          <w:rFonts w:ascii="Times New Roman" w:eastAsia="Times New Roman" w:hAnsi="Times New Roman" w:cs="Times New Roman"/>
          <w:iCs/>
          <w:color w:val="auto"/>
        </w:rPr>
        <w:t>[</w:t>
      </w:r>
      <w:r w:rsidR="00457F24" w:rsidRPr="00EB0531">
        <w:rPr>
          <w:rFonts w:ascii="Times New Roman" w:eastAsia="Times New Roman" w:hAnsi="Times New Roman" w:cs="Times New Roman"/>
          <w:iCs/>
          <w:color w:val="auto"/>
          <w:highlight w:val="yellow"/>
        </w:rPr>
        <w:t>●</w:t>
      </w:r>
      <w:r w:rsidR="00457F24" w:rsidRPr="00EB0531">
        <w:rPr>
          <w:rFonts w:ascii="Times New Roman" w:eastAsia="Times New Roman" w:hAnsi="Times New Roman" w:cs="Times New Roman"/>
          <w:iCs/>
          <w:color w:val="auto"/>
        </w:rPr>
        <w:t>]</w:t>
      </w:r>
    </w:p>
    <w:p w14:paraId="2C6D74F1" w14:textId="38F55C90" w:rsidR="001E257A" w:rsidRPr="001E257A" w:rsidRDefault="001E257A" w:rsidP="00DC19CF">
      <w:pPr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[</w:t>
      </w:r>
      <w:r w:rsidR="00C06C89" w:rsidRPr="00C06C89">
        <w:rPr>
          <w:rFonts w:ascii="Times New Roman" w:eastAsia="Times New Roman" w:hAnsi="Times New Roman" w:cs="Times New Roman"/>
          <w:i/>
          <w:iCs/>
          <w:color w:val="auto"/>
          <w:highlight w:val="yellow"/>
        </w:rPr>
        <w:t>cargo</w:t>
      </w:r>
      <w:r>
        <w:rPr>
          <w:rFonts w:ascii="Times New Roman" w:eastAsia="Times New Roman" w:hAnsi="Times New Roman" w:cs="Times New Roman"/>
          <w:color w:val="auto"/>
        </w:rPr>
        <w:t>]</w:t>
      </w:r>
    </w:p>
    <w:p w14:paraId="7E2C0B34" w14:textId="77777777" w:rsidR="00457F24" w:rsidRDefault="00457F24">
      <w:pPr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br w:type="page"/>
      </w:r>
    </w:p>
    <w:p w14:paraId="645E0D32" w14:textId="1C79D690" w:rsidR="00C06C89" w:rsidRPr="00D0011F" w:rsidRDefault="00C06C89" w:rsidP="00C06C89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lastRenderedPageBreak/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</w:t>
      </w:r>
      <w:r>
        <w:rPr>
          <w:rFonts w:ascii="Times New Roman" w:eastAsia="Times New Roman" w:hAnsi="Times New Roman" w:cs="Times New Roman"/>
          <w:i/>
          <w:color w:val="auto"/>
        </w:rPr>
        <w:t>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1ª (Primeira) Série da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</w:t>
      </w:r>
      <w:proofErr w:type="spellStart"/>
      <w:r w:rsidRPr="00457F24">
        <w:rPr>
          <w:rFonts w:ascii="Times New Roman" w:eastAsia="Times New Roman" w:hAnsi="Times New Roman" w:cs="Times New Roman"/>
          <w:i/>
          <w:color w:val="auto"/>
        </w:rPr>
        <w:t>Vimasa</w:t>
      </w:r>
      <w:proofErr w:type="spellEnd"/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[</w:t>
      </w:r>
      <w:r w:rsidRPr="00457F24">
        <w:rPr>
          <w:rFonts w:ascii="Times New Roman" w:eastAsia="Times New Roman" w:hAnsi="Times New Roman" w:cs="Times New Roman"/>
          <w:i/>
          <w:color w:val="auto"/>
          <w:highlight w:val="yellow"/>
        </w:rPr>
        <w:t>●</w:t>
      </w:r>
      <w:r w:rsidRPr="00457F24">
        <w:rPr>
          <w:rFonts w:ascii="Times New Roman" w:eastAsia="Times New Roman" w:hAnsi="Times New Roman" w:cs="Times New Roman"/>
          <w:i/>
          <w:color w:val="auto"/>
        </w:rPr>
        <w:t>] de [</w:t>
      </w:r>
      <w:r w:rsidRPr="00457F24">
        <w:rPr>
          <w:rFonts w:ascii="Times New Roman" w:eastAsia="Times New Roman" w:hAnsi="Times New Roman" w:cs="Times New Roman"/>
          <w:i/>
          <w:color w:val="auto"/>
          <w:highlight w:val="yellow"/>
        </w:rPr>
        <w:t>mês</w:t>
      </w:r>
      <w:r w:rsidRPr="00457F24">
        <w:rPr>
          <w:rFonts w:ascii="Times New Roman" w:eastAsia="Times New Roman" w:hAnsi="Times New Roman" w:cs="Times New Roman"/>
          <w:i/>
          <w:color w:val="auto"/>
        </w:rPr>
        <w:t>] de 2019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4EE18A28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3D7DF893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Agente Fiduciário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24B5E34A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0DD571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662D29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835BE6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50D63D4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5F987B0" w14:textId="77777777" w:rsidR="00457F24" w:rsidRPr="003E2068" w:rsidRDefault="00457F24" w:rsidP="00457F24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10D73BF0" w14:textId="77777777" w:rsidR="001E257A" w:rsidRPr="00EB0531" w:rsidRDefault="001E257A" w:rsidP="00457F24">
      <w:pPr>
        <w:spacing w:line="320" w:lineRule="exact"/>
        <w:jc w:val="center"/>
        <w:rPr>
          <w:rStyle w:val="TextodocorpoNegrito"/>
          <w:rFonts w:ascii="Times New Roman" w:hAnsi="Times New Roman" w:cs="Times New Roman"/>
          <w:sz w:val="24"/>
          <w:szCs w:val="24"/>
        </w:rPr>
      </w:pPr>
      <w:proofErr w:type="spellStart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>Simplific</w:t>
      </w:r>
      <w:proofErr w:type="spellEnd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>Pavarini</w:t>
      </w:r>
      <w:proofErr w:type="spellEnd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 xml:space="preserve"> Distribuidora de Títulos e Valores Mobiliários Ltda.</w:t>
      </w:r>
    </w:p>
    <w:p w14:paraId="2C23273A" w14:textId="77777777" w:rsidR="00457F24" w:rsidRPr="00C06C89" w:rsidRDefault="00457F24" w:rsidP="00457F24">
      <w:pPr>
        <w:spacing w:line="320" w:lineRule="exact"/>
        <w:jc w:val="center"/>
        <w:rPr>
          <w:rFonts w:ascii="Times New Roman" w:hAnsi="Times New Roman" w:cs="Times New Roman"/>
          <w:iCs/>
        </w:rPr>
      </w:pPr>
      <w:r w:rsidRPr="00D0011F">
        <w:rPr>
          <w:rFonts w:ascii="Times New Roman" w:eastAsia="Times New Roman" w:hAnsi="Times New Roman" w:cs="Times New Roman"/>
          <w:bCs/>
          <w:color w:val="auto"/>
        </w:rPr>
        <w:t>Representad</w:t>
      </w:r>
      <w:r>
        <w:rPr>
          <w:rFonts w:ascii="Times New Roman" w:eastAsia="Times New Roman" w:hAnsi="Times New Roman" w:cs="Times New Roman"/>
          <w:bCs/>
          <w:color w:val="auto"/>
        </w:rPr>
        <w:t>o</w:t>
      </w:r>
      <w:r w:rsidRPr="00D0011F">
        <w:rPr>
          <w:rFonts w:ascii="Times New Roman" w:eastAsia="Times New Roman" w:hAnsi="Times New Roman" w:cs="Times New Roman"/>
          <w:bCs/>
          <w:color w:val="auto"/>
        </w:rPr>
        <w:t xml:space="preserve"> por </w:t>
      </w:r>
      <w:r w:rsidRPr="00EB0531">
        <w:rPr>
          <w:rFonts w:ascii="Times New Roman" w:eastAsia="Times New Roman" w:hAnsi="Times New Roman" w:cs="Times New Roman"/>
          <w:iCs/>
          <w:color w:val="auto"/>
        </w:rPr>
        <w:t>[</w:t>
      </w:r>
      <w:r w:rsidRPr="00EB0531">
        <w:rPr>
          <w:rFonts w:ascii="Times New Roman" w:eastAsia="Times New Roman" w:hAnsi="Times New Roman" w:cs="Times New Roman"/>
          <w:iCs/>
          <w:color w:val="auto"/>
          <w:highlight w:val="yellow"/>
        </w:rPr>
        <w:t>●</w:t>
      </w:r>
      <w:r w:rsidRPr="00EB0531">
        <w:rPr>
          <w:rFonts w:ascii="Times New Roman" w:eastAsia="Times New Roman" w:hAnsi="Times New Roman" w:cs="Times New Roman"/>
          <w:iCs/>
          <w:color w:val="auto"/>
        </w:rPr>
        <w:t>]</w:t>
      </w:r>
    </w:p>
    <w:p w14:paraId="5BA4A905" w14:textId="77777777" w:rsidR="001E257A" w:rsidRDefault="001E257A" w:rsidP="00DC19CF">
      <w:pPr>
        <w:spacing w:line="3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EB0531">
        <w:rPr>
          <w:rFonts w:ascii="Times New Roman" w:hAnsi="Times New Roman" w:cs="Times New Roman"/>
          <w:i/>
          <w:iCs/>
          <w:highlight w:val="yellow"/>
        </w:rPr>
        <w:t>cargo</w:t>
      </w:r>
      <w:r>
        <w:rPr>
          <w:rFonts w:ascii="Times New Roman" w:hAnsi="Times New Roman" w:cs="Times New Roman"/>
        </w:rPr>
        <w:t>]</w:t>
      </w:r>
    </w:p>
    <w:p w14:paraId="56F5138F" w14:textId="77777777" w:rsidR="001E257A" w:rsidRDefault="001E2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B92554" w14:textId="09290737" w:rsidR="00C06C89" w:rsidRPr="00D0011F" w:rsidRDefault="00C06C89" w:rsidP="00C06C89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lastRenderedPageBreak/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</w:t>
      </w:r>
      <w:r>
        <w:rPr>
          <w:rFonts w:ascii="Times New Roman" w:eastAsia="Times New Roman" w:hAnsi="Times New Roman" w:cs="Times New Roman"/>
          <w:i/>
          <w:color w:val="auto"/>
        </w:rPr>
        <w:t>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1ª (Primeira) Série da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</w:t>
      </w:r>
      <w:proofErr w:type="spellStart"/>
      <w:r w:rsidRPr="00457F24">
        <w:rPr>
          <w:rFonts w:ascii="Times New Roman" w:eastAsia="Times New Roman" w:hAnsi="Times New Roman" w:cs="Times New Roman"/>
          <w:i/>
          <w:color w:val="auto"/>
        </w:rPr>
        <w:t>Vimasa</w:t>
      </w:r>
      <w:proofErr w:type="spellEnd"/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[</w:t>
      </w:r>
      <w:r w:rsidRPr="00457F24">
        <w:rPr>
          <w:rFonts w:ascii="Times New Roman" w:eastAsia="Times New Roman" w:hAnsi="Times New Roman" w:cs="Times New Roman"/>
          <w:i/>
          <w:color w:val="auto"/>
          <w:highlight w:val="yellow"/>
        </w:rPr>
        <w:t>●</w:t>
      </w:r>
      <w:r w:rsidRPr="00457F24">
        <w:rPr>
          <w:rFonts w:ascii="Times New Roman" w:eastAsia="Times New Roman" w:hAnsi="Times New Roman" w:cs="Times New Roman"/>
          <w:i/>
          <w:color w:val="auto"/>
        </w:rPr>
        <w:t>] de [</w:t>
      </w:r>
      <w:r w:rsidRPr="00457F24">
        <w:rPr>
          <w:rFonts w:ascii="Times New Roman" w:eastAsia="Times New Roman" w:hAnsi="Times New Roman" w:cs="Times New Roman"/>
          <w:i/>
          <w:color w:val="auto"/>
          <w:highlight w:val="yellow"/>
        </w:rPr>
        <w:t>mês</w:t>
      </w:r>
      <w:r w:rsidRPr="00457F24">
        <w:rPr>
          <w:rFonts w:ascii="Times New Roman" w:eastAsia="Times New Roman" w:hAnsi="Times New Roman" w:cs="Times New Roman"/>
          <w:i/>
          <w:color w:val="auto"/>
        </w:rPr>
        <w:t>] de 2019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7247EE46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4C8CDD74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Emissora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531885E1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6ED4E14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7D43BA2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2400AF03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946D4F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3D65D204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0636B0B5" w14:textId="77777777" w:rsidR="001E257A" w:rsidRPr="00C06C89" w:rsidRDefault="001E257A" w:rsidP="001E257A">
      <w:pPr>
        <w:spacing w:line="320" w:lineRule="exact"/>
        <w:jc w:val="center"/>
        <w:rPr>
          <w:rStyle w:val="TextodocorpoNegrito"/>
          <w:rFonts w:ascii="Times New Roman" w:hAnsi="Times New Roman" w:cs="Times New Roman"/>
          <w:b w:val="0"/>
          <w:sz w:val="24"/>
          <w:szCs w:val="24"/>
        </w:rPr>
      </w:pPr>
      <w:r w:rsidRPr="00EB0531">
        <w:rPr>
          <w:rFonts w:ascii="Times New Roman" w:hAnsi="Times New Roman" w:cs="Times New Roman"/>
          <w:b/>
          <w:bCs/>
        </w:rPr>
        <w:t xml:space="preserve">Colégio </w:t>
      </w:r>
      <w:proofErr w:type="spellStart"/>
      <w:r w:rsidRPr="00EB0531">
        <w:rPr>
          <w:rFonts w:ascii="Times New Roman" w:hAnsi="Times New Roman" w:cs="Times New Roman"/>
          <w:b/>
          <w:bCs/>
        </w:rPr>
        <w:t>Vimasa</w:t>
      </w:r>
      <w:proofErr w:type="spellEnd"/>
      <w:r w:rsidRPr="00EB0531">
        <w:rPr>
          <w:rFonts w:ascii="Times New Roman" w:hAnsi="Times New Roman" w:cs="Times New Roman"/>
          <w:b/>
          <w:bCs/>
        </w:rPr>
        <w:t xml:space="preserve"> S.A.</w:t>
      </w:r>
    </w:p>
    <w:p w14:paraId="7B25CDA4" w14:textId="77777777" w:rsidR="001E257A" w:rsidRPr="00D46953" w:rsidRDefault="001E257A" w:rsidP="001E257A">
      <w:pPr>
        <w:spacing w:line="320" w:lineRule="exact"/>
        <w:jc w:val="center"/>
        <w:rPr>
          <w:rFonts w:ascii="Times New Roman" w:hAnsi="Times New Roman" w:cs="Times New Roman"/>
        </w:rPr>
      </w:pPr>
      <w:r w:rsidRPr="00D0011F">
        <w:rPr>
          <w:rFonts w:ascii="Times New Roman" w:eastAsia="Times New Roman" w:hAnsi="Times New Roman" w:cs="Times New Roman"/>
          <w:bCs/>
          <w:color w:val="auto"/>
        </w:rPr>
        <w:t>Representad</w:t>
      </w:r>
      <w:r>
        <w:rPr>
          <w:rFonts w:ascii="Times New Roman" w:eastAsia="Times New Roman" w:hAnsi="Times New Roman" w:cs="Times New Roman"/>
          <w:bCs/>
          <w:color w:val="auto"/>
        </w:rPr>
        <w:t>o</w:t>
      </w:r>
      <w:r w:rsidRPr="00D0011F">
        <w:rPr>
          <w:rFonts w:ascii="Times New Roman" w:eastAsia="Times New Roman" w:hAnsi="Times New Roman" w:cs="Times New Roman"/>
          <w:bCs/>
          <w:color w:val="auto"/>
        </w:rPr>
        <w:t xml:space="preserve"> por </w:t>
      </w:r>
      <w:r w:rsidRPr="00EB0531">
        <w:rPr>
          <w:rFonts w:ascii="Times New Roman" w:eastAsia="Times New Roman" w:hAnsi="Times New Roman" w:cs="Times New Roman"/>
          <w:iCs/>
          <w:color w:val="auto"/>
        </w:rPr>
        <w:t>[</w:t>
      </w:r>
      <w:r w:rsidRPr="00EB0531">
        <w:rPr>
          <w:rFonts w:ascii="Times New Roman" w:eastAsia="Times New Roman" w:hAnsi="Times New Roman" w:cs="Times New Roman"/>
          <w:iCs/>
          <w:color w:val="auto"/>
          <w:highlight w:val="yellow"/>
        </w:rPr>
        <w:t>●</w:t>
      </w:r>
      <w:r w:rsidRPr="00EB0531">
        <w:rPr>
          <w:rFonts w:ascii="Times New Roman" w:eastAsia="Times New Roman" w:hAnsi="Times New Roman" w:cs="Times New Roman"/>
          <w:iCs/>
          <w:color w:val="auto"/>
        </w:rPr>
        <w:t>]</w:t>
      </w:r>
    </w:p>
    <w:p w14:paraId="17DDE414" w14:textId="1C724628" w:rsidR="00DC19CF" w:rsidRPr="00D46953" w:rsidRDefault="001E257A" w:rsidP="00DC19CF">
      <w:pPr>
        <w:spacing w:line="3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EB0531">
        <w:rPr>
          <w:rFonts w:ascii="Times New Roman" w:hAnsi="Times New Roman" w:cs="Times New Roman"/>
          <w:i/>
          <w:iCs/>
          <w:highlight w:val="yellow"/>
        </w:rPr>
        <w:t>cargo</w:t>
      </w:r>
      <w:r>
        <w:rPr>
          <w:rFonts w:ascii="Times New Roman" w:hAnsi="Times New Roman" w:cs="Times New Roman"/>
        </w:rPr>
        <w:t>]</w:t>
      </w:r>
    </w:p>
    <w:p w14:paraId="36838FE2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sectPr w:rsidR="00257D32" w:rsidRPr="00D46953" w:rsidSect="005A3AA6">
      <w:headerReference w:type="default" r:id="rId8"/>
      <w:footerReference w:type="default" r:id="rId9"/>
      <w:type w:val="continuous"/>
      <w:pgSz w:w="11909" w:h="16834"/>
      <w:pgMar w:top="1531" w:right="1701" w:bottom="2126" w:left="1701" w:header="567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0CD01" w14:textId="77777777" w:rsidR="00790204" w:rsidRDefault="00790204">
      <w:r>
        <w:separator/>
      </w:r>
    </w:p>
  </w:endnote>
  <w:endnote w:type="continuationSeparator" w:id="0">
    <w:p w14:paraId="22A391C1" w14:textId="77777777" w:rsidR="00790204" w:rsidRDefault="0079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421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CD9017B" w14:textId="77777777" w:rsidR="00B04BC8" w:rsidRPr="00B04BC8" w:rsidRDefault="00480A67" w:rsidP="00B04BC8">
        <w:pPr>
          <w:pStyle w:val="Rodap"/>
          <w:jc w:val="right"/>
          <w:rPr>
            <w:rFonts w:ascii="Times New Roman" w:hAnsi="Times New Roman" w:cs="Times New Roman"/>
            <w:sz w:val="22"/>
            <w:szCs w:val="22"/>
          </w:rPr>
        </w:pPr>
        <w:r w:rsidRPr="00B04BC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B04BC8" w:rsidRPr="00B04BC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DC19CF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0D285" w14:textId="77777777" w:rsidR="00790204" w:rsidRDefault="00790204"/>
  </w:footnote>
  <w:footnote w:type="continuationSeparator" w:id="0">
    <w:p w14:paraId="3D145C58" w14:textId="77777777" w:rsidR="00790204" w:rsidRDefault="007902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34325" w14:textId="4E5B8718" w:rsidR="0012398B" w:rsidRPr="00EB0531" w:rsidRDefault="0012398B" w:rsidP="0012398B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  <w:r w:rsidRPr="00EB0531">
      <w:rPr>
        <w:rFonts w:ascii="Times New Roman" w:hAnsi="Times New Roman" w:cs="Times New Roman"/>
        <w:i/>
        <w:iCs/>
        <w:sz w:val="20"/>
        <w:szCs w:val="20"/>
      </w:rPr>
      <w:t>Minuta Preliminar Cescon Barrieu</w:t>
    </w:r>
  </w:p>
  <w:p w14:paraId="285A8281" w14:textId="28B4F888" w:rsidR="0012398B" w:rsidRPr="00EB0531" w:rsidRDefault="00F07BB2" w:rsidP="00EB053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13 de dezembro</w:t>
    </w:r>
    <w:r w:rsidR="0012398B" w:rsidRPr="00EB0531">
      <w:rPr>
        <w:rFonts w:ascii="Times New Roman" w:hAnsi="Times New Roman" w:cs="Times New Roman"/>
        <w:i/>
        <w:iCs/>
        <w:sz w:val="20"/>
        <w:szCs w:val="20"/>
      </w:rPr>
      <w:t xml:space="preserve"> de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063A"/>
    <w:multiLevelType w:val="hybridMultilevel"/>
    <w:tmpl w:val="8AE88ED4"/>
    <w:lvl w:ilvl="0" w:tplc="90B6038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38B3"/>
    <w:multiLevelType w:val="multilevel"/>
    <w:tmpl w:val="3A7630E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/>
      </w:rPr>
    </w:lvl>
    <w:lvl w:ilvl="1">
      <w:numFmt w:val="decimal"/>
      <w:lvlText w:val=""/>
      <w:lvlJc w:val="left"/>
      <w:pPr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567" w:hanging="567"/>
      </w:pPr>
      <w:rPr>
        <w:rFonts w:hint="default"/>
      </w:rPr>
    </w:lvl>
    <w:lvl w:ilvl="3">
      <w:numFmt w:val="decimal"/>
      <w:lvlText w:val=""/>
      <w:lvlJc w:val="left"/>
      <w:pPr>
        <w:ind w:left="567" w:hanging="567"/>
      </w:pPr>
      <w:rPr>
        <w:rFonts w:hint="default"/>
      </w:rPr>
    </w:lvl>
    <w:lvl w:ilvl="4">
      <w:numFmt w:val="decimal"/>
      <w:lvlText w:val=""/>
      <w:lvlJc w:val="left"/>
      <w:pPr>
        <w:ind w:left="567" w:hanging="567"/>
      </w:pPr>
      <w:rPr>
        <w:rFonts w:hint="default"/>
      </w:rPr>
    </w:lvl>
    <w:lvl w:ilvl="5">
      <w:numFmt w:val="decimal"/>
      <w:lvlText w:val=""/>
      <w:lvlJc w:val="left"/>
      <w:pPr>
        <w:ind w:left="567" w:hanging="567"/>
      </w:pPr>
      <w:rPr>
        <w:rFonts w:hint="default"/>
      </w:rPr>
    </w:lvl>
    <w:lvl w:ilvl="6">
      <w:numFmt w:val="decimal"/>
      <w:lvlText w:val=""/>
      <w:lvlJc w:val="left"/>
      <w:pPr>
        <w:ind w:left="567" w:hanging="567"/>
      </w:pPr>
      <w:rPr>
        <w:rFonts w:hint="default"/>
      </w:rPr>
    </w:lvl>
    <w:lvl w:ilvl="7">
      <w:numFmt w:val="decimal"/>
      <w:lvlText w:val=""/>
      <w:lvlJc w:val="left"/>
      <w:pPr>
        <w:ind w:left="567" w:hanging="567"/>
      </w:pPr>
      <w:rPr>
        <w:rFonts w:hint="default"/>
      </w:rPr>
    </w:lvl>
    <w:lvl w:ilvl="8">
      <w:numFmt w:val="decimal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37BC65B1"/>
    <w:multiLevelType w:val="hybridMultilevel"/>
    <w:tmpl w:val="110E99BE"/>
    <w:lvl w:ilvl="0" w:tplc="4184E02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2A3F"/>
    <w:multiLevelType w:val="hybridMultilevel"/>
    <w:tmpl w:val="EBA24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F311B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80"/>
    <w:rsid w:val="00001177"/>
    <w:rsid w:val="00003076"/>
    <w:rsid w:val="000338FA"/>
    <w:rsid w:val="00080D99"/>
    <w:rsid w:val="00083282"/>
    <w:rsid w:val="00086CDA"/>
    <w:rsid w:val="000C2BAD"/>
    <w:rsid w:val="000D5C12"/>
    <w:rsid w:val="000E3AA0"/>
    <w:rsid w:val="0012022F"/>
    <w:rsid w:val="0012398B"/>
    <w:rsid w:val="00133087"/>
    <w:rsid w:val="001422C6"/>
    <w:rsid w:val="001438E5"/>
    <w:rsid w:val="00143F63"/>
    <w:rsid w:val="00162A66"/>
    <w:rsid w:val="00163774"/>
    <w:rsid w:val="001E257A"/>
    <w:rsid w:val="001E2EB0"/>
    <w:rsid w:val="001E57AA"/>
    <w:rsid w:val="00201DBC"/>
    <w:rsid w:val="00222735"/>
    <w:rsid w:val="002248EA"/>
    <w:rsid w:val="00227378"/>
    <w:rsid w:val="002470E7"/>
    <w:rsid w:val="00257D32"/>
    <w:rsid w:val="00292DC8"/>
    <w:rsid w:val="002D29D0"/>
    <w:rsid w:val="002D601D"/>
    <w:rsid w:val="00324323"/>
    <w:rsid w:val="00325D31"/>
    <w:rsid w:val="00352725"/>
    <w:rsid w:val="0036157D"/>
    <w:rsid w:val="00382B94"/>
    <w:rsid w:val="003A382C"/>
    <w:rsid w:val="003B0481"/>
    <w:rsid w:val="003C71C0"/>
    <w:rsid w:val="003E2068"/>
    <w:rsid w:val="00431FBC"/>
    <w:rsid w:val="00442E29"/>
    <w:rsid w:val="004534B8"/>
    <w:rsid w:val="00454347"/>
    <w:rsid w:val="00457F24"/>
    <w:rsid w:val="00465BF6"/>
    <w:rsid w:val="00471A2A"/>
    <w:rsid w:val="004779C4"/>
    <w:rsid w:val="00480A67"/>
    <w:rsid w:val="0048661E"/>
    <w:rsid w:val="00492F66"/>
    <w:rsid w:val="004A11D3"/>
    <w:rsid w:val="004A3AEF"/>
    <w:rsid w:val="004A4408"/>
    <w:rsid w:val="004B7EC0"/>
    <w:rsid w:val="004C00E8"/>
    <w:rsid w:val="004E7EBA"/>
    <w:rsid w:val="004F5259"/>
    <w:rsid w:val="00527A41"/>
    <w:rsid w:val="005316E1"/>
    <w:rsid w:val="005A37F3"/>
    <w:rsid w:val="005A3AA6"/>
    <w:rsid w:val="005B2F5A"/>
    <w:rsid w:val="005C7626"/>
    <w:rsid w:val="005F2A02"/>
    <w:rsid w:val="00600F87"/>
    <w:rsid w:val="00601EEC"/>
    <w:rsid w:val="00637BA9"/>
    <w:rsid w:val="0064690E"/>
    <w:rsid w:val="00661664"/>
    <w:rsid w:val="0066753E"/>
    <w:rsid w:val="006837C5"/>
    <w:rsid w:val="006B04DB"/>
    <w:rsid w:val="006B3A53"/>
    <w:rsid w:val="006D3990"/>
    <w:rsid w:val="006E270B"/>
    <w:rsid w:val="00717206"/>
    <w:rsid w:val="00725029"/>
    <w:rsid w:val="00750F30"/>
    <w:rsid w:val="0076055E"/>
    <w:rsid w:val="0076227D"/>
    <w:rsid w:val="00766F9D"/>
    <w:rsid w:val="00771CBE"/>
    <w:rsid w:val="0077338F"/>
    <w:rsid w:val="00790204"/>
    <w:rsid w:val="00791DB3"/>
    <w:rsid w:val="0079327F"/>
    <w:rsid w:val="007A2BDD"/>
    <w:rsid w:val="007B5509"/>
    <w:rsid w:val="007C64DA"/>
    <w:rsid w:val="007D3EE2"/>
    <w:rsid w:val="007D5CBF"/>
    <w:rsid w:val="007E7B1D"/>
    <w:rsid w:val="00823799"/>
    <w:rsid w:val="0086131D"/>
    <w:rsid w:val="008A4EF8"/>
    <w:rsid w:val="008C5BEB"/>
    <w:rsid w:val="008D4328"/>
    <w:rsid w:val="0090415C"/>
    <w:rsid w:val="00914B2F"/>
    <w:rsid w:val="00930024"/>
    <w:rsid w:val="00931F8A"/>
    <w:rsid w:val="00942E9B"/>
    <w:rsid w:val="00947186"/>
    <w:rsid w:val="009471C9"/>
    <w:rsid w:val="00947680"/>
    <w:rsid w:val="00967774"/>
    <w:rsid w:val="0098212A"/>
    <w:rsid w:val="00987944"/>
    <w:rsid w:val="009A2AB4"/>
    <w:rsid w:val="009A5472"/>
    <w:rsid w:val="009B6ABA"/>
    <w:rsid w:val="009D49F7"/>
    <w:rsid w:val="009E503C"/>
    <w:rsid w:val="00A00EC3"/>
    <w:rsid w:val="00A53F6F"/>
    <w:rsid w:val="00A57574"/>
    <w:rsid w:val="00A6143B"/>
    <w:rsid w:val="00B04BC8"/>
    <w:rsid w:val="00B060E7"/>
    <w:rsid w:val="00B21901"/>
    <w:rsid w:val="00B258B3"/>
    <w:rsid w:val="00B4146B"/>
    <w:rsid w:val="00B466DC"/>
    <w:rsid w:val="00B823BB"/>
    <w:rsid w:val="00B82FBD"/>
    <w:rsid w:val="00B9635D"/>
    <w:rsid w:val="00BC0BA4"/>
    <w:rsid w:val="00BD2E8B"/>
    <w:rsid w:val="00BD2FEB"/>
    <w:rsid w:val="00BF5BC8"/>
    <w:rsid w:val="00C06C89"/>
    <w:rsid w:val="00C479DA"/>
    <w:rsid w:val="00C73313"/>
    <w:rsid w:val="00C74583"/>
    <w:rsid w:val="00C82489"/>
    <w:rsid w:val="00C83415"/>
    <w:rsid w:val="00C87583"/>
    <w:rsid w:val="00C920CE"/>
    <w:rsid w:val="00CB55E6"/>
    <w:rsid w:val="00CC198C"/>
    <w:rsid w:val="00D0011F"/>
    <w:rsid w:val="00D23C89"/>
    <w:rsid w:val="00D46953"/>
    <w:rsid w:val="00D518BF"/>
    <w:rsid w:val="00D51D63"/>
    <w:rsid w:val="00D569BD"/>
    <w:rsid w:val="00D76444"/>
    <w:rsid w:val="00DA08BF"/>
    <w:rsid w:val="00DC03DE"/>
    <w:rsid w:val="00DC19CF"/>
    <w:rsid w:val="00DD1428"/>
    <w:rsid w:val="00E05E8D"/>
    <w:rsid w:val="00E24CD2"/>
    <w:rsid w:val="00E33012"/>
    <w:rsid w:val="00E64E39"/>
    <w:rsid w:val="00E82EF7"/>
    <w:rsid w:val="00EA11FA"/>
    <w:rsid w:val="00EB0531"/>
    <w:rsid w:val="00F07BB2"/>
    <w:rsid w:val="00F127D2"/>
    <w:rsid w:val="00F33AD6"/>
    <w:rsid w:val="00F37A3D"/>
    <w:rsid w:val="00F51A64"/>
    <w:rsid w:val="00FA168E"/>
    <w:rsid w:val="00FA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98DB3F"/>
  <w15:docId w15:val="{6C575189-9685-4101-A01E-FFA8BFE7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7A41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27A41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">
    <w:name w:val="Texto do corpo_"/>
    <w:basedOn w:val="Fontepargpadro"/>
    <w:link w:val="Textodocorpo1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Negrito">
    <w:name w:val="Texto do corpo + Negrito"/>
    <w:basedOn w:val="Textodocorpo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Textodocorpo0">
    <w:name w:val="Texto do corpo"/>
    <w:basedOn w:val="Textodocorpo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t-BR"/>
    </w:rPr>
  </w:style>
  <w:style w:type="character" w:customStyle="1" w:styleId="TextodocorpoItlico">
    <w:name w:val="Texto do corpo + Itálico"/>
    <w:basedOn w:val="Textodocorpo"/>
    <w:rsid w:val="00527A4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paragraph" w:customStyle="1" w:styleId="Ttulo10">
    <w:name w:val="Título #1"/>
    <w:basedOn w:val="Normal"/>
    <w:link w:val="Ttulo1"/>
    <w:rsid w:val="00527A41"/>
    <w:pPr>
      <w:shd w:val="clear" w:color="auto" w:fill="FFFFFF"/>
      <w:spacing w:line="317" w:lineRule="exact"/>
      <w:jc w:val="center"/>
      <w:outlineLvl w:val="0"/>
    </w:pPr>
    <w:rPr>
      <w:rFonts w:ascii="Garamond" w:eastAsia="Garamond" w:hAnsi="Garamond" w:cs="Garamond"/>
      <w:b/>
      <w:bCs/>
      <w:sz w:val="27"/>
      <w:szCs w:val="27"/>
    </w:rPr>
  </w:style>
  <w:style w:type="paragraph" w:customStyle="1" w:styleId="Textodocorpo1">
    <w:name w:val="Texto do corpo1"/>
    <w:basedOn w:val="Normal"/>
    <w:link w:val="Textodocorpo"/>
    <w:rsid w:val="00527A41"/>
    <w:pPr>
      <w:shd w:val="clear" w:color="auto" w:fill="FFFFFF"/>
      <w:spacing w:line="317" w:lineRule="exact"/>
      <w:jc w:val="center"/>
    </w:pPr>
    <w:rPr>
      <w:rFonts w:ascii="Garamond" w:eastAsia="Garamond" w:hAnsi="Garamond" w:cs="Garamond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C8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C89"/>
    <w:rPr>
      <w:color w:val="000000"/>
    </w:rPr>
  </w:style>
  <w:style w:type="paragraph" w:styleId="PargrafodaLista">
    <w:name w:val="List Paragraph"/>
    <w:basedOn w:val="Normal"/>
    <w:uiPriority w:val="34"/>
    <w:qFormat/>
    <w:rsid w:val="00257D3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030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5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574"/>
    <w:rPr>
      <w:rFonts w:ascii="Segoe U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36157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FFBE8-3074-4A99-A2C9-78E817D9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922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Cescon Barrieu</dc:creator>
  <cp:keywords/>
  <dc:description/>
  <cp:lastModifiedBy>Cescon Barrieu</cp:lastModifiedBy>
  <cp:revision>7</cp:revision>
  <cp:lastPrinted>2015-10-14T21:53:00Z</cp:lastPrinted>
  <dcterms:created xsi:type="dcterms:W3CDTF">2019-11-06T23:22:00Z</dcterms:created>
  <dcterms:modified xsi:type="dcterms:W3CDTF">2019-12-13T14:04:00Z</dcterms:modified>
</cp:coreProperties>
</file>