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  <w:bookmarkStart w:id="0" w:name="_GoBack"/>
      <w:bookmarkEnd w:id="0"/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1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>Colégio Vimasa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o Colégio Vimasa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07D23492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>Debora Abud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DB40E2">
        <w:rPr>
          <w:rFonts w:ascii="Times New Roman" w:hAnsi="Times New Roman" w:cs="Times New Roman"/>
          <w:sz w:val="24"/>
          <w:szCs w:val="24"/>
        </w:rPr>
        <w:t>[</w:t>
      </w:r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Marcus </w:t>
      </w:r>
      <w:proofErr w:type="spellStart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>Venicius</w:t>
      </w:r>
      <w:proofErr w:type="spellEnd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>Bellinelo</w:t>
      </w:r>
      <w:proofErr w:type="spellEnd"/>
      <w:r w:rsidR="001912FE" w:rsidRPr="00A97C0C">
        <w:rPr>
          <w:rFonts w:ascii="Times New Roman" w:hAnsi="Times New Roman" w:cs="Times New Roman"/>
          <w:sz w:val="24"/>
          <w:szCs w:val="24"/>
          <w:highlight w:val="yellow"/>
        </w:rPr>
        <w:t xml:space="preserve"> da Rocha</w:t>
      </w:r>
      <w:r w:rsidR="00DB40E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  <w:r w:rsidR="004668C3">
        <w:rPr>
          <w:rFonts w:ascii="Times New Roman" w:hAnsi="Times New Roman" w:cs="Times New Roman"/>
          <w:sz w:val="24"/>
          <w:szCs w:val="24"/>
        </w:rPr>
        <w:t xml:space="preserve"> [</w:t>
      </w:r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Nota Cescon Barrieu</w:t>
      </w:r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: </w:t>
      </w:r>
      <w:r w:rsidR="004E61E8">
        <w:rPr>
          <w:rFonts w:ascii="Times New Roman" w:hAnsi="Times New Roman" w:cs="Times New Roman"/>
          <w:i/>
          <w:sz w:val="24"/>
          <w:szCs w:val="24"/>
          <w:highlight w:val="yellow"/>
        </w:rPr>
        <w:t>Time</w:t>
      </w:r>
      <w:r w:rsid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Simplific</w:t>
      </w:r>
      <w:proofErr w:type="spellEnd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Pavarini</w:t>
      </w:r>
      <w:proofErr w:type="spellEnd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, favor confirmar</w:t>
      </w:r>
      <w:r w:rsid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se o Marcus também será</w:t>
      </w:r>
      <w:r w:rsidR="001912FE" w:rsidRPr="001912F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secretário desta AGD</w:t>
      </w:r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1912FE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15321D">
        <w:rPr>
          <w:rFonts w:ascii="Times New Roman" w:hAnsi="Times New Roman" w:cs="Times New Roman"/>
          <w:i/>
          <w:sz w:val="24"/>
          <w:szCs w:val="24"/>
          <w:highlight w:val="yellow"/>
        </w:rPr>
        <w:t>O</w:t>
      </w:r>
      <w:r w:rsidR="001912FE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presidente e da AGD precisa possuir certificado digital para que possamos arquivar o documento na JUCEMG</w:t>
      </w:r>
      <w:r w:rsidR="0015321D" w:rsidRPr="0015321D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4668C3">
        <w:rPr>
          <w:rFonts w:ascii="Times New Roman" w:hAnsi="Times New Roman" w:cs="Times New Roman"/>
          <w:sz w:val="24"/>
          <w:szCs w:val="24"/>
        </w:rPr>
        <w:t>]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434A10B6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5FCC91CD" w:rsidR="00771CBE" w:rsidRPr="00D46953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alteração dos termos e condições da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 </w:t>
      </w:r>
      <w:r w:rsidRPr="00133087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>
        <w:rPr>
          <w:rFonts w:ascii="Times New Roman" w:eastAsia="Times New Roman" w:hAnsi="Times New Roman" w:cs="Times New Roman"/>
          <w:color w:val="auto"/>
        </w:rPr>
        <w:t>r</w:t>
      </w:r>
      <w:r w:rsidRPr="00133087">
        <w:rPr>
          <w:rFonts w:ascii="Times New Roman" w:eastAsia="Times New Roman" w:hAnsi="Times New Roman" w:cs="Times New Roman"/>
          <w:color w:val="auto"/>
        </w:rPr>
        <w:t>ato de Cessão Fiduciária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4C3EE2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4F5259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>
        <w:rPr>
          <w:rFonts w:ascii="Times New Roman" w:eastAsia="Times New Roman" w:hAnsi="Times New Roman" w:cs="Times New Roman"/>
          <w:b/>
          <w:color w:val="auto"/>
        </w:rPr>
        <w:t>(a)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FB5410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>
        <w:rPr>
          <w:rFonts w:ascii="Times New Roman" w:eastAsia="Times New Roman" w:hAnsi="Times New Roman" w:cs="Times New Roman"/>
          <w:color w:val="auto"/>
        </w:rPr>
        <w:t>as Novas Cedentes cujos</w:t>
      </w:r>
      <w:r w:rsidR="004F5259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>
        <w:rPr>
          <w:rFonts w:ascii="Times New Roman" w:eastAsia="Times New Roman" w:hAnsi="Times New Roman" w:cs="Times New Roman"/>
          <w:color w:val="auto"/>
        </w:rPr>
        <w:t xml:space="preserve"> lastreados em </w:t>
      </w:r>
      <w:r w:rsidR="004F5259" w:rsidRPr="00015E1E">
        <w:rPr>
          <w:rFonts w:ascii="Times New Roman" w:eastAsia="Times New Roman" w:hAnsi="Times New Roman" w:cs="Times New Roman"/>
          <w:color w:val="auto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>
        <w:rPr>
          <w:rFonts w:ascii="Times New Roman" w:eastAsia="Times New Roman" w:hAnsi="Times New Roman" w:cs="Times New Roman"/>
          <w:color w:val="auto"/>
        </w:rPr>
        <w:t xml:space="preserve">; e </w:t>
      </w:r>
      <w:r w:rsidR="00FB5410">
        <w:rPr>
          <w:rFonts w:ascii="Times New Roman" w:eastAsia="Times New Roman" w:hAnsi="Times New Roman" w:cs="Times New Roman"/>
          <w:b/>
          <w:color w:val="auto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2758B9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</w:rPr>
        <w:t>vinculadas</w:t>
      </w:r>
      <w:r w:rsidR="002758B9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>
        <w:rPr>
          <w:rFonts w:ascii="Times New Roman" w:eastAsia="Times New Roman" w:hAnsi="Times New Roman" w:cs="Times New Roman"/>
          <w:color w:val="auto"/>
        </w:rPr>
        <w:t>;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3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3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4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Debora Abud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13D6A689" w:rsidR="0036157D" w:rsidRPr="009E57A4" w:rsidRDefault="004668C3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912FE" w:rsidRPr="009E57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Marcus </w:t>
            </w:r>
            <w:proofErr w:type="spellStart"/>
            <w:r w:rsidR="001912FE" w:rsidRPr="009E57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Venicius</w:t>
            </w:r>
            <w:proofErr w:type="spellEnd"/>
            <w:r w:rsidR="001912FE" w:rsidRPr="009E57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1912FE" w:rsidRPr="009E57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Bellinelo</w:t>
            </w:r>
            <w:proofErr w:type="spellEnd"/>
            <w:r w:rsidR="001912FE" w:rsidRPr="009E57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da Rocha</w:t>
            </w: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>Colégio Vimasa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Vimasa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E66C" w14:textId="77777777" w:rsidR="004B6C61" w:rsidRDefault="004B6C61">
      <w:r>
        <w:separator/>
      </w:r>
    </w:p>
  </w:endnote>
  <w:endnote w:type="continuationSeparator" w:id="0">
    <w:p w14:paraId="52B47D7C" w14:textId="77777777" w:rsidR="004B6C61" w:rsidRDefault="004B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093108FC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20975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E3BC" w14:textId="77777777" w:rsidR="004B6C61" w:rsidRDefault="004B6C61"/>
  </w:footnote>
  <w:footnote w:type="continuationSeparator" w:id="0">
    <w:p w14:paraId="6A3C617A" w14:textId="77777777" w:rsidR="004B6C61" w:rsidRDefault="004B6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8281" w14:textId="372A96E6" w:rsidR="0012398B" w:rsidRDefault="009E57A4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Comentários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Cescon Barrieu</w:t>
    </w:r>
  </w:p>
  <w:p w14:paraId="5EDD270D" w14:textId="67939262" w:rsidR="00CF46F2" w:rsidRPr="00EB0531" w:rsidRDefault="00DD44D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10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de </w:t>
    </w:r>
    <w:r w:rsidR="00991458">
      <w:rPr>
        <w:rFonts w:ascii="Times New Roman" w:hAnsi="Times New Roman" w:cs="Times New Roman"/>
        <w:i/>
        <w:iCs/>
        <w:sz w:val="20"/>
        <w:szCs w:val="20"/>
      </w:rPr>
      <w:t xml:space="preserve">março </w:t>
    </w:r>
    <w:r w:rsidR="00CF46F2">
      <w:rPr>
        <w:rFonts w:ascii="Times New Roman" w:hAnsi="Times New Roman" w:cs="Times New Roman"/>
        <w:i/>
        <w:iCs/>
        <w:sz w:val="20"/>
        <w:szCs w:val="20"/>
      </w:rPr>
      <w:t>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51CED"/>
    <w:rsid w:val="0015321D"/>
    <w:rsid w:val="00162A66"/>
    <w:rsid w:val="00163774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9178A"/>
    <w:rsid w:val="00292DC8"/>
    <w:rsid w:val="00297342"/>
    <w:rsid w:val="002A404B"/>
    <w:rsid w:val="002D29D0"/>
    <w:rsid w:val="002D601D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201BC"/>
    <w:rsid w:val="00527A41"/>
    <w:rsid w:val="005316E1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E2D35"/>
    <w:rsid w:val="00BF5BC8"/>
    <w:rsid w:val="00C03D9E"/>
    <w:rsid w:val="00C06C89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05C5-39C8-463E-8802-CD23EE47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Cescon Barrieu</cp:lastModifiedBy>
  <cp:revision>2</cp:revision>
  <cp:lastPrinted>2015-10-14T21:53:00Z</cp:lastPrinted>
  <dcterms:created xsi:type="dcterms:W3CDTF">2020-03-10T18:25:00Z</dcterms:created>
  <dcterms:modified xsi:type="dcterms:W3CDTF">2020-03-10T18:25:00Z</dcterms:modified>
</cp:coreProperties>
</file>