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D2" w:rsidRPr="002352EC" w:rsidRDefault="002C04B7" w:rsidP="00F16DD2">
      <w:pPr>
        <w:spacing w:after="0" w:line="300" w:lineRule="exact"/>
        <w:jc w:val="both"/>
        <w:rPr>
          <w:rFonts w:ascii="Trebuchet MS" w:hAnsi="Trebuchet MS"/>
          <w:b/>
          <w:sz w:val="20"/>
          <w:szCs w:val="20"/>
          <w:lang w:eastAsia="ar-SA"/>
        </w:rPr>
      </w:pPr>
      <w:r>
        <w:rPr>
          <w:rFonts w:ascii="Trebuchet MS" w:hAnsi="Trebuchet MS"/>
          <w:b/>
          <w:sz w:val="20"/>
          <w:szCs w:val="20"/>
          <w:lang w:eastAsia="ar-SA"/>
        </w:rPr>
        <w:t>2</w:t>
      </w:r>
      <w:r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Pr>
          <w:rFonts w:ascii="Trebuchet MS" w:hAnsi="Trebuchet MS"/>
          <w:b/>
          <w:sz w:val="20"/>
          <w:szCs w:val="20"/>
          <w:lang w:eastAsia="ar-SA"/>
        </w:rPr>
        <w:t>SEGUNDO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00F16DD2" w:rsidRPr="002352EC">
        <w:rPr>
          <w:rFonts w:ascii="Trebuchet MS" w:hAnsi="Trebuchet MS"/>
          <w:b/>
          <w:bCs/>
          <w:sz w:val="20"/>
          <w:szCs w:val="20"/>
          <w:lang w:eastAsia="ar-SA"/>
        </w:rPr>
        <w:t>INSTRUMENTO PARTICULAR DE</w:t>
      </w:r>
      <w:r w:rsidR="00F16DD2" w:rsidRPr="002352EC">
        <w:rPr>
          <w:rFonts w:ascii="Trebuchet MS" w:hAnsi="Trebuchet MS"/>
          <w:b/>
          <w:sz w:val="20"/>
          <w:szCs w:val="20"/>
          <w:lang w:eastAsia="ar-SA"/>
        </w:rPr>
        <w:t xml:space="preserve"> </w:t>
      </w:r>
      <w:r w:rsidR="00F16DD2"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16DD2" w:rsidRPr="002352EC" w:rsidRDefault="00F16DD2" w:rsidP="00F16DD2">
      <w:pPr>
        <w:spacing w:after="0" w:line="300" w:lineRule="exact"/>
        <w:jc w:val="both"/>
        <w:rPr>
          <w:rFonts w:ascii="Trebuchet MS" w:hAnsi="Trebuchet MS"/>
          <w:sz w:val="20"/>
          <w:szCs w:val="20"/>
        </w:rPr>
      </w:pPr>
    </w:p>
    <w:p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2C04B7">
        <w:rPr>
          <w:rFonts w:ascii="Trebuchet MS" w:hAnsi="Trebuchet MS"/>
          <w:sz w:val="20"/>
          <w:szCs w:val="20"/>
          <w:lang w:eastAsia="ar-SA"/>
        </w:rPr>
        <w:t>2</w:t>
      </w:r>
      <w:r w:rsidR="002C04B7"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2C04B7">
        <w:rPr>
          <w:rFonts w:ascii="Trebuchet MS" w:hAnsi="Trebuchet MS"/>
          <w:sz w:val="20"/>
          <w:szCs w:val="20"/>
          <w:lang w:eastAsia="ar-SA"/>
        </w:rPr>
        <w:t>Segundo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2C04B7">
        <w:rPr>
          <w:rFonts w:ascii="Trebuchet MS" w:hAnsi="Trebuchet MS"/>
          <w:sz w:val="20"/>
          <w:szCs w:val="20"/>
          <w:u w:val="single"/>
          <w:lang w:eastAsia="ar-SA"/>
        </w:rPr>
        <w:t>Segundo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rsidR="003F6C1A" w:rsidRPr="002352EC" w:rsidRDefault="003F6C1A" w:rsidP="00F16DD2">
      <w:pPr>
        <w:suppressAutoHyphens/>
        <w:spacing w:after="0" w:line="300" w:lineRule="exact"/>
        <w:jc w:val="both"/>
        <w:rPr>
          <w:rFonts w:ascii="Trebuchet MS" w:hAnsi="Trebuchet MS"/>
          <w:sz w:val="20"/>
          <w:szCs w:val="20"/>
          <w:lang w:eastAsia="ar-SA"/>
        </w:rPr>
      </w:pPr>
    </w:p>
    <w:p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w:t>
      </w:r>
      <w:r w:rsidR="002C04B7">
        <w:rPr>
          <w:rFonts w:ascii="Trebuchet MS" w:hAnsi="Trebuchet MS" w:cs="Arial"/>
          <w:sz w:val="20"/>
          <w:szCs w:val="20"/>
        </w:rPr>
        <w:t> </w:t>
      </w:r>
      <w:r w:rsidRPr="002352EC">
        <w:rPr>
          <w:rFonts w:ascii="Trebuchet MS" w:hAnsi="Trebuchet MS" w:cs="Arial"/>
          <w:sz w:val="20"/>
          <w:szCs w:val="20"/>
        </w:rPr>
        <w:t xml:space="preserve">30710-560, inscrita no Cadastro Nacional da Pessoa Jurídica do Ministério da </w:t>
      </w:r>
      <w:r w:rsidR="002C04B7">
        <w:rPr>
          <w:rFonts w:ascii="Trebuchet MS" w:hAnsi="Trebuchet MS" w:cs="Arial"/>
          <w:sz w:val="20"/>
          <w:szCs w:val="20"/>
        </w:rPr>
        <w:t>Economia</w:t>
      </w:r>
      <w:r w:rsidR="002C04B7" w:rsidRPr="002352EC">
        <w:rPr>
          <w:rFonts w:ascii="Trebuchet MS" w:hAnsi="Trebuchet MS" w:cs="Arial"/>
          <w:sz w:val="20"/>
          <w:szCs w:val="20"/>
        </w:rPr>
        <w:t xml:space="preserve"> </w:t>
      </w:r>
      <w:r w:rsidRPr="002352EC">
        <w:rPr>
          <w:rFonts w:ascii="Trebuchet MS" w:hAnsi="Trebuchet MS" w:cs="Arial"/>
          <w:sz w:val="20"/>
          <w:szCs w:val="20"/>
        </w:rPr>
        <w:t>(“</w:t>
      </w:r>
      <w:r w:rsidRPr="002352EC">
        <w:rPr>
          <w:rFonts w:ascii="Trebuchet MS" w:hAnsi="Trebuchet MS" w:cs="Arial"/>
          <w:sz w:val="20"/>
          <w:szCs w:val="20"/>
          <w:u w:val="single"/>
        </w:rPr>
        <w:t>CNPJ/</w:t>
      </w:r>
      <w:r w:rsidR="002C04B7" w:rsidRPr="002352EC">
        <w:rPr>
          <w:rFonts w:ascii="Trebuchet MS" w:hAnsi="Trebuchet MS" w:cs="Arial"/>
          <w:sz w:val="20"/>
          <w:szCs w:val="20"/>
          <w:u w:val="single"/>
        </w:rPr>
        <w:t>M</w:t>
      </w:r>
      <w:r w:rsidR="002C04B7">
        <w:rPr>
          <w:rFonts w:ascii="Trebuchet MS" w:hAnsi="Trebuchet MS" w:cs="Arial"/>
          <w:sz w:val="20"/>
          <w:szCs w:val="20"/>
          <w:u w:val="single"/>
        </w:rPr>
        <w:t>E</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w:t>
      </w:r>
      <w:r w:rsidR="002C04B7">
        <w:rPr>
          <w:rFonts w:ascii="Trebuchet MS" w:hAnsi="Trebuchet MS" w:cs="Trebuchet MS"/>
          <w:sz w:val="20"/>
          <w:szCs w:val="20"/>
        </w:rPr>
        <w:t>E</w:t>
      </w:r>
      <w:r w:rsidRPr="002352EC">
        <w:rPr>
          <w:rFonts w:ascii="Trebuchet MS" w:hAnsi="Trebuchet MS" w:cs="Trebuchet MS"/>
          <w:sz w:val="20"/>
          <w:szCs w:val="20"/>
        </w:rPr>
        <w:t xml:space="preserve">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rsidR="00990409" w:rsidRPr="002352EC" w:rsidRDefault="00990409" w:rsidP="00B339FE">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14.011.425/0001-00</w:t>
      </w:r>
      <w:r w:rsidRPr="002352EC">
        <w:rPr>
          <w:rFonts w:ascii="Trebuchet MS" w:hAnsi="Trebuchet MS" w:cs="Arial"/>
          <w:sz w:val="20"/>
          <w:szCs w:val="20"/>
        </w:rPr>
        <w:t xml:space="preserve">, com seus atos constitutivos devidamente </w:t>
      </w:r>
      <w:r w:rsidRPr="002352EC">
        <w:rPr>
          <w:rFonts w:ascii="Trebuchet MS" w:hAnsi="Trebuchet MS" w:cs="Arial"/>
          <w:sz w:val="20"/>
          <w:szCs w:val="20"/>
        </w:rPr>
        <w:lastRenderedPageBreak/>
        <w:t>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rsidR="00990409" w:rsidRPr="002352EC" w:rsidRDefault="00990409" w:rsidP="00F16DD2">
      <w:pPr>
        <w:suppressAutoHyphens/>
        <w:spacing w:after="0" w:line="300" w:lineRule="exact"/>
        <w:jc w:val="both"/>
        <w:rPr>
          <w:rFonts w:ascii="Trebuchet MS" w:hAnsi="Trebuchet MS"/>
          <w:sz w:val="20"/>
          <w:szCs w:val="20"/>
          <w:lang w:eastAsia="ar-SA"/>
        </w:rPr>
      </w:pPr>
    </w:p>
    <w:p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w:t>
      </w:r>
      <w:r w:rsidR="00B55936">
        <w:rPr>
          <w:rFonts w:ascii="Trebuchet MS" w:hAnsi="Trebuchet MS"/>
          <w:sz w:val="20"/>
          <w:szCs w:val="20"/>
          <w:lang w:eastAsia="ar-SA"/>
        </w:rPr>
        <w:t>,</w:t>
      </w:r>
      <w:r w:rsidR="003F6C1A" w:rsidRPr="002352EC">
        <w:rPr>
          <w:rFonts w:ascii="Trebuchet MS" w:hAnsi="Trebuchet MS"/>
          <w:sz w:val="20"/>
          <w:szCs w:val="20"/>
          <w:lang w:eastAsia="ar-SA"/>
        </w:rPr>
        <w:t xml:space="preserve"> </w:t>
      </w:r>
      <w:r w:rsidR="00BD117F" w:rsidRPr="002352EC">
        <w:rPr>
          <w:rFonts w:ascii="Trebuchet MS" w:hAnsi="Trebuchet MS"/>
          <w:sz w:val="20"/>
          <w:szCs w:val="20"/>
          <w:lang w:eastAsia="ar-SA"/>
        </w:rPr>
        <w:t>o Agente Fiduciário</w:t>
      </w:r>
      <w:r w:rsidR="00B55936">
        <w:rPr>
          <w:rFonts w:ascii="Trebuchet MS" w:hAnsi="Trebuchet MS"/>
          <w:sz w:val="20"/>
          <w:szCs w:val="20"/>
          <w:lang w:eastAsia="ar-SA"/>
        </w:rPr>
        <w:t xml:space="preserve"> e as Fiadoras</w:t>
      </w:r>
      <w:r w:rsidR="00BD117F" w:rsidRPr="002352EC">
        <w:rPr>
          <w:rFonts w:ascii="Trebuchet MS" w:hAnsi="Trebuchet MS"/>
          <w:sz w:val="20"/>
          <w:szCs w:val="20"/>
          <w:lang w:eastAsia="ar-SA"/>
        </w:rPr>
        <w:t xml:space="preserve">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rsidR="00BD117F" w:rsidRPr="002352EC" w:rsidRDefault="00BD117F" w:rsidP="00F16DD2">
      <w:pPr>
        <w:suppressAutoHyphens/>
        <w:spacing w:after="0" w:line="300" w:lineRule="exact"/>
        <w:jc w:val="both"/>
        <w:rPr>
          <w:rFonts w:ascii="Trebuchet MS" w:hAnsi="Trebuchet MS"/>
          <w:sz w:val="20"/>
          <w:szCs w:val="20"/>
          <w:lang w:eastAsia="ar-SA"/>
        </w:rPr>
      </w:pPr>
    </w:p>
    <w:p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rsidR="00BD117F" w:rsidRPr="002352EC" w:rsidRDefault="00BD117F" w:rsidP="00F16DD2">
      <w:pPr>
        <w:spacing w:after="0" w:line="300" w:lineRule="exact"/>
        <w:ind w:left="709"/>
        <w:jc w:val="both"/>
        <w:rPr>
          <w:rFonts w:ascii="Trebuchet MS" w:hAnsi="Trebuchet MS"/>
          <w:sz w:val="20"/>
          <w:szCs w:val="20"/>
        </w:rPr>
      </w:pPr>
    </w:p>
    <w:p w:rsidR="002352EC" w:rsidRPr="000C0949"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rsidR="00B55936" w:rsidRDefault="00B55936" w:rsidP="000C0949">
      <w:pPr>
        <w:spacing w:after="0" w:line="300" w:lineRule="exact"/>
        <w:ind w:left="720"/>
        <w:jc w:val="both"/>
        <w:rPr>
          <w:rFonts w:ascii="Trebuchet MS" w:hAnsi="Trebuchet MS"/>
          <w:sz w:val="20"/>
          <w:szCs w:val="20"/>
        </w:rPr>
      </w:pPr>
    </w:p>
    <w:p w:rsidR="00B55936" w:rsidRPr="002352EC" w:rsidRDefault="00B55936" w:rsidP="002352EC">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27 de dezembro de 2019, as Partes celebraram o “</w:t>
      </w:r>
      <w:r>
        <w:rPr>
          <w:rFonts w:ascii="Trebuchet MS" w:hAnsi="Trebuchet MS"/>
          <w:i/>
          <w:sz w:val="20"/>
          <w:szCs w:val="20"/>
        </w:rPr>
        <w:t xml:space="preserve">Primeiro Aditamento ao </w:t>
      </w:r>
      <w:r w:rsidRPr="002352EC">
        <w:rPr>
          <w:rFonts w:ascii="Trebuchet MS" w:hAnsi="Trebuchet MS"/>
          <w:bCs/>
          <w:i/>
          <w:sz w:val="20"/>
          <w:szCs w:val="20"/>
          <w:lang w:eastAsia="ar-SA"/>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w:t>
      </w:r>
      <w:r w:rsidRPr="002352EC">
        <w:rPr>
          <w:rFonts w:ascii="Trebuchet MS" w:hAnsi="Trebuchet MS"/>
          <w:b/>
          <w:bCs/>
          <w:i/>
          <w:sz w:val="20"/>
          <w:szCs w:val="20"/>
          <w:lang w:eastAsia="ar-SA"/>
        </w:rPr>
        <w:t xml:space="preserve"> </w:t>
      </w:r>
      <w:r w:rsidRPr="002352EC">
        <w:rPr>
          <w:rFonts w:ascii="Trebuchet MS" w:hAnsi="Trebuchet MS"/>
          <w:bCs/>
          <w:i/>
          <w:sz w:val="20"/>
          <w:szCs w:val="20"/>
          <w:lang w:eastAsia="ar-SA"/>
        </w:rPr>
        <w:t>S.A.</w:t>
      </w:r>
      <w:r>
        <w:rPr>
          <w:rFonts w:ascii="Trebuchet MS" w:hAnsi="Trebuchet MS"/>
          <w:sz w:val="20"/>
          <w:szCs w:val="20"/>
        </w:rPr>
        <w:t>”, o qual foi devidamente arquivado na JUCEMG sob o n</w:t>
      </w:r>
      <w:r w:rsidRPr="002352EC">
        <w:rPr>
          <w:rFonts w:ascii="Trebuchet MS" w:hAnsi="Trebuchet MS"/>
          <w:sz w:val="20"/>
          <w:szCs w:val="20"/>
        </w:rPr>
        <w:t>º</w:t>
      </w:r>
      <w:r>
        <w:rPr>
          <w:rFonts w:ascii="Trebuchet MS" w:hAnsi="Trebuchet MS"/>
          <w:sz w:val="20"/>
          <w:szCs w:val="20"/>
        </w:rPr>
        <w:t xml:space="preserve"> 7696258</w:t>
      </w:r>
      <w:r w:rsidR="00A16D39">
        <w:rPr>
          <w:rFonts w:ascii="Trebuchet MS" w:hAnsi="Trebuchet MS"/>
          <w:sz w:val="20"/>
          <w:szCs w:val="20"/>
        </w:rPr>
        <w:t>, em</w:t>
      </w:r>
      <w:r>
        <w:rPr>
          <w:rFonts w:ascii="Trebuchet MS" w:hAnsi="Trebuchet MS"/>
          <w:sz w:val="20"/>
          <w:szCs w:val="20"/>
        </w:rPr>
        <w:t xml:space="preserve"> </w:t>
      </w:r>
      <w:r w:rsidR="00A16D39">
        <w:rPr>
          <w:rFonts w:ascii="Trebuchet MS" w:hAnsi="Trebuchet MS"/>
          <w:sz w:val="20"/>
          <w:szCs w:val="20"/>
        </w:rPr>
        <w:t>04 de fevereiro de 2020;</w:t>
      </w:r>
    </w:p>
    <w:p w:rsidR="00823B5F" w:rsidRPr="002352EC" w:rsidRDefault="00823B5F" w:rsidP="00823B5F">
      <w:pPr>
        <w:spacing w:after="0" w:line="300" w:lineRule="exact"/>
        <w:ind w:left="720"/>
        <w:jc w:val="both"/>
        <w:rPr>
          <w:rFonts w:ascii="Trebuchet MS" w:hAnsi="Trebuchet MS"/>
          <w:sz w:val="20"/>
          <w:szCs w:val="20"/>
        </w:rPr>
      </w:pPr>
    </w:p>
    <w:p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w:t>
      </w:r>
      <w:r w:rsidR="005A5C34">
        <w:rPr>
          <w:rFonts w:ascii="Trebuchet MS" w:hAnsi="Trebuchet MS"/>
          <w:sz w:val="20"/>
          <w:szCs w:val="20"/>
        </w:rPr>
        <w:t>14</w:t>
      </w:r>
      <w:r w:rsidRPr="002352EC">
        <w:rPr>
          <w:rFonts w:ascii="Trebuchet MS" w:hAnsi="Trebuchet MS"/>
          <w:sz w:val="20"/>
          <w:szCs w:val="20"/>
        </w:rPr>
        <w:t xml:space="preserve"> 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w:t>
      </w:r>
      <w:r w:rsidR="00A16D39">
        <w:rPr>
          <w:rFonts w:ascii="Trebuchet MS" w:hAnsi="Trebuchet MS"/>
          <w:sz w:val="20"/>
          <w:szCs w:val="20"/>
        </w:rPr>
        <w:t xml:space="preserve">as </w:t>
      </w:r>
      <w:r w:rsidR="002352EC">
        <w:rPr>
          <w:rFonts w:ascii="Trebuchet MS" w:hAnsi="Trebuchet MS"/>
          <w:sz w:val="20"/>
          <w:szCs w:val="20"/>
        </w:rPr>
        <w:t>alterações</w:t>
      </w:r>
      <w:r w:rsidR="00A16D39">
        <w:rPr>
          <w:rFonts w:ascii="Trebuchet MS" w:hAnsi="Trebuchet MS"/>
          <w:sz w:val="20"/>
          <w:szCs w:val="20"/>
        </w:rPr>
        <w:t xml:space="preserve"> </w:t>
      </w:r>
      <w:r w:rsidR="00823B5F" w:rsidRPr="002352EC">
        <w:rPr>
          <w:rFonts w:ascii="Trebuchet MS" w:hAnsi="Trebuchet MS"/>
          <w:sz w:val="20"/>
          <w:szCs w:val="20"/>
        </w:rPr>
        <w:t xml:space="preserve">nos termos e condições </w:t>
      </w:r>
      <w:r w:rsidR="00A16D39">
        <w:rPr>
          <w:rFonts w:ascii="Trebuchet MS" w:hAnsi="Trebuchet MS"/>
          <w:sz w:val="20"/>
          <w:szCs w:val="20"/>
        </w:rPr>
        <w:t xml:space="preserve">referentes à amortização programada, ao pagamento da Remuneração (conforme definido na Escritura de Emissões) </w:t>
      </w:r>
      <w:r w:rsidR="00823B5F" w:rsidRPr="002352EC">
        <w:rPr>
          <w:rFonts w:ascii="Trebuchet MS" w:hAnsi="Trebuchet MS"/>
          <w:sz w:val="20"/>
          <w:szCs w:val="20"/>
        </w:rPr>
        <w:t>das Debêntures</w:t>
      </w:r>
      <w:r w:rsidR="005A5C34">
        <w:rPr>
          <w:rFonts w:ascii="Trebuchet MS" w:hAnsi="Trebuchet MS"/>
          <w:sz w:val="20"/>
          <w:szCs w:val="20"/>
        </w:rPr>
        <w:t xml:space="preserve"> da 1ª Série</w:t>
      </w:r>
      <w:r w:rsidR="002352EC">
        <w:rPr>
          <w:rFonts w:ascii="Trebuchet MS" w:hAnsi="Trebuchet MS"/>
          <w:sz w:val="20"/>
          <w:szCs w:val="20"/>
        </w:rPr>
        <w:t>,</w:t>
      </w:r>
      <w:r w:rsidR="00A16D39">
        <w:rPr>
          <w:rFonts w:ascii="Trebuchet MS" w:hAnsi="Trebuchet MS"/>
          <w:sz w:val="20"/>
          <w:szCs w:val="20"/>
        </w:rPr>
        <w:t xml:space="preserve"> entre outras deliberações,</w:t>
      </w:r>
      <w:r w:rsidR="002352EC">
        <w:rPr>
          <w:rFonts w:ascii="Trebuchet MS" w:hAnsi="Trebuchet MS"/>
          <w:sz w:val="20"/>
          <w:szCs w:val="20"/>
        </w:rPr>
        <w:t xml:space="preserve"> bem como na forma de verificação das garantias reais da</w:t>
      </w:r>
      <w:r w:rsidR="005A5C34">
        <w:rPr>
          <w:rFonts w:ascii="Trebuchet MS" w:hAnsi="Trebuchet MS"/>
          <w:sz w:val="20"/>
          <w:szCs w:val="20"/>
        </w:rPr>
        <w:t>s Debêntures da 1ª Série</w:t>
      </w:r>
      <w:r w:rsidR="002352EC">
        <w:rPr>
          <w:rFonts w:ascii="Trebuchet MS" w:hAnsi="Trebuchet MS"/>
          <w:sz w:val="20"/>
          <w:szCs w:val="20"/>
        </w:rPr>
        <w:t>, nos termos da Escritura de Emissão e do</w:t>
      </w:r>
      <w:bookmarkStart w:id="0"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r w:rsidR="00A16D39">
        <w:rPr>
          <w:rFonts w:ascii="Trebuchet MS" w:hAnsi="Trebuchet MS"/>
          <w:sz w:val="20"/>
        </w:rPr>
        <w:t xml:space="preserve"> e</w:t>
      </w:r>
    </w:p>
    <w:p w:rsidR="00F40B6E" w:rsidRDefault="00F40B6E" w:rsidP="00D7668E">
      <w:pPr>
        <w:spacing w:after="0" w:line="300" w:lineRule="exact"/>
        <w:ind w:left="720"/>
        <w:jc w:val="both"/>
        <w:rPr>
          <w:rFonts w:ascii="Trebuchet MS" w:hAnsi="Trebuchet MS"/>
          <w:bCs/>
          <w:sz w:val="20"/>
          <w:szCs w:val="20"/>
        </w:rPr>
      </w:pPr>
    </w:p>
    <w:bookmarkEnd w:id="0"/>
    <w:p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rsidR="00E017CA" w:rsidRPr="002352EC" w:rsidRDefault="00E017CA" w:rsidP="00F16DD2">
      <w:pPr>
        <w:spacing w:after="0" w:line="300" w:lineRule="exact"/>
        <w:jc w:val="both"/>
        <w:rPr>
          <w:rFonts w:ascii="Trebuchet MS" w:hAnsi="Trebuchet MS"/>
          <w:sz w:val="20"/>
          <w:szCs w:val="20"/>
        </w:rPr>
      </w:pPr>
    </w:p>
    <w:p w:rsidR="00BD117F" w:rsidRPr="002352EC" w:rsidRDefault="00BD117F" w:rsidP="00F16DD2">
      <w:pPr>
        <w:spacing w:after="0" w:line="300" w:lineRule="exact"/>
        <w:jc w:val="both"/>
        <w:rPr>
          <w:rFonts w:ascii="Trebuchet MS" w:hAnsi="Trebuchet MS" w:cs="Arial"/>
          <w:sz w:val="20"/>
          <w:szCs w:val="20"/>
          <w:lang w:eastAsia="en-US"/>
        </w:rPr>
      </w:pPr>
      <w:bookmarkStart w:id="1"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1"/>
    <w:p w:rsidR="00237E63" w:rsidRPr="002352EC" w:rsidRDefault="00237E63" w:rsidP="00F16DD2">
      <w:pPr>
        <w:spacing w:after="0" w:line="300" w:lineRule="exact"/>
        <w:jc w:val="both"/>
        <w:rPr>
          <w:rFonts w:ascii="Trebuchet MS" w:hAnsi="Trebuchet MS" w:cs="Arial"/>
          <w:sz w:val="20"/>
          <w:szCs w:val="20"/>
          <w:lang w:eastAsia="en-US"/>
        </w:rPr>
      </w:pPr>
    </w:p>
    <w:p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rsidR="007C1BF2" w:rsidRPr="002352EC" w:rsidRDefault="007C1BF2" w:rsidP="00D7668E">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2" w:name="_Toc327379521"/>
      <w:r w:rsidRPr="002352EC">
        <w:rPr>
          <w:rFonts w:ascii="Trebuchet MS" w:hAnsi="Trebuchet MS"/>
          <w:bCs/>
          <w:sz w:val="20"/>
          <w:szCs w:val="20"/>
        </w:rPr>
        <w:lastRenderedPageBreak/>
        <w:br/>
        <w:t>AUTORIZAÇÃO</w:t>
      </w:r>
      <w:bookmarkEnd w:id="2"/>
      <w:r w:rsidRPr="002352EC">
        <w:rPr>
          <w:rFonts w:ascii="Trebuchet MS" w:hAnsi="Trebuchet MS"/>
          <w:bCs/>
          <w:sz w:val="20"/>
          <w:szCs w:val="20"/>
          <w:lang w:val="pt-BR"/>
        </w:rPr>
        <w:t xml:space="preserve"> E REQUISITOS</w:t>
      </w:r>
    </w:p>
    <w:p w:rsidR="00BD117F" w:rsidRPr="002352EC" w:rsidRDefault="00BD117F" w:rsidP="00D7668E">
      <w:pPr>
        <w:keepNext/>
        <w:spacing w:after="0" w:line="300" w:lineRule="exact"/>
        <w:jc w:val="both"/>
        <w:rPr>
          <w:rFonts w:ascii="Trebuchet MS" w:hAnsi="Trebuchet MS"/>
          <w:sz w:val="20"/>
          <w:szCs w:val="20"/>
        </w:rPr>
      </w:pPr>
    </w:p>
    <w:p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2C04B7">
        <w:rPr>
          <w:rFonts w:ascii="Trebuchet MS" w:hAnsi="Trebuchet MS"/>
          <w:sz w:val="20"/>
          <w:szCs w:val="20"/>
        </w:rPr>
        <w:t>Segundo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 xml:space="preserve">da AGD, cuja ata </w:t>
      </w:r>
      <w:r w:rsidR="001C4E19" w:rsidRPr="002352EC">
        <w:rPr>
          <w:rFonts w:ascii="Trebuchet MS" w:hAnsi="Trebuchet MS"/>
          <w:sz w:val="20"/>
          <w:szCs w:val="20"/>
        </w:rPr>
        <w:t>ser</w:t>
      </w:r>
      <w:r w:rsidR="001C4E19">
        <w:rPr>
          <w:rFonts w:ascii="Trebuchet MS" w:hAnsi="Trebuchet MS"/>
          <w:sz w:val="20"/>
          <w:szCs w:val="20"/>
        </w:rPr>
        <w:t>á</w:t>
      </w:r>
      <w:r w:rsidR="001C4E19" w:rsidRPr="002352EC">
        <w:rPr>
          <w:rFonts w:ascii="Trebuchet MS" w:hAnsi="Trebuchet MS"/>
          <w:sz w:val="20"/>
          <w:szCs w:val="20"/>
        </w:rPr>
        <w:t xml:space="preserve"> </w:t>
      </w:r>
      <w:r w:rsidR="00406F3F" w:rsidRPr="002352EC">
        <w:rPr>
          <w:rFonts w:ascii="Trebuchet MS" w:hAnsi="Trebuchet MS"/>
          <w:sz w:val="20"/>
          <w:szCs w:val="20"/>
        </w:rPr>
        <w:t>registrada</w:t>
      </w:r>
      <w:r w:rsidR="00C90AF0" w:rsidRPr="002352EC">
        <w:rPr>
          <w:rFonts w:ascii="Trebuchet MS" w:hAnsi="Trebuchet MS"/>
          <w:sz w:val="20"/>
          <w:szCs w:val="20"/>
        </w:rPr>
        <w:t xml:space="preserve"> perante </w:t>
      </w:r>
      <w:r w:rsidR="001C4E19">
        <w:rPr>
          <w:rFonts w:ascii="Trebuchet MS" w:hAnsi="Trebuchet MS"/>
          <w:sz w:val="20"/>
          <w:szCs w:val="20"/>
        </w:rPr>
        <w:t>à JUCEMG</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3" w:name="_Toc327379522"/>
      <w:bookmarkStart w:id="4"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3"/>
      <w:r w:rsidRPr="002352EC">
        <w:rPr>
          <w:rFonts w:ascii="Trebuchet MS" w:hAnsi="Trebuchet MS"/>
          <w:bCs/>
          <w:sz w:val="20"/>
          <w:szCs w:val="20"/>
          <w:lang w:val="pt-BR"/>
        </w:rPr>
        <w:t>ADITAMENTOS</w:t>
      </w:r>
    </w:p>
    <w:bookmarkEnd w:id="4"/>
    <w:p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5"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5"/>
      <w:r w:rsidR="001C4E19">
        <w:rPr>
          <w:rFonts w:ascii="Trebuchet MS" w:hAnsi="Trebuchet MS" w:cs="Arial"/>
          <w:sz w:val="20"/>
          <w:szCs w:val="20"/>
          <w:lang w:eastAsia="en-US"/>
        </w:rPr>
        <w:t xml:space="preserve"> </w:t>
      </w:r>
    </w:p>
    <w:p w:rsidR="00636C87" w:rsidRPr="002352EC" w:rsidRDefault="00636C87" w:rsidP="00F16DD2">
      <w:pPr>
        <w:pStyle w:val="PargrafodaLista"/>
        <w:spacing w:line="300" w:lineRule="exact"/>
        <w:jc w:val="both"/>
        <w:rPr>
          <w:rFonts w:ascii="Trebuchet MS" w:hAnsi="Trebuchet MS" w:cs="Arial"/>
          <w:sz w:val="20"/>
          <w:szCs w:val="20"/>
          <w:lang w:eastAsia="en-US"/>
        </w:rPr>
      </w:pPr>
    </w:p>
    <w:p w:rsidR="00276E2E" w:rsidRDefault="00276E2E" w:rsidP="00276E2E">
      <w:pPr>
        <w:pStyle w:val="PargrafodaLista"/>
        <w:spacing w:line="300" w:lineRule="exact"/>
        <w:jc w:val="both"/>
        <w:rPr>
          <w:rFonts w:ascii="Trebuchet MS" w:hAnsi="Trebuchet MS"/>
          <w:i/>
          <w:sz w:val="20"/>
          <w:szCs w:val="20"/>
        </w:rPr>
      </w:pPr>
      <w:bookmarkStart w:id="6" w:name="_Hlk508644839"/>
      <w:r w:rsidRPr="002352EC">
        <w:rPr>
          <w:rFonts w:ascii="Trebuchet MS" w:hAnsi="Trebuchet MS"/>
          <w:i/>
          <w:sz w:val="20"/>
          <w:szCs w:val="20"/>
        </w:rPr>
        <w:t xml:space="preserve">“5.14.1. </w:t>
      </w:r>
      <w:r w:rsidR="002352EC" w:rsidRPr="002352EC">
        <w:rPr>
          <w:rFonts w:ascii="Trebuchet MS" w:hAnsi="Trebuchet MS"/>
          <w:i/>
          <w:iCs/>
          <w:sz w:val="20"/>
          <w:szCs w:val="20"/>
        </w:rPr>
        <w:t>Sem prejuízo de eventual Resgate Antecipado Facultativo, da Oferta de Resgate Antecipado da totalidade e/ou vencimento antecipado das obrigações decorrentes das Debêntures</w:t>
      </w:r>
      <w:r w:rsidR="00D57467">
        <w:rPr>
          <w:rFonts w:ascii="Trebuchet MS" w:hAnsi="Trebuchet MS"/>
          <w:i/>
          <w:iCs/>
          <w:sz w:val="20"/>
          <w:szCs w:val="20"/>
        </w:rPr>
        <w:t xml:space="preserve"> da Primeira Série</w:t>
      </w:r>
      <w:r w:rsidR="002352EC" w:rsidRPr="002352EC">
        <w:rPr>
          <w:rFonts w:ascii="Trebuchet MS" w:hAnsi="Trebuchet MS"/>
          <w:i/>
          <w:iCs/>
          <w:sz w:val="20"/>
          <w:szCs w:val="20"/>
        </w:rPr>
        <w:t>, nos termos previstos nesta Escritura de Emissão, o pagamento do Valor Nominal Unitário</w:t>
      </w:r>
      <w:r w:rsidR="00D57467">
        <w:rPr>
          <w:rFonts w:ascii="Trebuchet MS" w:hAnsi="Trebuchet MS"/>
          <w:i/>
          <w:iCs/>
          <w:sz w:val="20"/>
          <w:szCs w:val="20"/>
        </w:rPr>
        <w:t xml:space="preserve"> relativo às Debêntures da Primeira Série </w:t>
      </w:r>
      <w:r w:rsidR="002352EC" w:rsidRPr="002352EC">
        <w:rPr>
          <w:rFonts w:ascii="Trebuchet MS" w:hAnsi="Trebuchet MS"/>
          <w:i/>
          <w:iCs/>
          <w:sz w:val="20"/>
          <w:szCs w:val="20"/>
        </w:rPr>
        <w:t xml:space="preserve"> será realizado mensalmente a partir do 2</w:t>
      </w:r>
      <w:r w:rsidR="007D67AF">
        <w:rPr>
          <w:rFonts w:ascii="Trebuchet MS" w:hAnsi="Trebuchet MS"/>
          <w:i/>
          <w:iCs/>
          <w:sz w:val="20"/>
          <w:szCs w:val="20"/>
        </w:rPr>
        <w:t>9</w:t>
      </w:r>
      <w:r w:rsidR="002352EC" w:rsidRPr="002352EC">
        <w:rPr>
          <w:rFonts w:ascii="Trebuchet MS" w:hAnsi="Trebuchet MS"/>
          <w:i/>
          <w:iCs/>
          <w:sz w:val="20"/>
          <w:szCs w:val="20"/>
        </w:rPr>
        <w:t xml:space="preserve">º (vigésimo </w:t>
      </w:r>
      <w:r w:rsidR="007D67AF">
        <w:rPr>
          <w:rFonts w:ascii="Trebuchet MS" w:hAnsi="Trebuchet MS"/>
          <w:i/>
          <w:iCs/>
          <w:sz w:val="20"/>
          <w:szCs w:val="20"/>
        </w:rPr>
        <w:t>nono</w:t>
      </w:r>
      <w:r w:rsidR="002352EC" w:rsidRPr="002352EC">
        <w:rPr>
          <w:rFonts w:ascii="Trebuchet MS" w:hAnsi="Trebuchet MS"/>
          <w:i/>
          <w:iCs/>
          <w:sz w:val="20"/>
          <w:szCs w:val="20"/>
        </w:rPr>
        <w:t>) mês (inclusive), contado da Data de Emissão, em 4</w:t>
      </w:r>
      <w:r w:rsidR="007D67AF">
        <w:rPr>
          <w:rFonts w:ascii="Trebuchet MS" w:hAnsi="Trebuchet MS"/>
          <w:i/>
          <w:iCs/>
          <w:sz w:val="20"/>
          <w:szCs w:val="20"/>
        </w:rPr>
        <w:t>4</w:t>
      </w:r>
      <w:r w:rsidR="002352EC" w:rsidRPr="002352EC">
        <w:rPr>
          <w:rFonts w:ascii="Trebuchet MS" w:hAnsi="Trebuchet MS"/>
          <w:i/>
          <w:iCs/>
          <w:sz w:val="20"/>
          <w:szCs w:val="20"/>
        </w:rPr>
        <w:t xml:space="preserve"> (quarenta e </w:t>
      </w:r>
      <w:r w:rsidR="007D67AF">
        <w:rPr>
          <w:rFonts w:ascii="Trebuchet MS" w:hAnsi="Trebuchet MS"/>
          <w:i/>
          <w:iCs/>
          <w:sz w:val="20"/>
          <w:szCs w:val="20"/>
        </w:rPr>
        <w:t>quatro</w:t>
      </w:r>
      <w:r w:rsidR="002352EC" w:rsidRPr="002352EC">
        <w:rPr>
          <w:rFonts w:ascii="Trebuchet MS" w:hAnsi="Trebuchet MS"/>
          <w:i/>
          <w:iCs/>
          <w:sz w:val="20"/>
          <w:szCs w:val="20"/>
        </w:rPr>
        <w:t>) pa</w:t>
      </w:r>
      <w:bookmarkStart w:id="7" w:name="_GoBack"/>
      <w:bookmarkEnd w:id="7"/>
      <w:r w:rsidR="002352EC" w:rsidRPr="002352EC">
        <w:rPr>
          <w:rFonts w:ascii="Trebuchet MS" w:hAnsi="Trebuchet MS"/>
          <w:i/>
          <w:iCs/>
          <w:sz w:val="20"/>
          <w:szCs w:val="20"/>
        </w:rPr>
        <w:t xml:space="preserve">rcelas mensais e sucessivas, sempre no dia 15 de cada mês, sendo o primeiro pagamento em 15 de </w:t>
      </w:r>
      <w:r w:rsidR="00D57467">
        <w:rPr>
          <w:rFonts w:ascii="Trebuchet MS" w:hAnsi="Trebuchet MS"/>
          <w:i/>
          <w:iCs/>
          <w:sz w:val="20"/>
          <w:szCs w:val="20"/>
        </w:rPr>
        <w:t>janeiro</w:t>
      </w:r>
      <w:r w:rsidR="00D57467" w:rsidRPr="002352EC">
        <w:rPr>
          <w:rFonts w:ascii="Trebuchet MS" w:hAnsi="Trebuchet MS"/>
          <w:i/>
          <w:iCs/>
          <w:sz w:val="20"/>
          <w:szCs w:val="20"/>
        </w:rPr>
        <w:t xml:space="preserve"> </w:t>
      </w:r>
      <w:r w:rsidR="002352EC" w:rsidRPr="002352EC">
        <w:rPr>
          <w:rFonts w:ascii="Trebuchet MS" w:hAnsi="Trebuchet MS"/>
          <w:i/>
          <w:iCs/>
          <w:sz w:val="20"/>
          <w:szCs w:val="20"/>
        </w:rPr>
        <w:t>de 202</w:t>
      </w:r>
      <w:r w:rsidR="00486073">
        <w:rPr>
          <w:rFonts w:ascii="Trebuchet MS" w:hAnsi="Trebuchet MS"/>
          <w:i/>
          <w:iCs/>
          <w:sz w:val="20"/>
          <w:szCs w:val="20"/>
        </w:rPr>
        <w:t>1</w:t>
      </w:r>
      <w:r w:rsidR="002352EC" w:rsidRPr="002352EC">
        <w:rPr>
          <w:rFonts w:ascii="Trebuchet MS" w:hAnsi="Trebuchet MS"/>
          <w:i/>
          <w:iCs/>
          <w:sz w:val="20"/>
          <w:szCs w:val="20"/>
        </w:rPr>
        <w:t>, conforme tabela abaixo</w:t>
      </w:r>
      <w:r w:rsidRPr="002352EC">
        <w:rPr>
          <w:rFonts w:ascii="Trebuchet MS" w:hAnsi="Trebuchet MS"/>
          <w:i/>
          <w:sz w:val="20"/>
          <w:szCs w:val="20"/>
        </w:rPr>
        <w:t>:</w:t>
      </w:r>
    </w:p>
    <w:p w:rsidR="006419B2" w:rsidRPr="00B339FE" w:rsidRDefault="006419B2" w:rsidP="00276E2E">
      <w:pPr>
        <w:pStyle w:val="PargrafodaLista"/>
        <w:spacing w:line="300" w:lineRule="exact"/>
        <w:jc w:val="both"/>
        <w:rPr>
          <w:rFonts w:ascii="Trebuchet MS" w:hAnsi="Trebuchet MS"/>
          <w:b/>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4"/>
        <w:gridCol w:w="3686"/>
      </w:tblGrid>
      <w:tr w:rsidR="007E58FA" w:rsidRPr="002352EC" w:rsidTr="00B24504">
        <w:tc>
          <w:tcPr>
            <w:tcW w:w="1418"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Amortização</w:t>
            </w:r>
          </w:p>
        </w:tc>
        <w:tc>
          <w:tcPr>
            <w:tcW w:w="2664"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Data da Amortização</w:t>
            </w:r>
          </w:p>
        </w:tc>
        <w:tc>
          <w:tcPr>
            <w:tcW w:w="3686"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Percentual do Valor Nominal Unitário das Debêntures a ser Amortizado (%)</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2021</w:t>
            </w:r>
          </w:p>
        </w:tc>
        <w:tc>
          <w:tcPr>
            <w:tcW w:w="3686" w:type="dxa"/>
            <w:shd w:val="clear" w:color="auto" w:fill="auto"/>
          </w:tcPr>
          <w:p w:rsidR="005A5C34" w:rsidRPr="007D67AF"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D7668E">
              <w:rPr>
                <w:rFonts w:ascii="Trebuchet MS" w:hAnsi="Trebuchet MS"/>
                <w:i/>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lastRenderedPageBreak/>
              <w:t>2</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Data de Vencimento</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2,2739%</w:t>
            </w:r>
          </w:p>
        </w:tc>
      </w:tr>
    </w:tbl>
    <w:p w:rsidR="00276E2E" w:rsidRPr="002352EC" w:rsidRDefault="00276E2E" w:rsidP="00B339FE">
      <w:pPr>
        <w:tabs>
          <w:tab w:val="left" w:pos="851"/>
        </w:tabs>
        <w:spacing w:after="0" w:line="300" w:lineRule="exact"/>
        <w:jc w:val="both"/>
        <w:outlineLvl w:val="0"/>
        <w:rPr>
          <w:rFonts w:ascii="Trebuchet MS" w:hAnsi="Trebuchet MS" w:cs="Arial"/>
          <w:sz w:val="20"/>
          <w:szCs w:val="20"/>
          <w:lang w:eastAsia="en-US"/>
        </w:rPr>
      </w:pPr>
    </w:p>
    <w:bookmarkEnd w:id="6"/>
    <w:p w:rsidR="00D57467" w:rsidRPr="00D57467" w:rsidRDefault="00D5746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Partes resolvem </w:t>
      </w:r>
      <w:r>
        <w:rPr>
          <w:rFonts w:ascii="Trebuchet MS" w:hAnsi="Trebuchet MS" w:cs="Arial"/>
          <w:sz w:val="20"/>
          <w:szCs w:val="20"/>
          <w:lang w:eastAsia="en-US"/>
        </w:rPr>
        <w:t>incluir a nova</w:t>
      </w:r>
      <w:r w:rsidRPr="002352EC">
        <w:rPr>
          <w:rFonts w:ascii="Trebuchet MS" w:hAnsi="Trebuchet MS" w:cs="Arial"/>
          <w:sz w:val="20"/>
          <w:szCs w:val="20"/>
          <w:lang w:eastAsia="en-US"/>
        </w:rPr>
        <w:t xml:space="preserve"> cláusula 5.14.</w:t>
      </w:r>
      <w:r>
        <w:rPr>
          <w:rFonts w:ascii="Trebuchet MS" w:hAnsi="Trebuchet MS" w:cs="Arial"/>
          <w:sz w:val="20"/>
          <w:szCs w:val="20"/>
          <w:lang w:eastAsia="en-US"/>
        </w:rPr>
        <w:t>2 n</w:t>
      </w:r>
      <w:r w:rsidRPr="002352EC">
        <w:rPr>
          <w:rFonts w:ascii="Trebuchet MS" w:hAnsi="Trebuchet MS" w:cs="Arial"/>
          <w:sz w:val="20"/>
          <w:szCs w:val="20"/>
          <w:lang w:eastAsia="en-US"/>
        </w:rPr>
        <w:t xml:space="preserve">a Escritura de Emissão, a qual </w:t>
      </w:r>
      <w:r>
        <w:rPr>
          <w:rFonts w:ascii="Trebuchet MS" w:hAnsi="Trebuchet MS" w:cs="Arial"/>
          <w:sz w:val="20"/>
          <w:szCs w:val="20"/>
          <w:lang w:eastAsia="en-US"/>
        </w:rPr>
        <w:t>irá</w:t>
      </w:r>
      <w:r w:rsidRPr="002352EC">
        <w:rPr>
          <w:rFonts w:ascii="Trebuchet MS" w:hAnsi="Trebuchet MS" w:cs="Arial"/>
          <w:sz w:val="20"/>
          <w:szCs w:val="20"/>
          <w:lang w:eastAsia="en-US"/>
        </w:rPr>
        <w:t xml:space="preserve"> a vigorar com a seguinte redação</w:t>
      </w:r>
      <w:r>
        <w:rPr>
          <w:rFonts w:ascii="Trebuchet MS" w:hAnsi="Trebuchet MS" w:cs="Arial"/>
          <w:sz w:val="20"/>
          <w:szCs w:val="20"/>
          <w:lang w:eastAsia="en-US"/>
        </w:rPr>
        <w:t>:</w:t>
      </w:r>
    </w:p>
    <w:p w:rsidR="00D57467" w:rsidRPr="00D57467" w:rsidRDefault="00D57467" w:rsidP="00B339FE">
      <w:pPr>
        <w:tabs>
          <w:tab w:val="left" w:pos="851"/>
        </w:tabs>
        <w:spacing w:after="0" w:line="300" w:lineRule="exact"/>
        <w:jc w:val="both"/>
        <w:outlineLvl w:val="0"/>
        <w:rPr>
          <w:rFonts w:ascii="Trebuchet MS" w:hAnsi="Trebuchet MS"/>
          <w:sz w:val="20"/>
          <w:szCs w:val="20"/>
          <w:lang w:eastAsia="en-US"/>
        </w:rPr>
      </w:pPr>
    </w:p>
    <w:p w:rsidR="00D57467" w:rsidRDefault="00D57467" w:rsidP="000B72A9">
      <w:pPr>
        <w:pStyle w:val="Level3"/>
        <w:numPr>
          <w:ilvl w:val="0"/>
          <w:numId w:val="0"/>
        </w:numPr>
        <w:spacing w:after="0"/>
        <w:ind w:left="709"/>
        <w:rPr>
          <w:rFonts w:ascii="Trebuchet MS" w:hAnsi="Trebuchet MS"/>
          <w:i/>
          <w:iCs/>
          <w:szCs w:val="20"/>
        </w:rPr>
      </w:pPr>
      <w:r>
        <w:rPr>
          <w:rFonts w:ascii="Trebuchet MS" w:hAnsi="Trebuchet MS"/>
          <w:i/>
          <w:iCs/>
          <w:szCs w:val="20"/>
        </w:rPr>
        <w:t>“</w:t>
      </w: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7E58FA">
        <w:rPr>
          <w:rFonts w:ascii="Trebuchet MS" w:hAnsi="Trebuchet MS"/>
        </w:rPr>
        <w:t>25</w:t>
      </w:r>
      <w:r w:rsidRPr="00EB1975">
        <w:rPr>
          <w:rFonts w:ascii="Trebuchet MS" w:hAnsi="Trebuchet MS"/>
          <w:i/>
          <w:iCs/>
          <w:szCs w:val="20"/>
        </w:rPr>
        <w:t xml:space="preserve">º (vigésimo </w:t>
      </w:r>
      <w:r w:rsidR="007E58FA">
        <w:rPr>
          <w:rFonts w:ascii="Trebuchet MS" w:hAnsi="Trebuchet MS"/>
          <w:i/>
          <w:iCs/>
          <w:szCs w:val="20"/>
        </w:rPr>
        <w:t>quinto</w:t>
      </w:r>
      <w:r w:rsidRPr="00EB1975">
        <w:rPr>
          <w:rFonts w:ascii="Trebuchet MS" w:hAnsi="Trebuchet MS"/>
          <w:i/>
          <w:iCs/>
          <w:szCs w:val="20"/>
        </w:rPr>
        <w:t xml:space="preserve">) mês (inclusive), contado da Data de Emissão, em </w:t>
      </w:r>
      <w:r w:rsidR="007E58FA">
        <w:rPr>
          <w:rFonts w:ascii="Trebuchet MS" w:hAnsi="Trebuchet MS"/>
        </w:rPr>
        <w:t>48</w:t>
      </w:r>
      <w:r w:rsidRPr="00EB1975">
        <w:rPr>
          <w:rFonts w:ascii="Trebuchet MS" w:hAnsi="Trebuchet MS"/>
          <w:i/>
          <w:iCs/>
          <w:szCs w:val="20"/>
        </w:rPr>
        <w:t xml:space="preserve"> (quarenta e </w:t>
      </w:r>
      <w:r w:rsidR="007E58FA">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sidR="007E58FA">
        <w:rPr>
          <w:rFonts w:ascii="Trebuchet MS" w:hAnsi="Trebuchet MS"/>
        </w:rPr>
        <w:t>setembro</w:t>
      </w:r>
      <w:r w:rsidRPr="00EB1975">
        <w:rPr>
          <w:rFonts w:ascii="Trebuchet MS" w:hAnsi="Trebuchet MS"/>
          <w:i/>
          <w:iCs/>
          <w:szCs w:val="20"/>
        </w:rPr>
        <w:t xml:space="preserve"> de 202</w:t>
      </w:r>
      <w:r w:rsidR="007E58FA">
        <w:rPr>
          <w:rFonts w:ascii="Trebuchet MS" w:hAnsi="Trebuchet MS"/>
        </w:rPr>
        <w:t>0</w:t>
      </w:r>
      <w:r w:rsidR="007E58FA" w:rsidRPr="00EB1975">
        <w:rPr>
          <w:rFonts w:ascii="Trebuchet MS" w:hAnsi="Trebuchet MS"/>
          <w:i/>
          <w:iCs/>
          <w:szCs w:val="20"/>
        </w:rPr>
        <w:t xml:space="preserve">, </w:t>
      </w:r>
      <w:r w:rsidRPr="00EB1975">
        <w:rPr>
          <w:rFonts w:ascii="Trebuchet MS" w:hAnsi="Trebuchet MS"/>
          <w:i/>
          <w:iCs/>
          <w:szCs w:val="20"/>
        </w:rPr>
        <w:t>conforme tabela</w:t>
      </w:r>
      <w:r>
        <w:rPr>
          <w:rFonts w:ascii="Trebuchet MS" w:hAnsi="Trebuchet MS"/>
          <w:i/>
          <w:iCs/>
          <w:szCs w:val="20"/>
        </w:rPr>
        <w:t>s</w:t>
      </w:r>
      <w:r w:rsidRPr="00EB1975">
        <w:rPr>
          <w:rFonts w:ascii="Trebuchet MS" w:hAnsi="Trebuchet MS"/>
          <w:i/>
          <w:iCs/>
          <w:szCs w:val="20"/>
        </w:rPr>
        <w:t xml:space="preserve"> abaixo</w:t>
      </w:r>
      <w:r>
        <w:rPr>
          <w:rFonts w:ascii="Trebuchet MS" w:hAnsi="Trebuchet MS"/>
          <w:i/>
          <w:iCs/>
          <w:szCs w:val="20"/>
        </w:rPr>
        <w:t xml:space="preserve">; </w:t>
      </w:r>
    </w:p>
    <w:p w:rsidR="007E58FA" w:rsidRDefault="007E58FA" w:rsidP="007E58FA">
      <w:pPr>
        <w:pStyle w:val="Level3"/>
        <w:numPr>
          <w:ilvl w:val="0"/>
          <w:numId w:val="0"/>
        </w:numPr>
        <w:spacing w:after="0"/>
        <w:ind w:left="1418"/>
        <w:rPr>
          <w:rFonts w:ascii="Trebuchet MS" w:hAnsi="Trebuchet MS"/>
          <w:b/>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827"/>
      </w:tblGrid>
      <w:tr w:rsidR="007E58FA" w:rsidRPr="00EB1975" w:rsidTr="002D586C">
        <w:tc>
          <w:tcPr>
            <w:tcW w:w="1418"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Amortização</w:t>
            </w:r>
          </w:p>
        </w:tc>
        <w:tc>
          <w:tcPr>
            <w:tcW w:w="2693"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Data da Amortização</w:t>
            </w:r>
          </w:p>
        </w:tc>
        <w:tc>
          <w:tcPr>
            <w:tcW w:w="3827"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Percentual do Valor Nominal Unitário das Debêntures a ser Amortizado (%)</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3ª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novembro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dezembro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janeiro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fevereiro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lastRenderedPageBreak/>
              <w:t>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45ª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46ª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47ª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48ª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Data de Vencimento</w:t>
            </w:r>
          </w:p>
        </w:tc>
        <w:tc>
          <w:tcPr>
            <w:tcW w:w="3827" w:type="dxa"/>
            <w:shd w:val="clear" w:color="auto" w:fill="auto"/>
          </w:tcPr>
          <w:p w:rsidR="007E58FA" w:rsidRPr="007E58FA" w:rsidRDefault="007E58FA">
            <w:pPr>
              <w:pStyle w:val="Level3"/>
              <w:numPr>
                <w:ilvl w:val="0"/>
                <w:numId w:val="0"/>
              </w:numPr>
              <w:tabs>
                <w:tab w:val="left" w:pos="709"/>
              </w:tabs>
              <w:spacing w:after="0"/>
              <w:jc w:val="center"/>
              <w:rPr>
                <w:rFonts w:ascii="Trebuchet MS" w:hAnsi="Trebuchet MS"/>
                <w:i/>
                <w:iCs/>
                <w:szCs w:val="20"/>
              </w:rPr>
            </w:pPr>
            <w:r w:rsidRPr="002D586C">
              <w:rPr>
                <w:rFonts w:ascii="Trebuchet MS" w:hAnsi="Trebuchet MS"/>
                <w:i/>
              </w:rPr>
              <w:t>2,08</w:t>
            </w:r>
            <w:r w:rsidR="000B72A9">
              <w:rPr>
                <w:rFonts w:ascii="Trebuchet MS" w:hAnsi="Trebuchet MS"/>
                <w:i/>
              </w:rPr>
              <w:t>49</w:t>
            </w:r>
            <w:r w:rsidRPr="002D586C">
              <w:rPr>
                <w:rFonts w:ascii="Trebuchet MS" w:hAnsi="Trebuchet MS"/>
                <w:i/>
              </w:rPr>
              <w:t>%</w:t>
            </w:r>
          </w:p>
        </w:tc>
      </w:tr>
    </w:tbl>
    <w:p w:rsidR="007E58FA" w:rsidRPr="002D586C" w:rsidRDefault="007E58FA">
      <w:pPr>
        <w:pStyle w:val="Level3"/>
        <w:numPr>
          <w:ilvl w:val="0"/>
          <w:numId w:val="0"/>
        </w:numPr>
        <w:spacing w:after="0"/>
        <w:ind w:left="420"/>
        <w:rPr>
          <w:rFonts w:ascii="Trebuchet MS" w:hAnsi="Trebuchet MS"/>
          <w:iCs/>
          <w:szCs w:val="20"/>
        </w:rPr>
      </w:pPr>
    </w:p>
    <w:p w:rsidR="00451947" w:rsidRPr="00D7668E" w:rsidRDefault="0045194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alterar a redação da cláusula 5.16.</w:t>
      </w:r>
      <w:r>
        <w:rPr>
          <w:rFonts w:ascii="Trebuchet MS" w:hAnsi="Trebuchet MS" w:cs="Arial"/>
          <w:sz w:val="20"/>
          <w:szCs w:val="20"/>
          <w:lang w:eastAsia="en-US"/>
        </w:rPr>
        <w:t>1 e 5.16.1.6</w:t>
      </w:r>
      <w:r w:rsidRPr="002352EC">
        <w:rPr>
          <w:rFonts w:ascii="Trebuchet MS" w:hAnsi="Trebuchet MS" w:cs="Arial"/>
          <w:sz w:val="20"/>
          <w:szCs w:val="20"/>
          <w:lang w:eastAsia="en-US"/>
        </w:rPr>
        <w:t xml:space="preserve"> da Escritura de Emissão, a</w:t>
      </w:r>
      <w:r>
        <w:rPr>
          <w:rFonts w:ascii="Trebuchet MS" w:hAnsi="Trebuchet MS" w:cs="Arial"/>
          <w:sz w:val="20"/>
          <w:szCs w:val="20"/>
          <w:lang w:eastAsia="en-US"/>
        </w:rPr>
        <w:t>s</w:t>
      </w:r>
      <w:r w:rsidRPr="002352EC">
        <w:rPr>
          <w:rFonts w:ascii="Trebuchet MS" w:hAnsi="Trebuchet MS" w:cs="Arial"/>
          <w:sz w:val="20"/>
          <w:szCs w:val="20"/>
          <w:lang w:eastAsia="en-US"/>
        </w:rPr>
        <w:t xml:space="preserve"> qua</w:t>
      </w:r>
      <w:r>
        <w:rPr>
          <w:rFonts w:ascii="Trebuchet MS" w:hAnsi="Trebuchet MS" w:cs="Arial"/>
          <w:sz w:val="20"/>
          <w:szCs w:val="20"/>
          <w:lang w:eastAsia="en-US"/>
        </w:rPr>
        <w:t>is</w:t>
      </w:r>
      <w:r w:rsidRPr="002352EC">
        <w:rPr>
          <w:rFonts w:ascii="Trebuchet MS" w:hAnsi="Trebuchet MS" w:cs="Arial"/>
          <w:sz w:val="20"/>
          <w:szCs w:val="20"/>
          <w:lang w:eastAsia="en-US"/>
        </w:rPr>
        <w:t xml:space="preserve"> passar</w:t>
      </w:r>
      <w:r>
        <w:rPr>
          <w:rFonts w:ascii="Trebuchet MS" w:hAnsi="Trebuchet MS" w:cs="Arial"/>
          <w:sz w:val="20"/>
          <w:szCs w:val="20"/>
          <w:lang w:eastAsia="en-US"/>
        </w:rPr>
        <w:t>ão</w:t>
      </w:r>
      <w:r w:rsidRPr="002352EC">
        <w:rPr>
          <w:rFonts w:ascii="Trebuchet MS" w:hAnsi="Trebuchet MS" w:cs="Arial"/>
          <w:sz w:val="20"/>
          <w:szCs w:val="20"/>
          <w:lang w:eastAsia="en-US"/>
        </w:rPr>
        <w:t xml:space="preserve"> a vigorar com a seguinte redação:</w:t>
      </w:r>
    </w:p>
    <w:p w:rsidR="00451947" w:rsidRDefault="00451947" w:rsidP="00D7668E">
      <w:pPr>
        <w:tabs>
          <w:tab w:val="left" w:pos="851"/>
        </w:tabs>
        <w:spacing w:after="0" w:line="300" w:lineRule="exact"/>
        <w:jc w:val="both"/>
        <w:outlineLvl w:val="0"/>
        <w:rPr>
          <w:rFonts w:ascii="Trebuchet MS" w:hAnsi="Trebuchet MS"/>
          <w:sz w:val="20"/>
          <w:szCs w:val="20"/>
          <w:lang w:eastAsia="en-US"/>
        </w:rPr>
      </w:pPr>
    </w:p>
    <w:p w:rsidR="00451947" w:rsidRPr="00956F8B" w:rsidRDefault="00451947" w:rsidP="00451947">
      <w:pPr>
        <w:pStyle w:val="Level3"/>
        <w:numPr>
          <w:ilvl w:val="2"/>
          <w:numId w:val="44"/>
        </w:numPr>
        <w:tabs>
          <w:tab w:val="left" w:pos="709"/>
        </w:tabs>
        <w:spacing w:before="140" w:after="240"/>
        <w:ind w:left="709" w:firstLine="0"/>
        <w:rPr>
          <w:rFonts w:ascii="Trebuchet MS" w:hAnsi="Trebuchet MS"/>
          <w:b/>
          <w:i/>
          <w:iCs/>
          <w:szCs w:val="20"/>
        </w:rPr>
      </w:pPr>
      <w:bookmarkStart w:id="8" w:name="_Hlk45555754"/>
      <w:r w:rsidRPr="00956F8B">
        <w:rPr>
          <w:rFonts w:ascii="Trebuchet MS" w:hAnsi="Trebuchet MS"/>
          <w:b/>
          <w:i/>
          <w:iCs/>
          <w:szCs w:val="20"/>
        </w:rPr>
        <w:t>Remuneração das Debêntures da Primeira Série</w:t>
      </w:r>
    </w:p>
    <w:p w:rsidR="00451947" w:rsidRPr="00956F8B" w:rsidRDefault="00451947" w:rsidP="00451947">
      <w:pPr>
        <w:pStyle w:val="Nivel5"/>
        <w:numPr>
          <w:ilvl w:val="0"/>
          <w:numId w:val="0"/>
        </w:numPr>
        <w:tabs>
          <w:tab w:val="num" w:pos="0"/>
          <w:tab w:val="left" w:pos="709"/>
        </w:tabs>
        <w:spacing w:before="140" w:after="240" w:line="290" w:lineRule="auto"/>
        <w:ind w:left="709"/>
        <w:rPr>
          <w:rFonts w:ascii="Trebuchet MS" w:hAnsi="Trebuchet MS" w:cs="Arial"/>
          <w:i/>
          <w:iCs/>
          <w:sz w:val="20"/>
          <w:szCs w:val="20"/>
        </w:rPr>
      </w:pPr>
      <w:bookmarkStart w:id="9" w:name="_Hlk516242318"/>
      <w:bookmarkStart w:id="10" w:name="_Ref420335344"/>
      <w:r w:rsidRPr="00956F8B">
        <w:rPr>
          <w:rFonts w:ascii="Trebuchet MS" w:hAnsi="Trebuchet MS"/>
          <w:i/>
          <w:iCs/>
          <w:sz w:val="20"/>
          <w:szCs w:val="20"/>
        </w:rPr>
        <w:t xml:space="preserve">Sobre o Valor Nominal Unitário ou saldo do Valor Nominal Unitário, das Debêntures da Primeira Série, conforme o caso, incidirão juros remuneratórios correspondentes a </w:t>
      </w:r>
      <w:r w:rsidRPr="00956F8B">
        <w:rPr>
          <w:rFonts w:ascii="Trebuchet MS" w:hAnsi="Trebuchet MS"/>
          <w:i/>
          <w:iCs/>
          <w:sz w:val="20"/>
          <w:szCs w:val="20"/>
        </w:rPr>
        <w:lastRenderedPageBreak/>
        <w:t>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A Remuneração da Primeira Série será calculada de forma exponencial e cumulativa pro rata temporis,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 ou a data de incorporação da remuneração imediatamente anterior, conforme o caso, até a data de pagamento da Remuneração da Primeira Série imediatamente subsequente, ou a data de incorporação da remuneração imediatamente subsequente de acordo com a seguinte fórmula</w:t>
      </w:r>
      <w:bookmarkEnd w:id="9"/>
      <w:r w:rsidRPr="00956F8B">
        <w:rPr>
          <w:rFonts w:ascii="Trebuchet MS" w:hAnsi="Trebuchet MS" w:cs="Arial"/>
          <w:i/>
          <w:iCs/>
          <w:sz w:val="20"/>
          <w:szCs w:val="20"/>
        </w:rPr>
        <w:t>:</w:t>
      </w:r>
      <w:bookmarkEnd w:id="10"/>
      <w:r w:rsidRPr="00956F8B">
        <w:rPr>
          <w:rFonts w:ascii="Trebuchet MS" w:hAnsi="Trebuchet MS" w:cs="Arial"/>
          <w:i/>
          <w:iCs/>
          <w:sz w:val="20"/>
          <w:szCs w:val="20"/>
        </w:rPr>
        <w:t xml:space="preserve"> </w:t>
      </w:r>
    </w:p>
    <w:bookmarkEnd w:id="8"/>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J=VNe x (Fator Juros – 1)</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keepNext/>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keepNext/>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VNe = Valor Nominal Unitário ou saldo do Valor Nominal Unitário das Debêntures da Primeira Série, conforme o caso, informado/calculado com 8 (oito) casas decimais, sem arredondamento;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Fator Juros = FatorDI x FatorSpread</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r w:rsidRPr="00956F8B">
        <w:rPr>
          <w:rFonts w:ascii="Trebuchet MS" w:hAnsi="Trebuchet MS"/>
          <w:i/>
          <w:iCs/>
          <w:sz w:val="20"/>
        </w:rPr>
        <w:t>produtório das Taxas DI, desde a primeira Data de Integralização da Primeira Série, a data de pagamento de Remuneração da Primeira Série imediatamente anterior, ou a data de incorporação da remuneração imediatamente anterior,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before="240" w:after="240" w:line="280" w:lineRule="exact"/>
        <w:ind w:left="709"/>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451947" w:rsidRPr="00956F8B" w:rsidRDefault="00451947" w:rsidP="00451947">
      <w:pPr>
        <w:spacing w:line="280" w:lineRule="exact"/>
        <w:ind w:left="709"/>
        <w:jc w:val="center"/>
        <w:rPr>
          <w:rFonts w:ascii="Trebuchet MS" w:hAnsi="Trebuchet MS"/>
          <w:b/>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n = número total de Taxas DI, consideradas no cálculo do ativo.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F7FB2" w:rsidP="00451947">
      <w:pPr>
        <w:spacing w:before="240" w:after="240" w:line="280" w:lineRule="exact"/>
        <w:ind w:left="709"/>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FatorSpread = Sobretaxa, calculada com 9 (nove) casas decimais, com arredondamento, apurada conforme fórmula abaixo:</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F7FB2" w:rsidP="00451947">
      <w:pPr>
        <w:spacing w:line="280" w:lineRule="exact"/>
        <w:ind w:left="709"/>
        <w:rPr>
          <w:rFonts w:ascii="Trebuchet MS" w:hAnsi="Trebuchet MS"/>
          <w:i/>
          <w:iCs/>
          <w:color w:val="000000"/>
          <w:sz w:val="20"/>
        </w:rPr>
      </w:pPr>
      <w:r>
        <w:rPr>
          <w:rFonts w:ascii="Trebuchet MS" w:hAnsi="Trebuchet MS"/>
          <w:i/>
          <w:iCs/>
          <w:noProof/>
          <w:color w:val="000000"/>
          <w:sz w:val="20"/>
        </w:rPr>
        <w:object w:dxaOrig="1440" w:dyaOrig="1440" w14:anchorId="003B3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350986" r:id="rId10"/>
        </w:objec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onde:</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bookmarkStart w:id="11"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11"/>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 a</w:t>
      </w:r>
      <w:r w:rsidRPr="00956F8B">
        <w:rPr>
          <w:rFonts w:ascii="Trebuchet MS" w:hAnsi="Trebuchet MS"/>
          <w:i/>
          <w:iCs/>
          <w:color w:val="000000"/>
          <w:sz w:val="20"/>
        </w:rPr>
        <w:t xml:space="preserve"> data de pagamento de Remuneração da Primeira Série imediatamente </w:t>
      </w:r>
      <w:r w:rsidRPr="00956F8B">
        <w:rPr>
          <w:rFonts w:ascii="Trebuchet MS" w:hAnsi="Trebuchet MS"/>
          <w:i/>
          <w:iCs/>
          <w:color w:val="000000"/>
          <w:sz w:val="20"/>
        </w:rPr>
        <w:lastRenderedPageBreak/>
        <w:t xml:space="preserve">anterior, </w:t>
      </w:r>
      <w:r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451947" w:rsidRPr="00956F8B" w:rsidRDefault="00451947" w:rsidP="00451947">
      <w:pPr>
        <w:pStyle w:val="p0"/>
        <w:widowControl/>
        <w:tabs>
          <w:tab w:val="clear" w:pos="720"/>
        </w:tabs>
        <w:spacing w:line="280" w:lineRule="exact"/>
        <w:ind w:left="709"/>
        <w:rPr>
          <w:rFonts w:ascii="Trebuchet MS" w:hAnsi="Trebuchet MS"/>
          <w:i/>
          <w:iCs/>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Efetua-se o produtório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451947" w:rsidRPr="00956F8B" w:rsidRDefault="00451947" w:rsidP="00451947">
      <w:pPr>
        <w:pStyle w:val="PargrafodaLista"/>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451947" w:rsidRPr="00956F8B" w:rsidRDefault="00451947" w:rsidP="00451947">
      <w:pPr>
        <w:pStyle w:val="PargrafodaLista"/>
        <w:spacing w:line="280" w:lineRule="exact"/>
        <w:ind w:left="709"/>
        <w:rPr>
          <w:rFonts w:ascii="Trebuchet MS" w:hAnsi="Trebuchet MS"/>
          <w:i/>
          <w:iCs/>
          <w:snapToGrid w:val="0"/>
          <w:color w:val="000000"/>
          <w:sz w:val="20"/>
        </w:rPr>
      </w:pP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(FatorDIxFatorSpread) é considerado com 9 (nove) casas decimais, com arredondamento. </w:t>
      </w:r>
    </w:p>
    <w:p w:rsidR="00451947" w:rsidRPr="00956F8B" w:rsidRDefault="00451947" w:rsidP="00451947">
      <w:pPr>
        <w:tabs>
          <w:tab w:val="left" w:pos="600"/>
        </w:tabs>
        <w:spacing w:line="280" w:lineRule="exact"/>
        <w:ind w:left="709"/>
        <w:rPr>
          <w:rFonts w:ascii="Trebuchet MS" w:hAnsi="Trebuchet MS"/>
          <w:b/>
          <w:i/>
          <w:iCs/>
          <w:snapToGrid w:val="0"/>
          <w:color w:val="000000"/>
          <w:sz w:val="20"/>
        </w:rPr>
      </w:pP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w:t>
      </w: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p>
    <w:p w:rsidR="00451947" w:rsidRDefault="00451947" w:rsidP="00D7668E">
      <w:pPr>
        <w:tabs>
          <w:tab w:val="left" w:pos="851"/>
        </w:tabs>
        <w:spacing w:after="0" w:line="300" w:lineRule="exact"/>
        <w:ind w:left="709"/>
        <w:jc w:val="both"/>
        <w:outlineLvl w:val="0"/>
        <w:rPr>
          <w:rFonts w:ascii="Trebuchet MS" w:hAnsi="Trebuchet MS"/>
          <w:sz w:val="20"/>
          <w:szCs w:val="20"/>
          <w:lang w:eastAsia="en-US"/>
        </w:rPr>
      </w:pPr>
      <w:bookmarkStart w:id="12" w:name="_DV_M185"/>
      <w:bookmarkEnd w:id="12"/>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temporis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 xml:space="preserve">Data de Integralização, a data de pagamento da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451947" w:rsidRPr="00D7668E" w:rsidRDefault="00451947" w:rsidP="00D7668E">
      <w:pPr>
        <w:tabs>
          <w:tab w:val="left" w:pos="851"/>
        </w:tabs>
        <w:spacing w:after="0" w:line="300" w:lineRule="exact"/>
        <w:jc w:val="both"/>
        <w:outlineLvl w:val="0"/>
        <w:rPr>
          <w:rFonts w:ascii="Trebuchet MS" w:hAnsi="Trebuchet MS"/>
          <w:sz w:val="20"/>
          <w:szCs w:val="20"/>
          <w:lang w:eastAsia="en-US"/>
        </w:rPr>
      </w:pPr>
    </w:p>
    <w:p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13"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5.16.3</w:t>
      </w:r>
      <w:r w:rsidRPr="002352EC">
        <w:rPr>
          <w:rFonts w:ascii="Trebuchet MS" w:hAnsi="Trebuchet MS" w:cs="Arial"/>
          <w:sz w:val="20"/>
          <w:szCs w:val="20"/>
          <w:lang w:eastAsia="en-US"/>
        </w:rPr>
        <w:t xml:space="preserve"> da Escritura de Emissão</w:t>
      </w:r>
      <w:r w:rsidR="00D57467">
        <w:rPr>
          <w:rFonts w:ascii="Trebuchet MS" w:hAnsi="Trebuchet MS" w:cs="Arial"/>
          <w:sz w:val="20"/>
          <w:szCs w:val="20"/>
          <w:lang w:eastAsia="en-US"/>
        </w:rPr>
        <w:t xml:space="preserve"> para inclusão das novas Cláusulas 5.16.3.1 e 5.16.3.2</w:t>
      </w:r>
      <w:r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w:t>
      </w:r>
      <w:r w:rsidR="00D57467">
        <w:rPr>
          <w:rFonts w:ascii="Trebuchet MS" w:hAnsi="Trebuchet MS" w:cs="Arial"/>
          <w:sz w:val="20"/>
          <w:szCs w:val="20"/>
          <w:lang w:eastAsia="en-US"/>
        </w:rPr>
        <w:t>s</w:t>
      </w:r>
      <w:r w:rsidR="001E16E2" w:rsidRPr="002352EC">
        <w:rPr>
          <w:rFonts w:ascii="Trebuchet MS" w:hAnsi="Trebuchet MS" w:cs="Arial"/>
          <w:sz w:val="20"/>
          <w:szCs w:val="20"/>
          <w:lang w:eastAsia="en-US"/>
        </w:rPr>
        <w:t xml:space="preserve"> qua</w:t>
      </w:r>
      <w:r w:rsidR="00D57467">
        <w:rPr>
          <w:rFonts w:ascii="Trebuchet MS" w:hAnsi="Trebuchet MS" w:cs="Arial"/>
          <w:sz w:val="20"/>
          <w:szCs w:val="20"/>
          <w:lang w:eastAsia="en-US"/>
        </w:rPr>
        <w:t>is</w:t>
      </w:r>
      <w:r w:rsidR="001E16E2" w:rsidRPr="002352EC">
        <w:rPr>
          <w:rFonts w:ascii="Trebuchet MS" w:hAnsi="Trebuchet MS" w:cs="Arial"/>
          <w:sz w:val="20"/>
          <w:szCs w:val="20"/>
          <w:lang w:eastAsia="en-US"/>
        </w:rPr>
        <w:t xml:space="preserve"> </w:t>
      </w:r>
      <w:r w:rsidR="00D57467" w:rsidRPr="002352EC">
        <w:rPr>
          <w:rFonts w:ascii="Trebuchet MS" w:hAnsi="Trebuchet MS" w:cs="Arial"/>
          <w:sz w:val="20"/>
          <w:szCs w:val="20"/>
          <w:lang w:eastAsia="en-US"/>
        </w:rPr>
        <w:t>passar</w:t>
      </w:r>
      <w:r w:rsidR="00D57467">
        <w:rPr>
          <w:rFonts w:ascii="Trebuchet MS" w:hAnsi="Trebuchet MS" w:cs="Arial"/>
          <w:sz w:val="20"/>
          <w:szCs w:val="20"/>
          <w:lang w:eastAsia="en-US"/>
        </w:rPr>
        <w:t>ão</w:t>
      </w:r>
      <w:r w:rsidR="00D57467"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 vigorar com a seguinte redação</w:t>
      </w:r>
      <w:r w:rsidRPr="002352EC">
        <w:rPr>
          <w:rFonts w:ascii="Trebuchet MS" w:hAnsi="Trebuchet MS" w:cs="Arial"/>
          <w:sz w:val="20"/>
          <w:szCs w:val="20"/>
          <w:lang w:eastAsia="en-US"/>
        </w:rPr>
        <w:t>:</w:t>
      </w:r>
      <w:bookmarkEnd w:id="13"/>
      <w:r w:rsidR="001C4E19" w:rsidRPr="001C4E19">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sz w:val="20"/>
          <w:szCs w:val="20"/>
          <w:lang w:eastAsia="en-US"/>
        </w:rPr>
      </w:pPr>
    </w:p>
    <w:p w:rsidR="00276E2E" w:rsidRPr="002352EC" w:rsidRDefault="00276E2E" w:rsidP="00D7668E">
      <w:pPr>
        <w:pStyle w:val="PargrafodaLista"/>
        <w:keepNext/>
        <w:spacing w:line="300" w:lineRule="exact"/>
        <w:jc w:val="both"/>
        <w:rPr>
          <w:rFonts w:ascii="Trebuchet MS" w:hAnsi="Trebuchet MS"/>
          <w:b/>
          <w:i/>
          <w:sz w:val="20"/>
          <w:szCs w:val="20"/>
        </w:rPr>
      </w:pPr>
      <w:bookmarkStart w:id="14"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rsidR="00AC4EA9" w:rsidRDefault="00AC4EA9" w:rsidP="00D7668E">
      <w:pPr>
        <w:pStyle w:val="PargrafodaLista"/>
        <w:keepNext/>
        <w:spacing w:line="300" w:lineRule="exact"/>
        <w:jc w:val="both"/>
        <w:rPr>
          <w:rFonts w:ascii="Trebuchet MS" w:hAnsi="Trebuchet MS"/>
          <w:i/>
          <w:iCs/>
          <w:sz w:val="20"/>
          <w:szCs w:val="20"/>
        </w:rPr>
      </w:pPr>
    </w:p>
    <w:p w:rsidR="00276E2E" w:rsidRPr="002352EC" w:rsidRDefault="00D57467" w:rsidP="007C1BF2">
      <w:pPr>
        <w:pStyle w:val="PargrafodaLista"/>
        <w:spacing w:line="300" w:lineRule="exact"/>
        <w:jc w:val="both"/>
        <w:rPr>
          <w:rFonts w:ascii="Trebuchet MS" w:hAnsi="Trebuchet MS"/>
          <w:i/>
          <w:sz w:val="20"/>
          <w:szCs w:val="20"/>
        </w:rPr>
      </w:pPr>
      <w:r>
        <w:rPr>
          <w:rFonts w:ascii="Trebuchet MS" w:hAnsi="Trebuchet MS"/>
          <w:i/>
          <w:iCs/>
          <w:sz w:val="20"/>
          <w:szCs w:val="20"/>
        </w:rPr>
        <w:t xml:space="preserve">5.16.3.1. </w:t>
      </w:r>
      <w:r w:rsidR="00AC4EA9" w:rsidRPr="00AC4EA9">
        <w:rPr>
          <w:rFonts w:ascii="Trebuchet MS" w:hAnsi="Trebuchet MS"/>
          <w:i/>
          <w:iCs/>
          <w:sz w:val="20"/>
          <w:szCs w:val="20"/>
        </w:rPr>
        <w:t>Sem prejuízo de eventual Oferta de Resgate Antecipado, do Resgate Antecipado Facultativo e/ou vencimento antecipado das obrigações decorrentes das Debêntures</w:t>
      </w:r>
      <w:r>
        <w:rPr>
          <w:rFonts w:ascii="Trebuchet MS" w:hAnsi="Trebuchet MS"/>
          <w:i/>
          <w:iCs/>
          <w:sz w:val="20"/>
          <w:szCs w:val="20"/>
        </w:rPr>
        <w:t xml:space="preserve"> da Primeira Série</w:t>
      </w:r>
      <w:r w:rsidR="00AC4EA9" w:rsidRPr="00AC4EA9">
        <w:rPr>
          <w:rFonts w:ascii="Trebuchet MS" w:hAnsi="Trebuchet MS"/>
          <w:i/>
          <w:iCs/>
          <w:sz w:val="20"/>
          <w:szCs w:val="20"/>
        </w:rPr>
        <w:t>, nos termos previstos nesta Escritura de Emissão, a Remuneração</w:t>
      </w:r>
      <w:r>
        <w:rPr>
          <w:rFonts w:ascii="Trebuchet MS" w:hAnsi="Trebuchet MS"/>
          <w:i/>
          <w:iCs/>
          <w:sz w:val="20"/>
          <w:szCs w:val="20"/>
        </w:rPr>
        <w:t xml:space="preserve"> relativa às Debêntures da Primeira Série</w:t>
      </w:r>
      <w:r w:rsidR="00AC4EA9" w:rsidRPr="00AC4EA9">
        <w:rPr>
          <w:rFonts w:ascii="Trebuchet MS" w:hAnsi="Trebuchet MS"/>
          <w:i/>
          <w:iCs/>
          <w:sz w:val="20"/>
          <w:szCs w:val="20"/>
        </w:rPr>
        <w:t xml:space="preserve"> será paga nas datas abaixo indicadas, ocorrendo o primeiro pagamento em 15 de setembro de 2018 e, o último, na Data de Vencimento (cada uma das datas, “</w:t>
      </w:r>
      <w:r w:rsidR="00AC4EA9" w:rsidRPr="00AC4EA9">
        <w:rPr>
          <w:rFonts w:ascii="Trebuchet MS" w:hAnsi="Trebuchet MS"/>
          <w:i/>
          <w:iCs/>
          <w:sz w:val="20"/>
          <w:szCs w:val="20"/>
          <w:u w:val="single"/>
        </w:rPr>
        <w:t>Data de Pagamento da Remuneração</w:t>
      </w:r>
      <w:r>
        <w:rPr>
          <w:rFonts w:ascii="Trebuchet MS" w:hAnsi="Trebuchet MS"/>
          <w:i/>
          <w:iCs/>
          <w:sz w:val="20"/>
          <w:szCs w:val="20"/>
          <w:u w:val="single"/>
        </w:rPr>
        <w:t xml:space="preserve"> das Debêntures da Primeira Série</w:t>
      </w:r>
      <w:r w:rsidR="00AC4EA9" w:rsidRPr="00AC4EA9">
        <w:rPr>
          <w:rFonts w:ascii="Trebuchet MS" w:hAnsi="Trebuchet MS"/>
          <w:i/>
          <w:iCs/>
          <w:sz w:val="20"/>
          <w:szCs w:val="20"/>
        </w:rPr>
        <w:t>”)</w:t>
      </w:r>
      <w:r w:rsidR="00451947">
        <w:rPr>
          <w:rFonts w:ascii="Trebuchet MS" w:hAnsi="Trebuchet MS"/>
          <w:i/>
          <w:iCs/>
          <w:sz w:val="20"/>
          <w:szCs w:val="20"/>
        </w:rPr>
        <w:t xml:space="preserve">, </w:t>
      </w:r>
      <w:r w:rsidR="00451947" w:rsidRPr="00451947">
        <w:rPr>
          <w:rFonts w:ascii="Trebuchet MS" w:hAnsi="Trebuchet MS"/>
          <w:i/>
          <w:iCs/>
          <w:sz w:val="20"/>
          <w:szCs w:val="20"/>
        </w:rPr>
        <w:t>sendo que, nos meses de julho de 2020 (inclusive) até dezembro de 2020 (inclusive), a Remuneração será incorporada ao saldo do valor nominal das Debêntures da 1ª Série</w:t>
      </w:r>
      <w:r w:rsidR="00276E2E" w:rsidRPr="00451947">
        <w:rPr>
          <w:rFonts w:ascii="Trebuchet MS" w:hAnsi="Trebuchet MS"/>
          <w:i/>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276E2E" w:rsidRPr="002352EC" w:rsidTr="001A37CC">
        <w:trPr>
          <w:jc w:val="center"/>
        </w:trPr>
        <w:tc>
          <w:tcPr>
            <w:tcW w:w="1134"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29ª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14"/>
    </w:tbl>
    <w:p w:rsidR="00D57467" w:rsidRDefault="00D57467" w:rsidP="00B339FE">
      <w:pPr>
        <w:pStyle w:val="PargrafodaLista"/>
        <w:spacing w:line="300" w:lineRule="exact"/>
        <w:jc w:val="both"/>
        <w:rPr>
          <w:rFonts w:ascii="Trebuchet MS" w:hAnsi="Trebuchet MS"/>
          <w:i/>
          <w:iCs/>
          <w:szCs w:val="20"/>
        </w:rPr>
      </w:pPr>
    </w:p>
    <w:p w:rsidR="007E58FA" w:rsidRDefault="00D57467">
      <w:pPr>
        <w:pStyle w:val="PargrafodaLista"/>
        <w:spacing w:line="300" w:lineRule="exact"/>
        <w:jc w:val="both"/>
        <w:rPr>
          <w:rFonts w:ascii="Trebuchet MS" w:hAnsi="Trebuchet MS"/>
          <w:i/>
          <w:iCs/>
          <w:sz w:val="20"/>
          <w:szCs w:val="20"/>
        </w:rPr>
      </w:pPr>
      <w:r w:rsidRPr="00B339FE">
        <w:rPr>
          <w:rFonts w:ascii="Trebuchet MS" w:hAnsi="Trebuchet MS"/>
          <w:i/>
          <w:iCs/>
          <w:sz w:val="20"/>
          <w:szCs w:val="20"/>
        </w:rPr>
        <w:t xml:space="preserve">5.16.3.2 </w:t>
      </w:r>
      <w:r w:rsidRPr="00B339FE">
        <w:rPr>
          <w:rFonts w:ascii="Trebuchet MS" w:hAnsi="Trebuchet MS"/>
          <w:i/>
          <w:iCs/>
          <w:sz w:val="20"/>
          <w:szCs w:val="20"/>
        </w:rPr>
        <w:tab/>
        <w:t>Sem prejuízo de eventual Oferta de Resgate Antecipado, do Resgate Antecipado Facultativo e/ou vencimento antecipado das obrigações decorrentes das Debêntures da Segunda Série, nos termos previstos nesta Escritura de Emissão, a Remuneração relativa às Debêntures da Segunda Série será paga nas datas abaixo indicadas, ocorrendo o primeiro pagamento em 15 de setembro de 2018 e, o último, na Data de Vencimento (cada uma das datas, “</w:t>
      </w:r>
      <w:r w:rsidRPr="00B339FE">
        <w:rPr>
          <w:rFonts w:ascii="Trebuchet MS" w:hAnsi="Trebuchet MS"/>
          <w:i/>
          <w:iCs/>
          <w:sz w:val="20"/>
          <w:szCs w:val="20"/>
          <w:u w:val="single"/>
        </w:rPr>
        <w:t xml:space="preserve">Data de Pagamento da Remuneração </w:t>
      </w:r>
      <w:r w:rsidRPr="00B339FE">
        <w:rPr>
          <w:rFonts w:ascii="Trebuchet MS" w:hAnsi="Trebuchet MS"/>
          <w:i/>
          <w:iCs/>
          <w:sz w:val="20"/>
          <w:szCs w:val="20"/>
          <w:u w:val="single"/>
        </w:rPr>
        <w:lastRenderedPageBreak/>
        <w:t>das Debêntures da Segunda Série</w:t>
      </w:r>
      <w:r w:rsidRPr="00B339FE">
        <w:rPr>
          <w:rFonts w:ascii="Trebuchet MS" w:hAnsi="Trebuchet MS"/>
          <w:i/>
          <w:iCs/>
          <w:sz w:val="20"/>
          <w:szCs w:val="20"/>
        </w:rPr>
        <w:t>” e em conjunto com a Data de Pagamento da Remuneração das Debêntures da Primeira Série, “</w:t>
      </w:r>
      <w:r w:rsidRPr="00B339FE">
        <w:rPr>
          <w:rFonts w:ascii="Trebuchet MS" w:hAnsi="Trebuchet MS"/>
          <w:i/>
          <w:iCs/>
          <w:sz w:val="20"/>
          <w:szCs w:val="20"/>
          <w:u w:val="single"/>
        </w:rPr>
        <w:t>Data de Pagamento da Remuneração</w:t>
      </w:r>
      <w:r w:rsidRPr="00B339FE">
        <w:rPr>
          <w:rFonts w:ascii="Trebuchet MS" w:hAnsi="Trebuchet MS"/>
          <w:i/>
          <w:iCs/>
          <w:sz w:val="20"/>
          <w:szCs w:val="20"/>
        </w:rPr>
        <w:t xml:space="preserve">”): </w:t>
      </w:r>
    </w:p>
    <w:p w:rsidR="007E58FA" w:rsidRDefault="007E58FA" w:rsidP="007E58FA">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7E58FA" w:rsidRPr="00EB1975" w:rsidTr="005A5C34">
        <w:trPr>
          <w:jc w:val="center"/>
        </w:trPr>
        <w:tc>
          <w:tcPr>
            <w:tcW w:w="1134"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43ª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D57467" w:rsidRPr="002D586C" w:rsidRDefault="00D57467" w:rsidP="002D586C">
      <w:pPr>
        <w:spacing w:line="300" w:lineRule="exact"/>
        <w:jc w:val="both"/>
        <w:rPr>
          <w:rFonts w:ascii="Trebuchet MS" w:hAnsi="Trebuchet MS"/>
          <w:i/>
          <w:iCs/>
          <w:sz w:val="20"/>
          <w:szCs w:val="20"/>
        </w:rPr>
      </w:pPr>
    </w:p>
    <w:p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br/>
      </w:r>
      <w:r w:rsidRPr="002352EC">
        <w:rPr>
          <w:rFonts w:ascii="Trebuchet MS" w:hAnsi="Trebuchet MS"/>
          <w:bCs/>
          <w:sz w:val="20"/>
          <w:szCs w:val="20"/>
          <w:lang w:val="pt-BR"/>
        </w:rPr>
        <w:t>DISPOSIÇÕES GERAIS</w:t>
      </w:r>
    </w:p>
    <w:p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lastRenderedPageBreak/>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 xml:space="preserve">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 xml:space="preserve">este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rsidR="009C3696" w:rsidRPr="002352EC" w:rsidRDefault="009C3696"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8F7E7A" w:rsidRPr="002352EC" w:rsidRDefault="008F7E7A" w:rsidP="002D586C">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15" w:name="_Toc327379532"/>
      <w:r w:rsidRPr="002352EC">
        <w:rPr>
          <w:rFonts w:ascii="Trebuchet MS" w:hAnsi="Trebuchet MS"/>
          <w:bCs/>
          <w:sz w:val="20"/>
          <w:szCs w:val="20"/>
        </w:rPr>
        <w:br/>
      </w:r>
      <w:bookmarkEnd w:id="15"/>
      <w:r w:rsidRPr="002352EC">
        <w:rPr>
          <w:rFonts w:ascii="Trebuchet MS" w:hAnsi="Trebuchet MS"/>
          <w:bCs/>
          <w:sz w:val="20"/>
          <w:szCs w:val="20"/>
          <w:lang w:val="pt-BR"/>
        </w:rPr>
        <w:t>DO FORO</w:t>
      </w:r>
    </w:p>
    <w:p w:rsidR="00F508FB" w:rsidRPr="002352EC" w:rsidRDefault="00F508FB" w:rsidP="002D586C">
      <w:pPr>
        <w:keepNext/>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16" w:name="_Hlk43506318"/>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2C04B7">
        <w:rPr>
          <w:rFonts w:ascii="Trebuchet MS" w:hAnsi="Trebuchet MS" w:cs="Arial"/>
          <w:b w:val="0"/>
          <w:bCs/>
          <w:sz w:val="20"/>
          <w:szCs w:val="20"/>
        </w:rPr>
        <w:t>Segundo</w:t>
      </w:r>
      <w:r w:rsidR="00823B5F" w:rsidRPr="002352EC">
        <w:rPr>
          <w:rFonts w:ascii="Trebuchet MS" w:hAnsi="Trebuchet MS" w:cs="Arial"/>
          <w:b w:val="0"/>
          <w:bCs/>
          <w:sz w:val="20"/>
          <w:szCs w:val="20"/>
        </w:rPr>
        <w:t xml:space="preserve">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17" w:name="_DV_C1575"/>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E019EA" w:rsidRPr="002352EC">
        <w:rPr>
          <w:rFonts w:ascii="Trebuchet MS" w:hAnsi="Trebuchet MS" w:cs="Arial"/>
          <w:b w:val="0"/>
          <w:bCs/>
          <w:sz w:val="20"/>
          <w:szCs w:val="20"/>
        </w:rPr>
        <w:t>6</w:t>
      </w:r>
      <w:r w:rsidRPr="002352EC">
        <w:rPr>
          <w:rFonts w:ascii="Trebuchet MS" w:hAnsi="Trebuchet MS" w:cs="Arial"/>
          <w:b w:val="0"/>
          <w:bCs/>
          <w:sz w:val="20"/>
          <w:szCs w:val="20"/>
        </w:rPr>
        <w:t xml:space="preserve"> (</w:t>
      </w:r>
      <w:r w:rsidR="00E019EA" w:rsidRPr="002352EC">
        <w:rPr>
          <w:rFonts w:ascii="Trebuchet MS" w:hAnsi="Trebuchet MS" w:cs="Arial"/>
          <w:b w:val="0"/>
          <w:bCs/>
          <w:sz w:val="20"/>
          <w:szCs w:val="20"/>
        </w:rPr>
        <w:t>seis</w:t>
      </w:r>
      <w:r w:rsidRPr="002352EC">
        <w:rPr>
          <w:rFonts w:ascii="Trebuchet MS" w:hAnsi="Trebuchet MS" w:cs="Arial"/>
          <w:b w:val="0"/>
          <w:bCs/>
          <w:sz w:val="20"/>
          <w:szCs w:val="20"/>
        </w:rPr>
        <w:t>) vias de igual teor e conteúdo, na presença das 2 (duas) testemunhas abaixo.</w:t>
      </w:r>
      <w:bookmarkEnd w:id="17"/>
    </w:p>
    <w:bookmarkEnd w:id="16"/>
    <w:p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634CA1" w:rsidRPr="002352EC">
        <w:rPr>
          <w:rFonts w:ascii="Trebuchet MS" w:hAnsi="Trebuchet MS" w:cs="Arial"/>
          <w:sz w:val="20"/>
          <w:szCs w:val="20"/>
          <w:lang w:eastAsia="en-US"/>
        </w:rPr>
        <w:t>[</w:t>
      </w:r>
      <w:r w:rsidR="00634CA1" w:rsidRPr="000C0949">
        <w:rPr>
          <w:rFonts w:ascii="Trebuchet MS" w:hAnsi="Trebuchet MS" w:cs="Arial"/>
          <w:sz w:val="20"/>
          <w:szCs w:val="20"/>
          <w:highlight w:val="yellow"/>
          <w:lang w:eastAsia="en-US"/>
        </w:rPr>
        <w:t>●</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18" w:name="_Hlk43506432"/>
      <w:r w:rsidRPr="002352EC">
        <w:rPr>
          <w:rFonts w:ascii="Trebuchet MS" w:hAnsi="Trebuchet MS" w:cs="Arial"/>
          <w:i/>
          <w:iCs/>
          <w:sz w:val="20"/>
          <w:szCs w:val="20"/>
          <w:lang w:eastAsia="en-US"/>
        </w:rPr>
        <w:t>[as assinaturas seguem nas páginas seguintes]</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t>[restante desta página intencionalmente deixado em branco]</w:t>
      </w:r>
    </w:p>
    <w:bookmarkEnd w:id="18"/>
    <w:p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2C04B7">
        <w:rPr>
          <w:rFonts w:ascii="Trebuchet MS" w:hAnsi="Trebuchet MS"/>
          <w:i/>
          <w:sz w:val="20"/>
          <w:szCs w:val="20"/>
        </w:rPr>
        <w:t>2</w:t>
      </w:r>
      <w:r w:rsidR="002C04B7" w:rsidRPr="002352EC">
        <w:rPr>
          <w:rFonts w:ascii="Trebuchet MS" w:hAnsi="Trebuchet MS"/>
          <w:i/>
          <w:sz w:val="20"/>
          <w:szCs w:val="20"/>
        </w:rPr>
        <w:t xml:space="preserve">º </w:t>
      </w:r>
      <w:r w:rsidR="009C3696" w:rsidRPr="002352EC">
        <w:rPr>
          <w:rFonts w:ascii="Trebuchet MS" w:hAnsi="Trebuchet MS"/>
          <w:i/>
          <w:sz w:val="20"/>
          <w:szCs w:val="20"/>
        </w:rPr>
        <w:t>(</w:t>
      </w:r>
      <w:r w:rsidR="002C04B7">
        <w:rPr>
          <w:rFonts w:ascii="Trebuchet MS" w:hAnsi="Trebuchet MS"/>
          <w:i/>
          <w:sz w:val="20"/>
          <w:szCs w:val="20"/>
        </w:rPr>
        <w:t>Segundo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3748CE" w:rsidRPr="002352EC" w:rsidRDefault="003748CE" w:rsidP="00F16DD2">
      <w:pPr>
        <w:suppressAutoHyphens/>
        <w:spacing w:after="0" w:line="300" w:lineRule="exact"/>
        <w:jc w:val="center"/>
        <w:rPr>
          <w:rFonts w:ascii="Trebuchet MS" w:hAnsi="Trebuchet M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bCs/>
          <w:smallCaps/>
          <w:sz w:val="20"/>
          <w:szCs w:val="20"/>
        </w:rPr>
      </w:pPr>
      <w:bookmarkStart w:id="19" w:name="_DV_M457"/>
      <w:bookmarkEnd w:id="19"/>
      <w:r w:rsidRPr="002352EC">
        <w:rPr>
          <w:rFonts w:ascii="Trebuchet MS" w:hAnsi="Trebuchet MS"/>
          <w:b/>
          <w:bCs/>
          <w:smallCaps/>
          <w:sz w:val="20"/>
          <w:szCs w:val="20"/>
        </w:rPr>
        <w:t>COLÉGIO VIMASA S.A.</w:t>
      </w:r>
    </w:p>
    <w:p w:rsidR="00E019EA" w:rsidRPr="002352EC" w:rsidRDefault="00E019EA"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309"/>
        <w:gridCol w:w="4412"/>
      </w:tblGrid>
      <w:tr w:rsidR="00E019EA" w:rsidRPr="002352EC" w:rsidTr="001A37CC">
        <w:trPr>
          <w:jc w:val="center"/>
        </w:trPr>
        <w:tc>
          <w:tcPr>
            <w:tcW w:w="4773" w:type="dxa"/>
          </w:tcPr>
          <w:p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E019EA" w:rsidRPr="002352EC" w:rsidRDefault="00E019EA" w:rsidP="00E019EA">
      <w:pPr>
        <w:suppressAutoHyphens/>
        <w:spacing w:after="0" w:line="300" w:lineRule="exact"/>
        <w:jc w:val="center"/>
        <w:rPr>
          <w:rFonts w:ascii="Trebuchet MS" w:hAnsi="Trebuchet MS"/>
          <w:sz w:val="20"/>
          <w:szCs w:val="20"/>
        </w:rPr>
      </w:pPr>
      <w:bookmarkStart w:id="20" w:name="_DV_M458"/>
      <w:bookmarkEnd w:id="20"/>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pacing w:after="0" w:line="300" w:lineRule="exact"/>
        <w:jc w:val="center"/>
        <w:rPr>
          <w:rFonts w:ascii="Trebuchet MS" w:hAnsi="Trebuchet MS"/>
          <w:sz w:val="20"/>
          <w:szCs w:val="20"/>
          <w:highlight w:val="yellow"/>
        </w:rPr>
      </w:pPr>
    </w:p>
    <w:p w:rsidR="004D5743" w:rsidRPr="002352EC" w:rsidRDefault="004D5743" w:rsidP="00F16DD2">
      <w:pPr>
        <w:spacing w:after="0" w:line="300" w:lineRule="exact"/>
        <w:jc w:val="center"/>
        <w:rPr>
          <w:rFonts w:ascii="Trebuchet MS" w:hAnsi="Trebuchet MS"/>
          <w:sz w:val="20"/>
          <w:szCs w:val="20"/>
          <w:highlight w:val="yellow"/>
        </w:rPr>
      </w:pPr>
    </w:p>
    <w:p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rsidTr="001A37CC">
        <w:trPr>
          <w:jc w:val="center"/>
        </w:trPr>
        <w:tc>
          <w:tcPr>
            <w:tcW w:w="4360"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rsidR="00F508FB" w:rsidRPr="002352EC" w:rsidRDefault="00F508FB"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508FB" w:rsidRPr="002352EC" w:rsidRDefault="00F508FB"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343"/>
        <w:gridCol w:w="4378"/>
      </w:tblGrid>
      <w:tr w:rsidR="008140AD" w:rsidRPr="003D2403" w:rsidTr="001A37CC">
        <w:trPr>
          <w:jc w:val="center"/>
        </w:trPr>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rsidR="008140AD" w:rsidRPr="002352EC" w:rsidRDefault="008140AD"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8140AD" w:rsidRPr="002352EC" w:rsidRDefault="008140AD" w:rsidP="008140AD">
      <w:pPr>
        <w:suppressAutoHyphens/>
        <w:spacing w:after="0" w:line="300" w:lineRule="exact"/>
        <w:jc w:val="center"/>
        <w:rPr>
          <w:rFonts w:ascii="Trebuchet MS" w:hAnsi="Trebuchet MS"/>
          <w:sz w:val="20"/>
          <w:szCs w:val="20"/>
        </w:rPr>
      </w:pPr>
    </w:p>
    <w:p w:rsidR="00F508FB" w:rsidRPr="002352EC" w:rsidRDefault="00F508FB"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1"/>
        <w:gridCol w:w="4360"/>
      </w:tblGrid>
      <w:tr w:rsidR="008140AD" w:rsidRPr="002352EC" w:rsidTr="008140AD">
        <w:trPr>
          <w:jc w:val="center"/>
        </w:trPr>
        <w:tc>
          <w:tcPr>
            <w:tcW w:w="4361"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8140AD" w:rsidRPr="002352EC" w:rsidRDefault="008140AD" w:rsidP="00F16DD2">
      <w:pPr>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rsidR="004D5743" w:rsidRPr="002352EC" w:rsidRDefault="004D5743" w:rsidP="00F16DD2">
      <w:pPr>
        <w:spacing w:after="0" w:line="300" w:lineRule="exact"/>
        <w:rPr>
          <w:rFonts w:ascii="Trebuchet MS" w:hAnsi="Trebuchet MS"/>
          <w:sz w:val="20"/>
          <w:szCs w:val="20"/>
        </w:rPr>
      </w:pPr>
    </w:p>
    <w:p w:rsidR="004D5743" w:rsidRPr="002352EC" w:rsidRDefault="004D5743"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rsidTr="00DB415C">
        <w:trPr>
          <w:cantSplit/>
        </w:trPr>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rsidR="00F508FB" w:rsidRPr="002352EC" w:rsidRDefault="00F508FB" w:rsidP="00F16DD2">
      <w:pPr>
        <w:spacing w:after="0" w:line="300" w:lineRule="exact"/>
        <w:rPr>
          <w:rFonts w:ascii="Trebuchet MS" w:eastAsia="Arial Unicode MS" w:hAnsi="Trebuchet MS"/>
          <w:b/>
          <w:bCs/>
          <w:smallCaps/>
          <w:sz w:val="20"/>
          <w:szCs w:val="20"/>
          <w:lang w:eastAsia="ar-SA"/>
        </w:rPr>
      </w:pPr>
    </w:p>
    <w:p w:rsidR="006513C0" w:rsidRPr="002352EC" w:rsidRDefault="006513C0" w:rsidP="00F16DD2">
      <w:pPr>
        <w:spacing w:line="300" w:lineRule="exact"/>
        <w:rPr>
          <w:rFonts w:ascii="Trebuchet MS" w:hAnsi="Trebuchet MS"/>
          <w:b/>
          <w:smallCaps/>
          <w:sz w:val="20"/>
          <w:szCs w:val="20"/>
        </w:rPr>
      </w:pPr>
    </w:p>
    <w:sectPr w:rsidR="006513C0" w:rsidRPr="002352EC" w:rsidSect="00F16DD2">
      <w:footerReference w:type="default" r:id="rId11"/>
      <w:footerReference w:type="first" r:id="rId12"/>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B2" w:rsidRDefault="004F7FB2" w:rsidP="00CC583E">
      <w:pPr>
        <w:spacing w:after="0" w:line="240" w:lineRule="auto"/>
      </w:pPr>
      <w:r>
        <w:separator/>
      </w:r>
    </w:p>
  </w:endnote>
  <w:endnote w:type="continuationSeparator" w:id="0">
    <w:p w:rsidR="004F7FB2" w:rsidRDefault="004F7FB2"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653"/>
      <w:docPartObj>
        <w:docPartGallery w:val="Page Numbers (Bottom of Page)"/>
        <w:docPartUnique/>
      </w:docPartObj>
    </w:sdtPr>
    <w:sdtEndPr/>
    <w:sdtContent>
      <w:p w:rsidR="005A5C34" w:rsidRPr="003D2403" w:rsidRDefault="005A5C34"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sidR="00D7668E">
          <w:rPr>
            <w:rFonts w:ascii="Trebuchet MS" w:hAnsi="Trebuchet MS"/>
            <w:noProof/>
            <w:sz w:val="20"/>
            <w:szCs w:val="20"/>
          </w:rPr>
          <w:t>1</w:t>
        </w:r>
        <w:r w:rsidRPr="003D2403">
          <w:rPr>
            <w:rFonts w:ascii="Trebuchet MS" w:hAnsi="Trebuchet MS"/>
            <w:noProof/>
            <w:sz w:val="20"/>
            <w:szCs w:val="20"/>
          </w:rPr>
          <w:fldChar w:fldCharType="end"/>
        </w:r>
      </w:p>
      <w:p w:rsidR="005A5C34" w:rsidRDefault="004F7FB2" w:rsidP="00CB2680">
        <w:pPr>
          <w:pStyle w:val="Rodap"/>
          <w:jc w:val="right"/>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34" w:rsidRDefault="005A5C34" w:rsidP="001A6893">
    <w:pPr>
      <w:rPr>
        <w:sz w:val="16"/>
      </w:rPr>
    </w:pPr>
  </w:p>
  <w:p w:rsidR="005A5C34" w:rsidRPr="00FA668C" w:rsidRDefault="005A5C34"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B2" w:rsidRDefault="004F7FB2" w:rsidP="00CC583E">
      <w:pPr>
        <w:spacing w:after="0" w:line="240" w:lineRule="auto"/>
      </w:pPr>
      <w:r>
        <w:separator/>
      </w:r>
    </w:p>
  </w:footnote>
  <w:footnote w:type="continuationSeparator" w:id="0">
    <w:p w:rsidR="004F7FB2" w:rsidRDefault="004F7FB2" w:rsidP="00CC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F223D"/>
    <w:multiLevelType w:val="hybridMultilevel"/>
    <w:tmpl w:val="C3F636F8"/>
    <w:lvl w:ilvl="0" w:tplc="1218A8BE">
      <w:start w:val="1"/>
      <w:numFmt w:val="lowerRoman"/>
      <w:lvlText w:val="(%1)"/>
      <w:lvlJc w:val="left"/>
      <w:pPr>
        <w:ind w:left="720" w:hanging="360"/>
      </w:pPr>
      <w:rPr>
        <w:b/>
        <w:bCs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5"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7"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21"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3"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2"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7"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1"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3"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
  </w:num>
  <w:num w:numId="5">
    <w:abstractNumId w:val="31"/>
  </w:num>
  <w:num w:numId="6">
    <w:abstractNumId w:val="40"/>
  </w:num>
  <w:num w:numId="7">
    <w:abstractNumId w:val="21"/>
  </w:num>
  <w:num w:numId="8">
    <w:abstractNumId w:val="23"/>
  </w:num>
  <w:num w:numId="9">
    <w:abstractNumId w:val="41"/>
  </w:num>
  <w:num w:numId="10">
    <w:abstractNumId w:val="24"/>
  </w:num>
  <w:num w:numId="11">
    <w:abstractNumId w:val="30"/>
  </w:num>
  <w:num w:numId="12">
    <w:abstractNumId w:val="6"/>
  </w:num>
  <w:num w:numId="13">
    <w:abstractNumId w:val="14"/>
  </w:num>
  <w:num w:numId="14">
    <w:abstractNumId w:val="7"/>
  </w:num>
  <w:num w:numId="15">
    <w:abstractNumId w:val="42"/>
  </w:num>
  <w:num w:numId="16">
    <w:abstractNumId w:val="0"/>
  </w:num>
  <w:num w:numId="17">
    <w:abstractNumId w:val="43"/>
  </w:num>
  <w:num w:numId="18">
    <w:abstractNumId w:val="36"/>
  </w:num>
  <w:num w:numId="19">
    <w:abstractNumId w:val="37"/>
  </w:num>
  <w:num w:numId="20">
    <w:abstractNumId w:val="25"/>
  </w:num>
  <w:num w:numId="21">
    <w:abstractNumId w:val="26"/>
  </w:num>
  <w:num w:numId="22">
    <w:abstractNumId w:val="19"/>
  </w:num>
  <w:num w:numId="23">
    <w:abstractNumId w:val="32"/>
  </w:num>
  <w:num w:numId="24">
    <w:abstractNumId w:val="22"/>
  </w:num>
  <w:num w:numId="25">
    <w:abstractNumId w:val="29"/>
  </w:num>
  <w:num w:numId="26">
    <w:abstractNumId w:val="11"/>
  </w:num>
  <w:num w:numId="27">
    <w:abstractNumId w:val="1"/>
  </w:num>
  <w:num w:numId="28">
    <w:abstractNumId w:val="9"/>
  </w:num>
  <w:num w:numId="29">
    <w:abstractNumId w:val="35"/>
  </w:num>
  <w:num w:numId="30">
    <w:abstractNumId w:val="16"/>
  </w:num>
  <w:num w:numId="31">
    <w:abstractNumId w:val="17"/>
  </w:num>
  <w:num w:numId="32">
    <w:abstractNumId w:val="5"/>
  </w:num>
  <w:num w:numId="33">
    <w:abstractNumId w:val="15"/>
  </w:num>
  <w:num w:numId="34">
    <w:abstractNumId w:val="34"/>
  </w:num>
  <w:num w:numId="35">
    <w:abstractNumId w:val="33"/>
  </w:num>
  <w:num w:numId="36">
    <w:abstractNumId w:val="3"/>
  </w:num>
  <w:num w:numId="37">
    <w:abstractNumId w:val="27"/>
  </w:num>
  <w:num w:numId="38">
    <w:abstractNumId w:val="28"/>
  </w:num>
  <w:num w:numId="39">
    <w:abstractNumId w:val="38"/>
  </w:num>
  <w:num w:numId="40">
    <w:abstractNumId w:val="39"/>
  </w:num>
  <w:num w:numId="41">
    <w:abstractNumId w:va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D9D"/>
    <w:rsid w:val="000B03C2"/>
    <w:rsid w:val="000B0C64"/>
    <w:rsid w:val="000B0E48"/>
    <w:rsid w:val="000B1B88"/>
    <w:rsid w:val="000B4B6C"/>
    <w:rsid w:val="000B6B77"/>
    <w:rsid w:val="000B72A9"/>
    <w:rsid w:val="000C0949"/>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446"/>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4E19"/>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04B7"/>
    <w:rsid w:val="002C12ED"/>
    <w:rsid w:val="002C1FE1"/>
    <w:rsid w:val="002C47D4"/>
    <w:rsid w:val="002C4EE2"/>
    <w:rsid w:val="002C7320"/>
    <w:rsid w:val="002D2251"/>
    <w:rsid w:val="002D2523"/>
    <w:rsid w:val="002D2F41"/>
    <w:rsid w:val="002D5332"/>
    <w:rsid w:val="002D586C"/>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1D33"/>
    <w:rsid w:val="003B38CD"/>
    <w:rsid w:val="003B4960"/>
    <w:rsid w:val="003C02F9"/>
    <w:rsid w:val="003C4AB8"/>
    <w:rsid w:val="003C5117"/>
    <w:rsid w:val="003C5995"/>
    <w:rsid w:val="003D1948"/>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1947"/>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6073"/>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664"/>
    <w:rsid w:val="004E6716"/>
    <w:rsid w:val="004F2184"/>
    <w:rsid w:val="004F21BB"/>
    <w:rsid w:val="004F5F24"/>
    <w:rsid w:val="004F5F8E"/>
    <w:rsid w:val="004F617D"/>
    <w:rsid w:val="004F7A32"/>
    <w:rsid w:val="004F7D1B"/>
    <w:rsid w:val="004F7FB2"/>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5C34"/>
    <w:rsid w:val="005A6269"/>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19B2"/>
    <w:rsid w:val="00642973"/>
    <w:rsid w:val="00645EDC"/>
    <w:rsid w:val="006462E4"/>
    <w:rsid w:val="0064696B"/>
    <w:rsid w:val="00650D9F"/>
    <w:rsid w:val="006513C0"/>
    <w:rsid w:val="0065402C"/>
    <w:rsid w:val="00656DAC"/>
    <w:rsid w:val="00660C34"/>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5603"/>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D67AF"/>
    <w:rsid w:val="007E1C5E"/>
    <w:rsid w:val="007E27FD"/>
    <w:rsid w:val="007E329B"/>
    <w:rsid w:val="007E58FA"/>
    <w:rsid w:val="007E5D73"/>
    <w:rsid w:val="007E76BD"/>
    <w:rsid w:val="007E788C"/>
    <w:rsid w:val="007F4DB1"/>
    <w:rsid w:val="00801932"/>
    <w:rsid w:val="00802EC3"/>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0AA9"/>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DF6"/>
    <w:rsid w:val="0098773E"/>
    <w:rsid w:val="009902DA"/>
    <w:rsid w:val="00990409"/>
    <w:rsid w:val="00994EB4"/>
    <w:rsid w:val="009A622D"/>
    <w:rsid w:val="009A648C"/>
    <w:rsid w:val="009A7FB4"/>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4023"/>
    <w:rsid w:val="00A04F21"/>
    <w:rsid w:val="00A06735"/>
    <w:rsid w:val="00A11C09"/>
    <w:rsid w:val="00A15BD6"/>
    <w:rsid w:val="00A16892"/>
    <w:rsid w:val="00A16D39"/>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6348"/>
    <w:rsid w:val="00A673CE"/>
    <w:rsid w:val="00A67DBB"/>
    <w:rsid w:val="00A70BA3"/>
    <w:rsid w:val="00A70F7B"/>
    <w:rsid w:val="00A71E3E"/>
    <w:rsid w:val="00A73982"/>
    <w:rsid w:val="00A771E6"/>
    <w:rsid w:val="00A8012C"/>
    <w:rsid w:val="00A80EDB"/>
    <w:rsid w:val="00A810C2"/>
    <w:rsid w:val="00A8247A"/>
    <w:rsid w:val="00A8521A"/>
    <w:rsid w:val="00A86811"/>
    <w:rsid w:val="00A8690E"/>
    <w:rsid w:val="00A925A3"/>
    <w:rsid w:val="00A92F65"/>
    <w:rsid w:val="00A94272"/>
    <w:rsid w:val="00A9656C"/>
    <w:rsid w:val="00AA1431"/>
    <w:rsid w:val="00AA3F8C"/>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9E1"/>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4504"/>
    <w:rsid w:val="00B25D9E"/>
    <w:rsid w:val="00B26729"/>
    <w:rsid w:val="00B27107"/>
    <w:rsid w:val="00B27DF3"/>
    <w:rsid w:val="00B311D4"/>
    <w:rsid w:val="00B312BA"/>
    <w:rsid w:val="00B324DA"/>
    <w:rsid w:val="00B327A2"/>
    <w:rsid w:val="00B339FE"/>
    <w:rsid w:val="00B341E7"/>
    <w:rsid w:val="00B35843"/>
    <w:rsid w:val="00B3765D"/>
    <w:rsid w:val="00B4629C"/>
    <w:rsid w:val="00B51CD5"/>
    <w:rsid w:val="00B55936"/>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6EA2"/>
    <w:rsid w:val="00B977AF"/>
    <w:rsid w:val="00BA0FCD"/>
    <w:rsid w:val="00BA3115"/>
    <w:rsid w:val="00BB23C1"/>
    <w:rsid w:val="00BB37B5"/>
    <w:rsid w:val="00BB3D34"/>
    <w:rsid w:val="00BB45F0"/>
    <w:rsid w:val="00BB559F"/>
    <w:rsid w:val="00BC1893"/>
    <w:rsid w:val="00BC1CF9"/>
    <w:rsid w:val="00BC1D8D"/>
    <w:rsid w:val="00BC53DE"/>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467"/>
    <w:rsid w:val="00D57F6C"/>
    <w:rsid w:val="00D60C90"/>
    <w:rsid w:val="00D613C3"/>
    <w:rsid w:val="00D634C6"/>
    <w:rsid w:val="00D641EE"/>
    <w:rsid w:val="00D67BAF"/>
    <w:rsid w:val="00D702F8"/>
    <w:rsid w:val="00D7197E"/>
    <w:rsid w:val="00D74260"/>
    <w:rsid w:val="00D7668E"/>
    <w:rsid w:val="00D77A62"/>
    <w:rsid w:val="00D81A73"/>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0B6E"/>
    <w:rsid w:val="00F41BB8"/>
    <w:rsid w:val="00F42A76"/>
    <w:rsid w:val="00F44A86"/>
    <w:rsid w:val="00F44D04"/>
    <w:rsid w:val="00F44F31"/>
    <w:rsid w:val="00F50795"/>
    <w:rsid w:val="00F508FB"/>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40BD"/>
    <w:rsid w:val="00FA395F"/>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5510E"/>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99"/>
    <w:qFormat/>
    <w:rsid w:val="00934377"/>
    <w:pPr>
      <w:ind w:left="720"/>
      <w:contextualSpacing/>
    </w:pPr>
  </w:style>
  <w:style w:type="character" w:customStyle="1" w:styleId="PargrafodaListaChar">
    <w:name w:val="Parágrafo da Lista Char"/>
    <w:basedOn w:val="TextodecomentrioChar"/>
    <w:link w:val="PargrafodaLista"/>
    <w:uiPriority w:val="99"/>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 w:type="paragraph" w:customStyle="1" w:styleId="CharChar1CharCharCharCharCharCharCharChar">
    <w:name w:val="Char Char1 Char Char Char Char Char Char Char Char"/>
    <w:basedOn w:val="Normal"/>
    <w:rsid w:val="007E58FA"/>
    <w:pPr>
      <w:spacing w:after="160" w:line="240" w:lineRule="exact"/>
    </w:pPr>
    <w:rPr>
      <w:rFonts w:ascii="Verdana" w:eastAsia="MS Mincho" w:hAnsi="Verdana"/>
      <w:sz w:val="20"/>
      <w:szCs w:val="20"/>
      <w:lang w:val="en-US" w:eastAsia="en-US"/>
    </w:rPr>
  </w:style>
  <w:style w:type="paragraph" w:customStyle="1" w:styleId="p0">
    <w:name w:val="p0"/>
    <w:basedOn w:val="Normal"/>
    <w:link w:val="p0Char"/>
    <w:rsid w:val="00451947"/>
    <w:pPr>
      <w:widowControl w:val="0"/>
      <w:tabs>
        <w:tab w:val="left" w:pos="720"/>
      </w:tabs>
      <w:spacing w:after="0" w:line="240" w:lineRule="atLeast"/>
      <w:jc w:val="both"/>
    </w:pPr>
    <w:rPr>
      <w:rFonts w:ascii="Times" w:hAnsi="Times"/>
      <w:sz w:val="24"/>
      <w:szCs w:val="20"/>
    </w:rPr>
  </w:style>
  <w:style w:type="character" w:customStyle="1" w:styleId="p0Char">
    <w:name w:val="p0 Char"/>
    <w:link w:val="p0"/>
    <w:locked/>
    <w:rsid w:val="00451947"/>
    <w:rPr>
      <w:rFonts w:ascii="Times" w:eastAsia="Times New Roman" w:hAnsi="Times" w:cs="Times New Roman"/>
      <w:sz w:val="24"/>
      <w:szCs w:val="20"/>
      <w:lang w:eastAsia="pt-BR"/>
    </w:rPr>
  </w:style>
  <w:style w:type="paragraph" w:customStyle="1" w:styleId="Nivel1">
    <w:name w:val="Nivel 1"/>
    <w:basedOn w:val="Normal"/>
    <w:qFormat/>
    <w:rsid w:val="00451947"/>
    <w:pPr>
      <w:widowControl w:val="0"/>
      <w:numPr>
        <w:numId w:val="43"/>
      </w:numPr>
      <w:autoSpaceDE w:val="0"/>
      <w:autoSpaceDN w:val="0"/>
      <w:adjustRightInd w:val="0"/>
      <w:spacing w:after="0" w:line="300" w:lineRule="atLeast"/>
    </w:pPr>
    <w:rPr>
      <w:b/>
      <w:bCs/>
      <w:color w:val="000000"/>
    </w:rPr>
  </w:style>
  <w:style w:type="paragraph" w:customStyle="1" w:styleId="Nivel2">
    <w:name w:val="Nivel 2"/>
    <w:basedOn w:val="Normal"/>
    <w:qFormat/>
    <w:rsid w:val="00451947"/>
    <w:pPr>
      <w:widowControl w:val="0"/>
      <w:numPr>
        <w:ilvl w:val="1"/>
        <w:numId w:val="43"/>
      </w:numPr>
      <w:autoSpaceDE w:val="0"/>
      <w:autoSpaceDN w:val="0"/>
      <w:adjustRightInd w:val="0"/>
      <w:spacing w:after="0" w:line="300" w:lineRule="atLeast"/>
    </w:pPr>
    <w:rPr>
      <w:bCs/>
      <w:color w:val="000000"/>
    </w:rPr>
  </w:style>
  <w:style w:type="paragraph" w:customStyle="1" w:styleId="Nivel3">
    <w:name w:val="Nivel 3"/>
    <w:basedOn w:val="Corpodetexto"/>
    <w:qFormat/>
    <w:rsid w:val="00451947"/>
    <w:pPr>
      <w:numPr>
        <w:ilvl w:val="2"/>
        <w:numId w:val="43"/>
      </w:numPr>
      <w:spacing w:line="320" w:lineRule="exact"/>
    </w:pPr>
    <w:rPr>
      <w:rFonts w:ascii="Times New Roman" w:eastAsia="MS Mincho" w:hAnsi="Times New Roman" w:cs="Times New Roman"/>
      <w:color w:val="000000"/>
      <w:sz w:val="22"/>
      <w:szCs w:val="22"/>
      <w:lang w:val="pt-BR" w:eastAsia="pt-BR"/>
    </w:rPr>
  </w:style>
  <w:style w:type="paragraph" w:customStyle="1" w:styleId="Nivel4">
    <w:name w:val="Nivel 4"/>
    <w:basedOn w:val="Default"/>
    <w:qFormat/>
    <w:rsid w:val="00451947"/>
    <w:pPr>
      <w:widowControl w:val="0"/>
      <w:numPr>
        <w:ilvl w:val="3"/>
        <w:numId w:val="43"/>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451947"/>
    <w:pPr>
      <w:widowControl w:val="0"/>
      <w:numPr>
        <w:ilvl w:val="4"/>
        <w:numId w:val="43"/>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451947"/>
    <w:pPr>
      <w:widowControl w:val="0"/>
      <w:numPr>
        <w:ilvl w:val="5"/>
        <w:numId w:val="43"/>
      </w:numPr>
      <w:autoSpaceDE w:val="0"/>
      <w:autoSpaceDN w:val="0"/>
      <w:adjustRightInd w:val="0"/>
      <w:spacing w:after="0" w:line="300" w:lineRule="atLeast"/>
      <w:jc w:val="both"/>
    </w:pPr>
    <w:rPr>
      <w:rFonts w:eastAsia="TT108t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31811055">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125B-5F59-49C4-A74F-712AC897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4034</Words>
  <Characters>21785</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25768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Cescon Barrieu</cp:lastModifiedBy>
  <cp:revision>12</cp:revision>
  <dcterms:created xsi:type="dcterms:W3CDTF">2020-07-08T12:39:00Z</dcterms:created>
  <dcterms:modified xsi:type="dcterms:W3CDTF">2020-07-15T23:43:00Z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