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6AB71113"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avor confirmar</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0C91E16A" w14:textId="66725819" w:rsidR="005A354F" w:rsidRDefault="00340E08" w:rsidP="005A354F">
      <w:pPr>
        <w:pStyle w:val="Normala"/>
        <w:numPr>
          <w:ilvl w:val="0"/>
          <w:numId w:val="9"/>
        </w:numPr>
        <w:spacing w:before="0" w:line="320" w:lineRule="exact"/>
        <w:ind w:left="0" w:firstLine="0"/>
        <w:rPr>
          <w:bCs/>
          <w:i/>
          <w:lang w:val="pt-BR"/>
        </w:rPr>
      </w:pPr>
      <w:r w:rsidRPr="001B5728">
        <w:rPr>
          <w:lang w:val="pt-BR"/>
        </w:rPr>
        <w:t xml:space="preserve">CONSIDERANDO QUE a </w:t>
      </w:r>
      <w:r w:rsidR="009814CC">
        <w:rPr>
          <w:lang w:val="pt-BR"/>
        </w:rPr>
        <w:t>Companhia</w:t>
      </w:r>
      <w:r w:rsidR="009814CC" w:rsidRPr="001B5728">
        <w:rPr>
          <w:lang w:val="pt-BR"/>
        </w:rPr>
        <w:t xml:space="preserve"> </w:t>
      </w:r>
      <w:r w:rsidRPr="001B5728">
        <w:rPr>
          <w:lang w:val="pt-BR"/>
        </w:rPr>
        <w: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t>
      </w:r>
      <w:r w:rsidR="009814CC">
        <w:rPr>
          <w:lang w:val="pt-BR"/>
        </w:rPr>
        <w:t>Companhia</w:t>
      </w:r>
      <w:r w:rsidRPr="001B5728">
        <w:rPr>
          <w:lang w:val="pt-BR"/>
        </w:rPr>
        <w:t xml:space="preserv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r w:rsidR="0013594A">
        <w:rPr>
          <w:lang w:val="pt-BR"/>
        </w:rPr>
        <w:t xml:space="preserve"> (“</w:t>
      </w:r>
      <w:r w:rsidR="0013594A">
        <w:rPr>
          <w:u w:val="single"/>
          <w:lang w:val="pt-BR"/>
        </w:rPr>
        <w:t>Agente Fiduciário</w:t>
      </w:r>
      <w:r w:rsidR="0013594A">
        <w:rPr>
          <w:lang w:val="pt-BR"/>
        </w:rPr>
        <w:t>”), representante dos titulares das debêntures</w:t>
      </w:r>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w:t>
      </w:r>
      <w:r w:rsidR="0013594A">
        <w:rPr>
          <w:lang w:val="pt-BR"/>
        </w:rPr>
        <w:t>, “</w:t>
      </w:r>
      <w:r w:rsidR="0013594A">
        <w:rPr>
          <w:u w:val="single"/>
          <w:lang w:val="pt-BR"/>
        </w:rPr>
        <w:t>Debenturistas</w:t>
      </w:r>
      <w:r w:rsidR="0013594A">
        <w:rPr>
          <w:lang w:val="pt-BR"/>
        </w:rPr>
        <w:t>”</w:t>
      </w:r>
      <w:r w:rsidR="005E1FB3" w:rsidRPr="001B5728">
        <w:rPr>
          <w:lang w:val="pt-BR"/>
        </w:rPr>
        <w:t xml:space="preserve"> e “</w:t>
      </w:r>
      <w:r w:rsidRPr="001B5728">
        <w:rPr>
          <w:u w:val="single"/>
          <w:lang w:val="pt-BR"/>
        </w:rPr>
        <w:t>Escritura de Emissão</w:t>
      </w:r>
      <w:r w:rsidRPr="001B5728">
        <w:rPr>
          <w:lang w:val="pt-BR"/>
        </w:rPr>
        <w:t>”)</w:t>
      </w:r>
      <w:r w:rsidR="005E1FB3" w:rsidRPr="001B5728">
        <w:rPr>
          <w:lang w:val="pt-BR"/>
        </w:rPr>
        <w:t>;</w:t>
      </w:r>
      <w:r w:rsidRPr="001B5728">
        <w:rPr>
          <w:lang w:val="pt-BR"/>
        </w:rPr>
        <w:t xml:space="preserve"> </w:t>
      </w:r>
    </w:p>
    <w:p w14:paraId="41287735" w14:textId="5EDC54F2" w:rsidR="005A354F" w:rsidRPr="005A354F" w:rsidRDefault="005A354F" w:rsidP="00606874">
      <w:pPr>
        <w:pStyle w:val="Normala"/>
        <w:spacing w:before="0" w:line="320" w:lineRule="exact"/>
        <w:ind w:firstLine="0"/>
        <w:rPr>
          <w:bCs/>
          <w:i/>
          <w:lang w:val="pt-BR"/>
        </w:rPr>
      </w:pPr>
      <w:r w:rsidRPr="00606874">
        <w:rPr>
          <w:bCs/>
          <w:iCs/>
          <w:lang w:val="pt-BR"/>
        </w:rPr>
        <w:t>[</w:t>
      </w:r>
      <w:r w:rsidRPr="00606874">
        <w:rPr>
          <w:bCs/>
          <w:iCs/>
          <w:highlight w:val="yellow"/>
          <w:lang w:val="pt-BR"/>
        </w:rPr>
        <w:t>NOTA VR: As</w:t>
      </w:r>
      <w:r w:rsidRPr="00606874">
        <w:rPr>
          <w:iCs/>
          <w:highlight w:val="yellow"/>
        </w:rPr>
        <w:t xml:space="preserve"> </w:t>
      </w:r>
      <w:proofErr w:type="spellStart"/>
      <w:r w:rsidRPr="00606874">
        <w:rPr>
          <w:iCs/>
          <w:highlight w:val="yellow"/>
        </w:rPr>
        <w:t>garantias</w:t>
      </w:r>
      <w:proofErr w:type="spellEnd"/>
      <w:r w:rsidRPr="00606874">
        <w:rPr>
          <w:iCs/>
          <w:highlight w:val="yellow"/>
        </w:rPr>
        <w:t xml:space="preserve"> da XP </w:t>
      </w:r>
      <w:proofErr w:type="spellStart"/>
      <w:r w:rsidRPr="00606874">
        <w:rPr>
          <w:iCs/>
          <w:highlight w:val="yellow"/>
        </w:rPr>
        <w:t>serão</w:t>
      </w:r>
      <w:proofErr w:type="spellEnd"/>
      <w:r w:rsidRPr="00606874">
        <w:rPr>
          <w:iCs/>
          <w:highlight w:val="yellow"/>
        </w:rPr>
        <w:t xml:space="preserve"> </w:t>
      </w:r>
      <w:proofErr w:type="spellStart"/>
      <w:r w:rsidRPr="00606874">
        <w:rPr>
          <w:iCs/>
          <w:highlight w:val="yellow"/>
        </w:rPr>
        <w:t>liberadas</w:t>
      </w:r>
      <w:proofErr w:type="spellEnd"/>
      <w:r w:rsidRPr="00606874">
        <w:rPr>
          <w:iCs/>
          <w:highlight w:val="yellow"/>
        </w:rPr>
        <w:t xml:space="preserve"> com a </w:t>
      </w:r>
      <w:proofErr w:type="spellStart"/>
      <w:r w:rsidRPr="00606874">
        <w:rPr>
          <w:iCs/>
          <w:highlight w:val="yellow"/>
        </w:rPr>
        <w:t>emissão</w:t>
      </w:r>
      <w:proofErr w:type="spellEnd"/>
      <w:r w:rsidRPr="00606874">
        <w:rPr>
          <w:iCs/>
          <w:highlight w:val="yellow"/>
        </w:rPr>
        <w:t xml:space="preserve"> das Cartas </w:t>
      </w:r>
      <w:proofErr w:type="spellStart"/>
      <w:r w:rsidRPr="00606874">
        <w:rPr>
          <w:iCs/>
          <w:highlight w:val="yellow"/>
        </w:rPr>
        <w:t>Fianças</w:t>
      </w:r>
      <w:proofErr w:type="spellEnd"/>
      <w:r w:rsidRPr="00606874">
        <w:rPr>
          <w:iCs/>
          <w:highlight w:val="yellow"/>
        </w:rPr>
        <w:t xml:space="preserve"> e </w:t>
      </w:r>
      <w:proofErr w:type="spellStart"/>
      <w:r w:rsidRPr="00606874">
        <w:rPr>
          <w:iCs/>
          <w:highlight w:val="yellow"/>
        </w:rPr>
        <w:t>não</w:t>
      </w:r>
      <w:proofErr w:type="spellEnd"/>
      <w:r w:rsidRPr="00606874">
        <w:rPr>
          <w:iCs/>
          <w:highlight w:val="yellow"/>
        </w:rPr>
        <w:t xml:space="preserve"> com a </w:t>
      </w:r>
      <w:proofErr w:type="spellStart"/>
      <w:r w:rsidRPr="00606874">
        <w:rPr>
          <w:iCs/>
          <w:highlight w:val="yellow"/>
        </w:rPr>
        <w:t>outorga</w:t>
      </w:r>
      <w:proofErr w:type="spellEnd"/>
      <w:r w:rsidRPr="00606874">
        <w:rPr>
          <w:iCs/>
          <w:highlight w:val="yellow"/>
        </w:rPr>
        <w:t xml:space="preserve"> da </w:t>
      </w:r>
      <w:proofErr w:type="spellStart"/>
      <w:r w:rsidRPr="00606874">
        <w:rPr>
          <w:iCs/>
          <w:highlight w:val="yellow"/>
        </w:rPr>
        <w:t>garantia</w:t>
      </w:r>
      <w:proofErr w:type="spellEnd"/>
      <w:r w:rsidRPr="00606874">
        <w:rPr>
          <w:iCs/>
          <w:highlight w:val="yellow"/>
        </w:rPr>
        <w:t xml:space="preserve">. </w:t>
      </w:r>
      <w:proofErr w:type="spellStart"/>
      <w:r w:rsidRPr="00606874">
        <w:rPr>
          <w:iCs/>
          <w:highlight w:val="yellow"/>
        </w:rPr>
        <w:t>Portanto</w:t>
      </w:r>
      <w:proofErr w:type="spellEnd"/>
      <w:r w:rsidRPr="00606874">
        <w:rPr>
          <w:iCs/>
          <w:highlight w:val="yellow"/>
        </w:rPr>
        <w:t xml:space="preserve">, </w:t>
      </w:r>
      <w:proofErr w:type="spellStart"/>
      <w:r w:rsidRPr="00606874">
        <w:rPr>
          <w:iCs/>
          <w:highlight w:val="yellow"/>
        </w:rPr>
        <w:t>não</w:t>
      </w:r>
      <w:proofErr w:type="spellEnd"/>
      <w:r w:rsidRPr="00606874">
        <w:rPr>
          <w:iCs/>
          <w:highlight w:val="yellow"/>
        </w:rPr>
        <w:t xml:space="preserve"> é </w:t>
      </w:r>
      <w:proofErr w:type="spellStart"/>
      <w:r w:rsidRPr="00606874">
        <w:rPr>
          <w:iCs/>
          <w:highlight w:val="yellow"/>
        </w:rPr>
        <w:t>possível</w:t>
      </w:r>
      <w:proofErr w:type="spellEnd"/>
      <w:r w:rsidRPr="00606874">
        <w:rPr>
          <w:iCs/>
          <w:highlight w:val="yellow"/>
        </w:rPr>
        <w:t xml:space="preserve"> que as </w:t>
      </w:r>
      <w:proofErr w:type="spellStart"/>
      <w:r w:rsidRPr="00606874">
        <w:rPr>
          <w:iCs/>
          <w:highlight w:val="yellow"/>
        </w:rPr>
        <w:t>ações</w:t>
      </w:r>
      <w:proofErr w:type="spellEnd"/>
      <w:r w:rsidRPr="00606874">
        <w:rPr>
          <w:iCs/>
          <w:highlight w:val="yellow"/>
        </w:rPr>
        <w:t xml:space="preserve"> </w:t>
      </w:r>
      <w:proofErr w:type="spellStart"/>
      <w:r w:rsidRPr="00606874">
        <w:rPr>
          <w:iCs/>
          <w:highlight w:val="yellow"/>
        </w:rPr>
        <w:t>sejam</w:t>
      </w:r>
      <w:proofErr w:type="spellEnd"/>
      <w:r w:rsidRPr="00606874">
        <w:rPr>
          <w:iCs/>
          <w:highlight w:val="yellow"/>
        </w:rPr>
        <w:t xml:space="preserve"> </w:t>
      </w:r>
      <w:proofErr w:type="spellStart"/>
      <w:r w:rsidRPr="00606874">
        <w:rPr>
          <w:iCs/>
          <w:highlight w:val="yellow"/>
        </w:rPr>
        <w:t>liberadas</w:t>
      </w:r>
      <w:proofErr w:type="spellEnd"/>
      <w:r w:rsidRPr="00606874">
        <w:rPr>
          <w:iCs/>
          <w:highlight w:val="yellow"/>
        </w:rPr>
        <w:t xml:space="preserve"> </w:t>
      </w:r>
      <w:proofErr w:type="spellStart"/>
      <w:r w:rsidRPr="00606874">
        <w:rPr>
          <w:iCs/>
          <w:highlight w:val="yellow"/>
        </w:rPr>
        <w:t>na</w:t>
      </w:r>
      <w:proofErr w:type="spellEnd"/>
      <w:r w:rsidRPr="00606874">
        <w:rPr>
          <w:iCs/>
          <w:highlight w:val="yellow"/>
        </w:rPr>
        <w:t xml:space="preserve"> data de </w:t>
      </w:r>
      <w:proofErr w:type="spellStart"/>
      <w:r w:rsidRPr="00606874">
        <w:rPr>
          <w:iCs/>
          <w:highlight w:val="yellow"/>
        </w:rPr>
        <w:t>assinatura</w:t>
      </w:r>
      <w:proofErr w:type="spellEnd"/>
      <w:r w:rsidRPr="00606874">
        <w:rPr>
          <w:iCs/>
          <w:highlight w:val="yellow"/>
        </w:rPr>
        <w:t xml:space="preserve"> do </w:t>
      </w:r>
      <w:proofErr w:type="spellStart"/>
      <w:r w:rsidRPr="00606874">
        <w:rPr>
          <w:iCs/>
          <w:highlight w:val="yellow"/>
        </w:rPr>
        <w:t>ato</w:t>
      </w:r>
      <w:proofErr w:type="spellEnd"/>
      <w:r>
        <w:t>]</w:t>
      </w:r>
    </w:p>
    <w:p w14:paraId="4F9EB2B7" w14:textId="77777777" w:rsidR="00314FCD" w:rsidRDefault="00314FCD" w:rsidP="00314FCD">
      <w:pPr>
        <w:pStyle w:val="PargrafodaLista"/>
      </w:pPr>
      <w:bookmarkStart w:id="9" w:name="_Hlk71072425"/>
      <w:bookmarkEnd w:id="7"/>
    </w:p>
    <w:p w14:paraId="1CDBDE42" w14:textId="0663F65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w:t>
      </w:r>
      <w:proofErr w:type="spellStart"/>
      <w:r w:rsidR="00160189">
        <w:rPr>
          <w:lang w:val="pt-BR"/>
        </w:rPr>
        <w:t>Banco</w:t>
      </w:r>
      <w:r w:rsidR="00DF4AE5" w:rsidRPr="000B2C29">
        <w:rPr>
          <w:lang w:val="pt-BR"/>
        </w:rPr>
        <w:t>da</w:t>
      </w:r>
      <w:proofErr w:type="spellEnd"/>
      <w:r w:rsidR="00DF4AE5" w:rsidRPr="000B2C29">
        <w:rPr>
          <w:lang w:val="pt-BR"/>
        </w:rPr>
        <w:t xml:space="preserve">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p w14:paraId="1A9BED97" w14:textId="5E0E2FCB" w:rsidR="0041797B" w:rsidRPr="00861F54" w:rsidRDefault="0041797B" w:rsidP="00F1481E">
      <w:pPr>
        <w:pStyle w:val="Normala"/>
        <w:numPr>
          <w:ilvl w:val="0"/>
          <w:numId w:val="9"/>
        </w:numPr>
        <w:spacing w:before="0" w:line="320" w:lineRule="exact"/>
        <w:ind w:left="0" w:firstLine="0"/>
        <w:rPr>
          <w:lang w:val="pt-BR"/>
        </w:rPr>
      </w:pPr>
      <w:r>
        <w:rPr>
          <w:lang w:val="pt-BR"/>
        </w:rPr>
        <w:t xml:space="preserve">CONSIDERANDO QUE os </w:t>
      </w:r>
      <w:r w:rsidR="00D31CAA">
        <w:rPr>
          <w:lang w:val="pt-BR"/>
        </w:rPr>
        <w:t xml:space="preserve">Fiadores </w:t>
      </w:r>
      <w:r w:rsidR="00402915">
        <w:rPr>
          <w:lang w:val="pt-BR"/>
        </w:rPr>
        <w:t>concordam em compartilhar a Alienação Fiduciária em Garantia, conforme definida abaixo</w:t>
      </w:r>
      <w:r w:rsidR="00D31CAA">
        <w:rPr>
          <w:lang w:val="pt-BR"/>
        </w:rPr>
        <w:t>, com os Debenturistas e, estes, concordam com o referido compartilhamento nos termos das deliberações da assembleia geral de debenturistas realizada em [</w:t>
      </w:r>
      <w:r w:rsidR="00D31CAA" w:rsidRPr="00606874">
        <w:rPr>
          <w:highlight w:val="yellow"/>
          <w:lang w:val="pt-BR"/>
        </w:rPr>
        <w:t>--</w:t>
      </w:r>
      <w:r w:rsidR="00D31CAA">
        <w:rPr>
          <w:lang w:val="pt-BR"/>
        </w:rPr>
        <w:t>] de [</w:t>
      </w:r>
      <w:r w:rsidR="00D31CAA" w:rsidRPr="00606874">
        <w:rPr>
          <w:highlight w:val="yellow"/>
          <w:lang w:val="pt-BR"/>
        </w:rPr>
        <w:t>--</w:t>
      </w:r>
      <w:r w:rsidR="00D31CAA">
        <w:rPr>
          <w:lang w:val="pt-BR"/>
        </w:rPr>
        <w:t>] de 2021;</w:t>
      </w:r>
    </w:p>
    <w:bookmarkEnd w:id="9"/>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0" w:name="_DV_M31"/>
      <w:bookmarkStart w:id="11" w:name="_DV_M33"/>
      <w:bookmarkEnd w:id="10"/>
      <w:bookmarkEnd w:id="11"/>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2" w:name="_DV_M48"/>
      <w:bookmarkStart w:id="13" w:name="_DV_M49"/>
      <w:bookmarkStart w:id="14" w:name="_DV_M50"/>
      <w:bookmarkEnd w:id="12"/>
      <w:bookmarkEnd w:id="13"/>
      <w:bookmarkEnd w:id="1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15" w:name="_DV_M56"/>
      <w:bookmarkEnd w:id="1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6" w:name="_Hlk1507589"/>
      <w:bookmarkStart w:id="1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8" w:name="_DV_M35"/>
      <w:bookmarkEnd w:id="18"/>
    </w:p>
    <w:bookmarkEnd w:id="16"/>
    <w:bookmarkEnd w:id="17"/>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PargrafodaLista"/>
        <w:numPr>
          <w:ilvl w:val="1"/>
          <w:numId w:val="7"/>
        </w:numPr>
        <w:spacing w:line="320" w:lineRule="exact"/>
        <w:ind w:left="0" w:hanging="11"/>
        <w:jc w:val="both"/>
      </w:pPr>
      <w:bookmarkStart w:id="19" w:name="_DV_M143"/>
      <w:bookmarkStart w:id="20" w:name="_DV_M152"/>
      <w:bookmarkStart w:id="21" w:name="_DV_M176"/>
      <w:bookmarkStart w:id="22" w:name="_DV_M137"/>
      <w:bookmarkStart w:id="23" w:name="_DV_M158"/>
      <w:bookmarkStart w:id="24" w:name="_DV_M161"/>
      <w:bookmarkStart w:id="25" w:name="_DV_M164"/>
      <w:bookmarkStart w:id="26" w:name="_DV_M166"/>
      <w:bookmarkStart w:id="27" w:name="_DV_M167"/>
      <w:bookmarkStart w:id="28" w:name="_DV_M173"/>
      <w:bookmarkEnd w:id="19"/>
      <w:bookmarkEnd w:id="20"/>
      <w:bookmarkEnd w:id="21"/>
      <w:bookmarkEnd w:id="22"/>
      <w:bookmarkEnd w:id="23"/>
      <w:bookmarkEnd w:id="24"/>
      <w:bookmarkEnd w:id="25"/>
      <w:bookmarkEnd w:id="26"/>
      <w:bookmarkEnd w:id="27"/>
      <w:bookmarkEnd w:id="28"/>
      <w:r>
        <w:rPr>
          <w:b/>
          <w:bCs/>
          <w:color w:val="000000"/>
        </w:rPr>
        <w:t>Alienação</w:t>
      </w:r>
      <w:r w:rsidRPr="00861F54">
        <w:rPr>
          <w:b/>
          <w:bCs/>
          <w:color w:val="000000"/>
        </w:rPr>
        <w:t xml:space="preserve"> Fiduciária em Garantia</w:t>
      </w:r>
      <w:r w:rsidRPr="00861F54">
        <w:rPr>
          <w:color w:val="000000"/>
        </w:rPr>
        <w:t xml:space="preserve">. </w:t>
      </w:r>
      <w:bookmarkStart w:id="2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2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lastRenderedPageBreak/>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2B7A36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w:t>
      </w:r>
      <w:r w:rsidRPr="001F4DEC">
        <w:lastRenderedPageBreak/>
        <w:t xml:space="preserve">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1"/>
    </w:p>
    <w:p w14:paraId="2A2B1FE8" w14:textId="77777777" w:rsidR="00384E0D" w:rsidRDefault="00384E0D" w:rsidP="00384E0D">
      <w:pPr>
        <w:pStyle w:val="PargrafodaLista"/>
        <w:spacing w:line="320" w:lineRule="exact"/>
        <w:ind w:left="709"/>
        <w:jc w:val="both"/>
      </w:pPr>
    </w:p>
    <w:p w14:paraId="5373CE9D" w14:textId="2517AA81"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PargrafodaLista"/>
      </w:pPr>
    </w:p>
    <w:p w14:paraId="7045B11E" w14:textId="2C7DAB53" w:rsidR="002345E3" w:rsidRDefault="002345E3" w:rsidP="002345E3">
      <w:pPr>
        <w:pStyle w:val="PargrafodaLista"/>
        <w:numPr>
          <w:ilvl w:val="2"/>
          <w:numId w:val="7"/>
        </w:numPr>
        <w:spacing w:line="320" w:lineRule="exact"/>
        <w:ind w:left="0" w:firstLine="709"/>
        <w:jc w:val="both"/>
      </w:pPr>
      <w:r>
        <w:t>A LC Energia ficará obrigada a atualizar os livros de transferência de ações da sociedade em favor dos Fiadores.</w:t>
      </w:r>
    </w:p>
    <w:p w14:paraId="1CCA33E1" w14:textId="77777777" w:rsidR="00384E0D" w:rsidRDefault="00384E0D" w:rsidP="00384E0D">
      <w:pPr>
        <w:pStyle w:val="PargrafodaLista"/>
      </w:pPr>
    </w:p>
    <w:p w14:paraId="45FE6DE6" w14:textId="5C86CCAB" w:rsidR="002345E3"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14350639" w14:textId="583B80EF" w:rsidR="00384E0D" w:rsidRDefault="00384E0D" w:rsidP="00384E0D">
      <w:pPr>
        <w:pStyle w:val="PargrafodaLista"/>
        <w:numPr>
          <w:ilvl w:val="2"/>
          <w:numId w:val="7"/>
        </w:numPr>
        <w:spacing w:line="320" w:lineRule="exact"/>
        <w:ind w:left="0" w:firstLine="709"/>
        <w:jc w:val="both"/>
      </w:pPr>
      <w:r w:rsidRPr="001F4DEC">
        <w:t>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1AB0E5F"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w:t>
      </w:r>
      <w:r w:rsidRPr="001F4DEC">
        <w:lastRenderedPageBreak/>
        <w:t xml:space="preserve">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xml:space="preserve">. Em caso de divergência entre o </w:t>
      </w:r>
      <w:r w:rsidRPr="00ED1C5E">
        <w:lastRenderedPageBreak/>
        <w:t>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3"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4" w:name="_Hlk42176365"/>
    </w:p>
    <w:p w14:paraId="76C9DDB2" w14:textId="494149EE"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w:t>
      </w:r>
      <w:r w:rsidR="00DF4AE5">
        <w:t>BASA</w:t>
      </w:r>
      <w:r w:rsidR="00497874" w:rsidRPr="002110B2">
        <w:t xml:space="preserve">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w:t>
      </w:r>
      <w:r w:rsidR="00DF4AE5">
        <w:t>BASA</w:t>
      </w:r>
      <w:r w:rsidR="00497874" w:rsidRPr="002110B2">
        <w:t xml:space="preserve">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1F230B82"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w:t>
      </w:r>
      <w:r w:rsidR="00DF4AE5">
        <w:t>BASA</w:t>
      </w:r>
      <w:r w:rsidRPr="001D2379">
        <w:t xml:space="preserve"> não tenha ocorrido dentro do prazo de até 20 (vinte) dias, contados da liberação das </w:t>
      </w:r>
      <w:r>
        <w:t>mesmas</w:t>
      </w:r>
      <w:r w:rsidRPr="001D2379">
        <w:t xml:space="preserve">, conforme o disposto acima, </w:t>
      </w:r>
      <w:r w:rsidR="00384E0D">
        <w:t xml:space="preserve">os </w:t>
      </w:r>
      <w:r w:rsidR="0099133A">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5" w:name="_Hlk504315570"/>
      <w:r w:rsidRPr="00ED1C5E">
        <w:t>:</w:t>
      </w:r>
      <w:bookmarkEnd w:id="3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6FF6AA5A"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202</w:t>
      </w:r>
      <w:r w:rsidR="009961F1">
        <w:rPr>
          <w:i/>
          <w:lang w:eastAsia="pt-BR"/>
        </w:rPr>
        <w:t>1</w:t>
      </w:r>
      <w:r w:rsidR="009961F1" w:rsidRPr="00747A87" w:rsidDel="007660C1">
        <w:rPr>
          <w:rFonts w:ascii="Verdana" w:hAnsi="Verdana"/>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36"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3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6C900AF5"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37"/>
    </w:p>
    <w:p w14:paraId="5237AD19" w14:textId="77777777" w:rsidR="002E3E13" w:rsidRDefault="002E3E13" w:rsidP="00F1481E">
      <w:pPr>
        <w:pStyle w:val="PargrafodaLista"/>
        <w:spacing w:line="320" w:lineRule="exact"/>
        <w:ind w:left="709"/>
        <w:jc w:val="both"/>
      </w:pPr>
      <w:bookmarkStart w:id="38"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39" w:name="_DV_M279"/>
      <w:bookmarkStart w:id="40" w:name="_DV_M281"/>
      <w:bookmarkEnd w:id="39"/>
      <w:bookmarkEnd w:id="40"/>
      <w:r w:rsidR="00864EF3" w:rsidRPr="00864EF3">
        <w:rPr>
          <w:bCs/>
          <w:color w:val="000000"/>
        </w:rPr>
        <w:t xml:space="preserve"> </w:t>
      </w:r>
      <w:r w:rsidR="00864EF3" w:rsidRPr="00BF66E0">
        <w:rPr>
          <w:bCs/>
          <w:color w:val="000000"/>
        </w:rPr>
        <w:t xml:space="preserve">No entanto, para fins do disposto no artigo 113 da Lei das Sociedades por Ações, as </w:t>
      </w:r>
      <w:r w:rsidR="00864EF3" w:rsidRPr="00BF66E0">
        <w:rPr>
          <w:bCs/>
          <w:color w:val="000000"/>
        </w:rPr>
        <w:lastRenderedPageBreak/>
        <w:t xml:space="preserve">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PargrafodaLista"/>
        <w:spacing w:line="320" w:lineRule="exact"/>
        <w:ind w:left="0"/>
        <w:jc w:val="both"/>
        <w:rPr>
          <w:bCs/>
          <w:color w:val="000000"/>
        </w:rPr>
      </w:pPr>
    </w:p>
    <w:p w14:paraId="7700EFF6" w14:textId="77777777" w:rsidR="00864EF3" w:rsidRPr="00E105B3" w:rsidRDefault="00864EF3" w:rsidP="00864EF3">
      <w:pPr>
        <w:pStyle w:val="Commarcadores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Commarcadores3"/>
        <w:numPr>
          <w:ilvl w:val="0"/>
          <w:numId w:val="0"/>
        </w:numPr>
        <w:spacing w:line="320" w:lineRule="exact"/>
        <w:ind w:left="709"/>
        <w:jc w:val="both"/>
      </w:pPr>
    </w:p>
    <w:p w14:paraId="50C74A9E" w14:textId="77777777" w:rsidR="00864EF3" w:rsidRPr="00E105B3" w:rsidRDefault="00864EF3" w:rsidP="00864EF3">
      <w:pPr>
        <w:pStyle w:val="Commarcadores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Commarcadores3"/>
        <w:numPr>
          <w:ilvl w:val="0"/>
          <w:numId w:val="0"/>
        </w:numPr>
        <w:spacing w:line="320" w:lineRule="exact"/>
        <w:ind w:left="709"/>
        <w:jc w:val="both"/>
      </w:pPr>
    </w:p>
    <w:p w14:paraId="28FB89C3" w14:textId="77777777" w:rsidR="00864EF3" w:rsidRPr="00E105B3" w:rsidRDefault="00864EF3" w:rsidP="00864EF3">
      <w:pPr>
        <w:pStyle w:val="Commarcadores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Commarcadores3"/>
        <w:numPr>
          <w:ilvl w:val="0"/>
          <w:numId w:val="0"/>
        </w:numPr>
        <w:spacing w:line="320" w:lineRule="exact"/>
        <w:ind w:left="709"/>
        <w:jc w:val="both"/>
      </w:pPr>
    </w:p>
    <w:p w14:paraId="4FA54C8E" w14:textId="77777777" w:rsidR="00864EF3" w:rsidRPr="00E105B3" w:rsidRDefault="00864EF3" w:rsidP="00864EF3">
      <w:pPr>
        <w:pStyle w:val="Commarcadores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Commarcadores3"/>
        <w:numPr>
          <w:ilvl w:val="0"/>
          <w:numId w:val="0"/>
        </w:numPr>
        <w:spacing w:line="320" w:lineRule="exact"/>
        <w:ind w:left="709"/>
        <w:jc w:val="both"/>
      </w:pPr>
    </w:p>
    <w:p w14:paraId="5044AE20" w14:textId="77777777" w:rsidR="00864EF3" w:rsidRPr="00E105B3" w:rsidRDefault="00864EF3" w:rsidP="00864EF3">
      <w:pPr>
        <w:pStyle w:val="Commarcadores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Commarcadores3"/>
        <w:numPr>
          <w:ilvl w:val="0"/>
          <w:numId w:val="0"/>
        </w:numPr>
        <w:spacing w:line="320" w:lineRule="exact"/>
        <w:ind w:left="709"/>
        <w:jc w:val="both"/>
      </w:pPr>
    </w:p>
    <w:p w14:paraId="1F05CC43" w14:textId="77777777" w:rsidR="00864EF3" w:rsidRPr="00E105B3" w:rsidRDefault="00864EF3" w:rsidP="00864EF3">
      <w:pPr>
        <w:pStyle w:val="Commarcadores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Commarcadores3"/>
        <w:numPr>
          <w:ilvl w:val="0"/>
          <w:numId w:val="0"/>
        </w:numPr>
        <w:spacing w:line="320" w:lineRule="exact"/>
        <w:ind w:left="709"/>
        <w:jc w:val="both"/>
      </w:pPr>
    </w:p>
    <w:p w14:paraId="2BF05E37" w14:textId="77777777" w:rsidR="00864EF3" w:rsidRPr="00E105B3" w:rsidRDefault="00864EF3" w:rsidP="00864EF3">
      <w:pPr>
        <w:pStyle w:val="Commarcadores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Commarcadores3"/>
        <w:numPr>
          <w:ilvl w:val="0"/>
          <w:numId w:val="0"/>
        </w:numPr>
        <w:spacing w:line="320" w:lineRule="exact"/>
        <w:ind w:left="709"/>
        <w:jc w:val="both"/>
      </w:pPr>
    </w:p>
    <w:p w14:paraId="093DD89B" w14:textId="47D65695" w:rsidR="00864EF3" w:rsidRPr="00E105B3" w:rsidRDefault="00864EF3" w:rsidP="00864EF3">
      <w:pPr>
        <w:pStyle w:val="Commarcadores3"/>
        <w:numPr>
          <w:ilvl w:val="0"/>
          <w:numId w:val="0"/>
        </w:numPr>
        <w:spacing w:line="320" w:lineRule="exact"/>
        <w:ind w:left="709"/>
        <w:jc w:val="both"/>
      </w:pPr>
      <w:r w:rsidRPr="00E105B3">
        <w:t>a redução do capital social da Companhia, bem como resgate ou amortização de ações representativas do seu capital social, quer com redução, ou não, de seu capital social</w:t>
      </w:r>
      <w:r w:rsidR="00D57041">
        <w:t>.</w:t>
      </w:r>
      <w:r w:rsidRPr="00E105B3">
        <w:t xml:space="preserve"> </w:t>
      </w:r>
    </w:p>
    <w:p w14:paraId="24AB6869" w14:textId="5C6D61E8" w:rsidR="00864EF3" w:rsidRPr="00E105B3" w:rsidRDefault="00864EF3" w:rsidP="00864EF3">
      <w:pPr>
        <w:pStyle w:val="Commarcadores3"/>
        <w:numPr>
          <w:ilvl w:val="0"/>
          <w:numId w:val="21"/>
        </w:numPr>
        <w:spacing w:line="320" w:lineRule="exact"/>
        <w:ind w:left="709" w:firstLine="0"/>
        <w:jc w:val="both"/>
      </w:pPr>
      <w:r w:rsidRPr="00E105B3">
        <w:t>a contratação de qualquer operação que, de qualquer forma, dê origem a novos endividamentos da Companhia;</w:t>
      </w:r>
    </w:p>
    <w:p w14:paraId="5ED13D2A" w14:textId="77777777" w:rsidR="00864EF3" w:rsidRPr="00E105B3" w:rsidRDefault="00864EF3" w:rsidP="00864EF3">
      <w:pPr>
        <w:pStyle w:val="Commarcadores3"/>
        <w:numPr>
          <w:ilvl w:val="0"/>
          <w:numId w:val="0"/>
        </w:numPr>
        <w:spacing w:line="320" w:lineRule="exact"/>
        <w:ind w:left="709"/>
        <w:jc w:val="both"/>
      </w:pPr>
    </w:p>
    <w:p w14:paraId="1C2456DE" w14:textId="77777777" w:rsidR="00864EF3" w:rsidRPr="00E105B3" w:rsidRDefault="00864EF3" w:rsidP="00864EF3">
      <w:pPr>
        <w:pStyle w:val="Commarcadores3"/>
        <w:numPr>
          <w:ilvl w:val="0"/>
          <w:numId w:val="21"/>
        </w:numPr>
        <w:spacing w:line="320" w:lineRule="exact"/>
        <w:ind w:left="709" w:firstLine="0"/>
        <w:jc w:val="both"/>
      </w:pPr>
      <w:r w:rsidRPr="00E105B3">
        <w:lastRenderedPageBreak/>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Commarcadores3"/>
        <w:numPr>
          <w:ilvl w:val="0"/>
          <w:numId w:val="0"/>
        </w:numPr>
        <w:spacing w:line="320" w:lineRule="exact"/>
        <w:ind w:left="709"/>
        <w:jc w:val="both"/>
      </w:pPr>
    </w:p>
    <w:p w14:paraId="63D3B8B5"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Commarcadores3"/>
        <w:numPr>
          <w:ilvl w:val="0"/>
          <w:numId w:val="0"/>
        </w:numPr>
        <w:spacing w:line="320" w:lineRule="exact"/>
        <w:ind w:left="709"/>
        <w:jc w:val="both"/>
      </w:pPr>
    </w:p>
    <w:p w14:paraId="64868E47" w14:textId="77777777" w:rsidR="00864EF3" w:rsidRPr="00E105B3" w:rsidRDefault="00864EF3" w:rsidP="00864EF3">
      <w:pPr>
        <w:pStyle w:val="Commarcadores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Commarcadores3"/>
        <w:numPr>
          <w:ilvl w:val="0"/>
          <w:numId w:val="0"/>
        </w:numPr>
        <w:spacing w:line="320" w:lineRule="exact"/>
        <w:ind w:left="709"/>
        <w:jc w:val="both"/>
      </w:pPr>
    </w:p>
    <w:p w14:paraId="12EB007F" w14:textId="77777777" w:rsidR="00864EF3" w:rsidRPr="00E105B3" w:rsidRDefault="00864EF3" w:rsidP="00864EF3">
      <w:pPr>
        <w:pStyle w:val="Commarcadores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Commarcadores3"/>
        <w:numPr>
          <w:ilvl w:val="0"/>
          <w:numId w:val="0"/>
        </w:numPr>
        <w:spacing w:line="320" w:lineRule="exact"/>
        <w:ind w:left="709"/>
        <w:jc w:val="both"/>
      </w:pPr>
    </w:p>
    <w:p w14:paraId="05F8BBD0" w14:textId="77777777" w:rsidR="00864EF3" w:rsidRPr="00E105B3" w:rsidRDefault="00864EF3" w:rsidP="00864EF3">
      <w:pPr>
        <w:pStyle w:val="Commarcadores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Commarcadores3"/>
        <w:numPr>
          <w:ilvl w:val="0"/>
          <w:numId w:val="0"/>
        </w:numPr>
        <w:spacing w:line="320" w:lineRule="exact"/>
        <w:ind w:left="709"/>
        <w:jc w:val="both"/>
      </w:pPr>
    </w:p>
    <w:p w14:paraId="25435EC9" w14:textId="106E20AB" w:rsidR="0069469B" w:rsidRDefault="00864EF3" w:rsidP="00180BE6">
      <w:pPr>
        <w:pStyle w:val="Commarcadores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r w:rsidR="00D57041">
        <w:t>.</w:t>
      </w:r>
    </w:p>
    <w:p w14:paraId="3CEC0115" w14:textId="77777777" w:rsidR="00D57041" w:rsidRDefault="00D57041" w:rsidP="00606874">
      <w:pPr>
        <w:pStyle w:val="PargrafodaLista"/>
      </w:pPr>
    </w:p>
    <w:p w14:paraId="6BE7F697" w14:textId="162071B2" w:rsidR="00D57041" w:rsidRPr="00967334" w:rsidRDefault="00D57041" w:rsidP="00606874">
      <w:pPr>
        <w:pStyle w:val="Commarcadores3"/>
        <w:numPr>
          <w:ilvl w:val="0"/>
          <w:numId w:val="0"/>
        </w:numPr>
        <w:spacing w:line="320" w:lineRule="exact"/>
        <w:jc w:val="both"/>
      </w:pPr>
      <w:r>
        <w:t>[</w:t>
      </w:r>
      <w:r w:rsidRPr="00606874">
        <w:rPr>
          <w:highlight w:val="yellow"/>
        </w:rPr>
        <w:t>NOTA VR: Sempre existe hipótese de distribuição de dividendos desde que a Companhia não</w:t>
      </w:r>
      <w:r w:rsidR="00606874">
        <w:rPr>
          <w:highlight w:val="yellow"/>
        </w:rPr>
        <w:t xml:space="preserve"> </w:t>
      </w:r>
      <w:r w:rsidRPr="00606874">
        <w:rPr>
          <w:highlight w:val="yellow"/>
        </w:rPr>
        <w:t>esteja inadimplente com</w:t>
      </w:r>
      <w:r w:rsidR="00485363">
        <w:rPr>
          <w:highlight w:val="yellow"/>
        </w:rPr>
        <w:t xml:space="preserve"> </w:t>
      </w:r>
      <w:r w:rsidRPr="00606874">
        <w:rPr>
          <w:highlight w:val="yellow"/>
        </w:rPr>
        <w:t>as obrigações do CPG e desde que seja atingido o Saldo Mínimo das Contas Reservas.]</w:t>
      </w:r>
    </w:p>
    <w:p w14:paraId="787B45BA" w14:textId="77777777" w:rsidR="009B4055" w:rsidRPr="00967334" w:rsidRDefault="009B4055" w:rsidP="00F1481E">
      <w:pPr>
        <w:pStyle w:val="PargrafodaLista"/>
        <w:spacing w:line="320" w:lineRule="exact"/>
        <w:ind w:left="0"/>
        <w:jc w:val="both"/>
      </w:pPr>
    </w:p>
    <w:p w14:paraId="752D916B" w14:textId="4B68372B" w:rsidR="0069469B" w:rsidRPr="00180BE6"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503F2627" w:rsidR="0069469B" w:rsidRDefault="00864EF3" w:rsidP="00F1481E">
      <w:pPr>
        <w:spacing w:line="320" w:lineRule="exact"/>
        <w:jc w:val="both"/>
        <w:rPr>
          <w:color w:val="000000"/>
        </w:rPr>
      </w:pPr>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p>
    <w:p w14:paraId="21A78BEC" w14:textId="77777777" w:rsidR="00606874" w:rsidRPr="00967334" w:rsidRDefault="00606874" w:rsidP="00F1481E">
      <w:pPr>
        <w:spacing w:line="320" w:lineRule="exact"/>
        <w:jc w:val="both"/>
        <w:rPr>
          <w:color w:val="000000"/>
        </w:rPr>
      </w:pPr>
    </w:p>
    <w:p w14:paraId="3C1092B3" w14:textId="23C28D6F"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C1272F">
        <w:rPr>
          <w:color w:val="000000"/>
        </w:rPr>
        <w:t xml:space="preserve"> da Fiança</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w:t>
      </w:r>
      <w:r w:rsidRPr="00967334">
        <w:rPr>
          <w:color w:val="000000"/>
        </w:rPr>
        <w:lastRenderedPageBreak/>
        <w:t>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7C2179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45"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45"/>
      <w:r w:rsidRPr="0027413B">
        <w:rPr>
          <w:rFonts w:ascii="Times New Roman" w:hAnsi="Times New Roman" w:cs="Times New Roman"/>
          <w:color w:val="000000"/>
        </w:rPr>
        <w:t>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w:t>
      </w:r>
      <w:r w:rsidRPr="0027413B">
        <w:rPr>
          <w:rFonts w:ascii="Times New Roman" w:hAnsi="Times New Roman" w:cs="Times New Roman"/>
          <w:color w:val="000000"/>
        </w:rPr>
        <w:lastRenderedPageBreak/>
        <w:t xml:space="preserve">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 Evento de Excussão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w:t>
      </w:r>
      <w:r w:rsidRPr="0027413B">
        <w:rPr>
          <w:rFonts w:ascii="Times New Roman" w:hAnsi="Times New Roman" w:cs="Times New Roman"/>
        </w:rPr>
        <w:lastRenderedPageBreak/>
        <w:t xml:space="preserve">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8645D86"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43"/>
    <w:p w14:paraId="0AEF5B5D" w14:textId="603A47C0" w:rsidR="0069469B" w:rsidRPr="00863802" w:rsidRDefault="0069469B" w:rsidP="00F1481E">
      <w:pPr>
        <w:pStyle w:val="PargrafodaLista"/>
      </w:pPr>
    </w:p>
    <w:p w14:paraId="1B90A7EC" w14:textId="7EC40C0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6" w:name="_DV_M138"/>
      <w:bookmarkEnd w:id="4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47" w:name="_Hlk47977427"/>
      <w:r w:rsidRPr="009039A2">
        <w:rPr>
          <w:lang w:val="pt-PT"/>
        </w:rPr>
        <w:t>existem e foram validamente constituídos e corretamente formalizados, são exigíveis de acordo com a lei e os termos dos respectivos contratos, são passíveis de garantia fiduciária e</w:t>
      </w:r>
      <w:bookmarkEnd w:id="4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 xml:space="preserve">Contrato de </w:t>
      </w:r>
      <w:r w:rsidR="00384E0D">
        <w:rPr>
          <w:color w:val="000000"/>
        </w:rPr>
        <w:lastRenderedPageBreak/>
        <w:t>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w:t>
      </w:r>
      <w:r w:rsidR="00455FF1">
        <w:lastRenderedPageBreak/>
        <w:t>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3238F26A"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1D173B21"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3E7CF3">
        <w:lastRenderedPageBreak/>
        <w:t>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247DA1FC"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8" w:name="_DV_M150"/>
      <w:bookmarkStart w:id="49" w:name="_DV_M153"/>
      <w:bookmarkStart w:id="50" w:name="_DV_M154"/>
      <w:bookmarkStart w:id="51" w:name="_DV_M156"/>
      <w:bookmarkEnd w:id="48"/>
      <w:bookmarkEnd w:id="49"/>
      <w:bookmarkEnd w:id="50"/>
      <w:bookmarkEnd w:id="51"/>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60BBB749"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642144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52" w:name="_Hlk71075092"/>
      <w:r w:rsidRPr="00ED1C5E">
        <w:t xml:space="preserve">, </w:t>
      </w:r>
      <w:bookmarkEnd w:id="52"/>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 xml:space="preserve">Direitos de Participação </w:t>
      </w:r>
      <w:r>
        <w:lastRenderedPageBreak/>
        <w:t>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w:t>
      </w:r>
      <w:proofErr w:type="gramStart"/>
      <w:r w:rsidRPr="00ED1C5E">
        <w:t>ao</w:t>
      </w:r>
      <w:r w:rsidR="00726462">
        <w:t>s</w:t>
      </w:r>
      <w:r w:rsidR="00647A25">
        <w:t xml:space="preserve"> </w:t>
      </w:r>
      <w:r w:rsidR="00726462">
        <w:t xml:space="preserve"> Fiadores</w:t>
      </w:r>
      <w:proofErr w:type="gramEnd"/>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52A07159" w14:textId="77777777" w:rsidR="009D3EE9" w:rsidRDefault="009D3EE9" w:rsidP="009D3EE9">
      <w:pPr>
        <w:pStyle w:val="PargrafodaLista"/>
        <w:spacing w:line="320" w:lineRule="exact"/>
        <w:ind w:left="0"/>
        <w:jc w:val="both"/>
        <w:rPr>
          <w:b/>
        </w:rPr>
      </w:pPr>
      <w:bookmarkStart w:id="53" w:name="_Toc143582470"/>
      <w:bookmarkStart w:id="54" w:name="_Toc175568531"/>
      <w:bookmarkStart w:id="55" w:name="_Toc204699434"/>
      <w:bookmarkStart w:id="56" w:name="_Toc259396499"/>
      <w:bookmarkStart w:id="57" w:name="_Toc263587931"/>
    </w:p>
    <w:p w14:paraId="702941AA" w14:textId="77777777" w:rsidR="009D3EE9" w:rsidRDefault="009D3EE9" w:rsidP="009D3EE9">
      <w:pPr>
        <w:pStyle w:val="PargrafodaLista"/>
        <w:numPr>
          <w:ilvl w:val="0"/>
          <w:numId w:val="7"/>
        </w:numPr>
        <w:spacing w:line="320" w:lineRule="exact"/>
        <w:ind w:left="0" w:firstLine="0"/>
        <w:jc w:val="both"/>
      </w:pPr>
      <w:r>
        <w:t>ALTERAÇÕES DAS OBRIGAÇÕES GARANTIDAS</w:t>
      </w:r>
    </w:p>
    <w:p w14:paraId="79C90AE5" w14:textId="77777777" w:rsidR="009D3EE9" w:rsidRDefault="009D3EE9" w:rsidP="009D3EE9">
      <w:pPr>
        <w:pStyle w:val="PargrafodaLista"/>
        <w:spacing w:line="320" w:lineRule="exact"/>
        <w:ind w:left="0"/>
        <w:jc w:val="both"/>
      </w:pPr>
    </w:p>
    <w:p w14:paraId="30B3E203" w14:textId="77777777" w:rsidR="009D3EE9" w:rsidRDefault="009D3EE9" w:rsidP="009D3EE9">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PargrafodaLista"/>
        <w:spacing w:line="320" w:lineRule="exact"/>
        <w:ind w:left="0"/>
        <w:jc w:val="both"/>
      </w:pPr>
    </w:p>
    <w:p w14:paraId="0F5E216A" w14:textId="77777777" w:rsidR="009D3EE9" w:rsidRDefault="009D3EE9" w:rsidP="009D3EE9">
      <w:pPr>
        <w:pStyle w:val="PargrafodaLista"/>
        <w:numPr>
          <w:ilvl w:val="3"/>
          <w:numId w:val="7"/>
        </w:numPr>
        <w:spacing w:line="320" w:lineRule="exact"/>
        <w:jc w:val="both"/>
      </w:pPr>
      <w:r>
        <w:lastRenderedPageBreak/>
        <w:t>Qualquer renovação, aditamento, vencimento antecipado, transação, alteração de qualquer natureza, renúncia, restituição ou quitação, no todo ou em parte, às Obrigações Garantidas;</w:t>
      </w:r>
    </w:p>
    <w:p w14:paraId="29349F93" w14:textId="77777777" w:rsidR="009D3EE9" w:rsidRDefault="009D3EE9" w:rsidP="009D3EE9">
      <w:pPr>
        <w:pStyle w:val="PargrafodaLista"/>
        <w:spacing w:line="320" w:lineRule="exact"/>
        <w:ind w:left="1789"/>
        <w:jc w:val="both"/>
      </w:pPr>
    </w:p>
    <w:p w14:paraId="62DA897D" w14:textId="77777777" w:rsidR="009D3EE9" w:rsidRDefault="009D3EE9" w:rsidP="009D3EE9">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4D97E5D" w14:textId="77777777" w:rsidR="009D3EE9" w:rsidRDefault="009D3EE9" w:rsidP="009D3EE9">
      <w:pPr>
        <w:spacing w:line="320" w:lineRule="exact"/>
        <w:jc w:val="both"/>
      </w:pPr>
    </w:p>
    <w:p w14:paraId="56D19C96" w14:textId="77777777" w:rsidR="009D3EE9" w:rsidRDefault="009D3EE9" w:rsidP="009D3EE9">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4903B0B7" w14:textId="77777777" w:rsidR="009D3EE9" w:rsidRPr="00606874" w:rsidRDefault="009D3EE9" w:rsidP="00606874">
      <w:pPr>
        <w:pStyle w:val="PargrafodaLista"/>
        <w:spacing w:line="320" w:lineRule="exact"/>
        <w:ind w:left="0"/>
        <w:jc w:val="both"/>
      </w:pPr>
    </w:p>
    <w:p w14:paraId="7B91C886" w14:textId="1EF8C754" w:rsidR="0069469B" w:rsidRPr="009235B0" w:rsidRDefault="0069469B" w:rsidP="00180BE6">
      <w:pPr>
        <w:pStyle w:val="PargrafodaLista"/>
        <w:numPr>
          <w:ilvl w:val="0"/>
          <w:numId w:val="7"/>
        </w:numPr>
        <w:spacing w:line="320" w:lineRule="exact"/>
        <w:ind w:left="0" w:firstLine="0"/>
        <w:jc w:val="both"/>
      </w:pPr>
      <w:r w:rsidRPr="009235B0">
        <w:rPr>
          <w:b/>
        </w:rPr>
        <w:t>DISPOSIÇÕES GERAIS</w:t>
      </w:r>
      <w:bookmarkEnd w:id="53"/>
      <w:bookmarkEnd w:id="54"/>
      <w:bookmarkEnd w:id="55"/>
      <w:bookmarkEnd w:id="56"/>
      <w:bookmarkEnd w:id="57"/>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58"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58"/>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59" w:name="_DV_M160"/>
      <w:bookmarkEnd w:id="59"/>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0" w:name="_Toc80174418"/>
      <w:bookmarkStart w:id="61"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60"/>
      <w:bookmarkEnd w:id="61"/>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2" w:name="_Toc80174427"/>
      <w:bookmarkStart w:id="63"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62"/>
      <w:bookmarkEnd w:id="63"/>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4" w:name="_Toc80174430"/>
      <w:bookmarkStart w:id="65"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66"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6"/>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67"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68"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68"/>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69" w:name="_Hlk1997668"/>
      <w:bookmarkEnd w:id="67"/>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9"/>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0" w:name="_Hlk1997818"/>
      <w:bookmarkEnd w:id="64"/>
      <w:bookmarkEnd w:id="65"/>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0"/>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71" w:name="_Toc80174431"/>
      <w:bookmarkStart w:id="72" w:name="_Toc82867920"/>
      <w:r w:rsidRPr="00C04B5F">
        <w:rPr>
          <w:b/>
          <w:bCs/>
        </w:rPr>
        <w:t>Lei Aplicável</w:t>
      </w:r>
      <w:bookmarkEnd w:id="71"/>
      <w:bookmarkEnd w:id="72"/>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73"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73"/>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4"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5" w:name="_DV_M477"/>
      <w:bookmarkEnd w:id="7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6" w:name="_DV_M478"/>
      <w:bookmarkEnd w:id="76"/>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7" w:name="_DV_M479"/>
      <w:bookmarkEnd w:id="77"/>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4"/>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78"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79"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8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80"/>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81" w:name="_Hlk81411443"/>
            <w:r>
              <w:t>Colinas</w:t>
            </w:r>
            <w:bookmarkEnd w:id="81"/>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79"/>
    </w:tbl>
    <w:p w14:paraId="5D7BD214" w14:textId="77777777" w:rsidR="00FA3C2C" w:rsidRDefault="00FA3C2C" w:rsidP="00F1481E">
      <w:pPr>
        <w:spacing w:line="320" w:lineRule="exact"/>
        <w:jc w:val="center"/>
      </w:pPr>
    </w:p>
    <w:bookmarkEnd w:id="78"/>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PargrafodaLista"/>
        <w:numPr>
          <w:ilvl w:val="3"/>
          <w:numId w:val="13"/>
        </w:numPr>
        <w:spacing w:line="320" w:lineRule="exact"/>
        <w:rPr>
          <w:smallCaps/>
          <w:u w:val="single"/>
        </w:rPr>
      </w:pPr>
      <w:r w:rsidRPr="001B5728">
        <w:rPr>
          <w:smallCaps/>
          <w:u w:val="single"/>
        </w:rPr>
        <w:lastRenderedPageBreak/>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82" w:name="_Hlk71014477"/>
      <w:r w:rsidRPr="00DA0812">
        <w:rPr>
          <w:highlight w:val="yellow"/>
        </w:rPr>
        <w:t>[●]</w:t>
      </w:r>
    </w:p>
    <w:bookmarkEnd w:id="82"/>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83" w:name="_Hlk81416390"/>
      <w:r w:rsidR="00341E5D">
        <w:t>Colinas</w:t>
      </w:r>
      <w:r w:rsidR="005603B1" w:rsidRPr="00627859">
        <w:t xml:space="preserve"> </w:t>
      </w:r>
      <w:bookmarkEnd w:id="83"/>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84"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84"/>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5896DC47" w:rsidR="00D331CF" w:rsidRDefault="00D331CF" w:rsidP="00180BE6">
      <w:pPr>
        <w:pStyle w:val="Commarcadores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9906310" w:rsidR="00D331CF" w:rsidRDefault="00D331CF" w:rsidP="00180BE6">
      <w:pPr>
        <w:pStyle w:val="Commarcadores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5CD5008D" w:rsidR="00D331CF" w:rsidRDefault="00D331CF" w:rsidP="00180BE6">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83E699" w:rsidR="00D331CF" w:rsidRDefault="00D331CF" w:rsidP="00180BE6">
      <w:pPr>
        <w:pStyle w:val="Commarcadores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180BE6">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814CC"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85" w:name="_Hlk42182733"/>
      <w:r w:rsidR="00E65C4D" w:rsidRPr="00861F54">
        <w:rPr>
          <w:smallCaps/>
          <w:u w:val="single"/>
        </w:rPr>
        <w:lastRenderedPageBreak/>
        <w:t>Anexo I</w:t>
      </w:r>
      <w:r w:rsidR="00E65C4D">
        <w:rPr>
          <w:smallCaps/>
          <w:u w:val="single"/>
        </w:rPr>
        <w:t>II</w:t>
      </w:r>
    </w:p>
    <w:bookmarkEnd w:id="85"/>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86"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86"/>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87" w:name="_DV_M298"/>
      <w:bookmarkStart w:id="88" w:name="_DV_M300"/>
      <w:bookmarkStart w:id="89" w:name="_DV_M301"/>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0"/>
      <w:bookmarkStart w:id="99" w:name="_DV_M311"/>
      <w:bookmarkStart w:id="100" w:name="_DV_M313"/>
      <w:bookmarkStart w:id="101" w:name="_DV_M314"/>
      <w:bookmarkStart w:id="102" w:name="_DV_M315"/>
      <w:bookmarkStart w:id="103" w:name="_DV_M31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AB4058" w:rsidRPr="00861F54" w:rsidSect="00853643">
      <w:headerReference w:type="default" r:id="rId20"/>
      <w:footerReference w:type="even" r:id="rId21"/>
      <w:footerReference w:type="default" r:id="rId22"/>
      <w:headerReference w:type="first" r:id="rId23"/>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189"/>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2098B"/>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2E5D"/>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yperlink" Target="mailto:luiz.guilherme@lyoncapital.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yperlink" Target="mailto:nilton.bertuchi@lyoncapita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lio_brunetti@smbcgroup.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green@santander.com.b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beatriz.curi@lyoncapita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 G E D ! 4 9 5 5 4 7 7 . 8 < / d o c u m e n t i d >  
     < s e n d e r i d > C A O L I V E I R A < / s e n d e r i d >  
     < s e n d e r e m a i l > C A O L I V E I R A @ V I E I R A R E Z E N D E . C O M . B R < / s e n d e r e m a i l >  
     < l a s t m o d i f i e d > 2 0 2 1 - 1 2 - 1 7 T 1 5 : 3 7 : 0 0 . 0 0 0 0 0 0 0 - 0 3 : 0 0 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ACB51295-24AB-44A1-BAB1-EAB3EC03965A}">
  <ds:schemaRefs>
    <ds:schemaRef ds:uri="http://www.imanage.com/work/xmlschema"/>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13337</Words>
  <Characters>76290</Characters>
  <Application>Microsoft Office Word</Application>
  <DocSecurity>0</DocSecurity>
  <Lines>1556</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9</cp:revision>
  <cp:lastPrinted>2014-09-12T17:33:00Z</cp:lastPrinted>
  <dcterms:created xsi:type="dcterms:W3CDTF">2021-12-17T16:26:00Z</dcterms:created>
  <dcterms:modified xsi:type="dcterms:W3CDTF">2021-12-17T18:55:00Z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2021-12-02T21:53:53Z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ba69f891-19e9-4126-803a-753f71ae31ca</vt:lpwstr>
  </property>
  <property fmtid="{D5CDD505-2E9C-101B-9397-08002B2CF9AE}" pid="15" name="MSIP_Label_3c41c091-3cbc-4dba-8b59-ce62f19500db_ContentBits">
    <vt:lpwstr>1</vt:lpwstr>
  </property>
</Properties>
</file>