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46E8B50D"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Pr="00CF5225">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Pr="00CF5225">
        <w:rPr>
          <w:rFonts w:ascii="Tahoma" w:hAnsi="Tahoma" w:cs="Tahoma"/>
          <w:bCs/>
          <w:sz w:val="22"/>
          <w:szCs w:val="22"/>
        </w:rPr>
        <w:t xml:space="preserve"> sob o nº 15.227.994/0004-01,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lastRenderedPageBreak/>
        <w:t xml:space="preserve">BANCO BOCOM BBM S.A. </w:t>
      </w:r>
      <w:r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bCs/>
          <w:sz w:val="22"/>
          <w:szCs w:val="22"/>
        </w:rPr>
        <w:t>a</w:t>
      </w:r>
      <w:proofErr w:type="gramEnd"/>
      <w:r w:rsidRPr="002C31A2">
        <w:rPr>
          <w:rFonts w:ascii="Tahoma" w:hAnsi="Tahoma" w:cs="Tahoma"/>
          <w:bCs/>
          <w:sz w:val="22"/>
          <w:szCs w:val="22"/>
        </w:rPr>
        <w:t xml:space="preserve">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w:t>
      </w:r>
      <w:proofErr w:type="spellStart"/>
      <w:r w:rsidRPr="002C31A2">
        <w:rPr>
          <w:rFonts w:ascii="Tahoma" w:hAnsi="Tahoma" w:cs="Tahoma"/>
          <w:bCs/>
          <w:sz w:val="22"/>
          <w:szCs w:val="22"/>
        </w:rPr>
        <w:t>Casan</w:t>
      </w:r>
      <w:proofErr w:type="spellEnd"/>
      <w:r w:rsidRPr="002C31A2">
        <w:rPr>
          <w:rFonts w:ascii="Tahoma" w:hAnsi="Tahoma" w:cs="Tahoma"/>
          <w:bCs/>
          <w:sz w:val="22"/>
          <w:szCs w:val="22"/>
        </w:rPr>
        <w:t xml:space="preserve">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 xml:space="preserve">Oliveira </w:t>
      </w:r>
      <w:proofErr w:type="spellStart"/>
      <w:r>
        <w:rPr>
          <w:rFonts w:ascii="Tahoma" w:hAnsi="Tahoma" w:cs="Tahoma"/>
          <w:bCs/>
          <w:sz w:val="22"/>
          <w:szCs w:val="22"/>
        </w:rPr>
        <w:t>Trust</w:t>
      </w:r>
      <w:proofErr w:type="spellEnd"/>
      <w:r>
        <w:rPr>
          <w:rFonts w:ascii="Tahoma" w:hAnsi="Tahoma" w:cs="Tahoma"/>
          <w:bCs/>
          <w:sz w:val="22"/>
          <w:szCs w:val="22"/>
        </w:rPr>
        <w:t xml:space="preserve"> Distribuidora de Títulos e </w:t>
      </w:r>
      <w:r>
        <w:rPr>
          <w:rFonts w:ascii="Tahoma" w:hAnsi="Tahoma" w:cs="Tahoma"/>
          <w:bCs/>
          <w:sz w:val="22"/>
          <w:szCs w:val="22"/>
        </w:rPr>
        <w:lastRenderedPageBreak/>
        <w:t>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os Direitos 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as</w:t>
      </w:r>
      <w:proofErr w:type="gramEnd"/>
      <w:r>
        <w:rPr>
          <w:rFonts w:ascii="Tahoma" w:hAnsi="Tahoma" w:cs="Tahoma"/>
          <w:bCs/>
          <w:sz w:val="22"/>
          <w:szCs w:val="22"/>
        </w:rPr>
        <w:t xml:space="preserve">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w:t>
      </w:r>
      <w:proofErr w:type="gramEnd"/>
      <w:r>
        <w:rPr>
          <w:rFonts w:ascii="Tahoma" w:hAnsi="Tahoma" w:cs="Tahoma"/>
          <w:bCs/>
          <w:sz w:val="22"/>
          <w:szCs w:val="22"/>
        </w:rPr>
        <w:t xml:space="preserve">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proofErr w:type="gramStart"/>
      <w:r w:rsidRPr="00DF7F34">
        <w:rPr>
          <w:rFonts w:ascii="Tahoma" w:hAnsi="Tahoma" w:cs="Tahoma"/>
          <w:bCs/>
          <w:sz w:val="22"/>
          <w:szCs w:val="22"/>
        </w:rPr>
        <w:t>o</w:t>
      </w:r>
      <w:proofErr w:type="gramEnd"/>
      <w:r w:rsidRPr="00DF7F34">
        <w:rPr>
          <w:rFonts w:ascii="Tahoma" w:hAnsi="Tahoma" w:cs="Tahoma"/>
          <w:bCs/>
          <w:sz w:val="22"/>
          <w:szCs w:val="22"/>
        </w:rPr>
        <w:t xml:space="preserve">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proofErr w:type="gramStart"/>
      <w:r w:rsidRPr="007C13A4">
        <w:rPr>
          <w:rFonts w:ascii="Tahoma" w:hAnsi="Tahoma" w:cs="Tahoma"/>
          <w:bCs/>
          <w:sz w:val="22"/>
          <w:szCs w:val="22"/>
        </w:rPr>
        <w:t>o</w:t>
      </w:r>
      <w:proofErr w:type="gramEnd"/>
      <w:r w:rsidRPr="007C13A4">
        <w:rPr>
          <w:rFonts w:ascii="Tahoma" w:hAnsi="Tahoma" w:cs="Tahoma"/>
          <w:bCs/>
          <w:sz w:val="22"/>
          <w:szCs w:val="22"/>
        </w:rPr>
        <w:t xml:space="preserve">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0F371B"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a constituição da presente Cessão Fiduciária (conforme abaixo definido)</w:t>
      </w:r>
      <w:r w:rsidRPr="002C31A2">
        <w:rPr>
          <w:rFonts w:ascii="Tahoma" w:hAnsi="Tahoma" w:cs="Tahoma"/>
          <w:bCs/>
          <w:sz w:val="22"/>
          <w:szCs w:val="22"/>
        </w:rPr>
        <w:t>;</w:t>
      </w:r>
    </w:p>
    <w:p w14:paraId="299BC521" w14:textId="55E1188B" w:rsidR="007C4592" w:rsidRPr="002C31A2" w:rsidRDefault="007C4592" w:rsidP="007C4592">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sz w:val="22"/>
          <w:szCs w:val="22"/>
        </w:rPr>
        <w:t>com</w:t>
      </w:r>
      <w:proofErr w:type="gramEnd"/>
      <w:r w:rsidRPr="002C31A2">
        <w:rPr>
          <w:rFonts w:ascii="Tahoma" w:hAnsi="Tahoma" w:cs="Tahoma"/>
          <w:sz w:val="22"/>
          <w:szCs w:val="22"/>
        </w:rPr>
        <w:t xml:space="preserve">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FF7267" w:rsidRPr="002C31A2">
        <w:rPr>
          <w:rFonts w:ascii="Tahoma" w:hAnsi="Tahoma" w:cs="Tahoma"/>
          <w:sz w:val="22"/>
          <w:szCs w:val="22"/>
        </w:rPr>
        <w:t xml:space="preserve">em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0"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Catarinense de </w:t>
      </w:r>
      <w:r w:rsidRPr="002C31A2">
        <w:rPr>
          <w:rFonts w:ascii="Tahoma" w:hAnsi="Tahoma" w:cs="Tahoma"/>
          <w:sz w:val="22"/>
          <w:szCs w:val="22"/>
        </w:rPr>
        <w:lastRenderedPageBreak/>
        <w:t xml:space="preserve">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0"/>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w:t>
      </w:r>
      <w:proofErr w:type="spellStart"/>
      <w:r w:rsidR="00067ECD" w:rsidRPr="00067ECD">
        <w:rPr>
          <w:rFonts w:ascii="Tahoma" w:hAnsi="Tahoma" w:cs="Tahoma"/>
          <w:sz w:val="22"/>
          <w:szCs w:val="22"/>
        </w:rPr>
        <w:t>ii</w:t>
      </w:r>
      <w:proofErr w:type="spellEnd"/>
      <w:r w:rsidR="00067ECD" w:rsidRPr="00067ECD">
        <w:rPr>
          <w:rFonts w:ascii="Tahoma" w:hAnsi="Tahoma" w:cs="Tahoma"/>
          <w:sz w:val="22"/>
          <w:szCs w:val="22"/>
        </w:rPr>
        <w:t xml:space="preserve">)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w:t>
      </w:r>
      <w:proofErr w:type="spellStart"/>
      <w:r w:rsidR="00067ECD" w:rsidRPr="00067ECD">
        <w:rPr>
          <w:rFonts w:ascii="Tahoma" w:hAnsi="Tahoma" w:cs="Tahoma"/>
          <w:sz w:val="22"/>
          <w:szCs w:val="22"/>
        </w:rPr>
        <w:t>iii</w:t>
      </w:r>
      <w:proofErr w:type="spellEnd"/>
      <w:r w:rsidR="00067ECD" w:rsidRPr="00067ECD">
        <w:rPr>
          <w:rFonts w:ascii="Tahoma" w:hAnsi="Tahoma" w:cs="Tahoma"/>
          <w:sz w:val="22"/>
          <w:szCs w:val="22"/>
        </w:rPr>
        <w:t xml:space="preserve">)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 xml:space="preserve">em favor do Banco </w:t>
      </w:r>
      <w:proofErr w:type="spellStart"/>
      <w:r w:rsidR="00B54099">
        <w:rPr>
          <w:rFonts w:ascii="Tahoma" w:hAnsi="Tahoma" w:cs="Tahoma"/>
          <w:sz w:val="22"/>
          <w:szCs w:val="22"/>
        </w:rPr>
        <w:t>Bocom</w:t>
      </w:r>
      <w:proofErr w:type="spellEnd"/>
      <w:r w:rsidR="00B54099">
        <w:rPr>
          <w:rFonts w:ascii="Tahoma" w:hAnsi="Tahoma" w:cs="Tahoma"/>
          <w:sz w:val="22"/>
          <w:szCs w:val="22"/>
        </w:rPr>
        <w:t xml:space="preserve">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w:t>
      </w:r>
      <w:r w:rsidR="008001DE" w:rsidRPr="002C31A2">
        <w:rPr>
          <w:rFonts w:ascii="Tahoma" w:eastAsia="SimSun" w:hAnsi="Tahoma" w:cs="Tahoma"/>
          <w:color w:val="000000"/>
          <w:sz w:val="22"/>
          <w:szCs w:val="22"/>
        </w:rPr>
        <w:lastRenderedPageBreak/>
        <w:t>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753EB73B"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067ECD">
        <w:rPr>
          <w:rFonts w:ascii="Tahoma" w:hAnsi="Tahoma" w:cs="Tahoma"/>
          <w:bCs/>
          <w:sz w:val="22"/>
          <w:szCs w:val="22"/>
        </w:rPr>
        <w:t>[--]</w:t>
      </w:r>
      <w:r w:rsidR="007C4592" w:rsidRPr="002C31A2">
        <w:rPr>
          <w:rFonts w:ascii="Tahoma" w:hAnsi="Tahoma" w:cs="Tahoma"/>
          <w:color w:val="000000"/>
          <w:sz w:val="22"/>
          <w:szCs w:val="22"/>
        </w:rPr>
        <w:t xml:space="preserve">, mantida no Banco Depositário na agência </w:t>
      </w:r>
      <w:r w:rsidR="007C13A4">
        <w:rPr>
          <w:rFonts w:ascii="Tahoma" w:hAnsi="Tahoma" w:cs="Tahoma"/>
          <w:bCs/>
          <w:sz w:val="22"/>
          <w:szCs w:val="22"/>
        </w:rPr>
        <w:t>[--]</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em certificados de depósito bancário com baixo risco e liquidez diária de </w:t>
      </w:r>
      <w:r w:rsidRPr="002C31A2">
        <w:rPr>
          <w:rFonts w:ascii="Tahoma" w:hAnsi="Tahoma" w:cs="Tahoma"/>
          <w:color w:val="000000"/>
          <w:sz w:val="22"/>
          <w:szCs w:val="22"/>
        </w:rPr>
        <w:lastRenderedPageBreak/>
        <w:t>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 w:name="_DV_M29"/>
      <w:bookmarkStart w:id="2" w:name="_DV_M57"/>
      <w:bookmarkEnd w:id="1"/>
      <w:bookmarkEnd w:id="2"/>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3" w:name="_DV_M58"/>
      <w:bookmarkEnd w:id="3"/>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29D010ED"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r w:rsidR="00A00F27">
        <w:rPr>
          <w:rFonts w:ascii="Tahoma" w:hAnsi="Tahoma" w:cs="Tahoma"/>
          <w:bCs/>
          <w:color w:val="000000"/>
          <w:sz w:val="22"/>
          <w:szCs w:val="22"/>
        </w:rPr>
        <w:t>[</w:t>
      </w:r>
      <w:r w:rsidR="00A00F27" w:rsidRPr="00A30A03">
        <w:rPr>
          <w:rFonts w:ascii="Tahoma" w:hAnsi="Tahoma" w:cs="Tahoma"/>
          <w:bCs/>
          <w:color w:val="000000"/>
          <w:sz w:val="22"/>
          <w:szCs w:val="22"/>
          <w:highlight w:val="yellow"/>
        </w:rPr>
        <w:t>NOTA: Precisamos da notificação aos Municípios Concedentes para fins de cumprimento do Art. 290 do Código Civil</w:t>
      </w:r>
      <w:r w:rsidR="00A00F27">
        <w:rPr>
          <w:rFonts w:ascii="Tahoma" w:hAnsi="Tahoma" w:cs="Tahoma"/>
          <w:bCs/>
          <w:color w:val="000000"/>
          <w:sz w:val="22"/>
          <w:szCs w:val="22"/>
        </w:rPr>
        <w:t>]</w:t>
      </w:r>
    </w:p>
    <w:p w14:paraId="24952315" w14:textId="1F949482"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Cedido fiduciariamente para 2ª Emissão 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w:t>
      </w:r>
      <w:proofErr w:type="gramStart"/>
      <w:r w:rsidR="00E80A48">
        <w:rPr>
          <w:rFonts w:ascii="Tahoma" w:hAnsi="Tahoma" w:cs="Tahoma"/>
          <w:bCs/>
          <w:color w:val="000000"/>
          <w:sz w:val="22"/>
          <w:szCs w:val="22"/>
        </w:rPr>
        <w:t>e</w:t>
      </w:r>
      <w:proofErr w:type="gramEnd"/>
      <w:r w:rsidR="00E80A48">
        <w:rPr>
          <w:rFonts w:ascii="Tahoma" w:hAnsi="Tahoma" w:cs="Tahoma"/>
          <w:bCs/>
          <w:color w:val="000000"/>
          <w:sz w:val="22"/>
          <w:szCs w:val="22"/>
        </w:rPr>
        <w:t xml:space="preserv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xml:space="preserve">. </w:t>
      </w:r>
      <w:proofErr w:type="gramStart"/>
      <w:r w:rsidR="0011290E" w:rsidRPr="002C31A2">
        <w:rPr>
          <w:rFonts w:ascii="Tahoma" w:hAnsi="Tahoma" w:cs="Tahoma"/>
          <w:sz w:val="22"/>
          <w:szCs w:val="22"/>
        </w:rPr>
        <w:t>abaixo</w:t>
      </w:r>
      <w:proofErr w:type="gramEnd"/>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w:t>
      </w:r>
      <w:proofErr w:type="gramStart"/>
      <w:r w:rsidR="007A4C26" w:rsidRPr="002C31A2">
        <w:rPr>
          <w:rFonts w:ascii="Tahoma" w:hAnsi="Tahoma" w:cs="Tahoma"/>
          <w:sz w:val="22"/>
          <w:szCs w:val="22"/>
        </w:rPr>
        <w:t>abaixo</w:t>
      </w:r>
      <w:proofErr w:type="gramEnd"/>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w:t>
      </w:r>
      <w:proofErr w:type="gramStart"/>
      <w:r w:rsidRPr="002C31A2">
        <w:rPr>
          <w:rFonts w:ascii="Tahoma" w:hAnsi="Tahoma" w:cs="Tahoma"/>
          <w:sz w:val="22"/>
          <w:szCs w:val="22"/>
        </w:rPr>
        <w:t>define</w:t>
      </w:r>
      <w:proofErr w:type="gramEnd"/>
      <w:r w:rsidRPr="002C31A2">
        <w:rPr>
          <w:rFonts w:ascii="Tahoma" w:hAnsi="Tahoma" w:cs="Tahoma"/>
          <w:sz w:val="22"/>
          <w:szCs w:val="22"/>
        </w:rPr>
        <w:t>-se “</w:t>
      </w:r>
      <w:r w:rsidRPr="002C31A2">
        <w:rPr>
          <w:rFonts w:ascii="Tahoma" w:hAnsi="Tahoma" w:cs="Tahoma"/>
          <w:sz w:val="22"/>
          <w:szCs w:val="22"/>
          <w:u w:val="single"/>
        </w:rPr>
        <w:t>Período de Apuração</w:t>
      </w:r>
      <w:r w:rsidRPr="002C31A2">
        <w:rPr>
          <w:rFonts w:ascii="Tahoma" w:hAnsi="Tahoma" w:cs="Tahoma"/>
          <w:sz w:val="22"/>
          <w:szCs w:val="22"/>
        </w:rPr>
        <w:t>” como o intervalo de tempo que se inicia (i) com relação ao 1º (primeiro) período, na Data de Liquidação das Debêntures, inclusive, e termina, na 1ª (primeira) Data de Pagamento da Remuneração, exclusive; e (</w:t>
      </w:r>
      <w:proofErr w:type="spellStart"/>
      <w:r w:rsidR="003C619D">
        <w:rPr>
          <w:rFonts w:ascii="Tahoma" w:hAnsi="Tahoma" w:cs="Tahoma"/>
          <w:sz w:val="22"/>
          <w:szCs w:val="22"/>
        </w:rPr>
        <w:t>ii</w:t>
      </w:r>
      <w:proofErr w:type="spellEnd"/>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0484E190"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56744C" w:rsidRPr="002C31A2">
        <w:rPr>
          <w:rFonts w:ascii="Tahoma" w:hAnsi="Tahoma" w:cs="Tahoma"/>
          <w:color w:val="000000"/>
          <w:sz w:val="22"/>
          <w:szCs w:val="22"/>
        </w:rPr>
        <w:t xml:space="preserve"> </w:t>
      </w:r>
    </w:p>
    <w:p w14:paraId="1B57D926" w14:textId="78CE1053"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 xml:space="preserve">o Valor Retido permanecerá bloqueado,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lastRenderedPageBreak/>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xml:space="preserve">) ocorra o pagamento integral das Obrigações Garantidas, observado a Cláusula 4.4. </w:t>
      </w:r>
      <w:proofErr w:type="gramStart"/>
      <w:r w:rsidR="00756468" w:rsidRPr="002C31A2">
        <w:rPr>
          <w:rFonts w:ascii="Tahoma" w:hAnsi="Tahoma" w:cs="Tahoma"/>
          <w:sz w:val="22"/>
          <w:szCs w:val="22"/>
        </w:rPr>
        <w:t>abaixo</w:t>
      </w:r>
      <w:proofErr w:type="gramEnd"/>
      <w:r w:rsidR="00756468" w:rsidRPr="002C31A2">
        <w:rPr>
          <w:rFonts w:ascii="Tahoma" w:hAnsi="Tahoma" w:cs="Tahoma"/>
          <w:sz w:val="22"/>
          <w:szCs w:val="22"/>
        </w:rPr>
        <w:t>.</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6BF3D0C0"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3CBEEE22"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906846">
        <w:rPr>
          <w:rFonts w:ascii="Tahoma" w:hAnsi="Tahoma" w:cs="Tahoma"/>
          <w:bCs/>
          <w:sz w:val="22"/>
          <w:szCs w:val="22"/>
        </w:rPr>
        <w:t>60</w:t>
      </w:r>
      <w:r w:rsidR="00B6701E">
        <w:rPr>
          <w:rFonts w:ascii="Tahoma" w:hAnsi="Tahoma" w:cs="Tahoma"/>
          <w:bCs/>
          <w:sz w:val="22"/>
          <w:szCs w:val="22"/>
        </w:rPr>
        <w:t xml:space="preserve"> (</w:t>
      </w:r>
      <w:r w:rsidR="00906846">
        <w:rPr>
          <w:rFonts w:ascii="Tahoma" w:hAnsi="Tahoma" w:cs="Tahoma"/>
          <w:bCs/>
          <w:sz w:val="22"/>
          <w:szCs w:val="22"/>
        </w:rPr>
        <w:t>sessenta</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15D8DD7A"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w:t>
      </w:r>
      <w:proofErr w:type="gramStart"/>
      <w:r>
        <w:rPr>
          <w:rFonts w:ascii="Tahoma" w:hAnsi="Tahoma" w:cs="Tahoma"/>
          <w:color w:val="000000"/>
          <w:sz w:val="22"/>
          <w:szCs w:val="22"/>
        </w:rPr>
        <w:t>acima</w:t>
      </w:r>
      <w:proofErr w:type="gramEnd"/>
      <w:r>
        <w:rPr>
          <w:rFonts w:ascii="Tahoma" w:hAnsi="Tahoma" w:cs="Tahoma"/>
          <w:color w:val="000000"/>
          <w:sz w:val="22"/>
          <w:szCs w:val="22"/>
        </w:rPr>
        <w:t xml:space="preserve">,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xml:space="preserve">, na mesma forma e prazo das Cláusula 2.5. </w:t>
      </w:r>
      <w:proofErr w:type="gramStart"/>
      <w:r>
        <w:rPr>
          <w:rFonts w:ascii="Tahoma" w:hAnsi="Tahoma" w:cs="Tahoma"/>
          <w:bCs/>
          <w:sz w:val="22"/>
          <w:szCs w:val="22"/>
        </w:rPr>
        <w:t>e</w:t>
      </w:r>
      <w:proofErr w:type="gramEnd"/>
      <w:r>
        <w:rPr>
          <w:rFonts w:ascii="Tahoma" w:hAnsi="Tahoma" w:cs="Tahoma"/>
          <w:bCs/>
          <w:sz w:val="22"/>
          <w:szCs w:val="22"/>
        </w:rPr>
        <w:t xml:space="preserv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xml:space="preserve">, nos termos deste Contrato, bem como praticar todas as demais medidas que sejam </w:t>
      </w:r>
      <w:r w:rsidR="007C4592" w:rsidRPr="002C31A2">
        <w:rPr>
          <w:rFonts w:ascii="Tahoma" w:hAnsi="Tahoma" w:cs="Tahoma"/>
          <w:color w:val="000000"/>
          <w:sz w:val="22"/>
          <w:szCs w:val="22"/>
        </w:rPr>
        <w:lastRenderedPageBreak/>
        <w:t>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A30A03">
        <w:rPr>
          <w:rFonts w:ascii="Tahoma" w:hAnsi="Tahoma" w:cs="Tahoma"/>
          <w:sz w:val="22"/>
          <w:szCs w:val="22"/>
        </w:rPr>
        <w:t>o</w:t>
      </w:r>
      <w:proofErr w:type="gramEnd"/>
      <w:r w:rsidRPr="00A30A03">
        <w:rPr>
          <w:rFonts w:ascii="Tahoma" w:hAnsi="Tahoma" w:cs="Tahoma"/>
          <w:sz w:val="22"/>
          <w:szCs w:val="22"/>
        </w:rPr>
        <w:t xml:space="preserve">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53286050" w:rsidR="003F3A87" w:rsidRPr="006E730C" w:rsidRDefault="00420238"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A30A03">
        <w:rPr>
          <w:rFonts w:ascii="Tahoma" w:hAnsi="Tahoma" w:cs="Tahoma"/>
          <w:sz w:val="22"/>
          <w:szCs w:val="22"/>
        </w:rPr>
        <w:t>após</w:t>
      </w:r>
      <w:proofErr w:type="gramEnd"/>
      <w:r w:rsidRPr="00A30A03">
        <w:rPr>
          <w:rFonts w:ascii="Tahoma" w:hAnsi="Tahoma" w:cs="Tahoma"/>
          <w:sz w:val="22"/>
          <w:szCs w:val="22"/>
        </w:rPr>
        <w:t xml:space="preserve"> o atendimento das Dívidas PAC,</w:t>
      </w:r>
      <w:r w:rsidRPr="00275E3B">
        <w:rPr>
          <w:rFonts w:ascii="Tahoma" w:hAnsi="Tahoma" w:cs="Tahoma"/>
          <w:sz w:val="22"/>
          <w:szCs w:val="22"/>
        </w:rPr>
        <w:t xml:space="preserve"> </w:t>
      </w:r>
      <w:r w:rsidR="003F3A87" w:rsidRPr="00275E3B">
        <w:rPr>
          <w:rFonts w:ascii="Tahoma" w:hAnsi="Tahoma" w:cs="Tahoma"/>
          <w:bCs/>
          <w:sz w:val="22"/>
          <w:szCs w:val="22"/>
        </w:rPr>
        <w:t>diariamente</w:t>
      </w:r>
      <w:r w:rsidR="003F3A87" w:rsidRPr="006E730C">
        <w:rPr>
          <w:rFonts w:ascii="Tahoma" w:hAnsi="Tahoma" w:cs="Tahoma"/>
          <w:bCs/>
          <w:sz w:val="22"/>
          <w:szCs w:val="22"/>
        </w:rPr>
        <w:t xml:space="preserve"> o Agente de Garantia deverá (i) calcular, por meio dos Documentos de Arrecadação, o valor total pago pelos Usuários referente aos </w:t>
      </w:r>
      <w:r w:rsidR="003F3A87">
        <w:rPr>
          <w:rFonts w:ascii="Tahoma" w:hAnsi="Tahoma" w:cs="Tahoma"/>
          <w:bCs/>
          <w:sz w:val="22"/>
          <w:szCs w:val="22"/>
        </w:rPr>
        <w:t xml:space="preserve">Recebíveis </w:t>
      </w:r>
      <w:r w:rsidR="003F3A87" w:rsidRPr="00454960">
        <w:rPr>
          <w:rFonts w:ascii="Tahoma" w:hAnsi="Tahoma" w:cs="Tahoma"/>
          <w:bCs/>
          <w:sz w:val="22"/>
          <w:szCs w:val="22"/>
        </w:rPr>
        <w:t>Futuros (“</w:t>
      </w:r>
      <w:r w:rsidR="003F3A87" w:rsidRPr="00454960">
        <w:rPr>
          <w:rFonts w:ascii="Tahoma" w:hAnsi="Tahoma" w:cs="Tahoma"/>
          <w:bCs/>
          <w:sz w:val="22"/>
          <w:szCs w:val="22"/>
          <w:u w:val="single"/>
        </w:rPr>
        <w:t>Valor Diário</w:t>
      </w:r>
      <w:r w:rsidR="003F3A87" w:rsidRPr="00454960">
        <w:rPr>
          <w:rFonts w:ascii="Tahoma" w:hAnsi="Tahoma" w:cs="Tahoma"/>
          <w:bCs/>
          <w:sz w:val="22"/>
          <w:szCs w:val="22"/>
        </w:rPr>
        <w:t>”); e (</w:t>
      </w:r>
      <w:proofErr w:type="spellStart"/>
      <w:r w:rsidR="003F3A87" w:rsidRPr="00454960">
        <w:rPr>
          <w:rFonts w:ascii="Tahoma" w:hAnsi="Tahoma" w:cs="Tahoma"/>
          <w:bCs/>
          <w:sz w:val="22"/>
          <w:szCs w:val="22"/>
        </w:rPr>
        <w:t>ii</w:t>
      </w:r>
      <w:proofErr w:type="spellEnd"/>
      <w:r w:rsidR="003F3A87" w:rsidRPr="00454960">
        <w:rPr>
          <w:rFonts w:ascii="Tahoma" w:hAnsi="Tahoma" w:cs="Tahoma"/>
          <w:bCs/>
          <w:sz w:val="22"/>
          <w:szCs w:val="22"/>
        </w:rPr>
        <w:t xml:space="preserve">) notificar </w:t>
      </w:r>
      <w:r w:rsidR="003F3A87" w:rsidRPr="00454960">
        <w:rPr>
          <w:rFonts w:ascii="Tahoma" w:hAnsi="Tahoma" w:cs="Tahoma"/>
          <w:sz w:val="22"/>
          <w:szCs w:val="22"/>
        </w:rPr>
        <w:t xml:space="preserve">o Agente Centralizador, nos termos do </w:t>
      </w:r>
      <w:r w:rsidR="003F3A87"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003F3A87" w:rsidRPr="006E730C">
        <w:rPr>
          <w:rFonts w:ascii="Tahoma" w:hAnsi="Tahoma" w:cs="Tahoma"/>
          <w:sz w:val="22"/>
          <w:szCs w:val="22"/>
        </w:rPr>
        <w:t>, com cópia para o Agente Fiduciário, para que este transfira o Valor Diário</w:t>
      </w:r>
      <w:r>
        <w:rPr>
          <w:rFonts w:ascii="Tahoma" w:hAnsi="Tahoma" w:cs="Tahoma"/>
          <w:sz w:val="22"/>
          <w:szCs w:val="22"/>
        </w:rPr>
        <w:t xml:space="preserve"> apurado</w:t>
      </w:r>
      <w:r w:rsidRPr="002C31A2">
        <w:rPr>
          <w:rFonts w:ascii="Tahoma" w:hAnsi="Tahoma" w:cs="Tahoma"/>
          <w:sz w:val="22"/>
          <w:szCs w:val="22"/>
        </w:rPr>
        <w:t>, no mesmo Dia Útil do recebimento (D+0), da Conta Centralizadora para a Conta Vinculada</w:t>
      </w:r>
      <w:r w:rsidR="003F3A87" w:rsidRPr="006E730C">
        <w:rPr>
          <w:rFonts w:ascii="Tahoma" w:hAnsi="Tahoma" w:cs="Tahoma"/>
          <w:sz w:val="22"/>
          <w:szCs w:val="22"/>
        </w:rPr>
        <w:t>;</w:t>
      </w:r>
      <w:r>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proofErr w:type="gramStart"/>
      <w:r w:rsidRPr="00BD4547">
        <w:rPr>
          <w:rFonts w:ascii="Tahoma" w:hAnsi="Tahoma" w:cs="Tahoma"/>
          <w:sz w:val="22"/>
          <w:szCs w:val="22"/>
        </w:rPr>
        <w:t>desde</w:t>
      </w:r>
      <w:proofErr w:type="gramEnd"/>
      <w:r w:rsidRPr="00BD4547">
        <w:rPr>
          <w:rFonts w:ascii="Tahoma" w:hAnsi="Tahoma" w:cs="Tahoma"/>
          <w:sz w:val="22"/>
          <w:szCs w:val="22"/>
        </w:rPr>
        <w:t xml:space="preserv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w:t>
      </w:r>
      <w:r w:rsidR="00420238">
        <w:rPr>
          <w:rFonts w:ascii="Tahoma" w:hAnsi="Tahoma" w:cs="Tahoma"/>
          <w:sz w:val="22"/>
          <w:szCs w:val="22"/>
        </w:rPr>
        <w:lastRenderedPageBreak/>
        <w:t xml:space="preserve">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 xml:space="preserve">da Cláusula 4.2. </w:t>
      </w:r>
      <w:proofErr w:type="gramStart"/>
      <w:r w:rsidR="00420238">
        <w:rPr>
          <w:rFonts w:ascii="Tahoma" w:hAnsi="Tahoma" w:cs="Tahoma"/>
          <w:sz w:val="22"/>
          <w:szCs w:val="22"/>
        </w:rPr>
        <w:t>abaixo</w:t>
      </w:r>
      <w:proofErr w:type="gramEnd"/>
      <w:r w:rsidR="00420238">
        <w:rPr>
          <w:rFonts w:ascii="Tahoma" w:hAnsi="Tahoma" w:cs="Tahoma"/>
          <w:sz w:val="22"/>
          <w:szCs w:val="22"/>
        </w:rPr>
        <w:t>)</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 xml:space="preserve">Sem prejuízo ao procedimento disposto na Cláusula </w:t>
      </w:r>
      <w:proofErr w:type="gramStart"/>
      <w:r>
        <w:rPr>
          <w:rFonts w:ascii="Tahoma" w:hAnsi="Tahoma" w:cs="Tahoma"/>
          <w:color w:val="000000"/>
          <w:sz w:val="22"/>
          <w:szCs w:val="22"/>
        </w:rPr>
        <w:t>4.1.,</w:t>
      </w:r>
      <w:proofErr w:type="gramEnd"/>
      <w:r>
        <w:rPr>
          <w:rFonts w:ascii="Tahoma" w:hAnsi="Tahoma" w:cs="Tahoma"/>
          <w:color w:val="000000"/>
          <w:sz w:val="22"/>
          <w:szCs w:val="22"/>
        </w:rPr>
        <w:t xml:space="preserve">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w:t>
      </w:r>
      <w:proofErr w:type="gramStart"/>
      <w:r>
        <w:rPr>
          <w:rFonts w:ascii="Tahoma" w:hAnsi="Tahoma" w:cs="Tahoma"/>
          <w:color w:val="000000"/>
          <w:sz w:val="22"/>
          <w:szCs w:val="22"/>
        </w:rPr>
        <w:t>acima</w:t>
      </w:r>
      <w:proofErr w:type="gramEnd"/>
      <w:r>
        <w:rPr>
          <w:rFonts w:ascii="Tahoma" w:hAnsi="Tahoma" w:cs="Tahoma"/>
          <w:color w:val="000000"/>
          <w:sz w:val="22"/>
          <w:szCs w:val="22"/>
        </w:rPr>
        <w:t>)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w:t>
      </w:r>
      <w:proofErr w:type="gramStart"/>
      <w:r w:rsidR="0044499D" w:rsidRPr="002C31A2">
        <w:rPr>
          <w:rFonts w:ascii="Tahoma" w:hAnsi="Tahoma" w:cs="Tahoma"/>
          <w:color w:val="000000"/>
          <w:sz w:val="22"/>
          <w:szCs w:val="22"/>
        </w:rPr>
        <w:t>acima</w:t>
      </w:r>
      <w:proofErr w:type="gramEnd"/>
      <w:r w:rsidR="0044499D" w:rsidRPr="002C31A2">
        <w:rPr>
          <w:rFonts w:ascii="Tahoma" w:hAnsi="Tahoma" w:cs="Tahoma"/>
          <w:color w:val="000000"/>
          <w:sz w:val="22"/>
          <w:szCs w:val="22"/>
        </w:rPr>
        <w:t xml:space="preserve">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lastRenderedPageBreak/>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w:t>
      </w:r>
      <w:proofErr w:type="spellStart"/>
      <w:r w:rsidR="00AC5F6E" w:rsidRPr="00AE1EFD">
        <w:rPr>
          <w:rFonts w:ascii="Tahoma" w:hAnsi="Tahoma" w:cs="Tahoma"/>
          <w:color w:val="000000"/>
          <w:sz w:val="22"/>
          <w:szCs w:val="22"/>
        </w:rPr>
        <w:t>Ltda</w:t>
      </w:r>
      <w:proofErr w:type="spellEnd"/>
      <w:r w:rsidR="00AC5F6E" w:rsidRPr="00AE1EFD">
        <w:rPr>
          <w:rFonts w:ascii="Tahoma" w:hAnsi="Tahoma" w:cs="Tahoma"/>
          <w:color w:val="000000"/>
          <w:sz w:val="22"/>
          <w:szCs w:val="22"/>
        </w:rPr>
        <w:t xml:space="preserve"> </w:t>
      </w:r>
      <w:r w:rsidR="00AC5F6E">
        <w:rPr>
          <w:rFonts w:ascii="Tahoma" w:hAnsi="Tahoma" w:cs="Tahoma"/>
          <w:color w:val="000000"/>
          <w:sz w:val="22"/>
          <w:szCs w:val="22"/>
        </w:rPr>
        <w:t>(“OTT”)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xml:space="preserve">, conforme mencionado na Cláusula 4.7. </w:t>
      </w:r>
      <w:proofErr w:type="gramStart"/>
      <w:r w:rsidRPr="006E730C">
        <w:rPr>
          <w:rFonts w:ascii="Tahoma" w:hAnsi="Tahoma" w:cs="Tahoma"/>
          <w:sz w:val="22"/>
          <w:szCs w:val="22"/>
        </w:rPr>
        <w:t>acima</w:t>
      </w:r>
      <w:proofErr w:type="gramEnd"/>
      <w:r w:rsidRPr="006E730C">
        <w:rPr>
          <w:rFonts w:ascii="Tahoma" w:hAnsi="Tahoma" w:cs="Tahoma"/>
          <w:sz w:val="22"/>
          <w:szCs w:val="22"/>
        </w:rPr>
        <w:t>,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w:t>
      </w:r>
      <w:r w:rsidRPr="006E730C">
        <w:rPr>
          <w:rFonts w:ascii="Tahoma" w:hAnsi="Tahoma" w:cs="Tahoma"/>
          <w:sz w:val="22"/>
          <w:szCs w:val="22"/>
        </w:rPr>
        <w:lastRenderedPageBreak/>
        <w:t xml:space="preserve">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4" w:name="_DV_M128"/>
      <w:bookmarkStart w:id="5" w:name="_DV_C69"/>
      <w:bookmarkEnd w:id="4"/>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os</w:t>
      </w:r>
      <w:proofErr w:type="gramEnd"/>
      <w:r w:rsidRPr="002C31A2">
        <w:rPr>
          <w:rFonts w:ascii="Tahoma" w:hAnsi="Tahoma" w:cs="Tahoma"/>
          <w:sz w:val="22"/>
          <w:szCs w:val="22"/>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E10EB">
        <w:rPr>
          <w:rFonts w:ascii="Tahoma" w:hAnsi="Tahoma" w:cs="Tahoma"/>
          <w:sz w:val="22"/>
          <w:szCs w:val="22"/>
        </w:rPr>
        <w:t>os</w:t>
      </w:r>
      <w:proofErr w:type="gramEnd"/>
      <w:r w:rsidRPr="002E10EB">
        <w:rPr>
          <w:rFonts w:ascii="Tahoma" w:hAnsi="Tahoma" w:cs="Tahoma"/>
          <w:sz w:val="22"/>
          <w:szCs w:val="22"/>
        </w:rPr>
        <w:t xml:space="preserve">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6" w:name="_DV_M130"/>
      <w:bookmarkEnd w:id="5"/>
      <w:bookmarkEnd w:id="6"/>
      <w:proofErr w:type="gramStart"/>
      <w:r w:rsidRPr="002C31A2">
        <w:rPr>
          <w:rFonts w:ascii="Tahoma" w:hAnsi="Tahoma" w:cs="Tahoma"/>
          <w:sz w:val="22"/>
          <w:szCs w:val="22"/>
        </w:rPr>
        <w:t>está</w:t>
      </w:r>
      <w:proofErr w:type="gramEnd"/>
      <w:r w:rsidRPr="002C31A2">
        <w:rPr>
          <w:rFonts w:ascii="Tahoma" w:hAnsi="Tahoma" w:cs="Tahoma"/>
          <w:sz w:val="22"/>
          <w:szCs w:val="22"/>
        </w:rPr>
        <w:t xml:space="preserve">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E97D89">
        <w:rPr>
          <w:rFonts w:ascii="Tahoma" w:hAnsi="Tahoma" w:cs="Tahoma"/>
          <w:sz w:val="22"/>
          <w:szCs w:val="22"/>
        </w:rPr>
        <w:t>sujeito</w:t>
      </w:r>
      <w:proofErr w:type="gramEnd"/>
      <w:r w:rsidRPr="00E97D89">
        <w:rPr>
          <w:rFonts w:ascii="Tahoma" w:hAnsi="Tahoma" w:cs="Tahoma"/>
          <w:sz w:val="22"/>
          <w:szCs w:val="22"/>
        </w:rPr>
        <w:t xml:space="preserve">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w:t>
      </w:r>
      <w:r w:rsidRPr="00333583">
        <w:rPr>
          <w:rFonts w:ascii="Tahoma" w:hAnsi="Tahoma" w:cs="Tahoma"/>
          <w:sz w:val="22"/>
          <w:szCs w:val="22"/>
        </w:rPr>
        <w:lastRenderedPageBreak/>
        <w:t xml:space="preserve">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proofErr w:type="gramStart"/>
      <w:r w:rsidRPr="002C31A2">
        <w:rPr>
          <w:rFonts w:ascii="Tahoma" w:eastAsia="Arial Unicode MS" w:hAnsi="Tahoma" w:cs="Tahoma"/>
          <w:sz w:val="22"/>
          <w:szCs w:val="22"/>
        </w:rPr>
        <w:t>nenhum</w:t>
      </w:r>
      <w:proofErr w:type="gramEnd"/>
      <w:r w:rsidRPr="002C31A2">
        <w:rPr>
          <w:rFonts w:ascii="Tahoma" w:eastAsia="Arial Unicode MS" w:hAnsi="Tahoma" w:cs="Tahoma"/>
          <w:sz w:val="22"/>
          <w:szCs w:val="22"/>
        </w:rPr>
        <w:t xml:space="preserve">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a</w:t>
      </w:r>
      <w:proofErr w:type="gramEnd"/>
      <w:r w:rsidRPr="002C31A2">
        <w:rPr>
          <w:rFonts w:ascii="Tahoma" w:eastAsia="Arial Unicode MS" w:hAnsi="Tahoma" w:cs="Tahoma"/>
          <w:sz w:val="22"/>
          <w:szCs w:val="22"/>
        </w:rPr>
        <w:t xml:space="preserve">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xml:space="preserve">, incluindo, sem limitação, as normas aplicáveis que versam sobre direito público e administrativo, tais como a Lei n.º 8.666, de </w:t>
      </w:r>
      <w:r w:rsidR="00233F3C" w:rsidRPr="00233F3C">
        <w:rPr>
          <w:rFonts w:ascii="Tahoma" w:hAnsi="Tahoma" w:cs="Tahoma"/>
          <w:sz w:val="22"/>
          <w:szCs w:val="22"/>
        </w:rPr>
        <w:lastRenderedPageBreak/>
        <w:t>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a</w:t>
      </w:r>
      <w:proofErr w:type="gramEnd"/>
      <w:r w:rsidRPr="002C31A2">
        <w:rPr>
          <w:rFonts w:ascii="Tahoma" w:hAnsi="Tahoma" w:cs="Tahoma"/>
          <w:sz w:val="22"/>
          <w:szCs w:val="22"/>
        </w:rPr>
        <w:t xml:space="preserve">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7" w:name="_DV_M141"/>
      <w:bookmarkEnd w:id="7"/>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lastRenderedPageBreak/>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8" w:name="_DV_M142"/>
      <w:bookmarkEnd w:id="8"/>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9" w:name="_DV_M143"/>
      <w:bookmarkEnd w:id="9"/>
      <w:proofErr w:type="gramStart"/>
      <w:r w:rsidRPr="002C31A2">
        <w:rPr>
          <w:rFonts w:ascii="Tahoma" w:eastAsia="Arial Unicode MS" w:hAnsi="Tahoma" w:cs="Tahoma"/>
          <w:sz w:val="22"/>
          <w:szCs w:val="22"/>
        </w:rPr>
        <w:t>não</w:t>
      </w:r>
      <w:proofErr w:type="gramEnd"/>
      <w:r w:rsidRPr="002C31A2">
        <w:rPr>
          <w:rFonts w:ascii="Tahoma" w:eastAsia="Arial Unicode MS" w:hAnsi="Tahoma" w:cs="Tahoma"/>
          <w:sz w:val="22"/>
          <w:szCs w:val="22"/>
        </w:rPr>
        <w:t xml:space="preserve">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7777777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w:t>
      </w:r>
      <w:r w:rsidRPr="00C74D58">
        <w:rPr>
          <w:rFonts w:ascii="Tahoma" w:eastAsia="Arial Unicode MS" w:hAnsi="Tahoma" w:cs="Tahoma"/>
          <w:sz w:val="22"/>
          <w:szCs w:val="22"/>
        </w:rPr>
        <w:lastRenderedPageBreak/>
        <w:t>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e </w:t>
      </w:r>
    </w:p>
    <w:p w14:paraId="1A012A18" w14:textId="43B25251" w:rsidR="007C4592" w:rsidRPr="002C31A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C74D58">
        <w:rPr>
          <w:rFonts w:ascii="Tahoma" w:eastAsia="Arial Unicode MS" w:hAnsi="Tahoma" w:cs="Tahoma"/>
          <w:sz w:val="22"/>
          <w:szCs w:val="22"/>
        </w:rPr>
        <w:t>inexiste</w:t>
      </w:r>
      <w:proofErr w:type="gramEnd"/>
      <w:r w:rsidRPr="00C74D58">
        <w:rPr>
          <w:rFonts w:ascii="Tahoma" w:eastAsia="Arial Unicode MS" w:hAnsi="Tahoma" w:cs="Tahoma"/>
          <w:sz w:val="22"/>
          <w:szCs w:val="22"/>
        </w:rPr>
        <w:t xml:space="preserve"> contra si, e suas respectivas Afiliadas, investigação, inquérito ou procedimento administrativo ou judicial relacionado a práticas contrárias às Leis Anticorrupção</w:t>
      </w:r>
      <w:r>
        <w:rPr>
          <w:rFonts w:ascii="Tahoma" w:eastAsia="Arial Unicode MS" w:hAnsi="Tahoma" w:cs="Tahoma"/>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w:t>
      </w:r>
      <w:proofErr w:type="spellStart"/>
      <w:r w:rsidR="002E10EB" w:rsidRPr="002E10EB">
        <w:rPr>
          <w:rFonts w:ascii="Tahoma" w:hAnsi="Tahoma" w:cs="Tahoma"/>
          <w:sz w:val="22"/>
          <w:szCs w:val="22"/>
        </w:rPr>
        <w:t>inveracidade</w:t>
      </w:r>
      <w:proofErr w:type="spellEnd"/>
      <w:r w:rsidR="002E10EB" w:rsidRPr="002E10EB">
        <w:rPr>
          <w:rFonts w:ascii="Tahoma" w:hAnsi="Tahoma" w:cs="Tahoma"/>
          <w:sz w:val="22"/>
          <w:szCs w:val="22"/>
        </w:rPr>
        <w:t xml:space="preserv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proofErr w:type="gramStart"/>
      <w:r w:rsidRPr="002C31A2">
        <w:rPr>
          <w:rFonts w:ascii="Tahoma" w:hAnsi="Tahoma" w:cs="Tahoma"/>
          <w:sz w:val="22"/>
          <w:szCs w:val="22"/>
        </w:rPr>
        <w:t>é</w:t>
      </w:r>
      <w:proofErr w:type="spellEnd"/>
      <w:proofErr w:type="gram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lastRenderedPageBreak/>
        <w:t>está</w:t>
      </w:r>
      <w:proofErr w:type="gramEnd"/>
      <w:r w:rsidRPr="002C31A2">
        <w:rPr>
          <w:rFonts w:ascii="Tahoma" w:hAnsi="Tahoma" w:cs="Tahoma"/>
          <w:sz w:val="22"/>
          <w:szCs w:val="22"/>
        </w:rPr>
        <w:t xml:space="preserve">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cumprirá</w:t>
      </w:r>
      <w:proofErr w:type="gramEnd"/>
      <w:r w:rsidRPr="002C31A2">
        <w:rPr>
          <w:rFonts w:ascii="Tahoma" w:hAnsi="Tahoma" w:cs="Tahoma"/>
          <w:sz w:val="22"/>
          <w:szCs w:val="22"/>
        </w:rPr>
        <w:t xml:space="preserve">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todas</w:t>
      </w:r>
      <w:proofErr w:type="gramEnd"/>
      <w:r w:rsidRPr="002C31A2">
        <w:rPr>
          <w:rFonts w:ascii="Tahoma" w:hAnsi="Tahoma" w:cs="Tahoma"/>
          <w:sz w:val="22"/>
          <w:szCs w:val="22"/>
        </w:rPr>
        <w:t xml:space="preserve">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é</w:t>
      </w:r>
      <w:proofErr w:type="gramEnd"/>
      <w:r w:rsidRPr="002D3A7E">
        <w:rPr>
          <w:rFonts w:ascii="Tahoma" w:hAnsi="Tahoma" w:cs="Tahoma"/>
          <w:sz w:val="22"/>
          <w:szCs w:val="22"/>
        </w:rPr>
        <w:t xml:space="preserve">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lastRenderedPageBreak/>
        <w:t>o</w:t>
      </w:r>
      <w:proofErr w:type="gramEnd"/>
      <w:r w:rsidRPr="002D3A7E">
        <w:rPr>
          <w:rFonts w:ascii="Tahoma" w:hAnsi="Tahoma" w:cs="Tahoma"/>
          <w:sz w:val="22"/>
          <w:szCs w:val="22"/>
        </w:rPr>
        <w:t xml:space="preserve">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não</w:t>
      </w:r>
      <w:proofErr w:type="gramEnd"/>
      <w:r w:rsidRPr="002D3A7E">
        <w:rPr>
          <w:rFonts w:ascii="Tahoma" w:hAnsi="Tahoma" w:cs="Tahoma"/>
          <w:sz w:val="22"/>
          <w:szCs w:val="22"/>
        </w:rPr>
        <w:t xml:space="preserve">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encontra</w:t>
      </w:r>
      <w:proofErr w:type="gramEnd"/>
      <w:r w:rsidRPr="002D3A7E">
        <w:rPr>
          <w:rFonts w:ascii="Tahoma" w:hAnsi="Tahoma" w:cs="Tahoma"/>
          <w:sz w:val="22"/>
          <w:szCs w:val="22"/>
        </w:rPr>
        <w:t>-se técnica e operacionalmente habilitado e autorizado a prestar os serviços para os quais é contratado, contando com todos os sistemas necessários ao pleno e satisfatório exercício de suas funções, nos termos deste Contrato.</w:t>
      </w:r>
    </w:p>
    <w:p w14:paraId="021E7A68"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realizar</w:t>
      </w:r>
      <w:proofErr w:type="gramEnd"/>
      <w:r w:rsidRPr="002C31A2">
        <w:rPr>
          <w:rFonts w:ascii="Tahoma" w:hAnsi="Tahoma" w:cs="Tahoma"/>
          <w:sz w:val="22"/>
          <w:szCs w:val="22"/>
        </w:rPr>
        <w:t xml:space="preserve">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reembolsar</w:t>
      </w:r>
      <w:proofErr w:type="gramEnd"/>
      <w:r w:rsidRPr="002C31A2">
        <w:rPr>
          <w:rFonts w:ascii="Tahoma" w:hAnsi="Tahoma" w:cs="Tahoma"/>
          <w:sz w:val="22"/>
          <w:szCs w:val="22"/>
        </w:rPr>
        <w:t xml:space="preserve">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eastAsia="Arial Unicode MS" w:hAnsi="Tahoma" w:cs="Tahoma"/>
          <w:sz w:val="22"/>
          <w:szCs w:val="22"/>
        </w:rPr>
        <w:t>manter</w:t>
      </w:r>
      <w:proofErr w:type="gramEnd"/>
      <w:r w:rsidRPr="002C31A2">
        <w:rPr>
          <w:rFonts w:ascii="Tahoma" w:eastAsia="Arial Unicode MS" w:hAnsi="Tahoma" w:cs="Tahoma"/>
          <w:sz w:val="22"/>
          <w:szCs w:val="22"/>
        </w:rPr>
        <w:t xml:space="preserve">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333583">
        <w:rPr>
          <w:rFonts w:ascii="Tahoma" w:hAnsi="Tahoma" w:cs="Tahoma"/>
          <w:sz w:val="22"/>
          <w:szCs w:val="22"/>
        </w:rPr>
        <w:t>no</w:t>
      </w:r>
      <w:proofErr w:type="gramEnd"/>
      <w:r w:rsidRPr="00333583">
        <w:rPr>
          <w:rFonts w:ascii="Tahoma" w:hAnsi="Tahoma" w:cs="Tahoma"/>
          <w:sz w:val="22"/>
          <w:szCs w:val="22"/>
        </w:rPr>
        <w:t xml:space="preserve">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efetuar</w:t>
      </w:r>
      <w:proofErr w:type="gramEnd"/>
      <w:r w:rsidRPr="002C31A2">
        <w:rPr>
          <w:rFonts w:ascii="Tahoma" w:hAnsi="Tahoma" w:cs="Tahoma"/>
          <w:sz w:val="22"/>
          <w:szCs w:val="22"/>
        </w:rPr>
        <w:t xml:space="preserve">,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w:t>
      </w:r>
      <w:proofErr w:type="gramStart"/>
      <w:r w:rsidRPr="002C31A2">
        <w:rPr>
          <w:rFonts w:ascii="Tahoma" w:hAnsi="Tahoma" w:cs="Tahoma"/>
          <w:sz w:val="22"/>
          <w:szCs w:val="22"/>
        </w:rPr>
        <w:t>acima</w:t>
      </w:r>
      <w:proofErr w:type="gramEnd"/>
      <w:r w:rsidRPr="002C31A2">
        <w:rPr>
          <w:rFonts w:ascii="Tahoma" w:hAnsi="Tahoma" w:cs="Tahoma"/>
          <w:sz w:val="22"/>
          <w:szCs w:val="22"/>
        </w:rPr>
        <w:t xml:space="preserve">,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celebrar qualquer contrato ou praticar qualquer ato que restrinja os direitos ou a capacidade dos Debenturistas de venderem ou de outra forma dispor dos Bens e Direitos </w:t>
      </w:r>
      <w:r w:rsidRPr="002C31A2">
        <w:rPr>
          <w:rFonts w:ascii="Tahoma" w:hAnsi="Tahoma" w:cs="Tahoma"/>
          <w:sz w:val="22"/>
          <w:szCs w:val="22"/>
        </w:rPr>
        <w:lastRenderedPageBreak/>
        <w:t>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autorizar</w:t>
      </w:r>
      <w:proofErr w:type="gramEnd"/>
      <w:r>
        <w:rPr>
          <w:rFonts w:ascii="Tahoma" w:hAnsi="Tahoma" w:cs="Tahoma"/>
          <w:sz w:val="22"/>
          <w:szCs w:val="22"/>
        </w:rPr>
        <w:t xml:space="preserve">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0" w:name="_DV_M131"/>
      <w:bookmarkEnd w:id="10"/>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r</w:t>
      </w:r>
      <w:r w:rsidR="000C2EF1">
        <w:rPr>
          <w:rFonts w:ascii="Tahoma" w:hAnsi="Tahoma" w:cs="Tahoma"/>
          <w:sz w:val="22"/>
          <w:szCs w:val="22"/>
        </w:rPr>
        <w:t>ealizar</w:t>
      </w:r>
      <w:proofErr w:type="gramEnd"/>
      <w:r w:rsidR="000C2EF1">
        <w:rPr>
          <w:rFonts w:ascii="Tahoma" w:hAnsi="Tahoma" w:cs="Tahoma"/>
          <w:sz w:val="22"/>
          <w:szCs w:val="22"/>
        </w:rPr>
        <w:t xml:space="preserve">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p</w:t>
      </w:r>
      <w:r w:rsidRPr="00A14BAB">
        <w:rPr>
          <w:rFonts w:ascii="Tahoma" w:hAnsi="Tahoma" w:cs="Tahoma"/>
          <w:sz w:val="22"/>
          <w:szCs w:val="22"/>
        </w:rPr>
        <w:t>raticar</w:t>
      </w:r>
      <w:proofErr w:type="gramEnd"/>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930870">
        <w:rPr>
          <w:rFonts w:ascii="Tahoma" w:hAnsi="Tahoma" w:cs="Tahoma"/>
          <w:sz w:val="22"/>
          <w:szCs w:val="22"/>
        </w:rPr>
        <w:t>manter</w:t>
      </w:r>
      <w:proofErr w:type="gramEnd"/>
      <w:r w:rsidRPr="00930870">
        <w:rPr>
          <w:rFonts w:ascii="Tahoma" w:hAnsi="Tahoma" w:cs="Tahoma"/>
          <w:sz w:val="22"/>
          <w:szCs w:val="22"/>
        </w:rPr>
        <w:t xml:space="preserve">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77777777"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.1.</w:t>
      </w:r>
      <w:r w:rsidRPr="002C31A2">
        <w:rPr>
          <w:rFonts w:ascii="Tahoma" w:hAnsi="Tahoma" w:cs="Tahoma"/>
          <w:sz w:val="22"/>
          <w:szCs w:val="22"/>
        </w:rPr>
        <w:tab/>
        <w:t xml:space="preserve">Fica desde já esclarecido que, para os efeitos da presente cessão fiduciária, a propriedade fiduciária, o domínio resolúvel e a posse indireta dos Bens e Direitos Cedidos </w:t>
      </w:r>
      <w:r w:rsidRPr="002C31A2">
        <w:rPr>
          <w:rFonts w:ascii="Tahoma" w:hAnsi="Tahoma" w:cs="Tahoma"/>
          <w:sz w:val="22"/>
          <w:szCs w:val="22"/>
        </w:rPr>
        <w:lastRenderedPageBreak/>
        <w:t>serão detidos pelo Agente Fiduciário, na qualidade de agente fiduciário representante da comunhão dos Debenturistas.</w:t>
      </w:r>
    </w:p>
    <w:p w14:paraId="05024A68" w14:textId="77777777" w:rsidR="00563E80" w:rsidRPr="002C31A2"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5</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pela</w:t>
      </w:r>
      <w:proofErr w:type="gramEnd"/>
      <w:r w:rsidRPr="002C31A2">
        <w:rPr>
          <w:rFonts w:ascii="Tahoma" w:hAnsi="Tahoma" w:cs="Tahoma"/>
          <w:color w:val="000000"/>
          <w:sz w:val="22"/>
          <w:szCs w:val="22"/>
        </w:rPr>
        <w:t xml:space="preserve">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eventuais exceções apresentadas pelo(s) devedor(es) dos Bens e Direitos Cedidos a qualquer tempo;</w:t>
      </w:r>
    </w:p>
    <w:p w14:paraId="56E5989C" w14:textId="13B4B64A" w:rsidR="00DA3A0D" w:rsidRPr="002C31A2" w:rsidRDefault="00920CE9" w:rsidP="00D61B31">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prejuízos comprovadamente sofridos pelos Debenturistas em razão de </w:t>
      </w:r>
      <w:r w:rsidR="008D1044" w:rsidRPr="002C31A2">
        <w:rPr>
          <w:rFonts w:ascii="Tahoma" w:hAnsi="Tahoma" w:cs="Tahoma"/>
          <w:color w:val="000000"/>
          <w:sz w:val="22"/>
          <w:szCs w:val="22"/>
        </w:rPr>
        <w:t xml:space="preserve">dificuldade ou impossibilidade de cobrança de Bens e Direitos Cedidos que tenham qualquer vício em sua formação; </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sz w:val="22"/>
          <w:szCs w:val="22"/>
        </w:rPr>
        <w:t>c</w:t>
      </w:r>
      <w:r w:rsidRPr="002C31A2">
        <w:rPr>
          <w:rFonts w:ascii="Tahoma" w:hAnsi="Tahoma" w:cs="Tahoma"/>
          <w:color w:val="000000"/>
          <w:sz w:val="22"/>
          <w:szCs w:val="22"/>
        </w:rPr>
        <w:t>aso</w:t>
      </w:r>
      <w:proofErr w:type="gramEnd"/>
      <w:r w:rsidRPr="002C31A2">
        <w:rPr>
          <w:rFonts w:ascii="Tahoma" w:hAnsi="Tahoma" w:cs="Tahoma"/>
          <w:color w:val="000000"/>
          <w:sz w:val="22"/>
          <w:szCs w:val="22"/>
        </w:rPr>
        <w:t xml:space="preserve">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caso</w:t>
      </w:r>
      <w:proofErr w:type="gramEnd"/>
      <w:r w:rsidRPr="002C31A2">
        <w:rPr>
          <w:rFonts w:ascii="Tahoma" w:hAnsi="Tahoma" w:cs="Tahoma"/>
          <w:color w:val="000000"/>
          <w:sz w:val="22"/>
          <w:szCs w:val="22"/>
        </w:rPr>
        <w:t xml:space="preserve">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xml:space="preserve">. </w:t>
      </w:r>
      <w:proofErr w:type="gramStart"/>
      <w:r w:rsidRPr="002C31A2">
        <w:rPr>
          <w:rFonts w:ascii="Tahoma" w:hAnsi="Tahoma" w:cs="Tahoma"/>
          <w:color w:val="000000"/>
          <w:sz w:val="22"/>
          <w:szCs w:val="22"/>
        </w:rPr>
        <w:t>acima</w:t>
      </w:r>
      <w:proofErr w:type="gramEnd"/>
      <w:r w:rsidRPr="002C31A2">
        <w:rPr>
          <w:rFonts w:ascii="Tahoma" w:hAnsi="Tahoma" w:cs="Tahoma"/>
          <w:color w:val="000000"/>
          <w:sz w:val="22"/>
          <w:szCs w:val="22"/>
        </w:rPr>
        <w:t>.</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lastRenderedPageBreak/>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somente</w:t>
      </w:r>
      <w:proofErr w:type="gramEnd"/>
      <w:r w:rsidRPr="0083244F">
        <w:rPr>
          <w:rFonts w:ascii="Tahoma" w:hAnsi="Tahoma" w:cs="Tahoma"/>
          <w:color w:val="000000"/>
          <w:sz w:val="22"/>
          <w:szCs w:val="22"/>
        </w:rPr>
        <w:t xml:space="preserv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informar</w:t>
      </w:r>
      <w:proofErr w:type="gramEnd"/>
      <w:r w:rsidRPr="0083244F">
        <w:rPr>
          <w:rFonts w:ascii="Tahoma" w:hAnsi="Tahoma" w:cs="Tahoma"/>
          <w:color w:val="000000"/>
          <w:sz w:val="22"/>
          <w:szCs w:val="22"/>
        </w:rPr>
        <w:t xml:space="preserve">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04E0C1FC" w14:textId="6F6BFE9C"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diariamente ao Agente Fiduciário o extrato da Conta Vinculada; </w:t>
      </w:r>
    </w:p>
    <w:p w14:paraId="3D7E87BC" w14:textId="13EA88A9"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ao Agente Fiduciário em até 1 (um) Dia Útil contado do recebimento de solicitação por escrito do Agente Fiduciário, extrato da Conta Vinculada;</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não</w:t>
      </w:r>
      <w:proofErr w:type="gramEnd"/>
      <w:r w:rsidRPr="0083244F">
        <w:rPr>
          <w:rFonts w:ascii="Tahoma" w:hAnsi="Tahoma" w:cs="Tahoma"/>
          <w:color w:val="000000"/>
          <w:sz w:val="22"/>
          <w:szCs w:val="22"/>
        </w:rPr>
        <w:t xml:space="preserve">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celebrar</w:t>
      </w:r>
      <w:proofErr w:type="gramEnd"/>
      <w:r w:rsidRPr="0083244F">
        <w:rPr>
          <w:rFonts w:ascii="Tahoma" w:hAnsi="Tahoma" w:cs="Tahoma"/>
          <w:color w:val="000000"/>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proofErr w:type="gramStart"/>
      <w:r w:rsidRPr="002C31A2">
        <w:rPr>
          <w:rFonts w:ascii="Tahoma" w:hAnsi="Tahoma" w:cs="Tahoma"/>
          <w:color w:val="000000"/>
          <w:sz w:val="22"/>
          <w:szCs w:val="22"/>
        </w:rPr>
        <w:t>os</w:t>
      </w:r>
      <w:proofErr w:type="gramEnd"/>
      <w:r w:rsidRPr="002C31A2">
        <w:rPr>
          <w:rFonts w:ascii="Tahoma" w:hAnsi="Tahoma" w:cs="Tahoma"/>
          <w:color w:val="000000"/>
          <w:sz w:val="22"/>
          <w:szCs w:val="22"/>
        </w:rPr>
        <w:t xml:space="preserve">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lastRenderedPageBreak/>
        <w:t>a</w:t>
      </w:r>
      <w:proofErr w:type="gramEnd"/>
      <w:r w:rsidRPr="002C31A2">
        <w:rPr>
          <w:rFonts w:ascii="Tahoma" w:hAnsi="Tahoma" w:cs="Tahoma"/>
          <w:color w:val="000000"/>
          <w:sz w:val="22"/>
          <w:szCs w:val="22"/>
        </w:rPr>
        <w:t xml:space="preserve">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w:t>
      </w:r>
      <w:proofErr w:type="gramStart"/>
      <w:r w:rsidRPr="002C31A2">
        <w:rPr>
          <w:rFonts w:ascii="Tahoma" w:hAnsi="Tahoma" w:cs="Tahoma"/>
          <w:sz w:val="22"/>
          <w:szCs w:val="22"/>
        </w:rPr>
        <w:t>abaixo</w:t>
      </w:r>
      <w:proofErr w:type="gramEnd"/>
      <w:r w:rsidRPr="002C31A2">
        <w:rPr>
          <w:rFonts w:ascii="Tahoma" w:hAnsi="Tahoma" w:cs="Tahoma"/>
          <w:sz w:val="22"/>
          <w:szCs w:val="22"/>
        </w:rPr>
        <w:t xml:space="preserve">,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apurar</w:t>
      </w:r>
      <w:proofErr w:type="gramEnd"/>
      <w:r w:rsidRPr="006E730C">
        <w:rPr>
          <w:rFonts w:ascii="Tahoma" w:hAnsi="Tahoma" w:cs="Tahoma"/>
          <w:sz w:val="22"/>
          <w:szCs w:val="22"/>
        </w:rPr>
        <w:t xml:space="preserve">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lastRenderedPageBreak/>
        <w:t>notificar</w:t>
      </w:r>
      <w:proofErr w:type="gramEnd"/>
      <w:r w:rsidRPr="00363A4E">
        <w:rPr>
          <w:rFonts w:ascii="Tahoma" w:hAnsi="Tahoma" w:cs="Tahoma"/>
          <w:sz w:val="22"/>
          <w:szCs w:val="22"/>
        </w:rPr>
        <w:t xml:space="preserve">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informar</w:t>
      </w:r>
      <w:proofErr w:type="gramEnd"/>
      <w:r w:rsidRPr="00363A4E">
        <w:rPr>
          <w:rFonts w:ascii="Tahoma" w:hAnsi="Tahoma" w:cs="Tahoma"/>
          <w:sz w:val="22"/>
          <w:szCs w:val="22"/>
        </w:rPr>
        <w:t xml:space="preserve">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encaminhar</w:t>
      </w:r>
      <w:proofErr w:type="gramEnd"/>
      <w:r w:rsidRPr="00363A4E">
        <w:rPr>
          <w:rFonts w:ascii="Tahoma" w:hAnsi="Tahoma" w:cs="Tahoma"/>
          <w:sz w:val="22"/>
          <w:szCs w:val="22"/>
        </w:rPr>
        <w:t xml:space="preserve">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celebrar</w:t>
      </w:r>
      <w:proofErr w:type="gramEnd"/>
      <w:r w:rsidRPr="00363A4E">
        <w:rPr>
          <w:rFonts w:ascii="Tahoma" w:hAnsi="Tahoma" w:cs="Tahoma"/>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 xml:space="preserve">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w:t>
      </w:r>
      <w:r w:rsidRPr="006E730C">
        <w:rPr>
          <w:rFonts w:ascii="Tahoma" w:hAnsi="Tahoma" w:cs="Tahoma"/>
          <w:sz w:val="22"/>
          <w:szCs w:val="22"/>
        </w:rPr>
        <w:lastRenderedPageBreak/>
        <w:t>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em</w:t>
      </w:r>
      <w:proofErr w:type="gramEnd"/>
      <w:r w:rsidRPr="00363A4E">
        <w:rPr>
          <w:rFonts w:ascii="Tahoma" w:hAnsi="Tahoma" w:cs="Tahoma"/>
          <w:sz w:val="22"/>
          <w:szCs w:val="22"/>
        </w:rPr>
        <w:t xml:space="preserve">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perante</w:t>
      </w:r>
      <w:proofErr w:type="gramEnd"/>
      <w:r w:rsidRPr="006E730C">
        <w:rPr>
          <w:rFonts w:ascii="Tahoma" w:hAnsi="Tahoma" w:cs="Tahoma"/>
          <w:sz w:val="22"/>
          <w:szCs w:val="22"/>
        </w:rPr>
        <w:t xml:space="preserv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caso</w:t>
      </w:r>
      <w:proofErr w:type="gramEnd"/>
      <w:r w:rsidRPr="006E730C">
        <w:rPr>
          <w:rFonts w:ascii="Tahoma" w:hAnsi="Tahoma" w:cs="Tahoma"/>
          <w:sz w:val="22"/>
          <w:szCs w:val="22"/>
        </w:rPr>
        <w:t>,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havendo</w:t>
      </w:r>
      <w:proofErr w:type="gramEnd"/>
      <w:r w:rsidRPr="002C31A2">
        <w:rPr>
          <w:rFonts w:ascii="Tahoma" w:hAnsi="Tahoma" w:cs="Tahoma"/>
          <w:sz w:val="22"/>
          <w:szCs w:val="22"/>
        </w:rPr>
        <w:t xml:space="preserve">,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lastRenderedPageBreak/>
        <w:t>a</w:t>
      </w:r>
      <w:proofErr w:type="gramEnd"/>
      <w:r>
        <w:rPr>
          <w:rFonts w:ascii="Tahoma" w:hAnsi="Tahoma" w:cs="Tahoma"/>
          <w:sz w:val="22"/>
          <w:szCs w:val="22"/>
        </w:rPr>
        <w:t xml:space="preserve">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 xml:space="preserve">A Cedente declara, sob as penas da lei, para fins da realização, pelo Agente Fiduciário ou pelos Debenturistas, do protesto, cobrança e/ou execução de quaisquer dos documentos representativos dos Bens e Direitos Cedidos, que os mantém em seu poder, guarda e custódia, </w:t>
      </w:r>
      <w:r w:rsidR="007C4592" w:rsidRPr="002C31A2">
        <w:rPr>
          <w:rFonts w:ascii="Tahoma" w:hAnsi="Tahoma" w:cs="Tahoma"/>
          <w:sz w:val="22"/>
          <w:szCs w:val="22"/>
        </w:rPr>
        <w:lastRenderedPageBreak/>
        <w:t>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xml:space="preserve">, bem como os recursos que venham a ser depositados a partir desta </w:t>
      </w:r>
      <w:r w:rsidRPr="002C31A2">
        <w:rPr>
          <w:rFonts w:ascii="Tahoma" w:hAnsi="Tahoma" w:cs="Tahoma"/>
          <w:sz w:val="22"/>
          <w:szCs w:val="22"/>
        </w:rPr>
        <w:lastRenderedPageBreak/>
        <w:t>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lastRenderedPageBreak/>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w:t>
      </w:r>
      <w:proofErr w:type="gramStart"/>
      <w:r w:rsidR="007C4592" w:rsidRPr="002C31A2">
        <w:rPr>
          <w:rFonts w:ascii="Tahoma" w:hAnsi="Tahoma" w:cs="Tahoma"/>
          <w:sz w:val="22"/>
          <w:szCs w:val="22"/>
        </w:rPr>
        <w:t>e</w:t>
      </w:r>
      <w:proofErr w:type="gramEnd"/>
      <w:r w:rsidR="007C4592" w:rsidRPr="002C31A2">
        <w:rPr>
          <w:rFonts w:ascii="Tahoma" w:hAnsi="Tahoma" w:cs="Tahoma"/>
          <w:sz w:val="22"/>
          <w:szCs w:val="22"/>
        </w:rPr>
        <w:t xml:space="preserv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w:t>
      </w:r>
      <w:proofErr w:type="gramStart"/>
      <w:r w:rsidR="007C4592" w:rsidRPr="002C31A2">
        <w:rPr>
          <w:rFonts w:ascii="Tahoma" w:hAnsi="Tahoma" w:cs="Tahoma"/>
          <w:sz w:val="22"/>
          <w:szCs w:val="22"/>
        </w:rPr>
        <w:t>acima</w:t>
      </w:r>
      <w:proofErr w:type="gramEnd"/>
      <w:r w:rsidR="007C4592" w:rsidRPr="002C31A2">
        <w:rPr>
          <w:rFonts w:ascii="Tahoma" w:hAnsi="Tahoma" w:cs="Tahoma"/>
          <w:sz w:val="22"/>
          <w:szCs w:val="22"/>
        </w:rPr>
        <w:t xml:space="preserve">,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1" w:name="_DV_M59"/>
      <w:bookmarkStart w:id="12" w:name="_DV_M62"/>
      <w:bookmarkEnd w:id="11"/>
      <w:bookmarkEnd w:id="12"/>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3" w:name="_DV_M226"/>
      <w:bookmarkEnd w:id="13"/>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4" w:name="_DV_M228"/>
      <w:bookmarkEnd w:id="14"/>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5" w:name="_DV_C110"/>
      <w:r w:rsidR="007C4592" w:rsidRPr="002C31A2">
        <w:rPr>
          <w:rStyle w:val="DeltaViewInsertion"/>
          <w:rFonts w:ascii="Tahoma" w:eastAsia="Arial Unicode MS" w:hAnsi="Tahoma" w:cs="Tahoma"/>
          <w:color w:val="auto"/>
          <w:sz w:val="22"/>
          <w:szCs w:val="22"/>
          <w:u w:val="none"/>
        </w:rPr>
        <w:t xml:space="preserve">das outras </w:t>
      </w:r>
      <w:bookmarkStart w:id="16" w:name="_DV_M231"/>
      <w:bookmarkEnd w:id="15"/>
      <w:bookmarkEnd w:id="16"/>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w:t>
      </w:r>
      <w:r w:rsidR="007C4592" w:rsidRPr="002C31A2">
        <w:rPr>
          <w:rFonts w:ascii="Tahoma" w:hAnsi="Tahoma" w:cs="Tahoma"/>
          <w:sz w:val="22"/>
          <w:szCs w:val="22"/>
        </w:rPr>
        <w:lastRenderedPageBreak/>
        <w:t xml:space="preserve">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lastRenderedPageBreak/>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7" w:name="_DV_M255"/>
      <w:bookmarkStart w:id="18" w:name="_DV_M257"/>
      <w:bookmarkEnd w:id="17"/>
      <w:bookmarkEnd w:id="18"/>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lastRenderedPageBreak/>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9" w:name="_DV_M48"/>
      <w:bookmarkEnd w:id="19"/>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77777777"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9128E1">
        <w:rPr>
          <w:rFonts w:ascii="Tahoma" w:hAnsi="Tahoma" w:cs="Tahoma"/>
          <w:sz w:val="22"/>
          <w:szCs w:val="22"/>
        </w:rPr>
        <w:t>[DATA]</w:t>
      </w:r>
      <w:r w:rsidRPr="002C31A2">
        <w:rPr>
          <w:rFonts w:ascii="Tahoma" w:hAnsi="Tahoma" w:cs="Tahoma"/>
          <w:sz w:val="22"/>
          <w:szCs w:val="22"/>
        </w:rPr>
        <w:t>.</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w:t>
      </w:r>
      <w:proofErr w:type="spellStart"/>
      <w:r w:rsidR="00E129CE">
        <w:rPr>
          <w:rFonts w:ascii="Tahoma" w:hAnsi="Tahoma" w:cs="Tahoma"/>
          <w:i/>
          <w:w w:val="0"/>
          <w:sz w:val="22"/>
          <w:szCs w:val="22"/>
        </w:rPr>
        <w:t>Bocom</w:t>
      </w:r>
      <w:proofErr w:type="spellEnd"/>
      <w:r w:rsidR="00E129CE">
        <w:rPr>
          <w:rFonts w:ascii="Tahoma" w:hAnsi="Tahoma" w:cs="Tahoma"/>
          <w:i/>
          <w:w w:val="0"/>
          <w:sz w:val="22"/>
          <w:szCs w:val="22"/>
        </w:rPr>
        <w:t xml:space="preserve"> BBM S.A., a Integral </w:t>
      </w:r>
      <w:proofErr w:type="spellStart"/>
      <w:r w:rsidR="00E129CE">
        <w:rPr>
          <w:rFonts w:ascii="Tahoma" w:hAnsi="Tahoma" w:cs="Tahoma"/>
          <w:i/>
          <w:w w:val="0"/>
          <w:sz w:val="22"/>
          <w:szCs w:val="22"/>
        </w:rPr>
        <w:t>Trust</w:t>
      </w:r>
      <w:proofErr w:type="spellEnd"/>
      <w:r w:rsidR="00E129CE">
        <w:rPr>
          <w:rFonts w:ascii="Tahoma" w:hAnsi="Tahoma" w:cs="Tahoma"/>
          <w:i/>
          <w:w w:val="0"/>
          <w:sz w:val="22"/>
          <w:szCs w:val="22"/>
        </w:rPr>
        <w:t xml:space="preserve">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lastRenderedPageBreak/>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xml:space="preserve">, o Banco </w:t>
      </w:r>
      <w:proofErr w:type="spellStart"/>
      <w:r w:rsidR="0051049C">
        <w:rPr>
          <w:rFonts w:ascii="Tahoma" w:hAnsi="Tahoma" w:cs="Tahoma"/>
          <w:i/>
          <w:w w:val="0"/>
          <w:sz w:val="22"/>
          <w:szCs w:val="22"/>
        </w:rPr>
        <w:t>Bocom</w:t>
      </w:r>
      <w:proofErr w:type="spellEnd"/>
      <w:r w:rsidR="0051049C">
        <w:rPr>
          <w:rFonts w:ascii="Tahoma" w:hAnsi="Tahoma" w:cs="Tahoma"/>
          <w:i/>
          <w:w w:val="0"/>
          <w:sz w:val="22"/>
          <w:szCs w:val="22"/>
        </w:rPr>
        <w:t xml:space="preserve"> BBM S.A., a Integral </w:t>
      </w:r>
      <w:proofErr w:type="spellStart"/>
      <w:r w:rsidR="0051049C">
        <w:rPr>
          <w:rFonts w:ascii="Tahoma" w:hAnsi="Tahoma" w:cs="Tahoma"/>
          <w:i/>
          <w:w w:val="0"/>
          <w:sz w:val="22"/>
          <w:szCs w:val="22"/>
        </w:rPr>
        <w:t>Trust</w:t>
      </w:r>
      <w:proofErr w:type="spellEnd"/>
      <w:r w:rsidR="0051049C">
        <w:rPr>
          <w:rFonts w:ascii="Tahoma" w:hAnsi="Tahoma" w:cs="Tahoma"/>
          <w:i/>
          <w:w w:val="0"/>
          <w:sz w:val="22"/>
          <w:szCs w:val="22"/>
        </w:rPr>
        <w:t xml:space="preserve">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5AFD8482" w14:textId="77777777" w:rsidTr="00C50167">
        <w:trPr>
          <w:jc w:val="center"/>
        </w:trPr>
        <w:tc>
          <w:tcPr>
            <w:tcW w:w="4773" w:type="dxa"/>
          </w:tcPr>
          <w:p w14:paraId="645D89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7A937F0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77D682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11202A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w:t>
      </w:r>
      <w:proofErr w:type="spellStart"/>
      <w:r>
        <w:rPr>
          <w:rFonts w:ascii="Tahoma" w:hAnsi="Tahoma" w:cs="Tahoma"/>
          <w:i/>
          <w:w w:val="0"/>
          <w:sz w:val="22"/>
          <w:szCs w:val="22"/>
        </w:rPr>
        <w:t>Trust</w:t>
      </w:r>
      <w:proofErr w:type="spellEnd"/>
      <w:r>
        <w:rPr>
          <w:rFonts w:ascii="Tahoma" w:hAnsi="Tahoma" w:cs="Tahoma"/>
          <w:i/>
          <w:w w:val="0"/>
          <w:sz w:val="22"/>
          <w:szCs w:val="22"/>
        </w:rPr>
        <w:t xml:space="preserve">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w:t>
      </w:r>
      <w:proofErr w:type="spellStart"/>
      <w:r>
        <w:rPr>
          <w:rFonts w:ascii="Tahoma" w:hAnsi="Tahoma" w:cs="Tahoma"/>
          <w:i/>
          <w:w w:val="0"/>
          <w:sz w:val="22"/>
          <w:szCs w:val="22"/>
        </w:rPr>
        <w:t>Trust</w:t>
      </w:r>
      <w:proofErr w:type="spellEnd"/>
      <w:r>
        <w:rPr>
          <w:rFonts w:ascii="Tahoma" w:hAnsi="Tahoma" w:cs="Tahoma"/>
          <w:i/>
          <w:w w:val="0"/>
          <w:sz w:val="22"/>
          <w:szCs w:val="22"/>
        </w:rPr>
        <w:t xml:space="preserve">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w:t>
      </w:r>
      <w:proofErr w:type="spellStart"/>
      <w:r>
        <w:rPr>
          <w:rFonts w:ascii="Tahoma" w:hAnsi="Tahoma" w:cs="Tahoma"/>
          <w:i/>
          <w:w w:val="0"/>
          <w:sz w:val="22"/>
          <w:szCs w:val="22"/>
        </w:rPr>
        <w:t>Trust</w:t>
      </w:r>
      <w:proofErr w:type="spellEnd"/>
      <w:r>
        <w:rPr>
          <w:rFonts w:ascii="Tahoma" w:hAnsi="Tahoma" w:cs="Tahoma"/>
          <w:i/>
          <w:w w:val="0"/>
          <w:sz w:val="22"/>
          <w:szCs w:val="22"/>
        </w:rPr>
        <w:t xml:space="preserve">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3A3DC142"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8CC1B8"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r w:rsidR="002E10EB" w:rsidRPr="00926ED5">
        <w:rPr>
          <w:rFonts w:ascii="Tahoma" w:hAnsi="Tahoma" w:cs="Tahoma"/>
          <w:sz w:val="22"/>
          <w:szCs w:val="22"/>
          <w:highlight w:val="yellow"/>
          <w:u w:val="single"/>
        </w:rPr>
        <w:t>NOTA: Pendente a inclusão do Contrato de Concessão com o Município de Indaial</w:t>
      </w:r>
      <w:r w:rsidR="002E10EB">
        <w:rPr>
          <w:rFonts w:ascii="Tahoma" w:hAnsi="Tahoma" w:cs="Tahoma"/>
          <w:sz w:val="22"/>
          <w:szCs w:val="22"/>
          <w:u w:val="single"/>
        </w:rPr>
        <w:t>]</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5E1145F" w14:textId="5FFAB978" w:rsidR="00F776EF" w:rsidRPr="00A30A03"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bookmarkStart w:id="20" w:name="_GoBack"/>
      <w:bookmarkEnd w:id="20"/>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6AAED062"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 xml:space="preserve">12 de março de </w:t>
      </w:r>
      <w:proofErr w:type="gramStart"/>
      <w:r w:rsidR="00F34142" w:rsidRPr="00F34142">
        <w:rPr>
          <w:rFonts w:ascii="Tahoma" w:hAnsi="Tahoma" w:cs="Tahoma"/>
          <w:sz w:val="22"/>
          <w:szCs w:val="22"/>
        </w:rPr>
        <w:t>2019</w:t>
      </w:r>
      <w:r w:rsidR="00F34142" w:rsidRPr="00F34142">
        <w:rPr>
          <w:rFonts w:ascii="Tahoma" w:hAnsi="Tahoma" w:cs="Tahoma"/>
          <w:bCs/>
          <w:sz w:val="22"/>
          <w:szCs w:val="22"/>
        </w:rPr>
        <w:t> </w:t>
      </w:r>
      <w:r w:rsidRPr="002C31A2">
        <w:rPr>
          <w:rFonts w:ascii="Tahoma" w:hAnsi="Tahoma" w:cs="Tahoma"/>
          <w:sz w:val="22"/>
          <w:szCs w:val="22"/>
        </w:rPr>
        <w:t xml:space="preserve"> (</w:t>
      </w:r>
      <w:proofErr w:type="gramEnd"/>
      <w:r w:rsidRPr="002C31A2">
        <w:rPr>
          <w:rFonts w:ascii="Tahoma" w:hAnsi="Tahoma" w:cs="Tahoma"/>
          <w:sz w:val="22"/>
          <w:szCs w:val="22"/>
        </w:rPr>
        <w:t>“</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21"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21"/>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2C31A2">
        <w:rPr>
          <w:rFonts w:ascii="Tahoma" w:hAnsi="Tahoma" w:cs="Tahoma"/>
          <w:sz w:val="22"/>
          <w:szCs w:val="22"/>
        </w:rPr>
        <w:t>Escriturador</w:t>
      </w:r>
      <w:proofErr w:type="spellEnd"/>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8"/>
        <w:gridCol w:w="2976"/>
        <w:gridCol w:w="308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lastRenderedPageBreak/>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lastRenderedPageBreak/>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42C88FAF" w14:textId="77777777" w:rsidR="002C31A2" w:rsidRPr="002C31A2" w:rsidRDefault="002C31A2" w:rsidP="007C4592">
      <w:pPr>
        <w:snapToGrid w:val="0"/>
        <w:spacing w:after="240" w:line="320" w:lineRule="exact"/>
        <w:jc w:val="center"/>
        <w:outlineLvl w:val="1"/>
        <w:rPr>
          <w:rFonts w:ascii="Tahoma" w:hAnsi="Tahoma" w:cs="Tahoma"/>
          <w:sz w:val="22"/>
          <w:szCs w:val="22"/>
          <w:lang w:eastAsia="en-US"/>
        </w:rPr>
      </w:pP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7970880D" w14:textId="77777777" w:rsidR="002C31A2" w:rsidRPr="002C31A2" w:rsidRDefault="002C31A2" w:rsidP="00F959BE">
      <w:pPr>
        <w:rPr>
          <w:rFonts w:ascii="Tahoma" w:hAnsi="Tahoma" w:cs="Tahoma"/>
          <w:sz w:val="22"/>
          <w:szCs w:val="22"/>
          <w:lang w:eastAsia="en-US"/>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xml:space="preserve">, a Integral </w:t>
      </w:r>
      <w:proofErr w:type="spellStart"/>
      <w:r w:rsidR="00E129CE">
        <w:rPr>
          <w:rFonts w:ascii="Tahoma" w:eastAsia="Calibri" w:hAnsi="Tahoma" w:cs="Tahoma"/>
          <w:sz w:val="22"/>
          <w:szCs w:val="22"/>
        </w:rPr>
        <w:t>Trust</w:t>
      </w:r>
      <w:proofErr w:type="spellEnd"/>
      <w:r w:rsidR="00E129CE">
        <w:rPr>
          <w:rFonts w:ascii="Tahoma" w:eastAsia="Calibri" w:hAnsi="Tahoma" w:cs="Tahoma"/>
          <w:sz w:val="22"/>
          <w:szCs w:val="22"/>
        </w:rPr>
        <w:t xml:space="preserve"> Serviços Financeiros </w:t>
      </w:r>
      <w:proofErr w:type="spellStart"/>
      <w:r w:rsidR="00E129CE">
        <w:rPr>
          <w:rFonts w:ascii="Tahoma" w:eastAsia="Calibri" w:hAnsi="Tahoma" w:cs="Tahoma"/>
          <w:sz w:val="22"/>
          <w:szCs w:val="22"/>
        </w:rPr>
        <w:t>Ltda</w:t>
      </w:r>
      <w:proofErr w:type="spellEnd"/>
      <w:r w:rsidR="00E129CE">
        <w:rPr>
          <w:rFonts w:ascii="Tahoma" w:eastAsia="Calibri" w:hAnsi="Tahoma" w:cs="Tahoma"/>
          <w:sz w:val="22"/>
          <w:szCs w:val="22"/>
        </w:rPr>
        <w:t xml:space="preserve">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Reserva, bem como os recursos que venham a ser depositados a partir desta data </w:t>
      </w:r>
      <w:r w:rsidRPr="002C31A2">
        <w:rPr>
          <w:rFonts w:ascii="Tahoma" w:hAnsi="Tahoma" w:cs="Tahoma"/>
          <w:sz w:val="22"/>
          <w:szCs w:val="22"/>
        </w:rPr>
        <w:lastRenderedPageBreak/>
        <w:t>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xml:space="preserve">", incluindo, ainda, os previstos no </w:t>
      </w:r>
      <w:r w:rsidRPr="002C31A2">
        <w:rPr>
          <w:rFonts w:ascii="Tahoma" w:hAnsi="Tahoma" w:cs="Tahoma"/>
          <w:sz w:val="22"/>
          <w:szCs w:val="22"/>
        </w:rPr>
        <w:lastRenderedPageBreak/>
        <w:t>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lastRenderedPageBreak/>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proofErr w:type="gramStart"/>
      <w:r w:rsidRPr="002C31A2">
        <w:rPr>
          <w:rFonts w:ascii="Tahoma" w:hAnsi="Tahoma" w:cs="Tahoma"/>
          <w:i/>
          <w:color w:val="000000"/>
          <w:sz w:val="22"/>
          <w:szCs w:val="22"/>
        </w:rPr>
        <w:t>data</w:t>
      </w:r>
      <w:proofErr w:type="gramEnd"/>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proofErr w:type="gramStart"/>
      <w:r w:rsidRPr="002C31A2">
        <w:rPr>
          <w:rFonts w:ascii="Tahoma" w:hAnsi="Tahoma" w:cs="Tahoma"/>
          <w:bCs/>
          <w:i/>
          <w:sz w:val="22"/>
          <w:szCs w:val="22"/>
        </w:rPr>
        <w:t>endereço</w:t>
      </w:r>
      <w:proofErr w:type="gramEnd"/>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5503EA1F"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7BBA2F0C" w:rsidR="00482C64" w:rsidRDefault="00482C64" w:rsidP="00435AF9">
      <w:pPr>
        <w:jc w:val="center"/>
        <w:rPr>
          <w:rFonts w:ascii="Tahoma" w:hAnsi="Tahoma" w:cs="Tahoma"/>
          <w:b/>
          <w:sz w:val="22"/>
          <w:szCs w:val="22"/>
          <w:lang w:eastAsia="en-US"/>
        </w:rPr>
      </w:pPr>
    </w:p>
    <w:p w14:paraId="6C8101F8" w14:textId="36826B4F"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77777777" w:rsidR="009D671A" w:rsidRPr="00A30A03" w:rsidRDefault="009D671A" w:rsidP="00A30A03">
      <w:pPr>
        <w:spacing w:line="300" w:lineRule="atLeast"/>
        <w:jc w:val="both"/>
        <w:rPr>
          <w:rFonts w:ascii="Tahoma" w:hAnsi="Tahoma" w:cs="Tahoma"/>
          <w:sz w:val="22"/>
          <w:szCs w:val="22"/>
        </w:rPr>
      </w:pPr>
    </w:p>
    <w:p w14:paraId="1BD0C927" w14:textId="77777777"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6A5FB5F7"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77777777" w:rsidR="009D671A" w:rsidRPr="00A30A03" w:rsidRDefault="009D671A" w:rsidP="00A30A03">
      <w:pPr>
        <w:spacing w:line="300" w:lineRule="atLeast"/>
        <w:jc w:val="both"/>
        <w:rPr>
          <w:rFonts w:ascii="Tahoma" w:hAnsi="Tahoma" w:cs="Tahoma"/>
          <w:b/>
          <w:bCs/>
          <w:sz w:val="22"/>
          <w:szCs w:val="22"/>
        </w:rPr>
      </w:pPr>
    </w:p>
    <w:p w14:paraId="5E4A54F8" w14:textId="77777777"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77777777" w:rsidR="009D671A" w:rsidRPr="00A30A03" w:rsidRDefault="009D671A" w:rsidP="00A30A03">
      <w:pPr>
        <w:spacing w:line="300" w:lineRule="atLeast"/>
        <w:jc w:val="both"/>
        <w:rPr>
          <w:rFonts w:ascii="Tahoma" w:hAnsi="Tahoma" w:cs="Tahoma"/>
          <w:sz w:val="22"/>
          <w:szCs w:val="22"/>
        </w:rPr>
      </w:pPr>
    </w:p>
    <w:p w14:paraId="7E97DD33" w14:textId="77777777"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77777777" w:rsidR="009D671A" w:rsidRPr="00A30A03" w:rsidRDefault="009D671A" w:rsidP="00A30A03">
      <w:pPr>
        <w:spacing w:line="300" w:lineRule="atLeast"/>
        <w:jc w:val="both"/>
        <w:rPr>
          <w:rFonts w:ascii="Tahoma" w:hAnsi="Tahoma" w:cs="Tahoma"/>
          <w:sz w:val="22"/>
          <w:szCs w:val="22"/>
        </w:rPr>
      </w:pPr>
    </w:p>
    <w:p w14:paraId="654114E4" w14:textId="60771D88"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xml:space="preserve">”), com sede na Cidade de Florianópolis, Estado de Santa Catarina, na Rua Emílio </w:t>
      </w:r>
      <w:proofErr w:type="spellStart"/>
      <w:r w:rsidRPr="00A30A03">
        <w:rPr>
          <w:rFonts w:ascii="Tahoma" w:hAnsi="Tahoma" w:cs="Tahoma"/>
          <w:bCs/>
          <w:sz w:val="22"/>
          <w:szCs w:val="22"/>
          <w:lang w:val="pt-BR"/>
        </w:rPr>
        <w:t>Blum</w:t>
      </w:r>
      <w:proofErr w:type="spellEnd"/>
      <w:r w:rsidRPr="00A30A03">
        <w:rPr>
          <w:rFonts w:ascii="Tahoma" w:hAnsi="Tahoma" w:cs="Tahoma"/>
          <w:bCs/>
          <w:sz w:val="22"/>
          <w:szCs w:val="22"/>
          <w:lang w:val="pt-BR"/>
        </w:rPr>
        <w:t>,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w:t>
      </w:r>
      <w:r w:rsidRPr="00A30A03" w:rsidDel="008A1C6C">
        <w:rPr>
          <w:rFonts w:ascii="Tahoma" w:hAnsi="Tahoma" w:cs="Tahoma"/>
          <w:sz w:val="22"/>
          <w:szCs w:val="22"/>
          <w:lang w:val="pt-BR"/>
        </w:rPr>
        <w:t xml:space="preserve"> </w:t>
      </w:r>
      <w:r w:rsidRPr="00A30A03">
        <w:rPr>
          <w:rFonts w:ascii="Tahoma" w:hAnsi="Tahoma" w:cs="Tahoma"/>
          <w:sz w:val="22"/>
          <w:szCs w:val="22"/>
          <w:lang w:val="pt-BR"/>
        </w:rPr>
        <w:t>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 xml:space="preserve">Integral </w:t>
      </w:r>
      <w:proofErr w:type="spellStart"/>
      <w:r w:rsidRPr="00A30A03">
        <w:rPr>
          <w:rFonts w:ascii="Tahoma" w:hAnsi="Tahoma" w:cs="Tahoma"/>
          <w:b/>
          <w:sz w:val="22"/>
          <w:szCs w:val="22"/>
          <w:lang w:val="pt-BR"/>
        </w:rPr>
        <w:t>Trust</w:t>
      </w:r>
      <w:proofErr w:type="spellEnd"/>
      <w:r w:rsidRPr="00A30A03">
        <w:rPr>
          <w:rFonts w:ascii="Tahoma" w:hAnsi="Tahoma" w:cs="Tahoma"/>
          <w:b/>
          <w:sz w:val="22"/>
          <w:szCs w:val="22"/>
          <w:lang w:val="pt-BR"/>
        </w:rPr>
        <w:t xml:space="preserve"> Serviços Financeiros </w:t>
      </w:r>
      <w:proofErr w:type="spellStart"/>
      <w:r w:rsidRPr="00A30A03">
        <w:rPr>
          <w:rFonts w:ascii="Tahoma" w:hAnsi="Tahoma" w:cs="Tahoma"/>
          <w:b/>
          <w:sz w:val="22"/>
          <w:szCs w:val="22"/>
          <w:lang w:val="pt-BR"/>
        </w:rPr>
        <w:t>Ltda</w:t>
      </w:r>
      <w:proofErr w:type="spellEnd"/>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77777777"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45AD9306"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77777777" w:rsidR="009D671A" w:rsidRPr="00A30A03" w:rsidRDefault="009D671A" w:rsidP="00A30A03">
      <w:pPr>
        <w:spacing w:line="300" w:lineRule="atLeast"/>
        <w:jc w:val="both"/>
        <w:rPr>
          <w:rFonts w:ascii="Tahoma" w:hAnsi="Tahoma" w:cs="Tahoma"/>
          <w:sz w:val="22"/>
          <w:szCs w:val="22"/>
        </w:rPr>
      </w:pPr>
    </w:p>
    <w:p w14:paraId="72B808B0" w14:textId="0A4A3F9C"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77777777" w:rsidR="009D671A" w:rsidRPr="00A30A03" w:rsidRDefault="009D671A" w:rsidP="00A30A03">
      <w:pPr>
        <w:spacing w:line="300" w:lineRule="atLeast"/>
        <w:jc w:val="center"/>
        <w:rPr>
          <w:rFonts w:ascii="Tahoma" w:hAnsi="Tahoma" w:cs="Tahoma"/>
          <w:sz w:val="22"/>
          <w:szCs w:val="22"/>
        </w:rPr>
      </w:pPr>
    </w:p>
    <w:p w14:paraId="38E10095" w14:textId="67C3F503"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7777777" w:rsidR="009D671A" w:rsidRPr="00A30A03" w:rsidRDefault="009D671A" w:rsidP="00A30A03">
      <w:pPr>
        <w:spacing w:line="300" w:lineRule="atLeast"/>
        <w:jc w:val="both"/>
        <w:rPr>
          <w:rFonts w:ascii="Tahoma" w:hAnsi="Tahoma" w:cs="Tahoma"/>
          <w:sz w:val="22"/>
          <w:szCs w:val="22"/>
        </w:rPr>
      </w:pPr>
    </w:p>
    <w:p w14:paraId="73DD8572" w14:textId="77777777"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77777777" w:rsidR="009D671A" w:rsidRPr="00A30A03" w:rsidRDefault="009D671A" w:rsidP="00A30A03">
      <w:pPr>
        <w:spacing w:line="300" w:lineRule="atLeast"/>
        <w:jc w:val="both"/>
        <w:rPr>
          <w:rFonts w:ascii="Tahoma" w:hAnsi="Tahoma" w:cs="Tahoma"/>
          <w:sz w:val="22"/>
          <w:szCs w:val="22"/>
        </w:rPr>
      </w:pPr>
    </w:p>
    <w:p w14:paraId="2A6B774A" w14:textId="77777777" w:rsidR="009D671A" w:rsidRPr="00A30A03" w:rsidRDefault="009D671A" w:rsidP="00A30A03">
      <w:pPr>
        <w:autoSpaceDE w:val="0"/>
        <w:spacing w:line="300" w:lineRule="atLeast"/>
        <w:jc w:val="both"/>
        <w:rPr>
          <w:rFonts w:ascii="Tahoma" w:hAnsi="Tahoma" w:cs="Tahoma"/>
          <w:b/>
          <w:sz w:val="22"/>
          <w:szCs w:val="22"/>
        </w:rPr>
      </w:pPr>
    </w:p>
    <w:p w14:paraId="77CC1790" w14:textId="77777777"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77777777" w:rsidR="009D671A" w:rsidRPr="00A30A03" w:rsidRDefault="009D671A" w:rsidP="00A30A03">
      <w:pPr>
        <w:spacing w:line="300" w:lineRule="atLeast"/>
        <w:jc w:val="center"/>
        <w:rPr>
          <w:rFonts w:ascii="Tahoma" w:eastAsia="Arial Unicode MS" w:hAnsi="Tahoma" w:cs="Tahoma"/>
          <w:sz w:val="22"/>
          <w:szCs w:val="22"/>
        </w:rPr>
      </w:pPr>
    </w:p>
    <w:p w14:paraId="0D8F59EB" w14:textId="44FA9E85"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proofErr w:type="gramStart"/>
      <w:r w:rsidRPr="00A30A03">
        <w:rPr>
          <w:rFonts w:ascii="Tahoma" w:eastAsia="Arial Unicode MS" w:hAnsi="Tahoma" w:cs="Tahoma"/>
          <w:i/>
          <w:sz w:val="22"/>
          <w:szCs w:val="22"/>
        </w:rPr>
        <w:t>incluir</w:t>
      </w:r>
      <w:proofErr w:type="gramEnd"/>
      <w:r w:rsidRPr="00A30A03">
        <w:rPr>
          <w:rFonts w:ascii="Tahoma" w:eastAsia="Arial Unicode MS" w:hAnsi="Tahoma" w:cs="Tahoma"/>
          <w:i/>
          <w:sz w:val="22"/>
          <w:szCs w:val="22"/>
        </w:rPr>
        <w:t xml:space="preserve"> assinaturas</w:t>
      </w:r>
      <w:r w:rsidRPr="00A30A03">
        <w:rPr>
          <w:rFonts w:ascii="Tahoma" w:eastAsia="Arial Unicode MS" w:hAnsi="Tahoma" w:cs="Tahoma"/>
          <w:sz w:val="22"/>
          <w:szCs w:val="22"/>
        </w:rPr>
        <w:t>]</w:t>
      </w:r>
    </w:p>
    <w:p w14:paraId="4F794B63" w14:textId="3EF0CF6F"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5DA03007"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proofErr w:type="gramStart"/>
      <w:r w:rsidRPr="006E730C">
        <w:rPr>
          <w:rFonts w:ascii="Tahoma" w:hAnsi="Tahoma" w:cs="Tahoma"/>
          <w:i/>
          <w:sz w:val="22"/>
          <w:szCs w:val="22"/>
        </w:rPr>
        <w:t>data</w:t>
      </w:r>
      <w:proofErr w:type="gramEnd"/>
      <w:r w:rsidRPr="006E730C">
        <w:rPr>
          <w:rFonts w:ascii="Tahoma" w:hAnsi="Tahoma" w:cs="Tahoma"/>
          <w:sz w:val="22"/>
          <w:szCs w:val="22"/>
        </w:rPr>
        <w:t>]</w:t>
      </w:r>
    </w:p>
    <w:p w14:paraId="75CAF640" w14:textId="77777777" w:rsidR="00981288" w:rsidRPr="006E730C" w:rsidRDefault="00981288" w:rsidP="00981288">
      <w:pPr>
        <w:spacing w:line="340" w:lineRule="exact"/>
        <w:jc w:val="both"/>
        <w:rPr>
          <w:rFonts w:ascii="Tahoma" w:hAnsi="Tahoma" w:cs="Tahoma"/>
          <w:sz w:val="22"/>
          <w:szCs w:val="22"/>
        </w:rPr>
      </w:pP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7475497A"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p>
    <w:p w14:paraId="5290C607"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w:t>
      </w:r>
      <w:r w:rsidR="00096A61" w:rsidRPr="001C35F1">
        <w:rPr>
          <w:rFonts w:ascii="Tahoma" w:hAnsi="Tahoma" w:cs="Tahoma"/>
          <w:bCs/>
          <w:sz w:val="22"/>
          <w:szCs w:val="22"/>
        </w:rPr>
        <w:lastRenderedPageBreak/>
        <w:t>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 xml:space="preserve">Integral </w:t>
      </w:r>
      <w:proofErr w:type="spellStart"/>
      <w:r w:rsidRPr="006E730C">
        <w:rPr>
          <w:rFonts w:ascii="Tahoma" w:hAnsi="Tahoma" w:cs="Tahoma"/>
          <w:b/>
          <w:sz w:val="22"/>
          <w:szCs w:val="22"/>
        </w:rPr>
        <w:t>Trust</w:t>
      </w:r>
      <w:proofErr w:type="spellEnd"/>
      <w:r w:rsidRPr="006E730C">
        <w:rPr>
          <w:rFonts w:ascii="Tahoma" w:hAnsi="Tahoma" w:cs="Tahoma"/>
          <w:b/>
          <w:sz w:val="22"/>
          <w:szCs w:val="22"/>
        </w:rPr>
        <w:t xml:space="preserve">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4EDC6638" w14:textId="77777777" w:rsidR="00981288" w:rsidRPr="006E730C" w:rsidRDefault="00981288" w:rsidP="00981288">
      <w:pPr>
        <w:spacing w:line="340" w:lineRule="exact"/>
        <w:jc w:val="both"/>
        <w:rPr>
          <w:rFonts w:ascii="Tahoma" w:hAnsi="Tahoma" w:cs="Tahoma"/>
          <w:sz w:val="22"/>
          <w:szCs w:val="22"/>
        </w:rPr>
      </w:pP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6623C081" w14:textId="77777777" w:rsidR="00981288" w:rsidRPr="006E730C" w:rsidRDefault="00981288"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bCs/>
          <w:sz w:val="22"/>
          <w:szCs w:val="22"/>
        </w:rPr>
        <w:t xml:space="preserve">CAIXA ECONÔMICA FEDERAL </w:t>
      </w:r>
    </w:p>
    <w:p w14:paraId="049D130C" w14:textId="77777777" w:rsidR="00981288" w:rsidRPr="002C31A2" w:rsidRDefault="00981288" w:rsidP="00482C64">
      <w:pPr>
        <w:jc w:val="center"/>
        <w:rPr>
          <w:rFonts w:ascii="Tahoma" w:hAnsi="Tahoma" w:cs="Tahoma"/>
          <w:color w:val="000000"/>
          <w:sz w:val="22"/>
          <w:szCs w:val="22"/>
        </w:rPr>
      </w:pPr>
    </w:p>
    <w:sectPr w:rsidR="00981288" w:rsidRPr="002C31A2" w:rsidSect="004F7CA5">
      <w:footerReference w:type="default" r:id="rId13"/>
      <w:headerReference w:type="first" r:id="rId14"/>
      <w:footerReference w:type="first" r:id="rId15"/>
      <w:pgSz w:w="12240" w:h="15840" w:code="1"/>
      <w:pgMar w:top="1531" w:right="851" w:bottom="1701" w:left="1985" w:header="1134" w:footer="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A04E0" w14:textId="77777777" w:rsidR="002E10EB" w:rsidRDefault="002E10EB">
      <w:r>
        <w:separator/>
      </w:r>
    </w:p>
  </w:endnote>
  <w:endnote w:type="continuationSeparator" w:id="0">
    <w:p w14:paraId="3995C4F2" w14:textId="77777777" w:rsidR="002E10EB" w:rsidRDefault="002E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856A" w14:textId="77777777" w:rsidR="00BA1CEC" w:rsidRDefault="00BA1CEC" w:rsidP="00BA1CEC">
    <w:pPr>
      <w:pStyle w:val="Rodap"/>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6169EBCA" w:rsidR="002E10EB" w:rsidRPr="0085663B" w:rsidRDefault="00BA1CEC" w:rsidP="00BA1CEC">
    <w:pPr>
      <w:pStyle w:val="Rodap"/>
      <w:rPr>
        <w:rFonts w:ascii="Tahoma" w:hAnsi="Tahoma" w:cs="Tahoma"/>
        <w:sz w:val="18"/>
        <w:szCs w:val="18"/>
      </w:rPr>
    </w:pPr>
    <w:r>
      <w:rPr>
        <w:rFonts w:ascii="Verdana" w:hAnsi="Verdana" w:cs="Tahoma"/>
        <w:sz w:val="14"/>
        <w:szCs w:val="18"/>
      </w:rPr>
      <w:t xml:space="preserve">TEXT_SP - 50003206v7 1086.89 </w:t>
    </w:r>
    <w:r>
      <w:rPr>
        <w:rFonts w:ascii="Verdana" w:hAnsi="Verdana" w:cs="Tahoma"/>
        <w:sz w:val="14"/>
        <w:szCs w:val="18"/>
      </w:rPr>
      <w:fldChar w:fldCharType="end"/>
    </w:r>
    <w:r w:rsidR="002E10EB" w:rsidRPr="0085663B">
      <w:rPr>
        <w:rFonts w:ascii="Tahoma" w:hAnsi="Tahoma" w:cs="Tahoma"/>
        <w:sz w:val="18"/>
        <w:szCs w:val="18"/>
      </w:rPr>
      <w:fldChar w:fldCharType="begin"/>
    </w:r>
    <w:r w:rsidR="002E10EB" w:rsidRPr="0085663B">
      <w:rPr>
        <w:rFonts w:ascii="Tahoma" w:hAnsi="Tahoma" w:cs="Tahoma"/>
        <w:sz w:val="18"/>
        <w:szCs w:val="18"/>
      </w:rPr>
      <w:instrText>PAGE   \* MERGEFORMAT</w:instrText>
    </w:r>
    <w:r w:rsidR="002E10EB" w:rsidRPr="0085663B">
      <w:rPr>
        <w:rFonts w:ascii="Tahoma" w:hAnsi="Tahoma" w:cs="Tahoma"/>
        <w:sz w:val="18"/>
        <w:szCs w:val="18"/>
      </w:rPr>
      <w:fldChar w:fldCharType="separate"/>
    </w:r>
    <w:r w:rsidR="0039535D">
      <w:rPr>
        <w:rFonts w:ascii="Tahoma" w:hAnsi="Tahoma" w:cs="Tahoma"/>
        <w:noProof/>
        <w:sz w:val="18"/>
        <w:szCs w:val="18"/>
      </w:rPr>
      <w:t>57</w:t>
    </w:r>
    <w:r w:rsidR="002E10EB" w:rsidRPr="0085663B">
      <w:rPr>
        <w:rFonts w:ascii="Tahoma" w:hAnsi="Tahoma" w:cs="Tahoma"/>
        <w:sz w:val="18"/>
        <w:szCs w:val="18"/>
      </w:rPr>
      <w:fldChar w:fldCharType="end"/>
    </w:r>
  </w:p>
  <w:p w14:paraId="2F498734" w14:textId="77777777" w:rsidR="002E10EB" w:rsidRPr="00B1056F" w:rsidRDefault="002E10EB" w:rsidP="00C50167">
    <w:pPr>
      <w:pStyle w:val="Rodap"/>
      <w:jc w:val="right"/>
      <w:rPr>
        <w:color w:val="FFFFFF"/>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5468"/>
      <w:docPartObj>
        <w:docPartGallery w:val="Page Numbers (Bottom of Page)"/>
        <w:docPartUnique/>
      </w:docPartObj>
    </w:sdtPr>
    <w:sdtEndPr>
      <w:rPr>
        <w:rFonts w:ascii="Tahoma" w:hAnsi="Tahoma" w:cs="Tahoma"/>
        <w:sz w:val="22"/>
        <w:szCs w:val="22"/>
      </w:rPr>
    </w:sdtEndPr>
    <w:sdtContent>
      <w:p w14:paraId="53A866A8" w14:textId="07519458" w:rsidR="002E10EB" w:rsidRPr="00302B52" w:rsidRDefault="002E10EB" w:rsidP="004F7CA5">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sidR="0039535D">
          <w:rPr>
            <w:rFonts w:ascii="Tahoma" w:hAnsi="Tahoma" w:cs="Tahoma"/>
            <w:noProof/>
            <w:sz w:val="22"/>
            <w:szCs w:val="22"/>
          </w:rPr>
          <w:t>1</w:t>
        </w:r>
        <w:r w:rsidRPr="00302B52">
          <w:rPr>
            <w:rFonts w:ascii="Tahoma" w:hAnsi="Tahoma" w:cs="Tahoma"/>
            <w:sz w:val="22"/>
            <w:szCs w:val="22"/>
          </w:rPr>
          <w:fldChar w:fldCharType="end"/>
        </w:r>
      </w:p>
    </w:sdtContent>
  </w:sdt>
  <w:p w14:paraId="7E77231A" w14:textId="77777777" w:rsidR="002E10EB" w:rsidRPr="00B1056F" w:rsidRDefault="002E10EB">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67E43" w14:textId="77777777" w:rsidR="002E10EB" w:rsidRDefault="002E10EB">
      <w:r>
        <w:separator/>
      </w:r>
    </w:p>
  </w:footnote>
  <w:footnote w:type="continuationSeparator" w:id="0">
    <w:p w14:paraId="2024F18C" w14:textId="77777777" w:rsidR="002E10EB" w:rsidRDefault="002E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8C4F" w14:textId="019F2812" w:rsidR="002E10EB" w:rsidRDefault="002E10EB" w:rsidP="00A30A03">
    <w:pPr>
      <w:pStyle w:val="Cabealho"/>
      <w:jc w:val="right"/>
      <w:rPr>
        <w:rFonts w:ascii="Tahoma" w:hAnsi="Tahoma" w:cs="Tahoma"/>
        <w:i/>
      </w:rPr>
    </w:pPr>
    <w:r>
      <w:tab/>
    </w:r>
    <w:r>
      <w:tab/>
    </w:r>
    <w:r w:rsidRPr="00A30A03">
      <w:rPr>
        <w:rFonts w:ascii="Tahoma" w:hAnsi="Tahoma" w:cs="Tahoma"/>
        <w:i/>
      </w:rPr>
      <w:t xml:space="preserve">Comentários </w:t>
    </w:r>
    <w:r>
      <w:rPr>
        <w:rFonts w:ascii="Tahoma" w:hAnsi="Tahoma" w:cs="Tahoma"/>
        <w:i/>
      </w:rPr>
      <w:t>Bancos</w:t>
    </w:r>
  </w:p>
  <w:p w14:paraId="21FC666A" w14:textId="46492D20" w:rsidR="002E10EB" w:rsidRPr="00A30A03" w:rsidRDefault="00BA1CEC" w:rsidP="00A30A03">
    <w:pPr>
      <w:pStyle w:val="Cabealho"/>
      <w:jc w:val="right"/>
      <w:rPr>
        <w:rFonts w:ascii="Tahoma" w:hAnsi="Tahoma" w:cs="Tahoma"/>
        <w:i/>
      </w:rPr>
    </w:pPr>
    <w:r>
      <w:rPr>
        <w:rFonts w:ascii="Tahoma" w:hAnsi="Tahoma" w:cs="Tahoma"/>
        <w:i/>
      </w:rPr>
      <w:t>2</w:t>
    </w:r>
    <w:r w:rsidR="00C17952">
      <w:rPr>
        <w:rFonts w:ascii="Tahoma" w:hAnsi="Tahoma" w:cs="Tahoma"/>
        <w:i/>
      </w:rPr>
      <w:t>7</w:t>
    </w:r>
    <w:r w:rsidR="002E10EB" w:rsidRPr="00A30A03">
      <w:rPr>
        <w:rFonts w:ascii="Tahoma" w:hAnsi="Tahoma" w:cs="Tahoma"/>
        <w:i/>
      </w:rPr>
      <w:t>.02.2019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2"/>
    <w:rsid w:val="00005600"/>
    <w:rsid w:val="000067C1"/>
    <w:rsid w:val="00007012"/>
    <w:rsid w:val="00022016"/>
    <w:rsid w:val="000227EC"/>
    <w:rsid w:val="00032C37"/>
    <w:rsid w:val="00040066"/>
    <w:rsid w:val="00041408"/>
    <w:rsid w:val="00046E70"/>
    <w:rsid w:val="00056F89"/>
    <w:rsid w:val="00064B07"/>
    <w:rsid w:val="00067ECD"/>
    <w:rsid w:val="00070C1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E2111"/>
    <w:rsid w:val="000E3190"/>
    <w:rsid w:val="000F128D"/>
    <w:rsid w:val="000F57AE"/>
    <w:rsid w:val="0011290E"/>
    <w:rsid w:val="00112C1F"/>
    <w:rsid w:val="00123C32"/>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D7832"/>
    <w:rsid w:val="001E14AD"/>
    <w:rsid w:val="001E7C10"/>
    <w:rsid w:val="001F1256"/>
    <w:rsid w:val="00200B23"/>
    <w:rsid w:val="00216097"/>
    <w:rsid w:val="00220E0E"/>
    <w:rsid w:val="002255F1"/>
    <w:rsid w:val="00225636"/>
    <w:rsid w:val="00230F03"/>
    <w:rsid w:val="00233F3C"/>
    <w:rsid w:val="00234F89"/>
    <w:rsid w:val="00242403"/>
    <w:rsid w:val="00252173"/>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62F6"/>
    <w:rsid w:val="00420238"/>
    <w:rsid w:val="00422522"/>
    <w:rsid w:val="00425F65"/>
    <w:rsid w:val="00431168"/>
    <w:rsid w:val="00431966"/>
    <w:rsid w:val="00435AF9"/>
    <w:rsid w:val="00443A6E"/>
    <w:rsid w:val="0044499D"/>
    <w:rsid w:val="00444CB9"/>
    <w:rsid w:val="00446FF2"/>
    <w:rsid w:val="00447C99"/>
    <w:rsid w:val="004520C4"/>
    <w:rsid w:val="00453ED6"/>
    <w:rsid w:val="00454960"/>
    <w:rsid w:val="004556CC"/>
    <w:rsid w:val="00467744"/>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80B90"/>
    <w:rsid w:val="0068227D"/>
    <w:rsid w:val="00682B88"/>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361DE"/>
    <w:rsid w:val="00742FED"/>
    <w:rsid w:val="00745684"/>
    <w:rsid w:val="00747149"/>
    <w:rsid w:val="007500BD"/>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F10"/>
    <w:rsid w:val="00935CE8"/>
    <w:rsid w:val="0094212F"/>
    <w:rsid w:val="00950B31"/>
    <w:rsid w:val="0095267B"/>
    <w:rsid w:val="00955BFE"/>
    <w:rsid w:val="00961593"/>
    <w:rsid w:val="009640BF"/>
    <w:rsid w:val="00964739"/>
    <w:rsid w:val="00973FCA"/>
    <w:rsid w:val="00976A60"/>
    <w:rsid w:val="009808EE"/>
    <w:rsid w:val="00981288"/>
    <w:rsid w:val="009815D3"/>
    <w:rsid w:val="00984FD1"/>
    <w:rsid w:val="009976BB"/>
    <w:rsid w:val="00997A12"/>
    <w:rsid w:val="009A47D0"/>
    <w:rsid w:val="009A5B39"/>
    <w:rsid w:val="009B0527"/>
    <w:rsid w:val="009B1616"/>
    <w:rsid w:val="009B5189"/>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748CC"/>
    <w:rsid w:val="00A74E70"/>
    <w:rsid w:val="00A858A5"/>
    <w:rsid w:val="00A86722"/>
    <w:rsid w:val="00A86D15"/>
    <w:rsid w:val="00A9036C"/>
    <w:rsid w:val="00A905BF"/>
    <w:rsid w:val="00A90BBF"/>
    <w:rsid w:val="00A96A66"/>
    <w:rsid w:val="00AA572E"/>
    <w:rsid w:val="00AB172A"/>
    <w:rsid w:val="00AC1FC3"/>
    <w:rsid w:val="00AC5F6E"/>
    <w:rsid w:val="00AD3B4E"/>
    <w:rsid w:val="00AD713A"/>
    <w:rsid w:val="00AD7DB1"/>
    <w:rsid w:val="00AE0B05"/>
    <w:rsid w:val="00AE0CB6"/>
    <w:rsid w:val="00AF3FAB"/>
    <w:rsid w:val="00AF46CD"/>
    <w:rsid w:val="00B1056F"/>
    <w:rsid w:val="00B21767"/>
    <w:rsid w:val="00B21E14"/>
    <w:rsid w:val="00B24924"/>
    <w:rsid w:val="00B27CAF"/>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BADBF3E"/>
  <w15:docId w15:val="{A040BB30-B47E-4437-8C72-01F152C0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gustom@bocombbm.com.br" TargetMode="Externa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62538-2773-4DA5-A2EF-CC081FC5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21654</Words>
  <Characters>116932</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138310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Mario Gomez Carrera Neto | Machado Meyer Advogados</cp:lastModifiedBy>
  <cp:revision>4</cp:revision>
  <cp:lastPrinted>2015-08-11T20:14:00Z</cp:lastPrinted>
  <dcterms:created xsi:type="dcterms:W3CDTF">2019-02-26T18:06:00Z</dcterms:created>
  <dcterms:modified xsi:type="dcterms:W3CDTF">2019-02-27T18:16:00Z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- 50003206v7 1086.89 </vt:lpwstr>
  </property>
</Properties>
</file>