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na Rua Miguel Calmon, n.º 398, 7º andar, parte, Bairro do Comércio, CEP 40015-010, </w:t>
      </w:r>
      <w:r w:rsidRPr="006E730C">
        <w:rPr>
          <w:rFonts w:ascii="Tahoma" w:hAnsi="Tahoma" w:cs="Tahoma"/>
          <w:sz w:val="22"/>
          <w:szCs w:val="22"/>
        </w:rPr>
        <w:lastRenderedPageBreak/>
        <w:t>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Casan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Oliveira Trust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lastRenderedPageBreak/>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os Direitos 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r w:rsidRPr="00DF7F34">
        <w:rPr>
          <w:rFonts w:ascii="Tahoma" w:hAnsi="Tahoma" w:cs="Tahoma"/>
          <w:bCs/>
          <w:sz w:val="22"/>
          <w:szCs w:val="22"/>
        </w:rPr>
        <w:t xml:space="preserve">o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r w:rsidRPr="007C13A4">
        <w:rPr>
          <w:rFonts w:ascii="Tahoma" w:hAnsi="Tahoma" w:cs="Tahoma"/>
          <w:bCs/>
          <w:sz w:val="22"/>
          <w:szCs w:val="22"/>
        </w:rPr>
        <w:t>o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637EC1"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w:t>
      </w:r>
      <w:r w:rsidR="0026046F">
        <w:rPr>
          <w:rFonts w:ascii="Tahoma" w:hAnsi="Tahoma" w:cs="Tahoma"/>
          <w:color w:val="000000"/>
          <w:sz w:val="22"/>
          <w:szCs w:val="22"/>
        </w:rPr>
        <w:t xml:space="preserve">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(ii) a constituição da presente Cessão Fiduciária (conforme abaixo definido)</w:t>
      </w:r>
      <w:r w:rsidRPr="002C31A2">
        <w:rPr>
          <w:rFonts w:ascii="Tahoma" w:hAnsi="Tahoma" w:cs="Tahoma"/>
          <w:bCs/>
          <w:sz w:val="22"/>
          <w:szCs w:val="22"/>
        </w:rPr>
        <w:t>;</w:t>
      </w:r>
    </w:p>
    <w:p w14:paraId="299BC521" w14:textId="5CA40589"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sz w:val="22"/>
          <w:szCs w:val="22"/>
        </w:rPr>
        <w:t>com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26046F">
        <w:rPr>
          <w:rFonts w:ascii="Tahoma" w:hAnsi="Tahoma" w:cs="Tahoma"/>
          <w:sz w:val="22"/>
          <w:szCs w:val="22"/>
        </w:rPr>
        <w:t>nesta data</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lastRenderedPageBreak/>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(ii)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(iii)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em favor do Banco Bocom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r w:rsidR="003C619D">
        <w:rPr>
          <w:rFonts w:ascii="Tahoma" w:hAnsi="Tahoma" w:cs="Tahoma"/>
          <w:sz w:val="22"/>
          <w:szCs w:val="22"/>
        </w:rPr>
        <w:t>ii</w:t>
      </w:r>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 xml:space="preserve">da </w:t>
      </w:r>
      <w:r w:rsidR="00D868A7" w:rsidRPr="002C31A2">
        <w:rPr>
          <w:rFonts w:ascii="Tahoma" w:hAnsi="Tahoma" w:cs="Tahoma"/>
          <w:sz w:val="22"/>
          <w:szCs w:val="22"/>
        </w:rPr>
        <w:lastRenderedPageBreak/>
        <w:t>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w:t>
      </w:r>
      <w:r w:rsidR="008479C2" w:rsidRPr="002C31A2">
        <w:rPr>
          <w:rFonts w:ascii="Tahoma" w:hAnsi="Tahoma" w:cs="Tahoma"/>
          <w:sz w:val="22"/>
          <w:szCs w:val="22"/>
        </w:rPr>
        <w:lastRenderedPageBreak/>
        <w:t xml:space="preserve">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w:t>
      </w:r>
      <w:r w:rsidRPr="002C31A2">
        <w:rPr>
          <w:rFonts w:ascii="Tahoma" w:hAnsi="Tahoma" w:cs="Tahoma"/>
          <w:sz w:val="22"/>
          <w:szCs w:val="22"/>
        </w:rPr>
        <w:lastRenderedPageBreak/>
        <w:t xml:space="preserve">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lastRenderedPageBreak/>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lastRenderedPageBreak/>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w:t>
      </w:r>
      <w:r w:rsidR="00275E3B">
        <w:rPr>
          <w:rFonts w:ascii="Tahoma" w:hAnsi="Tahoma" w:cs="Tahoma"/>
          <w:sz w:val="22"/>
          <w:szCs w:val="22"/>
        </w:rPr>
        <w:lastRenderedPageBreak/>
        <w:t xml:space="preserve">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lastRenderedPageBreak/>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lastRenderedPageBreak/>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 w:name="_DV_M128"/>
      <w:bookmarkStart w:id="5" w:name="_DV_C69"/>
      <w:bookmarkEnd w:id="4"/>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6" w:name="_DV_M130"/>
      <w:bookmarkEnd w:id="5"/>
      <w:bookmarkEnd w:id="6"/>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w:t>
      </w:r>
      <w:r w:rsidR="00CC3E54" w:rsidRPr="002C31A2">
        <w:rPr>
          <w:rFonts w:ascii="Tahoma" w:hAnsi="Tahoma" w:cs="Tahoma"/>
          <w:sz w:val="22"/>
          <w:szCs w:val="22"/>
        </w:rPr>
        <w:lastRenderedPageBreak/>
        <w:t xml:space="preserve">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7" w:name="_DV_M141"/>
      <w:bookmarkEnd w:id="7"/>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 xml:space="preserve">8 e em </w:t>
      </w:r>
      <w:r w:rsidR="00D74360">
        <w:rPr>
          <w:rFonts w:ascii="Tahoma" w:eastAsia="Arial Unicode MS" w:hAnsi="Tahoma" w:cs="Tahoma"/>
          <w:sz w:val="22"/>
          <w:szCs w:val="22"/>
        </w:rPr>
        <w:lastRenderedPageBreak/>
        <w:t>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8" w:name="_DV_M142"/>
      <w:bookmarkEnd w:id="8"/>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9" w:name="_DV_M143"/>
      <w:bookmarkEnd w:id="9"/>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w:t>
      </w:r>
      <w:r w:rsidRPr="00C74D58">
        <w:rPr>
          <w:rFonts w:ascii="Tahoma" w:eastAsia="Arial Unicode MS" w:hAnsi="Tahoma" w:cs="Tahoma"/>
          <w:sz w:val="22"/>
          <w:szCs w:val="22"/>
        </w:rPr>
        <w:lastRenderedPageBreak/>
        <w:t xml:space="preserve">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1E64A5F2"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p>
    <w:p w14:paraId="11F11353" w14:textId="45CCE8BC"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B96299">
        <w:rPr>
          <w:rFonts w:ascii="Tahoma" w:eastAsia="Arial Unicode MS" w:hAnsi="Tahoma" w:cs="Tahoma"/>
          <w:iCs/>
          <w:sz w:val="22"/>
          <w:szCs w:val="22"/>
        </w:rPr>
        <w:t>;</w:t>
      </w:r>
    </w:p>
    <w:p w14:paraId="2C89E3E3" w14:textId="77777777" w:rsidR="00B96299" w:rsidRPr="00B96299" w:rsidRDefault="00B96299" w:rsidP="00B96299">
      <w:pPr>
        <w:numPr>
          <w:ilvl w:val="0"/>
          <w:numId w:val="10"/>
        </w:numPr>
        <w:tabs>
          <w:tab w:val="clear" w:pos="1107"/>
          <w:tab w:val="num" w:pos="567"/>
        </w:tabs>
        <w:spacing w:after="240" w:line="320" w:lineRule="exact"/>
        <w:ind w:left="567" w:hanging="567"/>
        <w:jc w:val="both"/>
        <w:rPr>
          <w:rFonts w:ascii="Tahoma" w:eastAsia="Arial Unicode MS" w:hAnsi="Tahoma" w:cs="Tahoma"/>
          <w:iCs/>
          <w:sz w:val="22"/>
          <w:szCs w:val="22"/>
        </w:rPr>
      </w:pPr>
      <w:r w:rsidRPr="00B96299">
        <w:rPr>
          <w:rFonts w:ascii="Tahoma" w:eastAsia="Arial Unicode MS" w:hAnsi="Tahoma" w:cs="Tahoma"/>
          <w:iCs/>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Agente Centralizador seja parte; (ii) qualquer norma legal ou regulamentar a que o Agente Centralizador esteja sujeito; e (iii) qualquer ordem, decisão, ainda que liminar, judicial ou administrativa que afete o Agente Centralizador.</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w:t>
      </w:r>
      <w:r w:rsidR="002E10EB" w:rsidRPr="002E10EB">
        <w:rPr>
          <w:rFonts w:ascii="Tahoma" w:hAnsi="Tahoma" w:cs="Tahoma"/>
          <w:sz w:val="22"/>
          <w:szCs w:val="22"/>
        </w:rPr>
        <w:lastRenderedPageBreak/>
        <w:t xml:space="preserve">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lastRenderedPageBreak/>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lastRenderedPageBreak/>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0" w:name="_DV_M131"/>
      <w:bookmarkEnd w:id="10"/>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lastRenderedPageBreak/>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08174662"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encaminhar </w:t>
      </w:r>
      <w:r w:rsidR="00B96299">
        <w:rPr>
          <w:rFonts w:ascii="Tahoma" w:hAnsi="Tahoma" w:cs="Tahoma"/>
          <w:color w:val="000000"/>
          <w:sz w:val="22"/>
          <w:szCs w:val="22"/>
        </w:rPr>
        <w:t>mensalmente</w:t>
      </w:r>
      <w:r w:rsidRPr="0083244F">
        <w:rPr>
          <w:rFonts w:ascii="Tahoma" w:hAnsi="Tahoma" w:cs="Tahoma"/>
          <w:color w:val="000000"/>
          <w:sz w:val="22"/>
          <w:szCs w:val="22"/>
        </w:rPr>
        <w:t xml:space="preserve"> 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encaminhar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w:t>
      </w:r>
      <w:r w:rsidRPr="002C31A2">
        <w:rPr>
          <w:rFonts w:ascii="Tahoma" w:hAnsi="Tahoma" w:cs="Tahoma"/>
          <w:sz w:val="22"/>
          <w:szCs w:val="22"/>
        </w:rPr>
        <w:lastRenderedPageBreak/>
        <w:t xml:space="preserve">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w:t>
      </w:r>
      <w:r w:rsidRPr="002C31A2">
        <w:rPr>
          <w:rFonts w:ascii="Tahoma" w:hAnsi="Tahoma" w:cs="Tahoma"/>
          <w:sz w:val="22"/>
          <w:szCs w:val="22"/>
        </w:rPr>
        <w:lastRenderedPageBreak/>
        <w:t xml:space="preserve">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lastRenderedPageBreak/>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w:t>
      </w:r>
      <w:r w:rsidR="007C4592" w:rsidRPr="002C31A2">
        <w:rPr>
          <w:rFonts w:ascii="Tahoma" w:hAnsi="Tahoma" w:cs="Tahoma"/>
          <w:sz w:val="22"/>
          <w:szCs w:val="22"/>
        </w:rPr>
        <w:lastRenderedPageBreak/>
        <w:t>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lastRenderedPageBreak/>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w:t>
      </w:r>
      <w:r w:rsidR="007C4592" w:rsidRPr="002C31A2">
        <w:rPr>
          <w:rFonts w:ascii="Tahoma" w:hAnsi="Tahoma" w:cs="Tahoma"/>
          <w:sz w:val="22"/>
          <w:szCs w:val="22"/>
        </w:rPr>
        <w:lastRenderedPageBreak/>
        <w:t xml:space="preserve">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w:t>
      </w:r>
      <w:r w:rsidRPr="002C31A2">
        <w:rPr>
          <w:rFonts w:ascii="Tahoma" w:hAnsi="Tahoma" w:cs="Tahoma"/>
          <w:sz w:val="22"/>
          <w:szCs w:val="22"/>
        </w:rPr>
        <w:lastRenderedPageBreak/>
        <w:t xml:space="preserve">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1" w:name="_DV_M59"/>
      <w:bookmarkStart w:id="12" w:name="_DV_M62"/>
      <w:bookmarkEnd w:id="11"/>
      <w:bookmarkEnd w:id="12"/>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3" w:name="_DV_M226"/>
      <w:bookmarkEnd w:id="13"/>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.2. Se qualquer termo ou disposição deste Contrato for considerado por qualquer tribunal competente como sendo nulo, inválido ou inexequível, o restante deste Contrato não será afetado </w:t>
      </w:r>
      <w:r w:rsidR="007C4592" w:rsidRPr="002C31A2">
        <w:rPr>
          <w:rFonts w:ascii="Tahoma" w:eastAsia="Arial Unicode MS" w:hAnsi="Tahoma" w:cs="Tahoma"/>
          <w:sz w:val="22"/>
          <w:szCs w:val="22"/>
        </w:rPr>
        <w:lastRenderedPageBreak/>
        <w:t>por esta decisão, sendo que cada termo, avença e condição remanescente deste Contrato continuará válido e será cumprido na forma permitida na legislação aplicável.</w:t>
      </w:r>
      <w:bookmarkStart w:id="14" w:name="_DV_M228"/>
      <w:bookmarkEnd w:id="14"/>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5" w:name="_DV_C110"/>
      <w:r w:rsidR="007C4592" w:rsidRPr="002C31A2">
        <w:rPr>
          <w:rStyle w:val="DeltaViewInsertion"/>
          <w:rFonts w:ascii="Tahoma" w:eastAsia="Arial Unicode MS" w:hAnsi="Tahoma" w:cs="Tahoma"/>
          <w:color w:val="auto"/>
          <w:sz w:val="22"/>
          <w:szCs w:val="22"/>
          <w:u w:val="none"/>
        </w:rPr>
        <w:t xml:space="preserve">das outras </w:t>
      </w:r>
      <w:bookmarkStart w:id="16" w:name="_DV_M231"/>
      <w:bookmarkEnd w:id="15"/>
      <w:bookmarkEnd w:id="16"/>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w:t>
      </w:r>
      <w:r w:rsidR="007C4592" w:rsidRPr="002C31A2">
        <w:rPr>
          <w:rFonts w:ascii="Tahoma" w:eastAsia="Arial Unicode MS" w:hAnsi="Tahoma" w:cs="Tahoma"/>
          <w:sz w:val="22"/>
          <w:szCs w:val="22"/>
        </w:rPr>
        <w:lastRenderedPageBreak/>
        <w:t>(cinco)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lastRenderedPageBreak/>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7" w:name="_DV_M255"/>
      <w:bookmarkStart w:id="18" w:name="_DV_M257"/>
      <w:bookmarkEnd w:id="17"/>
      <w:bookmarkEnd w:id="18"/>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9" w:name="_DV_M48"/>
      <w:bookmarkEnd w:id="19"/>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09A5EACC"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6046F">
        <w:rPr>
          <w:rFonts w:ascii="Tahoma" w:hAnsi="Tahoma" w:cs="Tahoma"/>
          <w:sz w:val="22"/>
          <w:szCs w:val="22"/>
        </w:rPr>
        <w:t>___ abril de 2019</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Bocom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o Banco Bocom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B96299" w:rsidRPr="002C31A2" w14:paraId="5AFD8482" w14:textId="77777777" w:rsidTr="00B96299">
        <w:trPr>
          <w:jc w:val="center"/>
        </w:trPr>
        <w:tc>
          <w:tcPr>
            <w:tcW w:w="4757" w:type="dxa"/>
          </w:tcPr>
          <w:p w14:paraId="645D89D2"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25E1145F" w14:textId="5D975E00"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20"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20"/>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w:t>
      </w:r>
      <w:bookmarkStart w:id="21" w:name="_GoBack"/>
      <w:bookmarkEnd w:id="21"/>
      <w:r w:rsidR="00E129CE">
        <w:rPr>
          <w:rFonts w:ascii="Tahoma" w:eastAsia="Calibri" w:hAnsi="Tahoma" w:cs="Tahoma"/>
          <w:sz w:val="22"/>
          <w:szCs w:val="22"/>
        </w:rPr>
        <w:t>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0BA7A" w14:textId="77777777" w:rsidR="001E5211" w:rsidRDefault="001E5211">
      <w:r>
        <w:separator/>
      </w:r>
    </w:p>
  </w:endnote>
  <w:endnote w:type="continuationSeparator" w:id="0">
    <w:p w14:paraId="4FAD6E39" w14:textId="77777777" w:rsidR="001E5211" w:rsidRDefault="001E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700E" w14:textId="613BDD0A" w:rsidR="00B96299" w:rsidRPr="0085663B" w:rsidRDefault="00B96299" w:rsidP="0043404B">
    <w:pPr>
      <w:pStyle w:val="Rodap"/>
      <w:rPr>
        <w:rFonts w:ascii="Tahoma" w:hAnsi="Tahoma" w:cs="Tahoma"/>
        <w:sz w:val="18"/>
        <w:szCs w:val="18"/>
      </w:rPr>
    </w:pP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sidR="00934393">
      <w:rPr>
        <w:rFonts w:ascii="Tahoma" w:hAnsi="Tahoma" w:cs="Tahoma"/>
        <w:noProof/>
        <w:sz w:val="18"/>
        <w:szCs w:val="18"/>
      </w:rPr>
      <w:t>55</w:t>
    </w:r>
    <w:r w:rsidRPr="0085663B">
      <w:rPr>
        <w:rFonts w:ascii="Tahoma" w:hAnsi="Tahoma" w:cs="Tahoma"/>
        <w:sz w:val="18"/>
        <w:szCs w:val="18"/>
      </w:rPr>
      <w:fldChar w:fldCharType="end"/>
    </w:r>
  </w:p>
  <w:p w14:paraId="003086F3" w14:textId="77777777" w:rsidR="00B96299" w:rsidRDefault="00B96299" w:rsidP="0043404B">
    <w:pPr>
      <w:pStyle w:val="Rodap"/>
      <w:rPr>
        <w:color w:val="FFFFFF"/>
        <w:sz w:val="16"/>
      </w:rPr>
    </w:pPr>
    <w:r>
      <w:rPr>
        <w:color w:val="FFFFFF"/>
        <w:sz w:val="16"/>
      </w:rPr>
      <w:fldChar w:fldCharType="begin"/>
    </w:r>
    <w:r>
      <w:rPr>
        <w:color w:val="FFFFFF"/>
        <w:sz w:val="16"/>
      </w:rPr>
      <w:instrText xml:space="preserve"> DOCPROPERTY "iManageFooter"  \* MERGEFORMAT </w:instrText>
    </w:r>
    <w:r>
      <w:rPr>
        <w:color w:val="FFFFFF"/>
        <w:sz w:val="16"/>
      </w:rPr>
      <w:fldChar w:fldCharType="separate"/>
    </w:r>
  </w:p>
  <w:p w14:paraId="2F498734" w14:textId="2BDE09F3" w:rsidR="00B96299" w:rsidRPr="0043404B" w:rsidRDefault="00B96299" w:rsidP="0043404B">
    <w:pPr>
      <w:pStyle w:val="Rodap"/>
      <w:rPr>
        <w:color w:val="FFFFFF"/>
        <w:sz w:val="16"/>
      </w:rPr>
    </w:pPr>
    <w:r>
      <w:rPr>
        <w:color w:val="FFFFFF"/>
        <w:sz w:val="16"/>
      </w:rPr>
      <w:t xml:space="preserve">2921288v2 / 2232-1 </w:t>
    </w:r>
    <w:r>
      <w:rPr>
        <w:color w:val="FFFFF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96299" w:rsidRPr="00302B52" w:rsidRDefault="00B96299"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934393">
          <w:rPr>
            <w:rFonts w:ascii="Tahoma" w:hAnsi="Tahoma" w:cs="Tahoma"/>
            <w:noProof/>
            <w:sz w:val="22"/>
            <w:szCs w:val="22"/>
          </w:rPr>
          <w:t>1</w:t>
        </w:r>
        <w:r w:rsidRPr="00302B52">
          <w:rPr>
            <w:rFonts w:ascii="Tahoma" w:hAnsi="Tahoma" w:cs="Tahoma"/>
            <w:sz w:val="22"/>
            <w:szCs w:val="22"/>
          </w:rPr>
          <w:fldChar w:fldCharType="end"/>
        </w:r>
      </w:p>
    </w:sdtContent>
  </w:sdt>
  <w:p w14:paraId="77AF07C8" w14:textId="77777777" w:rsidR="00B96299" w:rsidRDefault="00B96299" w:rsidP="0043404B">
    <w:pPr>
      <w:pStyle w:val="Rodap"/>
      <w:rPr>
        <w:sz w:val="16"/>
      </w:rPr>
    </w:pPr>
    <w:r>
      <w:rPr>
        <w:sz w:val="16"/>
      </w:rPr>
      <w:fldChar w:fldCharType="begin"/>
    </w:r>
    <w:r>
      <w:rPr>
        <w:sz w:val="16"/>
      </w:rPr>
      <w:instrText xml:space="preserve"> DOCPROPERTY "iManageFooter"  \* MERGEFORMAT </w:instrText>
    </w:r>
    <w:r>
      <w:rPr>
        <w:sz w:val="16"/>
      </w:rPr>
      <w:fldChar w:fldCharType="separate"/>
    </w:r>
  </w:p>
  <w:p w14:paraId="7E77231A" w14:textId="046AE3BB" w:rsidR="00B96299" w:rsidRPr="0043404B" w:rsidRDefault="00B96299" w:rsidP="0043404B">
    <w:pPr>
      <w:pStyle w:val="Rodap"/>
      <w:rPr>
        <w:sz w:val="16"/>
      </w:rPr>
    </w:pP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CD2A" w14:textId="77777777" w:rsidR="001E5211" w:rsidRDefault="001E5211">
      <w:r>
        <w:separator/>
      </w:r>
    </w:p>
  </w:footnote>
  <w:footnote w:type="continuationSeparator" w:id="0">
    <w:p w14:paraId="2166A0B7" w14:textId="77777777" w:rsidR="001E5211" w:rsidRDefault="001E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8C4F" w14:textId="4CD92ADD" w:rsidR="00B96299" w:rsidRDefault="00B96299"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84D02"/>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A17D4-A39C-41C3-8AA6-D9FC1D74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22012</Words>
  <Characters>118866</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Thatiana Siqueira | Machado Meyer Advogados</cp:lastModifiedBy>
  <cp:revision>2</cp:revision>
  <cp:lastPrinted>2015-08-11T20:14:00Z</cp:lastPrinted>
  <dcterms:created xsi:type="dcterms:W3CDTF">2019-04-17T22:43:00Z</dcterms:created>
  <dcterms:modified xsi:type="dcterms:W3CDTF">2019-04-17T22:43:00Z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_x000d_2921288v2 / 2232-1 </vt:lpwstr>
  </property>
</Properties>
</file>