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FA" w:rsidRPr="001F665D" w:rsidRDefault="00DD188F" w:rsidP="00B5347E">
      <w:pPr>
        <w:widowControl w:val="0"/>
        <w:suppressAutoHyphens/>
        <w:spacing w:after="240" w:line="320" w:lineRule="exact"/>
        <w:jc w:val="both"/>
        <w:rPr>
          <w:b/>
          <w:caps/>
        </w:rPr>
      </w:pPr>
      <w:bookmarkStart w:id="0" w:name="_Ref426356774"/>
      <w:bookmarkStart w:id="1" w:name="_Toc427749867"/>
      <w:r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r w:rsidRPr="001F665D">
        <w:t>O presente “Instrume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Pr="001F665D">
        <w:rPr>
          <w:u w:val="single"/>
        </w:rPr>
        <w:t>Escritura de Emissão</w:t>
      </w:r>
      <w:r w:rsidRPr="001F665D">
        <w:t>”) é celebrado nesta data pelas seguintes partes (“</w:t>
      </w:r>
      <w:r w:rsidRPr="001F665D">
        <w:rPr>
          <w:u w:val="single"/>
        </w:rPr>
        <w:t>Partes</w:t>
      </w:r>
      <w:r w:rsidRPr="001F665D">
        <w:t>”):</w:t>
      </w:r>
    </w:p>
    <w:p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 xml:space="preserve">Rua Emílio </w:t>
      </w:r>
      <w:proofErr w:type="spellStart"/>
      <w:r w:rsidR="003D7F40" w:rsidRPr="001F665D">
        <w:rPr>
          <w:bCs/>
        </w:rPr>
        <w:t>Blum</w:t>
      </w:r>
      <w:proofErr w:type="spellEnd"/>
      <w:r w:rsidR="00F56FFA" w:rsidRPr="001F665D">
        <w:rPr>
          <w:bCs/>
        </w:rPr>
        <w:t>, </w:t>
      </w:r>
      <w:r w:rsidR="003D7F40" w:rsidRPr="001F665D">
        <w:rPr>
          <w:bCs/>
        </w:rPr>
        <w:t>83</w:t>
      </w:r>
      <w:r w:rsidR="00F56FFA" w:rsidRPr="001F665D">
        <w:rPr>
          <w:bCs/>
        </w:rPr>
        <w:t>, inscrita no Cadastro Nacional da Pessoa Jurídica do Ministério da Fazenda (“</w:t>
      </w:r>
      <w:r w:rsidR="00F56FFA" w:rsidRPr="001F665D">
        <w:rPr>
          <w:bCs/>
          <w:u w:val="single"/>
        </w:rPr>
        <w:t>CNPJ/MF</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rsidR="003D7F40" w:rsidRPr="001F665D"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com sede na Cidade do Rio de Janeiro, Estado do Rio de Janeiro, na Rua Sete de Setembro, nº 99, 24º andar, CEP 20050-005, inscrita no CNPJ/MF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CNPJ/MF sob o nº 15.227.994/0004-01, 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rsidR="00F56FFA" w:rsidRPr="001F665D" w:rsidRDefault="00F56FFA" w:rsidP="00B5347E">
      <w:pPr>
        <w:spacing w:after="240" w:line="320" w:lineRule="exact"/>
        <w:jc w:val="both"/>
        <w:outlineLvl w:val="0"/>
      </w:pPr>
      <w:r w:rsidRPr="001F665D">
        <w:t>E será regido pelas seguintes cláusulas, termos e condições:</w:t>
      </w:r>
    </w:p>
    <w:p w:rsidR="00F56FFA" w:rsidRPr="001F665D" w:rsidRDefault="00F56FFA" w:rsidP="00B5347E">
      <w:pPr>
        <w:pStyle w:val="Level1"/>
        <w:spacing w:before="0" w:after="240" w:line="320" w:lineRule="exact"/>
        <w:ind w:hanging="822"/>
        <w:rPr>
          <w:szCs w:val="22"/>
        </w:rPr>
      </w:pPr>
      <w:r w:rsidRPr="001F665D">
        <w:rPr>
          <w:szCs w:val="22"/>
        </w:rPr>
        <w:t>DAS AUTORIZAÇÕES</w:t>
      </w:r>
    </w:p>
    <w:p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na qual foram 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 xml:space="preserve">as condições da oferta pública de distribuição com esforços restritos de distribuição das Debêntures, nos termos da Lei n.º 6.385, de </w:t>
      </w:r>
      <w:r w:rsidRPr="001F665D">
        <w:rPr>
          <w:szCs w:val="22"/>
        </w:rPr>
        <w:lastRenderedPageBreak/>
        <w:t>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w:t>
      </w:r>
      <w:proofErr w:type="spellStart"/>
      <w:r w:rsidR="00731CAF" w:rsidRPr="001F665D">
        <w:rPr>
          <w:szCs w:val="22"/>
        </w:rPr>
        <w:t>rerratificada</w:t>
      </w:r>
      <w:proofErr w:type="spellEnd"/>
      <w:r w:rsidR="00731CAF" w:rsidRPr="001F665D">
        <w:rPr>
          <w:szCs w:val="22"/>
        </w:rPr>
        <w:t xml:space="preserve"> conforme a Reunião de Conselho de Administração da Emissora, realizada em </w:t>
      </w:r>
      <w:r w:rsidR="008F009A" w:rsidRPr="001F665D">
        <w:rPr>
          <w:szCs w:val="22"/>
        </w:rPr>
        <w:t>[--] de [--] de 201</w:t>
      </w:r>
      <w:r w:rsidR="00AC159F">
        <w:rPr>
          <w:szCs w:val="22"/>
        </w:rPr>
        <w:t>9</w:t>
      </w:r>
      <w:r w:rsidR="00731CAF" w:rsidRPr="001F665D">
        <w:rPr>
          <w:szCs w:val="22"/>
        </w:rPr>
        <w:t xml:space="preserve"> (“</w:t>
      </w:r>
      <w:r w:rsidR="00731CAF" w:rsidRPr="001F665D">
        <w:rPr>
          <w:szCs w:val="22"/>
          <w:u w:val="single"/>
        </w:rPr>
        <w:t xml:space="preserve">RCA de </w:t>
      </w:r>
      <w:proofErr w:type="spellStart"/>
      <w:r w:rsidR="00731CAF" w:rsidRPr="001F665D">
        <w:rPr>
          <w:szCs w:val="22"/>
          <w:u w:val="single"/>
        </w:rPr>
        <w:t>Rerratificação</w:t>
      </w:r>
      <w:proofErr w:type="spellEnd"/>
      <w:r w:rsidR="00731CAF" w:rsidRPr="001F665D">
        <w:rPr>
          <w:szCs w:val="22"/>
          <w:u w:val="single"/>
        </w:rPr>
        <w:t>”</w:t>
      </w:r>
      <w:r w:rsidR="00731CAF" w:rsidRPr="001F665D">
        <w:rPr>
          <w:szCs w:val="22"/>
        </w:rPr>
        <w:t>)</w:t>
      </w:r>
      <w:r w:rsidR="0082347B" w:rsidRPr="001F665D">
        <w:rPr>
          <w:szCs w:val="22"/>
        </w:rPr>
        <w:t>.</w:t>
      </w:r>
    </w:p>
    <w:p w:rsidR="00F56FFA" w:rsidRPr="001F665D" w:rsidRDefault="00F56FFA" w:rsidP="00B5347E">
      <w:pPr>
        <w:pStyle w:val="Level1"/>
        <w:spacing w:before="0" w:after="240" w:line="320" w:lineRule="exact"/>
        <w:ind w:hanging="822"/>
        <w:rPr>
          <w:szCs w:val="22"/>
        </w:rPr>
      </w:pPr>
      <w:bookmarkStart w:id="3" w:name="_Ref382084961"/>
      <w:r w:rsidRPr="001F665D">
        <w:rPr>
          <w:szCs w:val="22"/>
        </w:rPr>
        <w:t>DOS REQUISITOS</w:t>
      </w:r>
      <w:bookmarkEnd w:id="3"/>
    </w:p>
    <w:p w:rsidR="00F56FFA" w:rsidRPr="001F665D" w:rsidRDefault="00F56FFA" w:rsidP="00B5347E">
      <w:pPr>
        <w:pStyle w:val="Level2"/>
        <w:spacing w:after="240" w:line="320" w:lineRule="exact"/>
        <w:rPr>
          <w:szCs w:val="22"/>
        </w:rPr>
      </w:pPr>
      <w:bookmarkStart w:id="4" w:name="_Ref416107050"/>
      <w:r w:rsidRPr="001F665D">
        <w:rPr>
          <w:szCs w:val="22"/>
        </w:rPr>
        <w:t>A Emissão e a Oferta Restrita serão realizadas em observância aos seguintes requisitos:</w:t>
      </w:r>
      <w:bookmarkEnd w:id="4"/>
    </w:p>
    <w:p w:rsidR="00F56FFA" w:rsidRPr="001F665D" w:rsidRDefault="00F56FFA" w:rsidP="00B5347E">
      <w:pPr>
        <w:pStyle w:val="Level4"/>
        <w:spacing w:after="240" w:line="320" w:lineRule="exact"/>
      </w:pPr>
      <w:bookmarkStart w:id="5"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5"/>
    </w:p>
    <w:p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rsidR="00F56FFA" w:rsidRPr="001F665D" w:rsidRDefault="00F56FFA" w:rsidP="00B5347E">
      <w:pPr>
        <w:pStyle w:val="Level4"/>
        <w:spacing w:after="240" w:line="320" w:lineRule="exact"/>
      </w:pPr>
      <w:r w:rsidRPr="001F665D">
        <w:rPr>
          <w:u w:val="single"/>
        </w:rPr>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w:t>
      </w:r>
      <w:proofErr w:type="spellStart"/>
      <w:r w:rsidR="005F3493" w:rsidRPr="001F665D">
        <w:rPr>
          <w:u w:val="single"/>
        </w:rPr>
        <w:t>Rerratificação</w:t>
      </w:r>
      <w:proofErr w:type="spellEnd"/>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w:t>
      </w:r>
      <w:proofErr w:type="spellStart"/>
      <w:r w:rsidR="00731CAF" w:rsidRPr="001F665D">
        <w:t>Rerratificação</w:t>
      </w:r>
      <w:proofErr w:type="spellEnd"/>
      <w:r w:rsidR="00731CAF" w:rsidRPr="001F665D">
        <w:t xml:space="preserve">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rsidR="00F56FFA" w:rsidRPr="001F665D" w:rsidRDefault="00F56FFA" w:rsidP="00B5347E">
      <w:pPr>
        <w:pStyle w:val="Level4"/>
        <w:spacing w:after="240" w:line="320" w:lineRule="exact"/>
      </w:pPr>
      <w:bookmarkStart w:id="6"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6"/>
    </w:p>
    <w:p w:rsidR="00F56FFA" w:rsidRPr="001F665D" w:rsidRDefault="00F56FFA" w:rsidP="00B5347E">
      <w:pPr>
        <w:pStyle w:val="Level4"/>
        <w:spacing w:after="240" w:line="320" w:lineRule="exact"/>
      </w:pPr>
      <w:bookmarkStart w:id="7" w:name="_Ref417651163"/>
      <w:r w:rsidRPr="001F665D">
        <w:rPr>
          <w:bCs/>
          <w:u w:val="single"/>
        </w:rPr>
        <w:t>Constituição da Garantia.</w:t>
      </w:r>
      <w:r w:rsidRPr="001F665D">
        <w:rPr>
          <w:bCs/>
        </w:rPr>
        <w:t xml:space="preserve"> Nos termos da Cláusula </w:t>
      </w:r>
      <w:r w:rsidR="000416A9">
        <w:rPr>
          <w:bCs/>
        </w:rPr>
        <w:t>6.14 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w:t>
      </w:r>
      <w:r w:rsidRPr="001F665D">
        <w:lastRenderedPageBreak/>
        <w:t xml:space="preserve">mediante o registro </w:t>
      </w:r>
      <w:r w:rsidR="006C34DF" w:rsidRPr="001F665D">
        <w:t>do Contrato de Cessão Fiduciária</w:t>
      </w:r>
      <w:r w:rsidRPr="001F665D">
        <w:t xml:space="preserve"> nos Cartórios de Registro de Títulos e Documentos competentes; e</w:t>
      </w:r>
      <w:bookmarkEnd w:id="7"/>
    </w:p>
    <w:p w:rsidR="00F56FFA" w:rsidRPr="001F665D" w:rsidRDefault="00F56FFA" w:rsidP="00B5347E">
      <w:pPr>
        <w:pStyle w:val="Level4"/>
        <w:spacing w:after="240" w:line="320" w:lineRule="exact"/>
        <w:rPr>
          <w:b/>
        </w:rPr>
      </w:pPr>
      <w:bookmarkStart w:id="8" w:name="_DV_M19"/>
      <w:bookmarkStart w:id="9" w:name="_Ref382067153"/>
      <w:bookmarkEnd w:id="8"/>
      <w:r w:rsidRPr="001F665D">
        <w:rPr>
          <w:u w:val="single"/>
        </w:rPr>
        <w:t>Registro para Distribuição, Negociação e Custódia Eletrônica</w:t>
      </w:r>
      <w:r w:rsidRPr="001F665D">
        <w:t xml:space="preserve">. As Debêntures serão </w:t>
      </w:r>
      <w:r w:rsidR="005F3493" w:rsidRPr="001F665D">
        <w:t xml:space="preserve">depositadas </w:t>
      </w:r>
      <w:r w:rsidRPr="001F665D">
        <w:t>para (a) distribuição no mercado primário por meio do Módulo de Distribuição de Ativos (“</w:t>
      </w:r>
      <w:r w:rsidRPr="001F665D">
        <w:rPr>
          <w:u w:val="single"/>
        </w:rPr>
        <w:t>MDA</w:t>
      </w:r>
      <w:r w:rsidRPr="001F665D">
        <w:t xml:space="preserve">”), administrado e operacionalizado pela </w:t>
      </w:r>
      <w:r w:rsidR="00107B17" w:rsidRPr="001F665D">
        <w:t>B3</w:t>
      </w:r>
      <w:r w:rsidRPr="001F665D">
        <w:t xml:space="preserve">, sendo a distribuição liquidada financeiramente por meio da </w:t>
      </w:r>
      <w:r w:rsidR="00107B17" w:rsidRPr="001F665D">
        <w:t>B3</w:t>
      </w:r>
      <w:r w:rsidRPr="001F665D">
        <w:t>; e (b) negociação no mercado secundário por meio do CETIP21 – Títulos e Valores Mobiliários (“</w:t>
      </w:r>
      <w:r w:rsidRPr="001F665D">
        <w:rPr>
          <w:u w:val="single"/>
        </w:rPr>
        <w:t>CETIP21</w:t>
      </w:r>
      <w:r w:rsidR="00107B17" w:rsidRPr="001F665D">
        <w:t xml:space="preserve">”), </w:t>
      </w:r>
      <w:r w:rsidRPr="001F665D">
        <w:t xml:space="preserve">sendo as negociações liquidadas financeiramente e as Debêntures custodiadas eletronicamente na </w:t>
      </w:r>
      <w:bookmarkEnd w:id="9"/>
      <w:r w:rsidR="00107B17" w:rsidRPr="001F665D">
        <w:t>B3</w:t>
      </w:r>
      <w:bookmarkStart w:id="10" w:name="_DV_M22"/>
      <w:bookmarkEnd w:id="10"/>
      <w:r w:rsidR="00107B17" w:rsidRPr="001F665D">
        <w:t>.</w:t>
      </w:r>
    </w:p>
    <w:p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EB15A5" w:rsidRPr="001F665D">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 xml:space="preserve">ada subscrição ou aquisição,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t>OBJETO SOCIAL DA EMISSORA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rsidR="00F56FFA" w:rsidRPr="001F665D" w:rsidRDefault="00F56FFA" w:rsidP="00B5347E">
      <w:pPr>
        <w:pStyle w:val="Level1"/>
        <w:numPr>
          <w:ilvl w:val="0"/>
          <w:numId w:val="52"/>
        </w:numPr>
        <w:spacing w:before="0" w:after="240" w:line="320" w:lineRule="exact"/>
        <w:ind w:hanging="822"/>
        <w:rPr>
          <w:color w:val="000000"/>
          <w:szCs w:val="22"/>
        </w:rPr>
      </w:pPr>
      <w:bookmarkStart w:id="11" w:name="_Ref382075400"/>
      <w:r w:rsidRPr="001F665D">
        <w:rPr>
          <w:szCs w:val="22"/>
        </w:rPr>
        <w:t>DESTINAÇÃO DE RECURSOS</w:t>
      </w:r>
      <w:bookmarkEnd w:id="11"/>
    </w:p>
    <w:p w:rsidR="00F56FFA" w:rsidRPr="001F665D" w:rsidRDefault="00F56FFA" w:rsidP="00E17290">
      <w:pPr>
        <w:pStyle w:val="Level2"/>
        <w:numPr>
          <w:ilvl w:val="1"/>
          <w:numId w:val="52"/>
        </w:numPr>
        <w:spacing w:after="240" w:line="320" w:lineRule="exact"/>
        <w:rPr>
          <w:color w:val="000000"/>
          <w:szCs w:val="22"/>
        </w:rPr>
      </w:pPr>
      <w:bookmarkStart w:id="12" w:name="_Ref382145219"/>
      <w:r w:rsidRPr="001F665D">
        <w:rPr>
          <w:kern w:val="0"/>
          <w:szCs w:val="22"/>
        </w:rPr>
        <w:t xml:space="preserve">Os recursos líquidos obtidos pela Emissora com a Emissão serão destinados </w:t>
      </w:r>
      <w:bookmarkEnd w:id="12"/>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w:t>
      </w:r>
      <w:r w:rsidR="00963A05" w:rsidRPr="001F665D">
        <w:rPr>
          <w:kern w:val="0"/>
          <w:szCs w:val="22"/>
        </w:rPr>
        <w:lastRenderedPageBreak/>
        <w:t xml:space="preserve">de Investimentos em Direitos Creditórios </w:t>
      </w:r>
      <w:proofErr w:type="spellStart"/>
      <w:r w:rsidR="00963A05" w:rsidRPr="001F665D">
        <w:rPr>
          <w:kern w:val="0"/>
          <w:szCs w:val="22"/>
        </w:rPr>
        <w:t>Casan</w:t>
      </w:r>
      <w:proofErr w:type="spellEnd"/>
      <w:r w:rsidR="00963A05" w:rsidRPr="001F665D">
        <w:rPr>
          <w:kern w:val="0"/>
          <w:szCs w:val="22"/>
        </w:rPr>
        <w:t xml:space="preserve">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 xml:space="preserve">liquidação do ajuste </w:t>
      </w:r>
      <w:r w:rsidR="00E17290" w:rsidRPr="001F665D">
        <w:rPr>
          <w:kern w:val="0"/>
          <w:szCs w:val="22"/>
        </w:rPr>
        <w:t>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a cédula de crédito bancário nº [</w:t>
      </w:r>
      <w:r w:rsidR="005F21B0" w:rsidRPr="00F8734F">
        <w:rPr>
          <w:kern w:val="0"/>
          <w:szCs w:val="22"/>
          <w:highlight w:val="yellow"/>
        </w:rPr>
        <w:t>--</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w:t>
      </w:r>
      <w:bookmarkStart w:id="13" w:name="_GoBack"/>
      <w:bookmarkEnd w:id="13"/>
      <w:r w:rsidR="005F21B0">
        <w:rPr>
          <w:kern w:val="0"/>
          <w:szCs w:val="22"/>
        </w:rPr>
        <w:t>S.A.</w:t>
      </w:r>
      <w:r w:rsidR="0090570C" w:rsidRPr="001F665D">
        <w:rPr>
          <w:kern w:val="0"/>
          <w:szCs w:val="22"/>
        </w:rPr>
        <w:t xml:space="preserve"> </w:t>
      </w:r>
    </w:p>
    <w:p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rsidR="00F56FFA" w:rsidRPr="001F665D" w:rsidRDefault="00F56FFA" w:rsidP="00B5347E">
      <w:pPr>
        <w:pStyle w:val="Level2"/>
        <w:numPr>
          <w:ilvl w:val="1"/>
          <w:numId w:val="52"/>
        </w:numPr>
        <w:spacing w:after="240" w:line="320" w:lineRule="exact"/>
        <w:rPr>
          <w:szCs w:val="22"/>
        </w:rPr>
      </w:pPr>
      <w:r w:rsidRPr="001F665D">
        <w:rPr>
          <w:szCs w:val="22"/>
          <w:u w:val="single"/>
        </w:rPr>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8E04B1" w:rsidRPr="001F665D">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rsidR="00D86D41" w:rsidRPr="001F665D" w:rsidRDefault="00F56FFA" w:rsidP="00B5347E">
      <w:pPr>
        <w:pStyle w:val="Level2"/>
        <w:numPr>
          <w:ilvl w:val="1"/>
          <w:numId w:val="52"/>
        </w:numPr>
        <w:spacing w:after="240" w:line="320" w:lineRule="exact"/>
        <w:rPr>
          <w:szCs w:val="22"/>
        </w:rPr>
      </w:pPr>
      <w:bookmarkStart w:id="14" w:name="_DV_M52"/>
      <w:bookmarkEnd w:id="14"/>
      <w:r w:rsidRPr="001F665D">
        <w:rPr>
          <w:szCs w:val="22"/>
          <w:u w:val="single"/>
        </w:rPr>
        <w:t>Quantidade de Debêntures</w:t>
      </w:r>
      <w:r w:rsidRPr="001F665D">
        <w:rPr>
          <w:szCs w:val="22"/>
        </w:rPr>
        <w:t xml:space="preserve">. </w:t>
      </w:r>
      <w:bookmarkStart w:id="15" w:name="_DV_M70"/>
      <w:bookmarkStart w:id="16" w:name="_DV_M72"/>
      <w:bookmarkStart w:id="17" w:name="_DV_M73"/>
      <w:bookmarkEnd w:id="15"/>
      <w:bookmarkEnd w:id="16"/>
      <w:bookmarkEnd w:id="17"/>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rsidR="006A3692" w:rsidRPr="001F665D" w:rsidRDefault="00F56FFA" w:rsidP="00B5347E">
      <w:pPr>
        <w:pStyle w:val="Level2"/>
        <w:spacing w:after="240" w:line="320" w:lineRule="exact"/>
        <w:rPr>
          <w:szCs w:val="22"/>
        </w:rPr>
      </w:pPr>
      <w:r w:rsidRPr="001F665D">
        <w:rPr>
          <w:szCs w:val="22"/>
          <w:u w:val="single"/>
        </w:rPr>
        <w:t xml:space="preserve">Banco Liquidante e </w:t>
      </w:r>
      <w:proofErr w:type="spellStart"/>
      <w:r w:rsidRPr="001F665D">
        <w:rPr>
          <w:szCs w:val="22"/>
          <w:u w:val="single"/>
        </w:rPr>
        <w:t>Escriturador</w:t>
      </w:r>
      <w:proofErr w:type="spellEnd"/>
      <w:r w:rsidRPr="001F665D">
        <w:rPr>
          <w:szCs w:val="22"/>
        </w:rPr>
        <w:t xml:space="preserve">. </w:t>
      </w:r>
      <w:r w:rsidR="00F04910" w:rsidRPr="001F665D">
        <w:rPr>
          <w:szCs w:val="22"/>
        </w:rPr>
        <w:t>A instituição prestadora de serviços de escrituração das Debêntures será</w:t>
      </w:r>
      <w:r w:rsidR="00963A05" w:rsidRPr="001F665D">
        <w:rPr>
          <w:szCs w:val="22"/>
        </w:rPr>
        <w:t xml:space="preserve"> a [--]</w:t>
      </w:r>
      <w:r w:rsidR="00F04910" w:rsidRPr="001F665D">
        <w:rPr>
          <w:szCs w:val="22"/>
        </w:rPr>
        <w:t xml:space="preserve"> instituição financeira com sede na Cidade de </w:t>
      </w:r>
      <w:r w:rsidR="00963A05" w:rsidRPr="001F665D">
        <w:rPr>
          <w:szCs w:val="22"/>
        </w:rPr>
        <w:t>[--]</w:t>
      </w:r>
      <w:r w:rsidR="00F04910" w:rsidRPr="001F665D">
        <w:rPr>
          <w:szCs w:val="22"/>
        </w:rPr>
        <w:t xml:space="preserve">, Estado de </w:t>
      </w:r>
      <w:r w:rsidR="00963A05" w:rsidRPr="001F665D">
        <w:rPr>
          <w:szCs w:val="22"/>
        </w:rPr>
        <w:t>[--]</w:t>
      </w:r>
      <w:r w:rsidR="00F04910" w:rsidRPr="001F665D">
        <w:rPr>
          <w:szCs w:val="22"/>
        </w:rPr>
        <w:t xml:space="preserve">, na </w:t>
      </w:r>
      <w:r w:rsidR="00963A05" w:rsidRPr="001F665D">
        <w:rPr>
          <w:szCs w:val="22"/>
        </w:rPr>
        <w:t>[--]</w:t>
      </w:r>
      <w:r w:rsidR="00F04910" w:rsidRPr="001F665D">
        <w:rPr>
          <w:szCs w:val="22"/>
        </w:rPr>
        <w:t xml:space="preserve">, inscrita no CNPJ/MF sob o </w:t>
      </w:r>
      <w:r w:rsidR="00963A05" w:rsidRPr="001F665D">
        <w:rPr>
          <w:szCs w:val="22"/>
        </w:rPr>
        <w:t>[--]</w:t>
      </w:r>
      <w:r w:rsidR="00F04910" w:rsidRPr="001F665D" w:rsidDel="00C444FA">
        <w:rPr>
          <w:szCs w:val="22"/>
        </w:rPr>
        <w:t xml:space="preserve"> </w:t>
      </w:r>
      <w:r w:rsidR="00F04910" w:rsidRPr="001F665D">
        <w:rPr>
          <w:szCs w:val="22"/>
        </w:rPr>
        <w:t>("</w:t>
      </w:r>
      <w:proofErr w:type="spellStart"/>
      <w:r w:rsidR="00F04910" w:rsidRPr="001F665D">
        <w:rPr>
          <w:szCs w:val="22"/>
          <w:u w:val="single"/>
        </w:rPr>
        <w:t>Escriturador</w:t>
      </w:r>
      <w:proofErr w:type="spellEnd"/>
      <w:r w:rsidR="00F04910" w:rsidRPr="001F665D">
        <w:rPr>
          <w:szCs w:val="22"/>
        </w:rPr>
        <w:t xml:space="preserve">"). O banco liquidante da presente Emissão será o </w:t>
      </w:r>
      <w:r w:rsidR="00963A05" w:rsidRPr="001F665D">
        <w:rPr>
          <w:szCs w:val="22"/>
        </w:rPr>
        <w:t xml:space="preserve">[--], </w:t>
      </w:r>
      <w:r w:rsidR="00F04910" w:rsidRPr="001F665D">
        <w:rPr>
          <w:szCs w:val="22"/>
        </w:rPr>
        <w:t xml:space="preserve">instituição financeira com sede na Cidade de </w:t>
      </w:r>
      <w:r w:rsidR="00963A05" w:rsidRPr="001F665D">
        <w:rPr>
          <w:szCs w:val="22"/>
        </w:rPr>
        <w:t>[--]</w:t>
      </w:r>
      <w:r w:rsidR="00F04910" w:rsidRPr="001F665D">
        <w:rPr>
          <w:szCs w:val="22"/>
        </w:rPr>
        <w:t xml:space="preserve">, Estado de </w:t>
      </w:r>
      <w:r w:rsidR="00963A05" w:rsidRPr="001F665D">
        <w:rPr>
          <w:szCs w:val="22"/>
        </w:rPr>
        <w:t>[--]</w:t>
      </w:r>
      <w:r w:rsidR="00F04910" w:rsidRPr="001F665D">
        <w:rPr>
          <w:szCs w:val="22"/>
        </w:rPr>
        <w:t xml:space="preserve">, na </w:t>
      </w:r>
      <w:r w:rsidR="00963A05" w:rsidRPr="001F665D">
        <w:rPr>
          <w:szCs w:val="22"/>
        </w:rPr>
        <w:t>[--]</w:t>
      </w:r>
      <w:r w:rsidR="00F04910" w:rsidRPr="001F665D">
        <w:rPr>
          <w:szCs w:val="22"/>
        </w:rPr>
        <w:t xml:space="preserve">, inscrita no CNPJ/MF sob o n.º </w:t>
      </w:r>
      <w:r w:rsidR="00963A05" w:rsidRPr="001F665D">
        <w:rPr>
          <w:szCs w:val="22"/>
        </w:rPr>
        <w:t xml:space="preserve">[--] </w:t>
      </w:r>
      <w:r w:rsidR="00F04910" w:rsidRPr="001F665D">
        <w:rPr>
          <w:szCs w:val="22"/>
        </w:rPr>
        <w:t>(“</w:t>
      </w:r>
      <w:r w:rsidR="00F04910" w:rsidRPr="001F665D">
        <w:rPr>
          <w:szCs w:val="22"/>
          <w:u w:val="single"/>
        </w:rPr>
        <w:t>Banco Liquidante</w:t>
      </w:r>
      <w:r w:rsidR="00F04910" w:rsidRPr="001F665D">
        <w:rPr>
          <w:szCs w:val="22"/>
        </w:rPr>
        <w:t xml:space="preserve">” e, em conjunto com o </w:t>
      </w:r>
      <w:proofErr w:type="spellStart"/>
      <w:r w:rsidR="00F04910" w:rsidRPr="001F665D">
        <w:rPr>
          <w:szCs w:val="22"/>
        </w:rPr>
        <w:t>Escriturador</w:t>
      </w:r>
      <w:proofErr w:type="spellEnd"/>
      <w:r w:rsidR="00F04910" w:rsidRPr="001F665D">
        <w:rPr>
          <w:szCs w:val="22"/>
        </w:rPr>
        <w:t>, o “</w:t>
      </w:r>
      <w:r w:rsidR="00F04910" w:rsidRPr="001F665D">
        <w:rPr>
          <w:szCs w:val="22"/>
          <w:u w:val="single"/>
        </w:rPr>
        <w:t xml:space="preserve">Banco Liquidante e </w:t>
      </w:r>
      <w:proofErr w:type="spellStart"/>
      <w:r w:rsidR="00F04910" w:rsidRPr="001F665D">
        <w:rPr>
          <w:szCs w:val="22"/>
          <w:u w:val="single"/>
        </w:rPr>
        <w:t>Escriturador</w:t>
      </w:r>
      <w:proofErr w:type="spellEnd"/>
      <w:r w:rsidR="00F04910" w:rsidRPr="001F665D">
        <w:rPr>
          <w:szCs w:val="22"/>
        </w:rPr>
        <w:t>”)</w:t>
      </w:r>
      <w:r w:rsidRPr="001F665D">
        <w:rPr>
          <w:szCs w:val="22"/>
        </w:rPr>
        <w:t>.</w:t>
      </w:r>
      <w:r w:rsidR="00F04910" w:rsidRPr="001F665D">
        <w:rPr>
          <w:szCs w:val="22"/>
        </w:rPr>
        <w:t xml:space="preserve"> </w:t>
      </w:r>
    </w:p>
    <w:p w:rsidR="00F56FFA" w:rsidRPr="001F665D" w:rsidRDefault="00F56FFA" w:rsidP="00B5347E">
      <w:pPr>
        <w:pStyle w:val="Level2"/>
        <w:numPr>
          <w:ilvl w:val="1"/>
          <w:numId w:val="52"/>
        </w:numPr>
        <w:spacing w:after="240" w:line="320" w:lineRule="exact"/>
        <w:rPr>
          <w:color w:val="000000"/>
          <w:szCs w:val="22"/>
        </w:rPr>
      </w:pPr>
      <w:bookmarkStart w:id="18"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Banco Liquidante e </w:t>
      </w:r>
      <w:proofErr w:type="spellStart"/>
      <w:r w:rsidRPr="001F665D">
        <w:rPr>
          <w:szCs w:val="22"/>
        </w:rPr>
        <w:t>Escriturador</w:t>
      </w:r>
      <w:proofErr w:type="spellEnd"/>
      <w:r w:rsidRPr="001F665D">
        <w:rPr>
          <w:szCs w:val="22"/>
        </w:rPr>
        <w:t xml:space="preserve">,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Banco Liquidante e </w:t>
      </w:r>
      <w:proofErr w:type="spellStart"/>
      <w:r w:rsidRPr="001F665D">
        <w:rPr>
          <w:szCs w:val="22"/>
        </w:rPr>
        <w:t>Escriturador</w:t>
      </w:r>
      <w:proofErr w:type="spellEnd"/>
      <w:r w:rsidRPr="001F665D">
        <w:rPr>
          <w:szCs w:val="22"/>
        </w:rPr>
        <w:t>, sob pena de ter descontado dos rendimentos das Debêntures os valores devidos nos termos da legislação tributária em vigor.</w:t>
      </w:r>
      <w:bookmarkEnd w:id="18"/>
    </w:p>
    <w:p w:rsidR="00F56FFA" w:rsidRPr="001F665D" w:rsidRDefault="00F56FFA" w:rsidP="00B5347E">
      <w:pPr>
        <w:pStyle w:val="Level3"/>
        <w:numPr>
          <w:ilvl w:val="2"/>
          <w:numId w:val="52"/>
        </w:numPr>
        <w:spacing w:after="240" w:line="320" w:lineRule="exact"/>
        <w:rPr>
          <w:szCs w:val="22"/>
        </w:rPr>
      </w:pPr>
      <w:bookmarkStart w:id="19"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8E04B1" w:rsidRPr="001F665D">
        <w:rPr>
          <w:szCs w:val="22"/>
        </w:rPr>
        <w:t>5.6 acima</w:t>
      </w:r>
      <w:r w:rsidR="009B19E3" w:rsidRPr="001F665D">
        <w:rPr>
          <w:szCs w:val="22"/>
        </w:rPr>
        <w:fldChar w:fldCharType="end"/>
      </w:r>
      <w:r w:rsidRPr="001F665D">
        <w:rPr>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1F665D">
        <w:rPr>
          <w:szCs w:val="22"/>
        </w:rPr>
        <w:t>nesta</w:t>
      </w:r>
      <w:proofErr w:type="spellEnd"/>
      <w:r w:rsidRPr="001F665D">
        <w:rPr>
          <w:szCs w:val="22"/>
        </w:rPr>
        <w:t xml:space="preserve">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6665F7" w:rsidRPr="001F665D">
        <w:rPr>
          <w:szCs w:val="22"/>
        </w:rPr>
        <w:t>5.6.1</w:t>
      </w:r>
      <w:r w:rsidR="009B19E3" w:rsidRPr="001F665D">
        <w:rPr>
          <w:szCs w:val="22"/>
        </w:rPr>
        <w:fldChar w:fldCharType="end"/>
      </w:r>
      <w:r w:rsidRPr="001F665D">
        <w:rPr>
          <w:szCs w:val="22"/>
        </w:rPr>
        <w:t xml:space="preserve">, deverá comunicar esse fato, de forma detalhada e por escrito, ao Banco Liquidante e </w:t>
      </w:r>
      <w:proofErr w:type="spellStart"/>
      <w:r w:rsidRPr="001F665D">
        <w:rPr>
          <w:szCs w:val="22"/>
        </w:rPr>
        <w:t>Escriturador</w:t>
      </w:r>
      <w:proofErr w:type="spellEnd"/>
      <w:r w:rsidRPr="001F665D">
        <w:rPr>
          <w:szCs w:val="22"/>
        </w:rPr>
        <w:t xml:space="preserve">, com </w:t>
      </w:r>
      <w:r w:rsidRPr="001F665D">
        <w:rPr>
          <w:szCs w:val="22"/>
        </w:rPr>
        <w:lastRenderedPageBreak/>
        <w:t xml:space="preserve">cópia para a Emissora, bem como prestar qualquer informação adicional em relação ao tema que lhe seja solicitada pelo Banco Liquidante e </w:t>
      </w:r>
      <w:proofErr w:type="spellStart"/>
      <w:r w:rsidRPr="001F665D">
        <w:rPr>
          <w:szCs w:val="22"/>
        </w:rPr>
        <w:t>Escriturador</w:t>
      </w:r>
      <w:proofErr w:type="spellEnd"/>
      <w:r w:rsidRPr="001F665D">
        <w:rPr>
          <w:szCs w:val="22"/>
        </w:rPr>
        <w:t xml:space="preserve"> ou pela Emissora.</w:t>
      </w:r>
      <w:bookmarkEnd w:id="19"/>
    </w:p>
    <w:p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6665F7" w:rsidRPr="001F665D">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rsidR="00F56FFA" w:rsidRPr="001F665D" w:rsidRDefault="0082347B" w:rsidP="00B5347E">
      <w:pPr>
        <w:pStyle w:val="Level2"/>
        <w:numPr>
          <w:ilvl w:val="1"/>
          <w:numId w:val="52"/>
        </w:numPr>
        <w:spacing w:after="240" w:line="320" w:lineRule="exact"/>
        <w:rPr>
          <w:szCs w:val="22"/>
        </w:rPr>
      </w:pPr>
      <w:bookmarkStart w:id="20"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instituições 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rsidR="00F56FFA" w:rsidRPr="001F665D" w:rsidRDefault="00F56FFA" w:rsidP="00B5347E">
      <w:pPr>
        <w:pStyle w:val="Level3"/>
        <w:numPr>
          <w:ilvl w:val="2"/>
          <w:numId w:val="52"/>
        </w:numPr>
        <w:spacing w:after="240" w:line="320" w:lineRule="exact"/>
        <w:rPr>
          <w:szCs w:val="22"/>
        </w:rPr>
      </w:pPr>
      <w:bookmarkStart w:id="21"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1"/>
    </w:p>
    <w:p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8E04B1" w:rsidRPr="001F665D">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2"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2"/>
      <w:r w:rsidR="008C3F18" w:rsidRPr="001F665D">
        <w:rPr>
          <w:szCs w:val="22"/>
        </w:rPr>
        <w:t xml:space="preserve"> </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8E04B1" w:rsidRPr="001F665D">
        <w:rPr>
          <w:szCs w:val="22"/>
        </w:rPr>
        <w:t>5.7.1 acima</w:t>
      </w:r>
      <w:r w:rsidR="009B19E3" w:rsidRPr="001F665D">
        <w:rPr>
          <w:szCs w:val="22"/>
        </w:rPr>
        <w:fldChar w:fldCharType="end"/>
      </w:r>
      <w:r w:rsidRPr="001F665D">
        <w:rPr>
          <w:szCs w:val="22"/>
        </w:rPr>
        <w:t xml:space="preserve"> e no Contrato de Distribuição.</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20"/>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pelo </w:t>
      </w:r>
      <w:proofErr w:type="spellStart"/>
      <w:r w:rsidRPr="001F665D">
        <w:rPr>
          <w:szCs w:val="22"/>
        </w:rPr>
        <w:t>Escriturador</w:t>
      </w:r>
      <w:proofErr w:type="spellEnd"/>
      <w:r w:rsidRPr="001F665D">
        <w:rPr>
          <w:szCs w:val="22"/>
        </w:rPr>
        <w:t xml:space="preserve">,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rsidR="00F56FFA" w:rsidRPr="001F665D" w:rsidRDefault="00F56FFA" w:rsidP="00B5347E">
      <w:pPr>
        <w:pStyle w:val="Level2"/>
        <w:numPr>
          <w:ilvl w:val="1"/>
          <w:numId w:val="52"/>
        </w:numPr>
        <w:tabs>
          <w:tab w:val="num" w:pos="1674"/>
        </w:tabs>
        <w:spacing w:after="240" w:line="320" w:lineRule="exact"/>
        <w:rPr>
          <w:szCs w:val="22"/>
        </w:rPr>
      </w:pPr>
      <w:bookmarkStart w:id="23" w:name="_Ref382146426"/>
      <w:r w:rsidRPr="001F665D">
        <w:rPr>
          <w:szCs w:val="22"/>
          <w:u w:val="single"/>
        </w:rPr>
        <w:lastRenderedPageBreak/>
        <w:t>Data de Emissão das Debêntures</w:t>
      </w:r>
      <w:r w:rsidRPr="001F665D">
        <w:rPr>
          <w:szCs w:val="22"/>
        </w:rPr>
        <w:t xml:space="preserve">. Para todos os efeitos legais, a data de emissão das Debêntures será o dia </w:t>
      </w:r>
      <w:r w:rsidR="008F30AF" w:rsidRPr="001F665D">
        <w:rPr>
          <w:szCs w:val="22"/>
        </w:rPr>
        <w:t xml:space="preserve">[--] de </w:t>
      </w:r>
      <w:r w:rsidR="001F493F">
        <w:rPr>
          <w:szCs w:val="22"/>
        </w:rPr>
        <w:t>[--]</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3"/>
    </w:p>
    <w:p w:rsidR="008C3F18" w:rsidRPr="001F665D" w:rsidRDefault="00F56FFA" w:rsidP="00B5347E">
      <w:pPr>
        <w:pStyle w:val="Level2"/>
        <w:numPr>
          <w:ilvl w:val="1"/>
          <w:numId w:val="52"/>
        </w:numPr>
        <w:tabs>
          <w:tab w:val="num" w:pos="1674"/>
        </w:tabs>
        <w:spacing w:after="240" w:line="320" w:lineRule="exact"/>
        <w:rPr>
          <w:b/>
          <w:szCs w:val="22"/>
        </w:rPr>
      </w:pPr>
      <w:bookmarkStart w:id="24" w:name="_Ref382146345"/>
      <w:r w:rsidRPr="001F665D">
        <w:rPr>
          <w:szCs w:val="22"/>
          <w:u w:val="single"/>
        </w:rPr>
        <w:t>Prazo de Vigência e Data de Vencimento</w:t>
      </w:r>
      <w:r w:rsidRPr="001F665D">
        <w:rPr>
          <w:szCs w:val="22"/>
        </w:rPr>
        <w:t xml:space="preserve">. As Debêntures terão prazo de vigência de </w:t>
      </w:r>
      <w:r w:rsidR="00907E86" w:rsidRPr="001F665D">
        <w:rPr>
          <w:szCs w:val="22"/>
        </w:rPr>
        <w:t>60 </w:t>
      </w:r>
      <w:r w:rsidRPr="001F665D">
        <w:rPr>
          <w:szCs w:val="22"/>
        </w:rPr>
        <w:t>(</w:t>
      </w:r>
      <w:r w:rsidR="00907E86" w:rsidRPr="001F665D">
        <w:rPr>
          <w:szCs w:val="22"/>
        </w:rPr>
        <w:t>sessenta</w:t>
      </w:r>
      <w:r w:rsidRPr="001F665D">
        <w:rPr>
          <w:szCs w:val="22"/>
        </w:rPr>
        <w:t>) meses contado</w:t>
      </w:r>
      <w:r w:rsidR="00907E86" w:rsidRPr="001F665D">
        <w:rPr>
          <w:szCs w:val="22"/>
        </w:rPr>
        <w:t>s</w:t>
      </w:r>
      <w:r w:rsidRPr="001F665D">
        <w:rPr>
          <w:szCs w:val="22"/>
        </w:rPr>
        <w:t xml:space="preserve"> da Data de Emissão, vencendo-se, portanto, em </w:t>
      </w:r>
      <w:r w:rsidR="008F30AF" w:rsidRPr="001F665D">
        <w:rPr>
          <w:szCs w:val="22"/>
        </w:rPr>
        <w:t xml:space="preserve">[--] de </w:t>
      </w:r>
      <w:r w:rsidR="00AC159F">
        <w:rPr>
          <w:szCs w:val="22"/>
        </w:rPr>
        <w:t>[--]</w:t>
      </w:r>
      <w:r w:rsidR="008F30AF" w:rsidRPr="001F665D">
        <w:rPr>
          <w:szCs w:val="22"/>
        </w:rPr>
        <w:t xml:space="preserve"> de 202</w:t>
      </w:r>
      <w:r w:rsidR="00AC159F">
        <w:rPr>
          <w:szCs w:val="22"/>
        </w:rPr>
        <w:t>4</w:t>
      </w:r>
      <w:r w:rsidR="00873FB6" w:rsidRPr="001F665D">
        <w:rPr>
          <w:bCs/>
          <w:szCs w:val="22"/>
        </w:rPr>
        <w:t> </w:t>
      </w:r>
      <w:r w:rsidRPr="001F665D">
        <w:rPr>
          <w:szCs w:val="22"/>
        </w:rPr>
        <w:t>(“</w:t>
      </w:r>
      <w:r w:rsidRPr="001F665D">
        <w:rPr>
          <w:szCs w:val="22"/>
          <w:u w:val="single"/>
        </w:rPr>
        <w:t>Data de Vencimento</w:t>
      </w:r>
      <w:r w:rsidRPr="001F665D">
        <w:rPr>
          <w:szCs w:val="22"/>
        </w:rPr>
        <w:t>”), ressalvadas as hipóteses em que ocorrer o resgate antecipad</w:t>
      </w:r>
      <w:r w:rsidR="006372EA" w:rsidRPr="001F665D">
        <w:rPr>
          <w:szCs w:val="22"/>
        </w:rPr>
        <w:t>o</w:t>
      </w:r>
      <w:r w:rsidR="008618F2" w:rsidRPr="001F665D">
        <w:rPr>
          <w:szCs w:val="22"/>
        </w:rPr>
        <w:t xml:space="preserve">, </w:t>
      </w:r>
      <w:r w:rsidRPr="001F665D">
        <w:rPr>
          <w:szCs w:val="22"/>
        </w:rPr>
        <w:t>ou o vencimento antecipado das Debêntures, nos termos desta Escritura de Emissão.</w:t>
      </w:r>
      <w:bookmarkEnd w:id="24"/>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rsidR="002272CB" w:rsidRPr="00AC159F" w:rsidRDefault="00F56FFA" w:rsidP="00B5347E">
      <w:pPr>
        <w:pStyle w:val="Level2"/>
        <w:numPr>
          <w:ilvl w:val="1"/>
          <w:numId w:val="52"/>
        </w:numPr>
        <w:tabs>
          <w:tab w:val="num" w:pos="1674"/>
        </w:tabs>
        <w:spacing w:after="240" w:line="320" w:lineRule="exact"/>
        <w:rPr>
          <w:b/>
          <w:szCs w:val="22"/>
        </w:rPr>
      </w:pPr>
      <w:bookmarkStart w:id="25" w:name="_Ref425666449"/>
      <w:r w:rsidRPr="001F665D">
        <w:rPr>
          <w:szCs w:val="22"/>
          <w:u w:val="single"/>
        </w:rPr>
        <w:t>Amortização do Principal</w:t>
      </w:r>
      <w:r w:rsidRPr="001F665D">
        <w:rPr>
          <w:szCs w:val="22"/>
        </w:rPr>
        <w:t xml:space="preserve">. </w:t>
      </w:r>
      <w:r w:rsidR="0056169C" w:rsidRPr="001F665D">
        <w:rPr>
          <w:szCs w:val="22"/>
        </w:rPr>
        <w:t xml:space="preserve">O </w:t>
      </w:r>
      <w:r w:rsidR="00F334DF" w:rsidRPr="001F665D">
        <w:rPr>
          <w:szCs w:val="22"/>
        </w:rPr>
        <w:t xml:space="preserve">Valor Nominal Unitário ou o </w:t>
      </w:r>
      <w:r w:rsidR="00927E26" w:rsidRPr="001F665D">
        <w:rPr>
          <w:szCs w:val="22"/>
        </w:rPr>
        <w:t>S</w:t>
      </w:r>
      <w:r w:rsidR="00D657DB" w:rsidRPr="001F665D">
        <w:rPr>
          <w:szCs w:val="22"/>
        </w:rPr>
        <w:t xml:space="preserve">aldo do </w:t>
      </w:r>
      <w:r w:rsidR="0056169C" w:rsidRPr="001F665D">
        <w:rPr>
          <w:szCs w:val="22"/>
        </w:rPr>
        <w:t>Valor Nominal Unitário das Debêntures</w:t>
      </w:r>
      <w:r w:rsidR="008B2EF0" w:rsidRPr="001F665D">
        <w:rPr>
          <w:szCs w:val="22"/>
        </w:rPr>
        <w:t>, conforme o caso,</w:t>
      </w:r>
      <w:r w:rsidR="0056169C" w:rsidRPr="001F665D">
        <w:rPr>
          <w:szCs w:val="22"/>
        </w:rPr>
        <w:t xml:space="preserve"> será amortizado em parcelas mensais</w:t>
      </w:r>
      <w:r w:rsidR="000477A7" w:rsidRPr="001F665D">
        <w:rPr>
          <w:szCs w:val="22"/>
        </w:rPr>
        <w:t xml:space="preserve"> e consecutivas</w:t>
      </w:r>
      <w:r w:rsidR="009852BC" w:rsidRPr="001F665D">
        <w:rPr>
          <w:szCs w:val="22"/>
        </w:rPr>
        <w:t>,</w:t>
      </w:r>
      <w:r w:rsidR="000F7323" w:rsidRPr="001F665D">
        <w:rPr>
          <w:szCs w:val="22"/>
        </w:rPr>
        <w:t xml:space="preserve"> a partir </w:t>
      </w:r>
      <w:r w:rsidR="005F3493" w:rsidRPr="001F665D">
        <w:rPr>
          <w:szCs w:val="22"/>
        </w:rPr>
        <w:t xml:space="preserve">do </w:t>
      </w:r>
      <w:r w:rsidR="008F30AF" w:rsidRPr="001F665D">
        <w:rPr>
          <w:szCs w:val="22"/>
        </w:rPr>
        <w:t>18º (décimo oitavo</w:t>
      </w:r>
      <w:r w:rsidR="000F7323" w:rsidRPr="001F665D">
        <w:rPr>
          <w:szCs w:val="22"/>
        </w:rPr>
        <w:t>) mês a contar da Data de Emissão</w:t>
      </w:r>
      <w:r w:rsidR="00D717B2" w:rsidRPr="001F665D">
        <w:rPr>
          <w:szCs w:val="22"/>
        </w:rPr>
        <w:t>, sendo</w:t>
      </w:r>
      <w:r w:rsidR="0056169C" w:rsidRPr="001F665D">
        <w:rPr>
          <w:szCs w:val="22"/>
        </w:rPr>
        <w:t xml:space="preserve"> a primeira parcela </w:t>
      </w:r>
      <w:r w:rsidR="006372EA" w:rsidRPr="001F665D">
        <w:rPr>
          <w:szCs w:val="22"/>
        </w:rPr>
        <w:t xml:space="preserve">devida </w:t>
      </w:r>
      <w:r w:rsidR="0056169C" w:rsidRPr="001F665D">
        <w:rPr>
          <w:szCs w:val="22"/>
        </w:rPr>
        <w:t xml:space="preserve">em </w:t>
      </w:r>
      <w:r w:rsidR="008F30AF" w:rsidRPr="001F665D">
        <w:rPr>
          <w:szCs w:val="22"/>
        </w:rPr>
        <w:t xml:space="preserve">[--] de </w:t>
      </w:r>
      <w:r w:rsidR="00AC159F">
        <w:rPr>
          <w:szCs w:val="22"/>
        </w:rPr>
        <w:t>[--]</w:t>
      </w:r>
      <w:r w:rsidR="008F30AF" w:rsidRPr="001F665D">
        <w:rPr>
          <w:szCs w:val="22"/>
        </w:rPr>
        <w:t xml:space="preserve"> de 2020</w:t>
      </w:r>
      <w:r w:rsidR="0056169C" w:rsidRPr="001F665D">
        <w:rPr>
          <w:szCs w:val="22"/>
        </w:rPr>
        <w:t xml:space="preserve">, e a última parcela correspondente ao </w:t>
      </w:r>
      <w:r w:rsidR="00927E26" w:rsidRPr="000B35AA">
        <w:rPr>
          <w:szCs w:val="22"/>
        </w:rPr>
        <w:t>Saldo do Valor Nominal Unitário</w:t>
      </w:r>
      <w:r w:rsidR="00927E26" w:rsidRPr="001F665D">
        <w:rPr>
          <w:szCs w:val="22"/>
        </w:rPr>
        <w:t xml:space="preserve"> das Debêntures </w:t>
      </w:r>
      <w:r w:rsidR="006372EA" w:rsidRPr="001F665D">
        <w:rPr>
          <w:szCs w:val="22"/>
        </w:rPr>
        <w:t xml:space="preserve">devida </w:t>
      </w:r>
      <w:r w:rsidR="0056169C" w:rsidRPr="001F665D">
        <w:rPr>
          <w:szCs w:val="22"/>
        </w:rPr>
        <w:t>na Data de Vencimento</w:t>
      </w:r>
      <w:r w:rsidR="00217941" w:rsidRPr="001F665D">
        <w:rPr>
          <w:szCs w:val="22"/>
        </w:rPr>
        <w:t>, conforme tabela abaixo</w:t>
      </w:r>
      <w:r w:rsidR="0056169C" w:rsidRPr="001F665D">
        <w:rPr>
          <w:szCs w:val="22"/>
        </w:rPr>
        <w:t xml:space="preserve"> (cada uma, uma “</w:t>
      </w:r>
      <w:r w:rsidR="0056169C" w:rsidRPr="001F665D">
        <w:rPr>
          <w:szCs w:val="22"/>
          <w:u w:val="single"/>
        </w:rPr>
        <w:t>Data de Amortização</w:t>
      </w:r>
      <w:r w:rsidR="0056169C" w:rsidRPr="001F665D">
        <w:rPr>
          <w:szCs w:val="22"/>
        </w:rPr>
        <w:t>”), ressalvadas as hipóteses em que ocorrer o resgate antecipad</w:t>
      </w:r>
      <w:r w:rsidR="006372EA" w:rsidRPr="001F665D">
        <w:rPr>
          <w:szCs w:val="22"/>
        </w:rPr>
        <w:t>o</w:t>
      </w:r>
      <w:r w:rsidR="0056169C" w:rsidRPr="001F665D">
        <w:rPr>
          <w:szCs w:val="22"/>
        </w:rPr>
        <w:t>,</w:t>
      </w:r>
      <w:r w:rsidR="008618F2" w:rsidRPr="001F665D">
        <w:rPr>
          <w:szCs w:val="22"/>
        </w:rPr>
        <w:t xml:space="preserve"> </w:t>
      </w:r>
      <w:r w:rsidR="0056169C" w:rsidRPr="001F665D">
        <w:rPr>
          <w:szCs w:val="22"/>
        </w:rPr>
        <w:t>ou ainda o vencimento antecipado das Debêntures, nos termos desta Escritura de Emissão.</w:t>
      </w:r>
      <w:bookmarkEnd w:id="25"/>
      <w:r w:rsidR="002850F6" w:rsidRPr="001F665D">
        <w:rPr>
          <w:szCs w:val="22"/>
        </w:rPr>
        <w:t xml:space="preserve"> </w:t>
      </w:r>
    </w:p>
    <w:p w:rsidR="00AC159F" w:rsidRPr="001F665D" w:rsidRDefault="00AC159F" w:rsidP="00AC159F">
      <w:pPr>
        <w:pStyle w:val="Level2"/>
        <w:numPr>
          <w:ilvl w:val="0"/>
          <w:numId w:val="0"/>
        </w:numPr>
        <w:tabs>
          <w:tab w:val="num" w:pos="1674"/>
        </w:tabs>
        <w:spacing w:after="240" w:line="320" w:lineRule="exact"/>
        <w:ind w:left="680"/>
        <w:jc w:val="center"/>
        <w:rPr>
          <w:b/>
          <w:szCs w:val="22"/>
        </w:rPr>
      </w:pPr>
      <w:r>
        <w:rPr>
          <w:szCs w:val="22"/>
          <w:u w:val="single"/>
        </w:rPr>
        <w:t>[</w:t>
      </w:r>
      <w:r w:rsidRPr="00AC159F">
        <w:rPr>
          <w:szCs w:val="22"/>
          <w:highlight w:val="green"/>
          <w:u w:val="single"/>
        </w:rPr>
        <w:t>NOTA MMSO: Tabela a ser atualizada posteriormente</w:t>
      </w:r>
      <w:r>
        <w:rPr>
          <w:szCs w:val="22"/>
          <w:u w:val="single"/>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6"/>
        <w:gridCol w:w="2870"/>
        <w:gridCol w:w="2977"/>
      </w:tblGrid>
      <w:tr w:rsidR="00217941" w:rsidRPr="001F665D" w:rsidTr="00F336CC">
        <w:trPr>
          <w:trHeight w:val="855"/>
        </w:trPr>
        <w:tc>
          <w:tcPr>
            <w:tcW w:w="1109" w:type="pct"/>
            <w:shd w:val="clear" w:color="000000" w:fill="D8D8D8"/>
          </w:tcPr>
          <w:p w:rsidR="00217941" w:rsidRPr="006552A0" w:rsidRDefault="00217941" w:rsidP="00292ADA">
            <w:pPr>
              <w:widowControl w:val="0"/>
              <w:jc w:val="center"/>
              <w:rPr>
                <w:b/>
                <w:smallCaps/>
                <w:color w:val="000000"/>
              </w:rPr>
            </w:pPr>
            <w:r w:rsidRPr="006552A0">
              <w:rPr>
                <w:b/>
                <w:smallCaps/>
                <w:color w:val="000000"/>
              </w:rPr>
              <w:t>Parcela de Amortização</w:t>
            </w:r>
          </w:p>
        </w:tc>
        <w:tc>
          <w:tcPr>
            <w:tcW w:w="1910" w:type="pct"/>
            <w:shd w:val="clear" w:color="000000" w:fill="D8D8D8"/>
            <w:noWrap/>
            <w:vAlign w:val="center"/>
            <w:hideMark/>
          </w:tcPr>
          <w:p w:rsidR="00217941" w:rsidRPr="006552A0" w:rsidRDefault="00217941" w:rsidP="00292ADA">
            <w:pPr>
              <w:widowControl w:val="0"/>
              <w:jc w:val="center"/>
              <w:rPr>
                <w:b/>
                <w:smallCaps/>
                <w:color w:val="000000"/>
              </w:rPr>
            </w:pPr>
            <w:r w:rsidRPr="006552A0">
              <w:rPr>
                <w:b/>
                <w:smallCaps/>
                <w:color w:val="000000"/>
              </w:rPr>
              <w:t>Data de Amortização</w:t>
            </w:r>
          </w:p>
        </w:tc>
        <w:tc>
          <w:tcPr>
            <w:tcW w:w="1981" w:type="pct"/>
            <w:shd w:val="clear" w:color="000000" w:fill="D8D8D8"/>
          </w:tcPr>
          <w:p w:rsidR="00217941" w:rsidRPr="006552A0" w:rsidRDefault="00217941" w:rsidP="00292ADA">
            <w:pPr>
              <w:widowControl w:val="0"/>
              <w:jc w:val="center"/>
              <w:rPr>
                <w:b/>
                <w:smallCaps/>
                <w:color w:val="000000"/>
              </w:rPr>
            </w:pPr>
            <w:r w:rsidRPr="006552A0">
              <w:rPr>
                <w:b/>
                <w:smallCaps/>
                <w:color w:val="000000"/>
              </w:rPr>
              <w:t xml:space="preserve">Percentual do Saldo do Valor Nominal Unitário das Debentures a Ser Amortizado </w:t>
            </w:r>
          </w:p>
        </w:tc>
      </w:tr>
      <w:tr w:rsidR="00217941" w:rsidRPr="001F665D" w:rsidTr="00F336CC">
        <w:trPr>
          <w:trHeight w:val="20"/>
        </w:trPr>
        <w:tc>
          <w:tcPr>
            <w:tcW w:w="1109" w:type="pct"/>
          </w:tcPr>
          <w:p w:rsidR="00217941" w:rsidRPr="001F665D" w:rsidRDefault="00217941" w:rsidP="00292ADA">
            <w:pPr>
              <w:widowControl w:val="0"/>
              <w:jc w:val="center"/>
            </w:pPr>
            <w:r w:rsidRPr="001F665D">
              <w:t>1ª</w:t>
            </w:r>
          </w:p>
        </w:tc>
        <w:tc>
          <w:tcPr>
            <w:tcW w:w="1910" w:type="pct"/>
            <w:shd w:val="clear" w:color="auto" w:fill="auto"/>
            <w:noWrap/>
          </w:tcPr>
          <w:p w:rsidR="00217941" w:rsidRPr="001F665D" w:rsidRDefault="00217941">
            <w:pPr>
              <w:widowControl w:val="0"/>
              <w:jc w:val="center"/>
            </w:pPr>
            <w:r w:rsidRPr="001F665D">
              <w:t>[--] de junho de 2020</w:t>
            </w:r>
          </w:p>
        </w:tc>
        <w:tc>
          <w:tcPr>
            <w:tcW w:w="1981" w:type="pct"/>
            <w:vAlign w:val="center"/>
          </w:tcPr>
          <w:p w:rsidR="00217941" w:rsidRPr="001F665D" w:rsidRDefault="00217941" w:rsidP="00F336CC">
            <w:pPr>
              <w:jc w:val="center"/>
              <w:rPr>
                <w:lang w:eastAsia="en-US"/>
              </w:rPr>
            </w:pPr>
            <w:r w:rsidRPr="001F665D">
              <w:rPr>
                <w:lang w:eastAsia="en-US"/>
              </w:rPr>
              <w:t>[--]%</w:t>
            </w:r>
          </w:p>
        </w:tc>
      </w:tr>
      <w:tr w:rsidR="00217941" w:rsidRPr="001F665D" w:rsidTr="00217941">
        <w:trPr>
          <w:trHeight w:val="20"/>
        </w:trPr>
        <w:tc>
          <w:tcPr>
            <w:tcW w:w="1109" w:type="pct"/>
          </w:tcPr>
          <w:p w:rsidR="00217941" w:rsidRPr="001F665D" w:rsidRDefault="00217941" w:rsidP="00217941">
            <w:pPr>
              <w:widowControl w:val="0"/>
              <w:jc w:val="center"/>
            </w:pPr>
            <w:r w:rsidRPr="001F665D">
              <w:t>2ª</w:t>
            </w:r>
          </w:p>
        </w:tc>
        <w:tc>
          <w:tcPr>
            <w:tcW w:w="1910" w:type="pct"/>
            <w:shd w:val="clear" w:color="auto" w:fill="auto"/>
            <w:noWrap/>
          </w:tcPr>
          <w:p w:rsidR="00217941" w:rsidRPr="001F665D" w:rsidRDefault="00217941">
            <w:pPr>
              <w:jc w:val="center"/>
            </w:pPr>
            <w:r w:rsidRPr="001F665D">
              <w:t>[--] de julho de 2020</w:t>
            </w:r>
          </w:p>
        </w:tc>
        <w:tc>
          <w:tcPr>
            <w:tcW w:w="1981" w:type="pct"/>
          </w:tcPr>
          <w:p w:rsidR="00217941" w:rsidRPr="001F665D" w:rsidRDefault="00217941" w:rsidP="00217941">
            <w:pPr>
              <w:jc w:val="center"/>
            </w:pPr>
            <w:r w:rsidRPr="001F665D">
              <w:rPr>
                <w:lang w:eastAsia="en-US"/>
              </w:rPr>
              <w:t>[--]%</w:t>
            </w:r>
          </w:p>
        </w:tc>
      </w:tr>
      <w:tr w:rsidR="00217941" w:rsidRPr="001F665D" w:rsidTr="00217941">
        <w:trPr>
          <w:trHeight w:val="20"/>
        </w:trPr>
        <w:tc>
          <w:tcPr>
            <w:tcW w:w="1109" w:type="pct"/>
          </w:tcPr>
          <w:p w:rsidR="00217941" w:rsidRPr="001F665D" w:rsidRDefault="00217941" w:rsidP="00217941">
            <w:pPr>
              <w:widowControl w:val="0"/>
              <w:jc w:val="center"/>
            </w:pPr>
            <w:r w:rsidRPr="001F665D">
              <w:t>3ª</w:t>
            </w:r>
          </w:p>
        </w:tc>
        <w:tc>
          <w:tcPr>
            <w:tcW w:w="1910" w:type="pct"/>
            <w:shd w:val="clear" w:color="auto" w:fill="auto"/>
            <w:noWrap/>
          </w:tcPr>
          <w:p w:rsidR="00217941" w:rsidRPr="001F665D" w:rsidRDefault="00217941">
            <w:pPr>
              <w:jc w:val="center"/>
            </w:pPr>
            <w:r w:rsidRPr="001F665D">
              <w:t>[--] de agosto de 2020</w:t>
            </w:r>
          </w:p>
        </w:tc>
        <w:tc>
          <w:tcPr>
            <w:tcW w:w="1981" w:type="pct"/>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setembro de 2020</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outubro de 2020</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novembro de 2020</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dezembro de 2020</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janeiro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fevereiro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março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abril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maio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junho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julho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6552A0" w:rsidRDefault="00217941" w:rsidP="00217941">
            <w:pPr>
              <w:widowControl w:val="0"/>
              <w:jc w:val="center"/>
            </w:pPr>
            <w:r w:rsidRPr="001F665D">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agosto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6552A0">
        <w:trPr>
          <w:trHeight w:val="339"/>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setembro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outubro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lastRenderedPageBreak/>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novembro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dezembro de 2021</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janeiro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fevereiro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março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abril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maio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junho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julho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agosto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setembro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outubro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novembro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dezembro de 2022</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janeiro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fevereiro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março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abril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maio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junho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julho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agosto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setembro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outubro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pPr>
              <w:jc w:val="center"/>
            </w:pPr>
            <w:r w:rsidRPr="001F665D">
              <w:t>[--] de novembro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r w:rsidR="00217941" w:rsidRPr="001F665D" w:rsidDel="000D0B5A" w:rsidTr="00F336CC">
        <w:trPr>
          <w:trHeight w:val="20"/>
        </w:trPr>
        <w:tc>
          <w:tcPr>
            <w:tcW w:w="1109"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widowControl w:val="0"/>
              <w:jc w:val="center"/>
            </w:pPr>
            <w:r w:rsidRPr="001F665D">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217941" w:rsidRPr="001F665D" w:rsidRDefault="00217941" w:rsidP="00217941">
            <w:pPr>
              <w:jc w:val="center"/>
            </w:pPr>
            <w:r w:rsidRPr="001F665D">
              <w:t>[--] de dezembro de 2023</w:t>
            </w:r>
          </w:p>
        </w:tc>
        <w:tc>
          <w:tcPr>
            <w:tcW w:w="1981" w:type="pct"/>
            <w:tcBorders>
              <w:top w:val="single" w:sz="4" w:space="0" w:color="auto"/>
              <w:left w:val="single" w:sz="4" w:space="0" w:color="auto"/>
              <w:bottom w:val="single" w:sz="4" w:space="0" w:color="auto"/>
              <w:right w:val="single" w:sz="4" w:space="0" w:color="auto"/>
            </w:tcBorders>
          </w:tcPr>
          <w:p w:rsidR="00217941" w:rsidRPr="001F665D" w:rsidRDefault="00217941" w:rsidP="00217941">
            <w:pPr>
              <w:jc w:val="center"/>
            </w:pPr>
            <w:r w:rsidRPr="001F665D">
              <w:rPr>
                <w:lang w:eastAsia="en-US"/>
              </w:rPr>
              <w:t>[--]%</w:t>
            </w:r>
          </w:p>
        </w:tc>
      </w:tr>
    </w:tbl>
    <w:p w:rsidR="00BC0566" w:rsidRPr="001F665D" w:rsidRDefault="00BC0566" w:rsidP="00F336CC">
      <w:pPr>
        <w:pStyle w:val="Level2"/>
        <w:numPr>
          <w:ilvl w:val="0"/>
          <w:numId w:val="0"/>
        </w:numPr>
        <w:tabs>
          <w:tab w:val="num" w:pos="1674"/>
        </w:tabs>
        <w:spacing w:after="240" w:line="320" w:lineRule="exact"/>
        <w:ind w:left="680"/>
        <w:rPr>
          <w:szCs w:val="22"/>
        </w:rPr>
      </w:pPr>
      <w:bookmarkStart w:id="26" w:name="_Ref426470033"/>
      <w:bookmarkStart w:id="27" w:name="_Ref416954838"/>
      <w:bookmarkStart w:id="28" w:name="_Ref426470044"/>
    </w:p>
    <w:p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6"/>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no informativo diário disponível em 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7"/>
      <w:r w:rsidR="00DB36A7" w:rsidRPr="001F665D">
        <w:rPr>
          <w:szCs w:val="22"/>
        </w:rPr>
        <w:t xml:space="preserve"> </w:t>
      </w:r>
      <w:bookmarkEnd w:id="28"/>
    </w:p>
    <w:p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r w:rsidR="004E2F0B" w:rsidRPr="000B35AA">
        <w:rPr>
          <w:b/>
          <w:szCs w:val="22"/>
          <w:highlight w:val="yellow"/>
        </w:rPr>
        <w:t>[NOTA: FÓRMULA A SER CONFIRMADA PELA B3 E PELO AGENTE FIDUCIÁRIO]</w:t>
      </w:r>
      <w:r w:rsidR="00B151FA" w:rsidRPr="001F665D">
        <w:rPr>
          <w:i/>
          <w:szCs w:val="22"/>
        </w:rPr>
        <w:t xml:space="preserve"> </w:t>
      </w:r>
    </w:p>
    <w:p w:rsidR="00F56FFA" w:rsidRPr="001F665D" w:rsidRDefault="00F56FFA" w:rsidP="00214364">
      <w:pPr>
        <w:widowControl w:val="0"/>
        <w:suppressAutoHyphens/>
        <w:spacing w:after="240" w:line="320" w:lineRule="exact"/>
        <w:jc w:val="center"/>
        <w:rPr>
          <w:iCs/>
          <w:color w:val="000000"/>
        </w:rPr>
      </w:pPr>
      <w:bookmarkStart w:id="29"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29"/>
    </w:p>
    <w:p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gramStart"/>
      <w:r w:rsidRPr="001F665D">
        <w:rPr>
          <w:i/>
          <w:iCs/>
        </w:rPr>
        <w:lastRenderedPageBreak/>
        <w:t>onde</w:t>
      </w:r>
      <w:proofErr w:type="gramEnd"/>
      <w:r w:rsidRPr="001F665D">
        <w:rPr>
          <w:i/>
          <w:iCs/>
        </w:rPr>
        <w:t>:</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proofErr w:type="gramStart"/>
            <w:r w:rsidRPr="001F665D">
              <w:rPr>
                <w:iCs/>
              </w:rPr>
              <w:t>valor</w:t>
            </w:r>
            <w:proofErr w:type="gramEnd"/>
            <w:r w:rsidRPr="001F665D">
              <w:rPr>
                <w:iCs/>
              </w:rPr>
              <w:t xml:space="preserve"> 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Saldo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proofErr w:type="gramStart"/>
      <w:r w:rsidRPr="001F665D">
        <w:rPr>
          <w:i/>
          <w:iCs/>
        </w:rPr>
        <w:t>onde</w:t>
      </w:r>
      <w:proofErr w:type="gramEnd"/>
      <w:r w:rsidRPr="001F665D">
        <w:rPr>
          <w:i/>
          <w:iCs/>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t>P</w:t>
            </w:r>
            <w:r w:rsidRPr="001F665D">
              <w:rPr>
                <w:bCs/>
              </w:rPr>
              <w:t>rodutório</w:t>
            </w:r>
            <w:proofErr w:type="spellEnd"/>
            <w:r w:rsidRPr="001F665D">
              <w:rPr>
                <w:bCs/>
              </w:rPr>
              <w:t xml:space="preserve">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68D347FA" wp14:editId="0C7D41E0">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gramStart"/>
            <w:r w:rsidRPr="001F665D">
              <w:rPr>
                <w:b/>
              </w:rPr>
              <w:t>n</w:t>
            </w:r>
            <w:proofErr w:type="gramEnd"/>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TDI</w:t>
            </w:r>
            <w:r w:rsidR="00741752">
              <w:rPr>
                <w:b/>
                <w:noProof/>
                <w:position w:val="-12"/>
              </w:rPr>
              <w:drawing>
                <wp:inline distT="0" distB="0" distL="0" distR="0" wp14:anchorId="3C54F21C" wp14:editId="21D8FDCE">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1C8D9550" wp14:editId="7EA5F0DB">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3F15F6BF" wp14:editId="48A7DA86">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rsidR="00F56FFA" w:rsidRPr="001F665D" w:rsidRDefault="00F56FFA" w:rsidP="000C2866">
      <w:pPr>
        <w:widowControl w:val="0"/>
        <w:suppressAutoHyphens/>
        <w:spacing w:after="240" w:line="320" w:lineRule="exact"/>
        <w:ind w:left="1418" w:hanging="1418"/>
        <w:jc w:val="both"/>
      </w:pPr>
      <w:r w:rsidRPr="001F665D">
        <w:rPr>
          <w:noProof/>
        </w:rPr>
        <w:lastRenderedPageBreak/>
        <w:drawing>
          <wp:anchor distT="0" distB="0" distL="114300" distR="114300" simplePos="0" relativeHeight="251661312" behindDoc="0" locked="0" layoutInCell="1" allowOverlap="1" wp14:anchorId="6A77180D" wp14:editId="75E28E99">
            <wp:simplePos x="0" y="0"/>
            <wp:positionH relativeFrom="margin">
              <wp:posOffset>972820</wp:posOffset>
            </wp:positionH>
            <wp:positionV relativeFrom="margin">
              <wp:posOffset>2945765</wp:posOffset>
            </wp:positionV>
            <wp:extent cx="2298700" cy="7366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8700" cy="736600"/>
                    </a:xfrm>
                    <a:prstGeom prst="rect">
                      <a:avLst/>
                    </a:prstGeom>
                    <a:noFill/>
                    <a:ln w="9525">
                      <a:noFill/>
                      <a:miter lim="800000"/>
                      <a:headEnd/>
                      <a:tailEnd/>
                    </a:ln>
                  </pic:spPr>
                </pic:pic>
              </a:graphicData>
            </a:graphic>
          </wp:anchor>
        </w:drawing>
      </w:r>
      <w:proofErr w:type="spellStart"/>
      <w:r w:rsidRPr="001F665D">
        <w:rPr>
          <w:b/>
        </w:rPr>
        <w:t>FatorSpread</w:t>
      </w:r>
      <w:proofErr w:type="spellEnd"/>
      <w:r w:rsidRPr="001F665D">
        <w:tab/>
        <w:t>Sobretaxa de juros fixos calculada com 9 (nove) casas decimais, com arredondamento, conforme fórmula abaixo:</w:t>
      </w:r>
    </w:p>
    <w:p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última Data de Pagamento da Remuneração, conforme o caso,</w:t>
            </w:r>
            <w:r w:rsidRPr="001F665D">
              <w:t xml:space="preserve"> e a data atual, sendo “DP” um número inteiro</w:t>
            </w:r>
            <w:r w:rsidRPr="001F665D">
              <w:rPr>
                <w:i/>
                <w:iCs/>
              </w:rPr>
              <w:t>;</w:t>
            </w:r>
          </w:p>
        </w:tc>
      </w:tr>
    </w:tbl>
    <w:p w:rsidR="00F56FFA" w:rsidRPr="001F665D" w:rsidRDefault="00F56FFA" w:rsidP="000C2866">
      <w:pPr>
        <w:widowControl w:val="0"/>
        <w:suppressAutoHyphens/>
        <w:spacing w:after="240" w:line="320" w:lineRule="exact"/>
        <w:jc w:val="both"/>
      </w:pPr>
      <w:r w:rsidRPr="001F665D">
        <w:t xml:space="preserve">Observações: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rsidR="00F56FFA" w:rsidRPr="001F665D" w:rsidRDefault="00F56FFA" w:rsidP="000C2866">
      <w:pPr>
        <w:widowControl w:val="0"/>
        <w:numPr>
          <w:ilvl w:val="0"/>
          <w:numId w:val="50"/>
        </w:numPr>
        <w:spacing w:after="240" w:line="320" w:lineRule="exact"/>
        <w:jc w:val="both"/>
      </w:pPr>
      <w:r w:rsidRPr="001F665D">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rsidR="00F56FFA" w:rsidRPr="001F665D" w:rsidRDefault="00F56FFA" w:rsidP="000C2866">
      <w:pPr>
        <w:widowControl w:val="0"/>
        <w:numPr>
          <w:ilvl w:val="0"/>
          <w:numId w:val="50"/>
        </w:numPr>
        <w:spacing w:after="240" w:line="320" w:lineRule="exact"/>
        <w:jc w:val="both"/>
      </w:pPr>
      <w:r w:rsidRPr="001F665D">
        <w:t>A Taxa DI deverá ser utilizada considerando idêntico número de casas decimais divulgado pela entidade responsável pelo seu cálculo.</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D657DB" w:rsidRPr="001F665D">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0" w:name="_Ref382071954"/>
      <w:bookmarkStart w:id="31"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w:t>
      </w:r>
      <w:r w:rsidRPr="001F665D">
        <w:rPr>
          <w:szCs w:val="22"/>
        </w:rPr>
        <w:lastRenderedPageBreak/>
        <w:t xml:space="preserve">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30"/>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2" w:name="_Ref414800817"/>
      <w:r w:rsidRPr="001F665D">
        <w:rPr>
          <w:szCs w:val="22"/>
        </w:rPr>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1"/>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2"/>
      <w:r w:rsidRPr="001F665D">
        <w:rPr>
          <w:szCs w:val="22"/>
        </w:rPr>
        <w:t>.</w:t>
      </w:r>
      <w:r w:rsidR="00161D43" w:rsidRPr="001F665D">
        <w:rPr>
          <w:szCs w:val="22"/>
        </w:rPr>
        <w:t xml:space="preserve"> </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última Data de Pagamento da Remuneração,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1D3211" w:rsidRPr="001F665D">
        <w:rPr>
          <w:szCs w:val="22"/>
        </w:rPr>
        <w:t>6.9 acima</w:t>
      </w:r>
      <w:r w:rsidR="00502346" w:rsidRPr="001F665D">
        <w:rPr>
          <w:szCs w:val="22"/>
        </w:rPr>
        <w:fldChar w:fldCharType="end"/>
      </w:r>
      <w:r w:rsidRPr="001F665D">
        <w:rPr>
          <w:szCs w:val="22"/>
        </w:rPr>
        <w:t>.</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lastRenderedPageBreak/>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3" w:name="_DV_M166"/>
      <w:bookmarkEnd w:id="33"/>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sempre no dia [</w:t>
      </w:r>
      <w:r w:rsidR="008B2367" w:rsidRPr="006552A0">
        <w:rPr>
          <w:highlight w:val="yellow"/>
        </w:rPr>
        <w:t>--</w:t>
      </w:r>
      <w:r w:rsidR="008B2367" w:rsidRPr="001F665D">
        <w:rPr>
          <w:szCs w:val="22"/>
        </w:rPr>
        <w:t>] de cada mês</w:t>
      </w:r>
      <w:r w:rsidR="00BD3F4F" w:rsidRPr="001F665D">
        <w:rPr>
          <w:szCs w:val="22"/>
        </w:rPr>
        <w:t xml:space="preserve">, sem carência, a partir da Data de Emissão, sendo o primeiro pagamento em </w:t>
      </w:r>
      <w:r w:rsidR="00A330F9" w:rsidRPr="001F665D">
        <w:rPr>
          <w:szCs w:val="22"/>
        </w:rPr>
        <w:t>[</w:t>
      </w:r>
      <w:r w:rsidR="00A330F9" w:rsidRPr="006552A0">
        <w:rPr>
          <w:highlight w:val="yellow"/>
        </w:rPr>
        <w:t>--</w:t>
      </w:r>
      <w:r w:rsidR="00A330F9" w:rsidRPr="001F665D">
        <w:rPr>
          <w:szCs w:val="22"/>
        </w:rPr>
        <w:t xml:space="preserve">] de </w:t>
      </w:r>
      <w:r w:rsidR="00BC0566" w:rsidRPr="001F665D">
        <w:rPr>
          <w:szCs w:val="22"/>
        </w:rPr>
        <w:t>janeiro</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416A9">
        <w:rPr>
          <w:szCs w:val="22"/>
        </w:rPr>
        <w:t>5</w:t>
      </w:r>
      <w:r w:rsidR="00BD3F4F" w:rsidRPr="001F665D">
        <w:rPr>
          <w:szCs w:val="22"/>
        </w:rPr>
        <w:t>.1 abaixo); ou (</w:t>
      </w:r>
      <w:proofErr w:type="spellStart"/>
      <w:r w:rsidR="00BD3F4F" w:rsidRPr="001F665D">
        <w:rPr>
          <w:szCs w:val="22"/>
        </w:rPr>
        <w:t>iii</w:t>
      </w:r>
      <w:proofErr w:type="spellEnd"/>
      <w:r w:rsidR="00BD3F4F" w:rsidRPr="001F665D">
        <w:rPr>
          <w:szCs w:val="22"/>
        </w:rPr>
        <w:t xml:space="preserve">) na data em que ocorrer o resgate antecipado das Debêntures, conforme previsto nesta Escritura de Emissão </w:t>
      </w:r>
      <w:r w:rsidR="005252D3" w:rsidRPr="001F665D">
        <w:rPr>
          <w:szCs w:val="22"/>
        </w:rPr>
        <w:t>ou (</w:t>
      </w:r>
      <w:proofErr w:type="spellStart"/>
      <w:r w:rsidR="005252D3" w:rsidRPr="001F665D">
        <w:rPr>
          <w:szCs w:val="22"/>
        </w:rPr>
        <w:t>i</w:t>
      </w:r>
      <w:r w:rsidR="00BC0566" w:rsidRPr="001F665D">
        <w:rPr>
          <w:szCs w:val="22"/>
        </w:rPr>
        <w:t>v</w:t>
      </w:r>
      <w:proofErr w:type="spellEnd"/>
      <w:r w:rsidR="005252D3" w:rsidRPr="001F665D">
        <w:rPr>
          <w:szCs w:val="22"/>
        </w:rPr>
        <w:t xml:space="preserve">) na data em que ocorrer a amortização extraordinária das Debêntures, conforme previsto nesta Escritura de Emissão </w:t>
      </w:r>
      <w:r w:rsidR="00BD3F4F" w:rsidRPr="001F665D">
        <w:rPr>
          <w:szCs w:val="22"/>
        </w:rPr>
        <w:t>(“</w:t>
      </w:r>
      <w:r w:rsidR="00BD3F4F" w:rsidRPr="001F665D">
        <w:rPr>
          <w:szCs w:val="22"/>
          <w:u w:val="single"/>
        </w:rPr>
        <w:t>Data de Pagamento da Remuneração</w:t>
      </w:r>
      <w:r w:rsidR="00BD3F4F" w:rsidRPr="001F665D">
        <w:rPr>
          <w:szCs w:val="22"/>
        </w:rPr>
        <w:t xml:space="preserve">”), o que ocorrer primeiro. O pagamento da Remuneração das Debêntures 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r w:rsidR="00F809A8" w:rsidRPr="00F8734F">
        <w:rPr>
          <w:b/>
          <w:szCs w:val="22"/>
          <w:highlight w:val="yellow"/>
        </w:rPr>
        <w:t>[NOTA SF: COMPANHIA SUGERE QUE OS PAGAMENTOS SEJAM REALIZADOS NO DIA 12 DE CADA MÊS</w:t>
      </w:r>
      <w:r w:rsidR="00481E68">
        <w:rPr>
          <w:b/>
          <w:szCs w:val="22"/>
          <w:highlight w:val="yellow"/>
        </w:rPr>
        <w:t>. A SER CONFIRMADO</w:t>
      </w:r>
      <w:r w:rsidR="00F809A8" w:rsidRPr="00F8734F">
        <w:rPr>
          <w:b/>
          <w:szCs w:val="22"/>
          <w:highlight w:val="yellow"/>
        </w:rPr>
        <w:t>]</w:t>
      </w:r>
      <w:r w:rsidR="001F493F">
        <w:rPr>
          <w:b/>
          <w:szCs w:val="22"/>
        </w:rPr>
        <w:t xml:space="preserve"> [</w:t>
      </w:r>
      <w:r w:rsidR="001F493F" w:rsidRPr="006552A0">
        <w:rPr>
          <w:b/>
          <w:szCs w:val="22"/>
          <w:highlight w:val="green"/>
        </w:rPr>
        <w:t>NOTA MMSO: Bancos ok para que os pagamentos sejam realizados no 12</w:t>
      </w:r>
      <w:r w:rsidR="001F493F">
        <w:rPr>
          <w:b/>
          <w:szCs w:val="22"/>
        </w:rPr>
        <w:t>]</w:t>
      </w:r>
    </w:p>
    <w:p w:rsidR="00690AB1" w:rsidRPr="001F665D" w:rsidRDefault="00316B4C" w:rsidP="00B5347E">
      <w:pPr>
        <w:pStyle w:val="Level2"/>
        <w:spacing w:after="240" w:line="320" w:lineRule="exact"/>
        <w:rPr>
          <w:b/>
          <w:szCs w:val="22"/>
        </w:rPr>
      </w:pPr>
      <w:bookmarkStart w:id="34"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r w:rsidR="00907711" w:rsidRPr="000B35AA">
        <w:rPr>
          <w:b/>
          <w:szCs w:val="22"/>
          <w:highlight w:val="yellow"/>
        </w:rPr>
        <w:t xml:space="preserve">[NOTA SF: </w:t>
      </w:r>
      <w:r w:rsidR="00F809A8">
        <w:rPr>
          <w:b/>
          <w:szCs w:val="22"/>
          <w:highlight w:val="yellow"/>
        </w:rPr>
        <w:t>CLÁUSULA SOB ANÁLISE DA COMPANHIA</w:t>
      </w:r>
      <w:r w:rsidR="00907711" w:rsidRPr="000B35AA">
        <w:rPr>
          <w:b/>
          <w:szCs w:val="22"/>
          <w:highlight w:val="yellow"/>
        </w:rPr>
        <w:t>]</w:t>
      </w:r>
    </w:p>
    <w:p w:rsidR="006F1745" w:rsidRPr="001F665D" w:rsidRDefault="006F1745" w:rsidP="00214364">
      <w:pPr>
        <w:pStyle w:val="Level2"/>
        <w:numPr>
          <w:ilvl w:val="0"/>
          <w:numId w:val="0"/>
        </w:numPr>
        <w:spacing w:after="240" w:line="320" w:lineRule="exact"/>
        <w:ind w:left="680"/>
        <w:jc w:val="center"/>
        <w:rPr>
          <w:b/>
          <w:szCs w:val="22"/>
        </w:rPr>
      </w:pPr>
      <w:r w:rsidRPr="001F665D">
        <w:rPr>
          <w:szCs w:val="22"/>
          <w:highlight w:val="yellow"/>
          <w:u w:val="single"/>
        </w:rPr>
        <w:t xml:space="preserve">[NOTA: </w:t>
      </w:r>
      <w:r w:rsidR="002A7175" w:rsidRPr="001F665D">
        <w:rPr>
          <w:szCs w:val="22"/>
          <w:highlight w:val="yellow"/>
          <w:u w:val="single"/>
        </w:rPr>
        <w:t>Fórmula</w:t>
      </w:r>
      <w:r w:rsidRPr="001F665D">
        <w:rPr>
          <w:szCs w:val="22"/>
          <w:highlight w:val="yellow"/>
          <w:u w:val="single"/>
        </w:rPr>
        <w:t xml:space="preserve"> de cálculo do Resgate</w:t>
      </w:r>
      <w:r w:rsidR="002A7175" w:rsidRPr="001F665D">
        <w:rPr>
          <w:szCs w:val="22"/>
          <w:highlight w:val="yellow"/>
          <w:u w:val="single"/>
        </w:rPr>
        <w:t xml:space="preserve"> a ser inserida</w:t>
      </w:r>
      <w:r w:rsidRPr="001F665D">
        <w:rPr>
          <w:szCs w:val="22"/>
          <w:highlight w:val="yellow"/>
          <w:u w:val="single"/>
        </w:rPr>
        <w:t>]</w:t>
      </w:r>
    </w:p>
    <w:bookmarkEnd w:id="34"/>
    <w:p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B50106" w:rsidRPr="001F665D">
        <w:rPr>
          <w:szCs w:val="22"/>
        </w:rPr>
        <w:t xml:space="preserve">Banco Liquidante e </w:t>
      </w:r>
      <w:proofErr w:type="spellStart"/>
      <w:r w:rsidRPr="001F665D">
        <w:rPr>
          <w:szCs w:val="22"/>
        </w:rPr>
        <w:t>Escriturador</w:t>
      </w:r>
      <w:proofErr w:type="spellEnd"/>
      <w:r w:rsidRPr="001F665D">
        <w:rPr>
          <w:szCs w:val="22"/>
        </w:rPr>
        <w:t xml:space="preserve">,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rsidR="002D16CA" w:rsidRPr="001F665D"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35" w:name="_Toc499990364"/>
    </w:p>
    <w:p w:rsidR="003C7E36" w:rsidRPr="001F665D" w:rsidRDefault="00F56FFA" w:rsidP="007A4A30">
      <w:pPr>
        <w:pStyle w:val="Level2"/>
        <w:spacing w:after="240" w:line="320" w:lineRule="exact"/>
        <w:rPr>
          <w:b/>
          <w:szCs w:val="22"/>
        </w:rPr>
      </w:pPr>
      <w:bookmarkStart w:id="36" w:name="_Ref382072770"/>
      <w:bookmarkStart w:id="37" w:name="_Ref416106959"/>
      <w:r w:rsidRPr="001F665D">
        <w:rPr>
          <w:bCs/>
          <w:szCs w:val="22"/>
          <w:u w:val="single"/>
        </w:rPr>
        <w:lastRenderedPageBreak/>
        <w:t>Garantia</w:t>
      </w:r>
      <w:r w:rsidRPr="001F665D">
        <w:rPr>
          <w:szCs w:val="22"/>
        </w:rPr>
        <w:t xml:space="preserve">. </w:t>
      </w:r>
      <w:bookmarkEnd w:id="36"/>
      <w:r w:rsidRPr="001F665D">
        <w:rPr>
          <w:szCs w:val="22"/>
        </w:rPr>
        <w:t>A fim de garantir o integral, fiel e pontual pagamento e cumprimento de todas as obrigações, principais e acessórias, presentes ou futuras, assumidas ou que venham 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rsidR="00F56FFA" w:rsidRPr="001F665D" w:rsidRDefault="00F56FFA" w:rsidP="00B5347E">
      <w:pPr>
        <w:pStyle w:val="Level2"/>
        <w:spacing w:after="240" w:line="320" w:lineRule="exact"/>
        <w:rPr>
          <w:szCs w:val="22"/>
        </w:rPr>
      </w:pPr>
      <w:bookmarkStart w:id="38" w:name="_Ref382077658"/>
      <w:bookmarkEnd w:id="35"/>
      <w:bookmarkEnd w:id="37"/>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0416A9">
        <w:rPr>
          <w:noProof/>
          <w:szCs w:val="22"/>
        </w:rPr>
        <w:t>6.15.4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38"/>
      <w:r w:rsidR="001F0F10" w:rsidRPr="001F665D">
        <w:rPr>
          <w:noProof/>
          <w:szCs w:val="22"/>
        </w:rPr>
        <w:t xml:space="preserve"> </w:t>
      </w:r>
      <w:r w:rsidR="0090570C" w:rsidRPr="001F665D">
        <w:rPr>
          <w:noProof/>
          <w:szCs w:val="22"/>
        </w:rPr>
        <w:t>[</w:t>
      </w:r>
      <w:r w:rsidR="0090570C" w:rsidRPr="001F665D">
        <w:rPr>
          <w:noProof/>
          <w:szCs w:val="22"/>
          <w:highlight w:val="yellow"/>
        </w:rPr>
        <w:t>NOTA: Thresholds e prazos de cura sob validação dos Coordenadores</w:t>
      </w:r>
      <w:r w:rsidR="0090570C" w:rsidRPr="001F665D">
        <w:rPr>
          <w:noProof/>
          <w:szCs w:val="22"/>
        </w:rPr>
        <w:t>]</w:t>
      </w:r>
    </w:p>
    <w:p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rsidR="005366D6" w:rsidRPr="001F665D" w:rsidRDefault="005366D6" w:rsidP="006552A0">
      <w:pPr>
        <w:pStyle w:val="Level4"/>
        <w:rPr>
          <w:noProof/>
        </w:rPr>
      </w:pPr>
      <w:r w:rsidRPr="001F665D">
        <w:rPr>
          <w:noProof/>
        </w:rPr>
        <w:t xml:space="preserve">se a Emissora ou qualquer uma de suas Afiliadas propuser plano de recuperação extrajudicial a qualquer credor ou classe de credores, independentemente de ter sido requerida ou obtida homologação judicial de referido plano; ou se a Emissora ou qualquer de suas Afiliadas ingressar em juízo com requerimento de recuperação judicial, independentemente de </w:t>
      </w:r>
      <w:r w:rsidRPr="001F665D">
        <w:rPr>
          <w:noProof/>
        </w:rPr>
        <w:lastRenderedPageBreak/>
        <w:t>deferimento do processamento da recuperação ou de sua concessão pelo juiz competente; ou se a Emissora, por qualquer motivo, encerrar suas atividades;</w:t>
      </w:r>
    </w:p>
    <w:p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rsidR="005366D6" w:rsidRPr="001F665D" w:rsidRDefault="005366D6" w:rsidP="00B5347E">
      <w:pPr>
        <w:pStyle w:val="Level4"/>
        <w:rPr>
          <w:noProof/>
        </w:rPr>
      </w:pPr>
      <w:r w:rsidRPr="001F665D">
        <w:rPr>
          <w:noProof/>
        </w:rPr>
        <w:t>alteração, alienação ou transferência do controle acionário direto ou indireto da Emissora, exceto se houver anuência prévia dos Debenturistas;</w:t>
      </w:r>
    </w:p>
    <w:p w:rsidR="005366D6" w:rsidRPr="001F665D" w:rsidRDefault="005366D6" w:rsidP="00B5347E">
      <w:pPr>
        <w:pStyle w:val="Level4"/>
        <w:rPr>
          <w:noProof/>
        </w:rPr>
      </w:pPr>
      <w:r w:rsidRPr="001F665D">
        <w:rPr>
          <w:noProof/>
        </w:rPr>
        <w:t xml:space="preserve">celebração pela Emissora de contrato de mútuo, na qualidade de mutuante; </w:t>
      </w:r>
    </w:p>
    <w:p w:rsidR="005366D6" w:rsidRPr="001F665D" w:rsidRDefault="005366D6" w:rsidP="00B5347E">
      <w:pPr>
        <w:pStyle w:val="Level4"/>
        <w:rPr>
          <w:noProof/>
        </w:rPr>
      </w:pPr>
      <w:r w:rsidRPr="001F665D">
        <w:rPr>
          <w:noProof/>
        </w:rPr>
        <w:lastRenderedPageBreak/>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imediatamen</w:t>
      </w:r>
      <w:r w:rsidR="005158B5" w:rsidRPr="00AE5234">
        <w:rPr>
          <w:noProof/>
          <w:highlight w:val="cyan"/>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rsidR="005366D6" w:rsidRPr="001F665D" w:rsidRDefault="005366D6" w:rsidP="00C42783">
      <w:pPr>
        <w:pStyle w:val="Level4"/>
        <w:rPr>
          <w:noProof/>
        </w:rPr>
      </w:pPr>
      <w:bookmarkStart w:id="39" w:name="_Ref429508863"/>
      <w:r w:rsidRPr="001F665D">
        <w:rPr>
          <w:noProof/>
        </w:rPr>
        <w:t>não observância pela Emissora, das seguintes limitações de comprometimento das receitas da Emissora oriundas das atividades descritas em seu objeto social:</w:t>
      </w:r>
      <w:bookmarkEnd w:id="39"/>
      <w:r w:rsidRPr="001F665D">
        <w:rPr>
          <w:noProof/>
        </w:rPr>
        <w:t xml:space="preserve"> </w:t>
      </w:r>
      <w:r w:rsidR="009D2ED8" w:rsidRPr="001F665D">
        <w:rPr>
          <w:noProof/>
        </w:rPr>
        <w:t>[</w:t>
      </w:r>
      <w:r w:rsidR="009D2ED8" w:rsidRPr="006552A0">
        <w:rPr>
          <w:noProof/>
          <w:highlight w:val="yellow"/>
        </w:rPr>
        <w:t>NOTA: Percentuais sob confirmação</w:t>
      </w:r>
      <w:r w:rsidR="009D2ED8" w:rsidRPr="001F665D">
        <w:rPr>
          <w:noProof/>
        </w:rPr>
        <w:t>]</w:t>
      </w:r>
    </w:p>
    <w:p w:rsidR="006F1745" w:rsidRPr="001F665D" w:rsidRDefault="006F1745" w:rsidP="006F1745">
      <w:pPr>
        <w:pStyle w:val="Level5"/>
      </w:pPr>
      <w:r w:rsidRPr="001F665D">
        <w:rPr>
          <w:noProof/>
        </w:rPr>
        <w:t xml:space="preserve">volume máximo de 55% (cinquenta e cinco por cento) da receita anual, no exercício social de 2019; </w:t>
      </w:r>
    </w:p>
    <w:p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rsidR="006F1745" w:rsidRPr="001F665D" w:rsidRDefault="006F1745" w:rsidP="006F1745">
      <w:pPr>
        <w:pStyle w:val="Level5"/>
        <w:rPr>
          <w:noProof/>
        </w:rPr>
      </w:pPr>
      <w:r w:rsidRPr="001F665D">
        <w:rPr>
          <w:noProof/>
        </w:rPr>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rsidR="007D398A" w:rsidRPr="00BB28D5" w:rsidRDefault="006F1745" w:rsidP="006F1745">
      <w:pPr>
        <w:pStyle w:val="Level5"/>
        <w:rPr>
          <w:noProof/>
        </w:rPr>
      </w:pPr>
      <w:r w:rsidRPr="001F665D">
        <w:rPr>
          <w:noProof/>
        </w:rPr>
        <w:lastRenderedPageBreak/>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Pr="00BB28D5">
        <w:t>;</w:t>
      </w:r>
    </w:p>
    <w:p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rsidR="007D398A" w:rsidRPr="00BB28D5" w:rsidRDefault="007D398A" w:rsidP="00AA10B2">
      <w:pPr>
        <w:pStyle w:val="Level4"/>
        <w:rPr>
          <w:noProof/>
        </w:rPr>
      </w:pPr>
      <w:r w:rsidRPr="007D398A">
        <w:rPr>
          <w:noProof/>
        </w:rPr>
        <w:t>na ocorrência de violação de qualquer dispositivo de Leis Anticorrupção</w:t>
      </w:r>
      <w:r w:rsidR="000B18EC">
        <w:rPr>
          <w:noProof/>
        </w:rPr>
        <w:t>;</w:t>
      </w:r>
      <w:r w:rsidRPr="007D398A">
        <w:rPr>
          <w:noProof/>
        </w:rPr>
        <w:t xml:space="preserve"> </w:t>
      </w:r>
    </w:p>
    <w:p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1F493F">
        <w:rPr>
          <w:noProof/>
        </w:rPr>
        <w:t>; e</w:t>
      </w:r>
    </w:p>
    <w:p w:rsidR="005366D6" w:rsidRPr="00B5347E"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 alvará, autorização e/ou licença</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que representem pelo menos [15</w:t>
      </w:r>
      <w:r w:rsidR="002A7C95" w:rsidRPr="002A7C95">
        <w:t xml:space="preserve">% (quinze por cento) ] </w:t>
      </w:r>
      <w:r w:rsidR="002A7C95" w:rsidRPr="00907456">
        <w:rPr>
          <w:highlight w:val="yellow"/>
        </w:rPr>
        <w:t>[NOTA: Percentual a ser validado]</w:t>
      </w:r>
      <w:r w:rsidR="002A7C95" w:rsidRPr="002A7C95">
        <w:t xml:space="preserve"> ou mais do seu faturamento mensal médio dos últimos doze meses, conforme Demonstrações Financeiras (conforme definidas abaixo);</w:t>
      </w:r>
    </w:p>
    <w:p w:rsidR="003C7E36" w:rsidRPr="006552A0" w:rsidRDefault="00316B4C" w:rsidP="00AE5234">
      <w:pPr>
        <w:pStyle w:val="Level4"/>
        <w:numPr>
          <w:ilvl w:val="2"/>
          <w:numId w:val="56"/>
        </w:numPr>
        <w:spacing w:after="240" w:line="320" w:lineRule="exact"/>
      </w:pPr>
      <w:bookmarkStart w:id="40" w:name="_Ref382071274"/>
      <w:bookmarkStart w:id="41" w:name="_Ref384163010"/>
      <w:bookmarkStart w:id="42"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0416A9">
        <w:rPr>
          <w:noProof/>
        </w:rPr>
        <w:t>6.15.3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40"/>
      <w:bookmarkEnd w:id="41"/>
      <w:r w:rsidRPr="006552A0">
        <w:rPr>
          <w:noProof/>
        </w:rPr>
        <w:t xml:space="preserve"> </w:t>
      </w:r>
      <w:bookmarkEnd w:id="42"/>
    </w:p>
    <w:p w:rsidR="00F56FFA" w:rsidRPr="001F665D" w:rsidRDefault="005366D6" w:rsidP="00B5347E">
      <w:pPr>
        <w:pStyle w:val="Level4"/>
        <w:numPr>
          <w:ilvl w:val="3"/>
          <w:numId w:val="53"/>
        </w:numPr>
        <w:tabs>
          <w:tab w:val="clear" w:pos="2041"/>
          <w:tab w:val="num" w:pos="1106"/>
        </w:tabs>
        <w:spacing w:after="240" w:line="320" w:lineRule="exact"/>
      </w:pPr>
      <w:bookmarkStart w:id="43" w:name="_Ref382075077"/>
      <w:r w:rsidRPr="001F665D">
        <w:rPr>
          <w:noProof/>
        </w:rPr>
        <w:t xml:space="preserve">descumprimento, pela Emissora de qualquer obrigação não </w:t>
      </w:r>
      <w:r w:rsidRPr="001F665D">
        <w:t xml:space="preserve">pecuniária prevista nesta Escritura de Emissão ou no Contrato de Cessão Fiduciária, não sanado em até </w:t>
      </w:r>
      <w:r w:rsidR="006237C6">
        <w:t>[1</w:t>
      </w:r>
      <w:r w:rsidRPr="009C3D0D">
        <w:t>5 (</w:t>
      </w:r>
      <w:r w:rsidR="006237C6">
        <w:t>quinze</w:t>
      </w:r>
      <w:r w:rsidRPr="009C3D0D">
        <w:t>)</w:t>
      </w:r>
      <w:r w:rsidRPr="001F665D">
        <w:t xml:space="preserve"> </w:t>
      </w:r>
      <w:r w:rsidR="006237C6">
        <w:t>d</w:t>
      </w:r>
      <w:r w:rsidR="006237C6" w:rsidRPr="001F665D">
        <w:t>ias</w:t>
      </w:r>
      <w:r w:rsidR="006237C6">
        <w:t>] [</w:t>
      </w:r>
      <w:r w:rsidR="006237C6" w:rsidRPr="00907456">
        <w:rPr>
          <w:highlight w:val="yellow"/>
        </w:rPr>
        <w:t>NOTA: Coordenadores irão buscar aprovação para esse prazo</w:t>
      </w:r>
      <w:r w:rsidR="006237C6">
        <w:t>]</w:t>
      </w:r>
      <w:r w:rsidR="006237C6" w:rsidRPr="001F665D">
        <w:t xml:space="preserve">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43"/>
      <w:r w:rsidR="005158B5">
        <w:rPr>
          <w:noProof/>
        </w:rPr>
        <w:t xml:space="preserve"> </w:t>
      </w:r>
    </w:p>
    <w:p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9B49A9">
        <w:t>[</w:t>
      </w:r>
      <w:r w:rsidR="00CF00BB" w:rsidRPr="001F665D">
        <w:t xml:space="preserve">45 </w:t>
      </w:r>
      <w:r w:rsidRPr="001F665D">
        <w:t>(</w:t>
      </w:r>
      <w:r w:rsidR="00CF00BB" w:rsidRPr="001F665D">
        <w:t>quarenta e cinco</w:t>
      </w:r>
      <w:r w:rsidRPr="001F665D">
        <w:t>)</w:t>
      </w:r>
      <w:r w:rsidR="009B49A9">
        <w:t>] [</w:t>
      </w:r>
      <w:r w:rsidR="009B49A9" w:rsidRPr="006552A0">
        <w:rPr>
          <w:highlight w:val="yellow"/>
        </w:rPr>
        <w:t>NOTA: Prazo a ser validado</w:t>
      </w:r>
      <w:r w:rsidR="009B49A9">
        <w:t>]</w:t>
      </w:r>
      <w:r w:rsidRPr="001F665D">
        <w:t xml:space="preserve"> dias contados da data em que a Emissora e/ou qualquer de suas Afiliadas tomar ciência do ajuizamento de ação judicial</w:t>
      </w:r>
      <w:r w:rsidR="00F56FFA" w:rsidRPr="001F665D">
        <w:rPr>
          <w:noProof/>
        </w:rPr>
        <w:t>;</w:t>
      </w:r>
      <w:r w:rsidR="00B10550" w:rsidRPr="001F665D">
        <w:rPr>
          <w:noProof/>
        </w:rPr>
        <w:t xml:space="preserve"> </w:t>
      </w:r>
    </w:p>
    <w:p w:rsidR="00D24DF3" w:rsidRPr="001F665D" w:rsidRDefault="00D24DF3" w:rsidP="00907456">
      <w:pPr>
        <w:pStyle w:val="Level4"/>
        <w:numPr>
          <w:ilvl w:val="0"/>
          <w:numId w:val="0"/>
        </w:numPr>
        <w:ind w:left="2041"/>
      </w:pPr>
    </w:p>
    <w:p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rsidR="00C15BDF" w:rsidRDefault="00182171" w:rsidP="006552A0">
      <w:pPr>
        <w:pStyle w:val="Level4"/>
        <w:numPr>
          <w:ilvl w:val="3"/>
          <w:numId w:val="53"/>
        </w:numPr>
        <w:tabs>
          <w:tab w:val="left" w:pos="3686"/>
        </w:tabs>
        <w:spacing w:after="240" w:line="320" w:lineRule="exact"/>
      </w:pPr>
      <w:proofErr w:type="gramStart"/>
      <w:r w:rsidRPr="00182171">
        <w:t>intervenção</w:t>
      </w:r>
      <w:proofErr w:type="gramEnd"/>
      <w:r w:rsidRPr="00182171">
        <w:t xml:space="preserve"> do poder concedente na concessão outorgada à Emissora</w:t>
      </w:r>
      <w:r w:rsidR="00530BEB" w:rsidRPr="001F665D">
        <w:t>;</w:t>
      </w:r>
      <w:r w:rsidR="00BA4E7C" w:rsidRPr="001F665D">
        <w:t xml:space="preserve"> </w:t>
      </w:r>
    </w:p>
    <w:p w:rsidR="00625586" w:rsidRPr="001F665D" w:rsidRDefault="00625586" w:rsidP="006552A0">
      <w:pPr>
        <w:pStyle w:val="Level4"/>
        <w:numPr>
          <w:ilvl w:val="3"/>
          <w:numId w:val="53"/>
        </w:numPr>
        <w:tabs>
          <w:tab w:val="left" w:pos="3686"/>
        </w:tabs>
        <w:spacing w:after="240" w:line="320" w:lineRule="exact"/>
      </w:pPr>
      <w:proofErr w:type="gramStart"/>
      <w:r>
        <w:t>suspensão</w:t>
      </w:r>
      <w:proofErr w:type="gramEnd"/>
      <w:r>
        <w:t xml:space="preserve"> das atividades da Emissora correspondente a 15% (quinze por cento) ou mais do seu faturamento mensal médio dos últimos 12 (doze) meses, conforme Demonstrações Financeiras, desde que tal suspensão não seja revertida em um prazo de até 10 (dez) Dias Úteis;</w:t>
      </w:r>
    </w:p>
    <w:p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rsidR="00F56FFA" w:rsidRPr="001F665D" w:rsidRDefault="007D398A" w:rsidP="00B5347E">
      <w:pPr>
        <w:pStyle w:val="Level4"/>
        <w:numPr>
          <w:ilvl w:val="3"/>
          <w:numId w:val="53"/>
        </w:numPr>
        <w:tabs>
          <w:tab w:val="clear" w:pos="2041"/>
          <w:tab w:val="num" w:pos="1106"/>
        </w:tabs>
        <w:spacing w:after="240" w:line="320" w:lineRule="exact"/>
      </w:pPr>
      <w:bookmarkStart w:id="44"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w:t>
      </w:r>
      <w:r w:rsidR="009D386C">
        <w:rPr>
          <w:bCs/>
          <w:noProof/>
        </w:rPr>
        <w:t>[</w:t>
      </w:r>
      <w:r w:rsidRPr="001F665D">
        <w:rPr>
          <w:bCs/>
          <w:noProof/>
        </w:rPr>
        <w:t>ou crime contra o meio ambiente</w:t>
      </w:r>
      <w:r w:rsidR="009D386C">
        <w:rPr>
          <w:bCs/>
          <w:noProof/>
        </w:rPr>
        <w:t>] [</w:t>
      </w:r>
      <w:r w:rsidR="009D386C" w:rsidRPr="00907456">
        <w:rPr>
          <w:bCs/>
          <w:noProof/>
          <w:highlight w:val="yellow"/>
        </w:rPr>
        <w:t>NOTA: Companhia irá confirmar se está de acordo</w:t>
      </w:r>
      <w:r w:rsidR="009D386C">
        <w:rPr>
          <w:bCs/>
          <w:noProof/>
        </w:rPr>
        <w:t>]</w:t>
      </w:r>
      <w:r w:rsidR="000612C1" w:rsidRPr="001F665D">
        <w:rPr>
          <w:bCs/>
          <w:noProof/>
        </w:rPr>
        <w:t xml:space="preserve"> ou inscrição da </w:t>
      </w:r>
      <w:r w:rsidR="000612C1" w:rsidRPr="001F665D">
        <w:rPr>
          <w:bCs/>
          <w:noProof/>
        </w:rPr>
        <w:lastRenderedPageBreak/>
        <w:t>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44"/>
      <w:r w:rsidR="00F67966" w:rsidRPr="001F665D">
        <w:rPr>
          <w:bCs/>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proofErr w:type="gramStart"/>
      <w:r w:rsidRPr="001F665D">
        <w:rPr>
          <w:bCs/>
        </w:rPr>
        <w:t>caso</w:t>
      </w:r>
      <w:proofErr w:type="gramEnd"/>
      <w:r w:rsidRPr="001F665D">
        <w:rPr>
          <w:bCs/>
        </w:rPr>
        <w:t xml:space="preserve">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rsidR="005366D6" w:rsidRPr="00DC4E88" w:rsidRDefault="005366D6" w:rsidP="00AA10B2">
      <w:pPr>
        <w:pStyle w:val="Level4"/>
        <w:numPr>
          <w:ilvl w:val="3"/>
          <w:numId w:val="53"/>
        </w:numPr>
        <w:tabs>
          <w:tab w:val="clear" w:pos="2041"/>
          <w:tab w:val="num" w:pos="1106"/>
        </w:tabs>
        <w:spacing w:after="240" w:line="320" w:lineRule="exact"/>
        <w:rPr>
          <w:bCs/>
          <w:noProof/>
        </w:rPr>
      </w:pPr>
      <w:proofErr w:type="gramStart"/>
      <w:r w:rsidRPr="001F665D">
        <w:t>exceto</w:t>
      </w:r>
      <w:proofErr w:type="gramEnd"/>
      <w:r w:rsidRPr="001F665D">
        <w:t xml:space="preserve">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rsidR="005716E1" w:rsidRPr="006552A0" w:rsidRDefault="005716E1" w:rsidP="00AA10B2">
      <w:pPr>
        <w:pStyle w:val="Level4"/>
        <w:numPr>
          <w:ilvl w:val="3"/>
          <w:numId w:val="53"/>
        </w:numPr>
        <w:tabs>
          <w:tab w:val="clear" w:pos="2041"/>
          <w:tab w:val="num" w:pos="1106"/>
        </w:tabs>
        <w:spacing w:after="240" w:line="320" w:lineRule="exact"/>
        <w:rPr>
          <w:bCs/>
          <w:noProof/>
        </w:rPr>
      </w:pPr>
      <w:proofErr w:type="gramStart"/>
      <w:r w:rsidRPr="00DC4E88">
        <w:t>protestos</w:t>
      </w:r>
      <w:proofErr w:type="gramEnd"/>
      <w:r w:rsidRPr="00DC4E88">
        <w:t xml:space="preserve">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r w:rsidRPr="00DC4E88">
        <w:t>titulo</w:t>
      </w:r>
      <w:proofErr w:type="spellEnd"/>
      <w:r w:rsidRPr="00DC4E88">
        <w:t xml:space="preserve"> protestado</w:t>
      </w:r>
      <w:r w:rsidRPr="00DC4E88">
        <w:rPr>
          <w:noProof/>
        </w:rPr>
        <w:t>;</w:t>
      </w:r>
      <w:r w:rsidR="006C1109">
        <w:rPr>
          <w:noProof/>
        </w:rPr>
        <w:t xml:space="preserve"> [</w:t>
      </w:r>
      <w:r w:rsidR="006C1109" w:rsidRPr="00907456">
        <w:rPr>
          <w:noProof/>
          <w:highlight w:val="yellow"/>
        </w:rPr>
        <w:t>NOTA: Bancos vão checar com o crédito se item pode ser</w:t>
      </w:r>
      <w:r w:rsidR="006552A0" w:rsidRPr="00907456">
        <w:rPr>
          <w:noProof/>
          <w:highlight w:val="yellow"/>
        </w:rPr>
        <w:t xml:space="preserve"> mantido como</w:t>
      </w:r>
      <w:r w:rsidR="006C1109" w:rsidRPr="00907456">
        <w:rPr>
          <w:noProof/>
          <w:highlight w:val="yellow"/>
        </w:rPr>
        <w:t xml:space="preserve"> não automático</w:t>
      </w:r>
      <w:r w:rsidR="006C1109">
        <w:rPr>
          <w:noProof/>
        </w:rPr>
        <w:t>]</w:t>
      </w:r>
    </w:p>
    <w:p w:rsidR="00625586" w:rsidRPr="005716E1" w:rsidRDefault="00625586" w:rsidP="00AA10B2">
      <w:pPr>
        <w:pStyle w:val="Level4"/>
        <w:numPr>
          <w:ilvl w:val="3"/>
          <w:numId w:val="53"/>
        </w:numPr>
        <w:tabs>
          <w:tab w:val="clear" w:pos="2041"/>
          <w:tab w:val="num" w:pos="1106"/>
        </w:tabs>
        <w:spacing w:after="240" w:line="320" w:lineRule="exact"/>
        <w:rPr>
          <w:bCs/>
          <w:noProof/>
        </w:rPr>
      </w:pPr>
      <w:proofErr w:type="gramStart"/>
      <w:r w:rsidRPr="005716E1">
        <w:t>inclusão</w:t>
      </w:r>
      <w:proofErr w:type="gramEnd"/>
      <w:r w:rsidRPr="005716E1">
        <w:t>, em acordo</w:t>
      </w:r>
      <w:r w:rsidRPr="00C5407A">
        <w:t xml:space="preserve"> societário ou estatuto social da Emissora, de dispositivo que importe em restrições ou prejuízo à capacidade de pagamento das obrigações financeiras decorrentes desta Escritura;</w:t>
      </w:r>
    </w:p>
    <w:p w:rsidR="008D129F" w:rsidRPr="00907456" w:rsidRDefault="000612C1" w:rsidP="006552A0">
      <w:pPr>
        <w:pStyle w:val="Level4"/>
        <w:numPr>
          <w:ilvl w:val="3"/>
          <w:numId w:val="53"/>
        </w:numPr>
        <w:tabs>
          <w:tab w:val="clear" w:pos="2041"/>
          <w:tab w:val="num" w:pos="1106"/>
        </w:tabs>
        <w:spacing w:after="240" w:line="320" w:lineRule="exact"/>
        <w:rPr>
          <w:bCs/>
          <w:noProof/>
        </w:rPr>
      </w:pPr>
      <w:proofErr w:type="gramStart"/>
      <w:r w:rsidRPr="00C5407A">
        <w:t>condenação</w:t>
      </w:r>
      <w:proofErr w:type="gramEnd"/>
      <w:r w:rsidRPr="00C5407A">
        <w:t xml:space="preserve">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[exceto se a Emissora tiver obtido medida judicial com efeitos suspensivos revertendo tal decisão nos termos e prazos previstos na regulamentação aplicável]</w:t>
      </w:r>
      <w:r w:rsidRPr="00C5407A">
        <w:t>;</w:t>
      </w:r>
      <w:r w:rsidR="002C5316">
        <w:t xml:space="preserve"> [</w:t>
      </w:r>
      <w:r w:rsidR="002C5316" w:rsidRPr="00907456">
        <w:rPr>
          <w:highlight w:val="yellow"/>
        </w:rPr>
        <w:t xml:space="preserve">NOTA: Bancos irão confirmar se estão de acordo com o </w:t>
      </w:r>
      <w:proofErr w:type="spellStart"/>
      <w:r w:rsidR="002C5316" w:rsidRPr="00907456">
        <w:rPr>
          <w:highlight w:val="yellow"/>
        </w:rPr>
        <w:t>carve</w:t>
      </w:r>
      <w:proofErr w:type="spellEnd"/>
      <w:r w:rsidR="002C5316" w:rsidRPr="00907456">
        <w:rPr>
          <w:highlight w:val="yellow"/>
        </w:rPr>
        <w:t>-out</w:t>
      </w:r>
      <w:r w:rsidR="002C5316">
        <w:t>]</w:t>
      </w:r>
      <w:r w:rsidR="00B43542">
        <w:t xml:space="preserve"> </w:t>
      </w:r>
    </w:p>
    <w:p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45"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rsidR="006E7824" w:rsidRPr="00B5347E" w:rsidRDefault="00B756D0" w:rsidP="00B5347E">
      <w:pPr>
        <w:pStyle w:val="Level4"/>
        <w:numPr>
          <w:ilvl w:val="3"/>
          <w:numId w:val="52"/>
        </w:numPr>
        <w:spacing w:after="240" w:line="320" w:lineRule="exact"/>
      </w:pPr>
      <w:r>
        <w:rPr>
          <w:noProof/>
        </w:rPr>
        <w:t xml:space="preserve">apresentação </w:t>
      </w:r>
      <w:r w:rsidR="00801812">
        <w:rPr>
          <w:noProof/>
        </w:rPr>
        <w:t>de denúncia relacionada à violação</w:t>
      </w:r>
      <w:r w:rsidR="00801812" w:rsidRPr="00D24DF3">
        <w:rPr>
          <w:noProof/>
        </w:rPr>
        <w:t xml:space="preserve">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rsidR="004F15D6" w:rsidRPr="001F665D" w:rsidRDefault="004F15D6" w:rsidP="00B5347E">
      <w:pPr>
        <w:pStyle w:val="Level4"/>
        <w:numPr>
          <w:ilvl w:val="3"/>
          <w:numId w:val="53"/>
        </w:numPr>
        <w:spacing w:after="240" w:line="320" w:lineRule="exact"/>
      </w:pPr>
      <w:r w:rsidRPr="001F665D">
        <w:lastRenderedPageBreak/>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acompanhado pelo Agente Fiduciário </w:t>
      </w:r>
      <w:r w:rsidR="00B9478F" w:rsidRPr="001F665D">
        <w:t>semestralmente</w:t>
      </w:r>
      <w:r w:rsidR="003922DB">
        <w:t xml:space="preserve">, com base (i) nas </w:t>
      </w:r>
      <w:r w:rsidR="003922DB" w:rsidRPr="001F665D">
        <w:t xml:space="preserve">informações financeiras consolidadas da Emissora relativas ao período de </w:t>
      </w:r>
      <w:r w:rsidR="003922DB" w:rsidRPr="00B5347E">
        <w:t>3 (três</w:t>
      </w:r>
      <w:r w:rsidR="003922DB" w:rsidRPr="001F665D">
        <w:t xml:space="preserve">) meses encerrado em 30 de junho </w:t>
      </w:r>
      <w:r w:rsidR="003922DB">
        <w:t>de cada ano e (</w:t>
      </w:r>
      <w:proofErr w:type="spellStart"/>
      <w:r w:rsidR="003922DB">
        <w:t>ii</w:t>
      </w:r>
      <w:proofErr w:type="spellEnd"/>
      <w:r w:rsidR="003922DB">
        <w:t>) nas demonstrações financeiras relativas ao período de 12 (doze) meses encerrado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ao período de </w:t>
      </w:r>
      <w:r w:rsidRPr="00B5347E">
        <w:t>3 (três</w:t>
      </w:r>
      <w:r w:rsidRPr="001F665D">
        <w:t xml:space="preserve">) meses encerrado em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4,5x</w:t>
      </w:r>
      <w:r w:rsidRPr="001F665D">
        <w:t xml:space="preserve"> (</w:t>
      </w:r>
      <w:r w:rsidR="003803F7" w:rsidRPr="001F665D">
        <w:t>quatro</w:t>
      </w:r>
      <w:r w:rsidRPr="001F665D">
        <w:t xml:space="preserve"> inteiros e </w:t>
      </w:r>
      <w:r w:rsidR="003803F7" w:rsidRPr="001F665D">
        <w:t>cinquenta centésimos</w:t>
      </w:r>
      <w:r w:rsidRPr="001F665D">
        <w:t xml:space="preserve">). </w:t>
      </w:r>
    </w:p>
    <w:p w:rsidR="004F15D6" w:rsidRPr="001F665D" w:rsidRDefault="004F15D6" w:rsidP="00B5347E">
      <w:pPr>
        <w:pStyle w:val="Level4"/>
        <w:numPr>
          <w:ilvl w:val="0"/>
          <w:numId w:val="0"/>
        </w:numPr>
        <w:ind w:left="2041"/>
      </w:pPr>
      <w:r w:rsidRPr="001F665D">
        <w:t xml:space="preserve">Para os fins da presente Escritura de Emissão, considera-se: </w:t>
      </w:r>
    </w:p>
    <w:p w:rsidR="00F048D2" w:rsidRPr="001F665D" w:rsidRDefault="00F048D2" w:rsidP="00B5347E">
      <w:pPr>
        <w:pStyle w:val="Level4"/>
        <w:numPr>
          <w:ilvl w:val="0"/>
          <w:numId w:val="0"/>
        </w:numPr>
        <w:ind w:left="2041"/>
      </w:pPr>
      <w:r w:rsidRPr="001F665D">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90570C" w:rsidRPr="001F665D">
        <w:t>[</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r w:rsidR="0090570C" w:rsidRPr="001F665D">
        <w:t>[</w:t>
      </w:r>
      <w:r w:rsidR="0090570C" w:rsidRPr="001F665D">
        <w:rPr>
          <w:highlight w:val="yellow"/>
        </w:rPr>
        <w:t xml:space="preserve">NOTA: </w:t>
      </w:r>
      <w:r w:rsidR="006103BE" w:rsidRPr="006552A0">
        <w:rPr>
          <w:highlight w:val="yellow"/>
        </w:rPr>
        <w:t>Definição do EBITDA a ser discutida entre Emissora e Coordenadores</w:t>
      </w:r>
      <w:r w:rsidR="0090570C" w:rsidRPr="001F665D">
        <w:t>]</w:t>
      </w:r>
    </w:p>
    <w:p w:rsidR="004F15D6" w:rsidRPr="001F665D"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bookmarkEnd w:id="45"/>
    <w:p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lastRenderedPageBreak/>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0416A9">
        <w:rPr>
          <w:noProof/>
          <w:szCs w:val="22"/>
        </w:rPr>
        <w:t>6.15</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0416A9">
        <w:rPr>
          <w:noProof/>
          <w:szCs w:val="22"/>
        </w:rPr>
        <w:t>6.15.1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6"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0416A9">
        <w:rPr>
          <w:noProof/>
          <w:szCs w:val="22"/>
        </w:rPr>
        <w:t>6.15.4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6.15.1. acima</w:t>
      </w:r>
      <w:r w:rsidRPr="001F665D">
        <w:rPr>
          <w:noProof/>
          <w:szCs w:val="22"/>
        </w:rPr>
        <w:t xml:space="preserve">, os Debenturistas detentores de, no mínimo, </w:t>
      </w:r>
      <w:r w:rsidR="00B567AE">
        <w:rPr>
          <w:noProof/>
          <w:szCs w:val="22"/>
        </w:rPr>
        <w:t>[</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00B567AE">
        <w:rPr>
          <w:noProof/>
          <w:szCs w:val="22"/>
        </w:rPr>
        <w:t>] [</w:t>
      </w:r>
      <w:r w:rsidR="00B567AE" w:rsidRPr="00907456">
        <w:rPr>
          <w:noProof/>
          <w:szCs w:val="22"/>
          <w:highlight w:val="yellow"/>
        </w:rPr>
        <w:t>NOTA: Bancos irão verificar internamente</w:t>
      </w:r>
      <w:r w:rsidR="00B567AE">
        <w:rPr>
          <w:noProof/>
          <w:szCs w:val="22"/>
        </w:rPr>
        <w:t>]</w:t>
      </w:r>
      <w:r w:rsidRPr="001F665D">
        <w:rPr>
          <w:noProof/>
          <w:szCs w:val="22"/>
        </w:rPr>
        <w:t>,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46"/>
      <w:r w:rsidR="005C13AA" w:rsidRPr="001F665D">
        <w:rPr>
          <w:noProof/>
          <w:szCs w:val="22"/>
        </w:rPr>
        <w:t xml:space="preserve"> </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7" w:name="_Ref382072672"/>
      <w:r w:rsidRPr="001F665D">
        <w:rPr>
          <w:noProof/>
          <w:szCs w:val="22"/>
        </w:rPr>
        <w:t>Em caso de vencimento antecipado das Debêntures, a Emissora obriga-se a resgatar a totalidade das Debêntures, com o seu consequente cancelamento,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416A9">
        <w:rPr>
          <w:noProof/>
          <w:szCs w:val="22"/>
        </w:rPr>
        <w:t>6.15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47"/>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saldo devedor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w:t>
      </w:r>
      <w:r w:rsidRPr="001F665D">
        <w:rPr>
          <w:szCs w:val="22"/>
        </w:rPr>
        <w:lastRenderedPageBreak/>
        <w:t>obrigações decorrentes das Debêntures enquanto não forem pagas, declarando a Emissora, neste ato, que tal saldo devedor será considerado título executivo extrajudicial.</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t>B3</w:t>
      </w:r>
      <w:r w:rsidRPr="001F665D">
        <w:rPr>
          <w:szCs w:val="22"/>
        </w:rPr>
        <w:t xml:space="preserve"> sobre o respectivo pagamento com, no mínimo 2 (dois) Dias Úteis de antecedência.</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48" w:name="_Ref382075186"/>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48"/>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0416A9" w:rsidRPr="006552A0">
        <w:rPr>
          <w:snapToGrid w:val="0"/>
          <w:szCs w:val="22"/>
        </w:rPr>
        <w:t>6.15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49"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0416A9">
        <w:rPr>
          <w:szCs w:val="22"/>
        </w:rPr>
        <w:t>6.16 acima</w:t>
      </w:r>
      <w:r w:rsidR="009B19E3" w:rsidRPr="001F665D">
        <w:rPr>
          <w:szCs w:val="22"/>
        </w:rPr>
        <w:fldChar w:fldCharType="end"/>
      </w:r>
      <w:r w:rsidRPr="001F665D">
        <w:rPr>
          <w:szCs w:val="22"/>
        </w:rPr>
        <w:t>, a partir da data em que o valor correspondente seja disponibilizado pela Emissora ao Debenturista</w:t>
      </w:r>
      <w:bookmarkEnd w:id="49"/>
      <w:r w:rsidRPr="001F665D">
        <w:rPr>
          <w:szCs w:val="22"/>
        </w:rPr>
        <w:t>, sendo-lhe, todavia, assegurados os direitos adquiridos até a data em que os recursos se tornarem disponíveis.</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0"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50"/>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EB15A5" w:rsidRPr="001F665D">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1"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Banco Liquidante e </w:t>
      </w:r>
      <w:proofErr w:type="spellStart"/>
      <w:r w:rsidRPr="001F665D">
        <w:rPr>
          <w:szCs w:val="22"/>
        </w:rPr>
        <w:t>Escriturador</w:t>
      </w:r>
      <w:proofErr w:type="spellEnd"/>
      <w:r w:rsidRPr="001F665D">
        <w:rPr>
          <w:szCs w:val="22"/>
        </w:rPr>
        <w:t xml:space="preserve">, para as Debêntures que eventualmente não estejam custodiadas eletronicamente na </w:t>
      </w:r>
      <w:bookmarkEnd w:id="51"/>
      <w:r w:rsidR="00107B17" w:rsidRPr="001F665D">
        <w:rPr>
          <w:szCs w:val="22"/>
        </w:rPr>
        <w:t>B3</w:t>
      </w:r>
      <w:bookmarkStart w:id="52" w:name="_DV_C943"/>
      <w:r w:rsidR="00107B17" w:rsidRPr="001F665D">
        <w:rPr>
          <w:szCs w:val="22"/>
        </w:rPr>
        <w:t>.</w:t>
      </w:r>
      <w:bookmarkEnd w:id="52"/>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53"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54" w:name="_Ref416914244"/>
      <w:r w:rsidRPr="001F665D">
        <w:rPr>
          <w:szCs w:val="22"/>
        </w:rPr>
        <w:lastRenderedPageBreak/>
        <w:t>Para os fins desta Escritura de Emissão, “Dia Útil” significa qualquer dia que não seja sábado, domingo ou feriado declarado nacional.</w:t>
      </w:r>
      <w:bookmarkEnd w:id="53"/>
      <w:bookmarkEnd w:id="54"/>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5"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56" w:name="_DV_C946"/>
      <w:bookmarkEnd w:id="55"/>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56"/>
      <w:r w:rsidRPr="001F665D">
        <w:rPr>
          <w:bCs/>
          <w:szCs w:val="22"/>
        </w:rPr>
        <w:t xml:space="preserve">. </w:t>
      </w:r>
      <w:r w:rsidRPr="001F665D">
        <w:rPr>
          <w:szCs w:val="22"/>
        </w:rPr>
        <w:t xml:space="preserve">Observado o disposto no artigo 55, parágrafo terceiro, da Lei das Sociedades por Ações, é facultado à Emissora adquirir Debêntures em Circulação: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rsidR="00F56FFA" w:rsidRPr="001F665D" w:rsidRDefault="00F56FFA" w:rsidP="00B5347E">
      <w:pPr>
        <w:pStyle w:val="Level4"/>
        <w:spacing w:after="240" w:line="320" w:lineRule="exact"/>
      </w:pPr>
      <w:proofErr w:type="gramStart"/>
      <w:r w:rsidRPr="001F665D">
        <w:t>disponibilizar</w:t>
      </w:r>
      <w:proofErr w:type="gramEnd"/>
      <w:r w:rsidRPr="001F665D">
        <w:t xml:space="preserve"> ao Agente Fiduciário:</w:t>
      </w:r>
      <w:r w:rsidR="00B567AE">
        <w:t xml:space="preserve"> </w:t>
      </w:r>
    </w:p>
    <w:p w:rsidR="00F56FFA" w:rsidRPr="001F665D" w:rsidRDefault="00F56FFA" w:rsidP="00B5347E">
      <w:pPr>
        <w:pStyle w:val="Level5"/>
        <w:spacing w:after="240" w:line="320" w:lineRule="exact"/>
      </w:pPr>
      <w:r w:rsidRPr="001F665D">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e (b) da memória de cálculo dos índices financeiros</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rsidR="00C85551" w:rsidRDefault="00C85551" w:rsidP="00B5347E">
      <w:pPr>
        <w:pStyle w:val="Level5"/>
        <w:spacing w:after="240" w:line="320" w:lineRule="exact"/>
      </w:pPr>
      <w:r w:rsidRPr="001F665D">
        <w:lastRenderedPageBreak/>
        <w:t xml:space="preserve">no prazo de até 45 (quarenta </w:t>
      </w:r>
      <w:r w:rsidRPr="00090C8C">
        <w:t>e cinco) dias após o término d</w:t>
      </w:r>
      <w:r w:rsidR="00D94A9D" w:rsidRPr="00090C8C">
        <w:t>e cada semestre</w:t>
      </w:r>
      <w:r w:rsidRPr="00090C8C">
        <w:t xml:space="preserve"> 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completas 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dos índices financeiros</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r w:rsidR="00B567AE">
        <w:t>[</w:t>
      </w:r>
      <w:r w:rsidR="00B567AE" w:rsidRPr="007A4A30">
        <w:rPr>
          <w:highlight w:val="yellow"/>
        </w:rPr>
        <w:t xml:space="preserve">NOTA: Agente Fiduciário, favor confirmar se </w:t>
      </w:r>
      <w:r w:rsidR="00B567AE" w:rsidRPr="00907456">
        <w:rPr>
          <w:highlight w:val="yellow"/>
        </w:rPr>
        <w:t>é possível o cálculo do índice financeiro sem esse documento</w:t>
      </w:r>
      <w:r w:rsidR="00B567AE">
        <w:t>]</w:t>
      </w:r>
      <w:r w:rsidRPr="001F665D">
        <w:t xml:space="preserve"> </w:t>
      </w:r>
      <w:r w:rsidR="00D94A9D">
        <w:t xml:space="preserve"> </w:t>
      </w:r>
    </w:p>
    <w:p w:rsidR="00D94A9D" w:rsidRPr="00090C8C" w:rsidRDefault="00D94A9D" w:rsidP="00B5347E">
      <w:pPr>
        <w:pStyle w:val="Level5"/>
        <w:spacing w:after="240" w:line="320" w:lineRule="exact"/>
      </w:pPr>
      <w:proofErr w:type="gramStart"/>
      <w:r w:rsidRPr="00090C8C">
        <w:t>no</w:t>
      </w:r>
      <w:proofErr w:type="gramEnd"/>
      <w:r w:rsidRPr="00090C8C">
        <w:t xml:space="preserve">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rsidR="00F56FFA" w:rsidRPr="001F665D" w:rsidRDefault="00F56FFA" w:rsidP="00B5347E">
      <w:pPr>
        <w:pStyle w:val="Level5"/>
        <w:spacing w:after="240" w:line="320" w:lineRule="exact"/>
      </w:pPr>
      <w:r w:rsidRPr="001F665D">
        <w:t>avisos aos Debenturistas</w:t>
      </w:r>
      <w:r w:rsidRPr="001F665D" w:rsidDel="004575BC">
        <w:t>, fatos relevantes</w:t>
      </w:r>
      <w:r w:rsidRPr="001F665D">
        <w:t>, conforme definidos na Instrução CVM n.º 358, de 3 de janeiro de 2002, conforme 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rsidR="00F56FFA" w:rsidRPr="001F665D" w:rsidRDefault="00F56FFA" w:rsidP="00B5347E">
      <w:pPr>
        <w:pStyle w:val="Level5"/>
        <w:spacing w:after="240" w:line="320" w:lineRule="exact"/>
      </w:pPr>
      <w:proofErr w:type="gramStart"/>
      <w:r w:rsidRPr="001F665D">
        <w:t>informações</w:t>
      </w:r>
      <w:proofErr w:type="gramEnd"/>
      <w:r w:rsidRPr="001F665D">
        <w:t xml:space="preserve">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rsidR="000612C1" w:rsidRPr="001F665D" w:rsidRDefault="00F56FFA" w:rsidP="000612C1">
      <w:pPr>
        <w:pStyle w:val="Level5"/>
        <w:spacing w:after="240" w:line="320" w:lineRule="exact"/>
      </w:pPr>
      <w:proofErr w:type="gramStart"/>
      <w:r w:rsidRPr="0059168F">
        <w:t>dentro</w:t>
      </w:r>
      <w:proofErr w:type="gramEnd"/>
      <w:r w:rsidRPr="0059168F">
        <w:t xml:space="preserve">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rsidR="000612C1" w:rsidRPr="001F665D" w:rsidRDefault="000612C1" w:rsidP="000612C1">
      <w:pPr>
        <w:pStyle w:val="Level5"/>
        <w:spacing w:after="240" w:line="320" w:lineRule="exact"/>
      </w:pPr>
      <w:proofErr w:type="gramStart"/>
      <w:r w:rsidRPr="001F665D">
        <w:t>em</w:t>
      </w:r>
      <w:proofErr w:type="gramEnd"/>
      <w:r w:rsidRPr="001F665D">
        <w:t xml:space="preserve"> tempo hábil, as informações veiculadas nos termos previstos na Cláusula 6.</w:t>
      </w:r>
      <w:r w:rsidR="000416A9">
        <w:t>21</w:t>
      </w:r>
      <w:r w:rsidRPr="001F665D">
        <w:t xml:space="preserve"> acima; e</w:t>
      </w:r>
    </w:p>
    <w:p w:rsidR="000612C1" w:rsidRPr="001F665D" w:rsidRDefault="000612C1" w:rsidP="000612C1">
      <w:pPr>
        <w:pStyle w:val="Level5"/>
        <w:spacing w:after="240" w:line="320" w:lineRule="exact"/>
      </w:pPr>
      <w:proofErr w:type="gramStart"/>
      <w:r w:rsidRPr="001F665D">
        <w:t>todos</w:t>
      </w:r>
      <w:proofErr w:type="gramEnd"/>
      <w:r w:rsidRPr="001F665D">
        <w:t xml:space="preserve"> os demais documentos e informações que a Emissora, nos termos e condições previstos nesta Escritura, se comprometeu a enviar ao Agente</w:t>
      </w:r>
      <w:r w:rsidRPr="001F665D">
        <w:rPr>
          <w:lang w:eastAsia="pt-PT"/>
        </w:rPr>
        <w:t xml:space="preserve"> Fiduciário.</w:t>
      </w:r>
    </w:p>
    <w:p w:rsidR="00F56FFA" w:rsidRPr="001F665D" w:rsidRDefault="00F56FFA" w:rsidP="00B5347E">
      <w:pPr>
        <w:pStyle w:val="Level4"/>
        <w:spacing w:after="240" w:line="320" w:lineRule="exact"/>
        <w:rPr>
          <w:rStyle w:val="DeltaViewInsertion"/>
          <w:color w:val="auto"/>
          <w:u w:val="none"/>
        </w:rPr>
      </w:pPr>
      <w:proofErr w:type="gramStart"/>
      <w:r w:rsidRPr="001F665D">
        <w:rPr>
          <w:rStyle w:val="DeltaViewInsertion"/>
          <w:color w:val="000000"/>
          <w:u w:val="none"/>
        </w:rPr>
        <w:lastRenderedPageBreak/>
        <w:t>manter</w:t>
      </w:r>
      <w:proofErr w:type="gramEnd"/>
      <w:r w:rsidRPr="001F665D">
        <w:rPr>
          <w:rStyle w:val="DeltaViewInsertion"/>
          <w:color w:val="000000"/>
          <w:u w:val="none"/>
        </w:rPr>
        <w:t xml:space="preserve">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rsidR="00F56FFA" w:rsidRDefault="00F56FFA" w:rsidP="00B5347E">
      <w:pPr>
        <w:pStyle w:val="Level4"/>
        <w:spacing w:after="240" w:line="320" w:lineRule="exact"/>
      </w:pPr>
      <w:proofErr w:type="gramStart"/>
      <w:r w:rsidRPr="001F665D">
        <w:t>cumprir</w:t>
      </w:r>
      <w:proofErr w:type="gramEnd"/>
      <w:r w:rsidRPr="001F665D">
        <w:t xml:space="preserve">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rsidR="00801812" w:rsidRPr="00907456" w:rsidRDefault="0061440B" w:rsidP="00907456">
      <w:pPr>
        <w:pStyle w:val="Level4"/>
        <w:rPr>
          <w:bCs/>
          <w:noProof/>
        </w:rPr>
      </w:pPr>
      <w:proofErr w:type="gramStart"/>
      <w:r>
        <w:t>cumprir</w:t>
      </w:r>
      <w:proofErr w:type="gramEnd"/>
      <w:r>
        <w:t xml:space="preserve"> integralmente as disposições dos contratos de programa celebrados pela </w:t>
      </w:r>
      <w:r w:rsidR="00801812">
        <w:t>Emissora no âmbito das concessões detidas pela Emissora</w:t>
      </w:r>
      <w:r>
        <w:t>;</w:t>
      </w:r>
    </w:p>
    <w:p w:rsidR="009619BF" w:rsidRPr="001F665D" w:rsidRDefault="009619BF" w:rsidP="00B5347E">
      <w:pPr>
        <w:pStyle w:val="Level4"/>
        <w:spacing w:after="240" w:line="320" w:lineRule="exact"/>
      </w:pPr>
      <w:proofErr w:type="spellStart"/>
      <w:r w:rsidRPr="001F665D">
        <w:t>cumprir</w:t>
      </w:r>
      <w:proofErr w:type="spellEnd"/>
      <w:r w:rsidRPr="001F665D">
        <w:t xml:space="preserve">,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w:t>
      </w:r>
      <w:r w:rsidR="002E1CCD" w:rsidRPr="001F665D">
        <w:lastRenderedPageBreak/>
        <w:t>frendo investigação criminal e não estiveram sujeitos a quaisquer ações legais civis ou criminais no país ou no exterior, por conduta inadequada 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rsidR="00F56FFA" w:rsidRPr="001F665D" w:rsidRDefault="00F56FFA" w:rsidP="00B5347E">
      <w:pPr>
        <w:pStyle w:val="Level4"/>
        <w:spacing w:after="240" w:line="320" w:lineRule="exact"/>
      </w:pPr>
      <w:proofErr w:type="gramStart"/>
      <w:r w:rsidRPr="001F665D">
        <w:t>cumprir</w:t>
      </w:r>
      <w:proofErr w:type="gramEnd"/>
      <w:r w:rsidRPr="001F665D">
        <w:t xml:space="preserve">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rsidR="00F56FFA" w:rsidRPr="001F665D" w:rsidRDefault="003F1690" w:rsidP="00B5347E">
      <w:pPr>
        <w:pStyle w:val="Level4"/>
        <w:spacing w:after="240" w:line="320" w:lineRule="exact"/>
        <w:rPr>
          <w:rStyle w:val="DeltaViewInsertion"/>
          <w:color w:val="auto"/>
          <w:u w:val="none"/>
        </w:rPr>
      </w:pPr>
      <w:proofErr w:type="gramStart"/>
      <w:r w:rsidRPr="001F665D">
        <w:rPr>
          <w:color w:val="000000"/>
        </w:rPr>
        <w:t>manter</w:t>
      </w:r>
      <w:proofErr w:type="gramEnd"/>
      <w:r w:rsidRPr="001F665D">
        <w:rPr>
          <w:color w:val="000000"/>
        </w:rPr>
        <w:t xml:space="preserve">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rsidR="00F56FFA" w:rsidRPr="001F665D" w:rsidRDefault="00F56FFA" w:rsidP="00B5347E">
      <w:pPr>
        <w:pStyle w:val="Level4"/>
        <w:spacing w:after="240" w:line="320" w:lineRule="exact"/>
      </w:pPr>
      <w:proofErr w:type="gramStart"/>
      <w:r w:rsidRPr="001F665D">
        <w:t>notificar</w:t>
      </w:r>
      <w:proofErr w:type="gramEnd"/>
      <w:r w:rsidRPr="001F665D">
        <w:t xml:space="preserve">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0416A9">
        <w:t>6.15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xml:space="preserve">, </w:t>
      </w:r>
      <w:proofErr w:type="spellStart"/>
      <w:r w:rsidR="00F72453" w:rsidRPr="001F665D">
        <w:t>reputacionais</w:t>
      </w:r>
      <w:proofErr w:type="spellEnd"/>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57" w:name="_DV_M206"/>
      <w:bookmarkStart w:id="58" w:name="_DV_M207"/>
      <w:bookmarkEnd w:id="57"/>
      <w:bookmarkEnd w:id="58"/>
      <w:r w:rsidR="00AF47B8" w:rsidRPr="001F665D">
        <w:t xml:space="preserve"> </w:t>
      </w:r>
    </w:p>
    <w:p w:rsidR="00F56FFA" w:rsidRPr="001F665D" w:rsidRDefault="00F56FFA" w:rsidP="00B5347E">
      <w:pPr>
        <w:pStyle w:val="Level4"/>
        <w:spacing w:after="240" w:line="320" w:lineRule="exact"/>
      </w:pPr>
      <w:proofErr w:type="gramStart"/>
      <w:r w:rsidRPr="001F665D">
        <w:rPr>
          <w:color w:val="000000"/>
        </w:rPr>
        <w:t>cumprir</w:t>
      </w:r>
      <w:proofErr w:type="gramEnd"/>
      <w:r w:rsidRPr="001F665D">
        <w:rPr>
          <w:color w:val="000000"/>
        </w:rPr>
        <w:t xml:space="preserve"> com suas obrigações relacionadas ao pagamento de todos os tributos, taxas e/ou contribuições decorrentes da Oferta Restrita</w:t>
      </w:r>
      <w:r w:rsidR="00B77ADF">
        <w:rPr>
          <w:color w:val="000000"/>
        </w:rPr>
        <w:t xml:space="preserve">; </w:t>
      </w:r>
    </w:p>
    <w:p w:rsidR="00F56FFA" w:rsidRPr="001F665D" w:rsidRDefault="00F56FFA" w:rsidP="00B5347E">
      <w:pPr>
        <w:pStyle w:val="Level4"/>
        <w:spacing w:after="240" w:line="320" w:lineRule="exact"/>
      </w:pPr>
      <w:proofErr w:type="gramStart"/>
      <w:r w:rsidRPr="001F665D">
        <w:rPr>
          <w:color w:val="000000"/>
        </w:rPr>
        <w:t>prestar</w:t>
      </w:r>
      <w:proofErr w:type="gramEnd"/>
      <w:r w:rsidRPr="001F665D">
        <w:rPr>
          <w:color w:val="000000"/>
        </w:rPr>
        <w:t xml:space="preserve">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rsidR="00F56FFA" w:rsidRPr="001F665D" w:rsidRDefault="00F56FFA" w:rsidP="00B5347E">
      <w:pPr>
        <w:pStyle w:val="Level4"/>
        <w:spacing w:after="240" w:line="320" w:lineRule="exact"/>
      </w:pPr>
      <w:proofErr w:type="gramStart"/>
      <w:r w:rsidRPr="001F665D">
        <w:rPr>
          <w:color w:val="000000"/>
        </w:rPr>
        <w:t>proceder</w:t>
      </w:r>
      <w:proofErr w:type="gramEnd"/>
      <w:r w:rsidRPr="001F665D">
        <w:rPr>
          <w:color w:val="000000"/>
        </w:rPr>
        <w:t xml:space="preserve">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rsidR="00F56FFA" w:rsidRPr="001F665D" w:rsidRDefault="00F56FFA" w:rsidP="00B5347E">
      <w:pPr>
        <w:pStyle w:val="Level4"/>
        <w:spacing w:after="240" w:line="320" w:lineRule="exact"/>
      </w:pPr>
      <w:proofErr w:type="gramStart"/>
      <w:r w:rsidRPr="001F665D">
        <w:rPr>
          <w:color w:val="000000"/>
        </w:rPr>
        <w:t>manter</w:t>
      </w:r>
      <w:proofErr w:type="gramEnd"/>
      <w:r w:rsidRPr="001F665D">
        <w:rPr>
          <w:color w:val="000000"/>
        </w:rPr>
        <w:t xml:space="preserve"> a sua contabilidade atualizada e efetuar os respectivos registros de acordo com os princípios contábeis geralmente aceitos no Brasil;</w:t>
      </w:r>
    </w:p>
    <w:p w:rsidR="00693F5E" w:rsidRPr="001F665D" w:rsidRDefault="00693F5E" w:rsidP="00B5347E">
      <w:pPr>
        <w:pStyle w:val="Level4"/>
        <w:spacing w:after="240" w:line="320" w:lineRule="exact"/>
      </w:pPr>
      <w:proofErr w:type="gramStart"/>
      <w:r w:rsidRPr="001F665D">
        <w:t>preparar</w:t>
      </w:r>
      <w:proofErr w:type="gramEnd"/>
      <w:r w:rsidRPr="001F665D">
        <w:t xml:space="preserve"> as demonstrações financeiras da Emissora relativas a cada exercício social, em conformidade com a Lei das Sociedades por Ações;</w:t>
      </w:r>
    </w:p>
    <w:p w:rsidR="00F56FFA" w:rsidRPr="001F665D" w:rsidRDefault="00F56FFA" w:rsidP="00B5347E">
      <w:pPr>
        <w:pStyle w:val="Level4"/>
        <w:spacing w:after="240" w:line="320" w:lineRule="exact"/>
      </w:pPr>
      <w:bookmarkStart w:id="59" w:name="_Ref382081678"/>
      <w:proofErr w:type="gramStart"/>
      <w:r w:rsidRPr="001F665D">
        <w:rPr>
          <w:color w:val="000000"/>
        </w:rPr>
        <w:t>submeter</w:t>
      </w:r>
      <w:proofErr w:type="gramEnd"/>
      <w:r w:rsidRPr="001F665D">
        <w:rPr>
          <w:color w:val="000000"/>
        </w:rPr>
        <w:t xml:space="preserve">, na forma da lei, suas </w:t>
      </w:r>
      <w:r w:rsidR="00796EC9" w:rsidRPr="001F665D">
        <w:rPr>
          <w:color w:val="000000"/>
        </w:rPr>
        <w:t>Demonstrações F</w:t>
      </w:r>
      <w:r w:rsidRPr="001F665D">
        <w:rPr>
          <w:color w:val="000000"/>
        </w:rPr>
        <w:t>inanceiras a exame por empresa de auditoria independente registrada na CVM;</w:t>
      </w:r>
      <w:bookmarkEnd w:id="59"/>
    </w:p>
    <w:p w:rsidR="00F56FFA" w:rsidRPr="001F665D" w:rsidRDefault="00567227" w:rsidP="00B5347E">
      <w:pPr>
        <w:pStyle w:val="Level4"/>
        <w:spacing w:after="240" w:line="320" w:lineRule="exact"/>
      </w:pPr>
      <w:bookmarkStart w:id="60" w:name="_Ref382081682"/>
      <w:r>
        <w:t xml:space="preserve">(a) </w:t>
      </w:r>
      <w:r w:rsidR="00F56FFA" w:rsidRPr="001F665D">
        <w:t xml:space="preserve">divulgar suas </w:t>
      </w:r>
      <w:r w:rsidR="00796EC9" w:rsidRPr="001F665D">
        <w:t>Demonstrações F</w:t>
      </w:r>
      <w:r w:rsidR="00F56FFA" w:rsidRPr="001F665D">
        <w:t>inanceiras, acompanhadas de notas explicativas e parecer dos auditores independentes, em sua página na rede mundial de computadores, dentro de 90 (noventa) dias contados do encerramento de seu exercício social</w:t>
      </w:r>
      <w:r>
        <w:t>; (b)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 xml:space="preserve">(c) </w:t>
      </w:r>
      <w:r w:rsidR="00F56FFA" w:rsidRPr="001F665D">
        <w:t xml:space="preserve">manter tais </w:t>
      </w:r>
      <w:r w:rsidR="00796EC9" w:rsidRPr="001F665D">
        <w:t>Demonstrações F</w:t>
      </w:r>
      <w:r w:rsidR="00F56FFA" w:rsidRPr="001F665D">
        <w:t>inanceiras em sua página na rede mundial de computadores pelo prazo mínimo de 3 (três) anos contado de sua disponibilização, nos termos do artigo 17 da Instrução CVM 476;</w:t>
      </w:r>
      <w:bookmarkEnd w:id="60"/>
    </w:p>
    <w:p w:rsidR="00F56FFA" w:rsidRPr="001F665D" w:rsidRDefault="00F56FFA" w:rsidP="00B5347E">
      <w:pPr>
        <w:pStyle w:val="Level4"/>
        <w:spacing w:after="240" w:line="320" w:lineRule="exact"/>
        <w:rPr>
          <w:rStyle w:val="DeltaViewDeletion"/>
          <w:strike w:val="0"/>
          <w:color w:val="auto"/>
        </w:rPr>
      </w:pPr>
      <w:proofErr w:type="gramStart"/>
      <w:r w:rsidRPr="001F665D">
        <w:t>divulgar</w:t>
      </w:r>
      <w:proofErr w:type="gramEnd"/>
      <w:r w:rsidRPr="001F665D">
        <w:t xml:space="preserve"> em sua página na rede mundial de computadores a ocorrência de fato relevante, conforme definido pelo artigo 2º da Instrução CVM 358, dando ciência por </w:t>
      </w:r>
      <w:r w:rsidRPr="001F665D">
        <w:rPr>
          <w:i/>
        </w:rPr>
        <w:t>e-mail</w:t>
      </w:r>
      <w:r w:rsidRPr="001F665D">
        <w:t xml:space="preserve"> ao Agente Fiduciário no prazo de até </w:t>
      </w:r>
      <w:r w:rsidR="001511E2" w:rsidRPr="005B6855">
        <w:t>2 </w:t>
      </w:r>
      <w:r w:rsidR="0009648C" w:rsidRPr="005B6855">
        <w:t>(</w:t>
      </w:r>
      <w:r w:rsidR="001511E2" w:rsidRPr="005B6855">
        <w:t>dois</w:t>
      </w:r>
      <w:r w:rsidR="0009648C" w:rsidRPr="00DC4E88">
        <w:t>)</w:t>
      </w:r>
      <w:r w:rsidR="0009648C" w:rsidRPr="005B6855">
        <w:t xml:space="preserve"> Dias Úteis contados da divulgação</w:t>
      </w:r>
      <w:r w:rsidRPr="005B6855">
        <w:t>;</w:t>
      </w:r>
    </w:p>
    <w:p w:rsidR="00F56FFA" w:rsidRPr="001F665D" w:rsidRDefault="00F56FFA" w:rsidP="00B5347E">
      <w:pPr>
        <w:pStyle w:val="Level4"/>
        <w:spacing w:after="240" w:line="320" w:lineRule="exact"/>
      </w:pPr>
      <w:proofErr w:type="gramStart"/>
      <w:r w:rsidRPr="001F665D">
        <w:rPr>
          <w:color w:val="000000"/>
        </w:rPr>
        <w:t>encaminhar</w:t>
      </w:r>
      <w:proofErr w:type="gramEnd"/>
      <w:r w:rsidRPr="001F665D">
        <w:rPr>
          <w:color w:val="000000"/>
        </w:rPr>
        <w:t xml:space="preserve">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rsidR="00F56FFA" w:rsidRPr="001F665D" w:rsidRDefault="00F56FFA" w:rsidP="00B5347E">
      <w:pPr>
        <w:pStyle w:val="Level4"/>
        <w:spacing w:after="240" w:line="320" w:lineRule="exact"/>
      </w:pPr>
      <w:proofErr w:type="gramStart"/>
      <w:r w:rsidRPr="001F665D">
        <w:rPr>
          <w:color w:val="000000"/>
        </w:rPr>
        <w:t>disponibilizar</w:t>
      </w:r>
      <w:proofErr w:type="gramEnd"/>
      <w:r w:rsidRPr="001F665D">
        <w:rPr>
          <w:color w:val="000000"/>
        </w:rPr>
        <w:t xml:space="preserve">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rsidR="00F56FFA" w:rsidRPr="001F665D" w:rsidRDefault="00F56FFA" w:rsidP="00B5347E">
      <w:pPr>
        <w:pStyle w:val="Level4"/>
        <w:spacing w:after="240" w:line="320" w:lineRule="exact"/>
      </w:pPr>
      <w:proofErr w:type="gramStart"/>
      <w:r w:rsidRPr="001F665D">
        <w:rPr>
          <w:color w:val="000000"/>
        </w:rPr>
        <w:t>efetuar</w:t>
      </w:r>
      <w:proofErr w:type="gramEnd"/>
      <w:r w:rsidRPr="001F665D">
        <w:rPr>
          <w:color w:val="000000"/>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F56FFA" w:rsidRPr="006552A0" w:rsidRDefault="00EC2864" w:rsidP="00B5347E">
      <w:pPr>
        <w:pStyle w:val="Level4"/>
        <w:spacing w:after="240" w:line="320" w:lineRule="exact"/>
      </w:pPr>
      <w:r>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rsidR="00A20BF7" w:rsidRPr="001F665D" w:rsidRDefault="00A20BF7" w:rsidP="00B5347E">
      <w:pPr>
        <w:pStyle w:val="Level4"/>
        <w:spacing w:after="240" w:line="320" w:lineRule="exact"/>
      </w:pPr>
      <w:proofErr w:type="gramStart"/>
      <w:r w:rsidRPr="001F665D">
        <w:rPr>
          <w:color w:val="000000"/>
        </w:rPr>
        <w:t>não</w:t>
      </w:r>
      <w:proofErr w:type="gramEnd"/>
      <w:r w:rsidRPr="001F665D">
        <w:rPr>
          <w:color w:val="000000"/>
        </w:rPr>
        <w:t xml:space="preserve"> incentivar prostituição, além de respeitar e apoiar a proteção dos direitos humanos reconhecidos internacionalmente e assegura a sua não participação na violação destes direitos;</w:t>
      </w:r>
    </w:p>
    <w:p w:rsidR="00F56FFA" w:rsidRPr="001F665D" w:rsidRDefault="00F56FFA" w:rsidP="00B5347E">
      <w:pPr>
        <w:pStyle w:val="Level4"/>
        <w:spacing w:after="240" w:line="320" w:lineRule="exact"/>
      </w:pPr>
      <w:proofErr w:type="gramStart"/>
      <w:r w:rsidRPr="001F665D">
        <w:t>proceder</w:t>
      </w:r>
      <w:proofErr w:type="gramEnd"/>
      <w:r w:rsidRPr="001F665D">
        <w:t xml:space="preserve">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rsidR="00F56FFA" w:rsidRPr="001F665D" w:rsidRDefault="00F56FFA" w:rsidP="00B5347E">
      <w:pPr>
        <w:pStyle w:val="Level4"/>
        <w:spacing w:after="240" w:line="320" w:lineRule="exact"/>
      </w:pPr>
      <w:proofErr w:type="gramStart"/>
      <w:r w:rsidRPr="001F665D">
        <w:t>cumprir</w:t>
      </w:r>
      <w:proofErr w:type="gramEnd"/>
      <w:r w:rsidRPr="001F665D">
        <w:t xml:space="preserve"> com a legislação e regulamentação trabalhista, relativa à saúde e segurança ocupacional, e ambiental, além de manter em situação regular suas obrigações junto aos órgãos de meio ambiente, exceto por 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rsidR="00F56FFA" w:rsidRPr="001F665D" w:rsidRDefault="00316B4C" w:rsidP="00B5347E">
      <w:pPr>
        <w:pStyle w:val="Level4"/>
        <w:spacing w:after="240" w:line="320" w:lineRule="exact"/>
      </w:pPr>
      <w:proofErr w:type="gramStart"/>
      <w:r w:rsidRPr="001F665D">
        <w:t>manter</w:t>
      </w:r>
      <w:proofErr w:type="gramEnd"/>
      <w:r w:rsidRPr="001F665D">
        <w:t xml:space="preserve"> o justo título de todos os seus bens imóveis e demais direitos e ativos por ela detidos, bem como em posse mansa e pacífica; </w:t>
      </w:r>
    </w:p>
    <w:p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3C290B">
        <w:rPr>
          <w:noProof/>
        </w:rPr>
        <w:t>6.15(xviii) acima</w:t>
      </w:r>
      <w:r w:rsidR="00502346" w:rsidRPr="00B5347E">
        <w:rPr>
          <w:noProof/>
        </w:rPr>
        <w:fldChar w:fldCharType="end"/>
      </w:r>
      <w:r w:rsidR="00F56FFA" w:rsidRPr="00B5347E">
        <w:rPr>
          <w:noProof/>
        </w:rPr>
        <w:t>;</w:t>
      </w:r>
    </w:p>
    <w:p w:rsidR="00F56FFA" w:rsidRPr="001F665D" w:rsidRDefault="00F56FFA" w:rsidP="00B5347E">
      <w:pPr>
        <w:pStyle w:val="Level4"/>
        <w:spacing w:after="240" w:line="320" w:lineRule="exact"/>
      </w:pPr>
      <w:proofErr w:type="gramStart"/>
      <w:r w:rsidRPr="001F665D">
        <w:t>observar</w:t>
      </w:r>
      <w:proofErr w:type="gramEnd"/>
      <w:r w:rsidRPr="001F665D">
        <w:t xml:space="preserve"> as disposições da Instrução CVM 358, no tocante a dever de sigilo e vedações à negociação;</w:t>
      </w:r>
    </w:p>
    <w:p w:rsidR="00F56FFA" w:rsidRPr="001F665D" w:rsidRDefault="00F56FFA" w:rsidP="00B5347E">
      <w:pPr>
        <w:pStyle w:val="Level4"/>
        <w:spacing w:after="240" w:line="320" w:lineRule="exact"/>
        <w:rPr>
          <w:rStyle w:val="DeltaViewInsertion"/>
          <w:color w:val="auto"/>
          <w:u w:val="none"/>
        </w:rPr>
      </w:pPr>
      <w:proofErr w:type="gramStart"/>
      <w:r w:rsidRPr="001F665D">
        <w:rPr>
          <w:rStyle w:val="DeltaViewInsertion"/>
          <w:color w:val="000000"/>
          <w:u w:val="none"/>
        </w:rPr>
        <w:t>cumprir</w:t>
      </w:r>
      <w:proofErr w:type="gramEnd"/>
      <w:r w:rsidRPr="001F665D">
        <w:rPr>
          <w:rStyle w:val="DeltaViewInsertion"/>
          <w:color w:val="000000"/>
          <w:u w:val="none"/>
        </w:rPr>
        <w:t xml:space="preserve">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rsidR="00BB5CDD" w:rsidRPr="001F665D" w:rsidRDefault="003B3DD6" w:rsidP="00B5347E">
      <w:pPr>
        <w:pStyle w:val="Level4"/>
        <w:rPr>
          <w:rStyle w:val="DeltaViewInsertion"/>
          <w:color w:val="auto"/>
          <w:u w:val="none"/>
        </w:rPr>
      </w:pPr>
      <w:proofErr w:type="gramStart"/>
      <w:r w:rsidRPr="001F665D">
        <w:rPr>
          <w:rStyle w:val="DeltaViewInsertion"/>
          <w:color w:val="auto"/>
          <w:u w:val="none"/>
        </w:rPr>
        <w:t>manter</w:t>
      </w:r>
      <w:proofErr w:type="gramEnd"/>
      <w:r w:rsidRPr="001F665D">
        <w:rPr>
          <w:rStyle w:val="DeltaViewInsertion"/>
          <w:color w:val="auto"/>
          <w:u w:val="none"/>
        </w:rPr>
        <w:t xml:space="preserve">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CNPJ/MF 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rsidR="00F56FFA" w:rsidRPr="001F665D" w:rsidRDefault="00F56FFA" w:rsidP="00B5347E">
      <w:pPr>
        <w:pStyle w:val="Level4"/>
        <w:spacing w:after="240" w:line="320" w:lineRule="exact"/>
      </w:pPr>
      <w:proofErr w:type="gramStart"/>
      <w:r w:rsidRPr="001F665D">
        <w:t>caso</w:t>
      </w:r>
      <w:proofErr w:type="gramEnd"/>
      <w:r w:rsidRPr="001F665D">
        <w:t xml:space="preserve">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1D3211" w:rsidRPr="001F665D">
        <w:t>9 abaixo</w:t>
      </w:r>
      <w:r w:rsidR="009B19E3" w:rsidRPr="001F665D">
        <w:fldChar w:fldCharType="end"/>
      </w:r>
      <w:r w:rsidRPr="001F665D">
        <w:t>, Assembleia Geral de Debenturistas para deliberar sobre quaisquer matérias que estejam direta ou indiretamente relacionadas à presente Emissão;</w:t>
      </w:r>
    </w:p>
    <w:p w:rsidR="00F56FFA" w:rsidRPr="001F665D" w:rsidRDefault="00F56FFA" w:rsidP="00B5347E">
      <w:pPr>
        <w:pStyle w:val="Level4"/>
        <w:spacing w:after="240" w:line="320" w:lineRule="exact"/>
      </w:pPr>
      <w:proofErr w:type="gramStart"/>
      <w:r w:rsidRPr="001F665D">
        <w:t>não</w:t>
      </w:r>
      <w:proofErr w:type="gramEnd"/>
      <w:r w:rsidRPr="001F665D">
        <w:t xml:space="preserve"> realizar operações ou praticar qualquer ato em desacordo com seu objeto social, especialmente aqueles que possam, direta ou indiretamente, comprometer o pontual e integral cumprimento das obrigações assumidas nesta Escritura de Emissão;</w:t>
      </w:r>
    </w:p>
    <w:p w:rsidR="00F56FFA" w:rsidRPr="001F665D" w:rsidRDefault="00F56FFA" w:rsidP="00B5347E">
      <w:pPr>
        <w:pStyle w:val="Level4"/>
        <w:spacing w:after="240" w:line="320" w:lineRule="exact"/>
      </w:pPr>
      <w:proofErr w:type="gramStart"/>
      <w:r w:rsidRPr="001F665D">
        <w:t>enviar</w:t>
      </w:r>
      <w:proofErr w:type="gramEnd"/>
      <w:r w:rsidRPr="001F665D">
        <w:t xml:space="preserve">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EB15A5" w:rsidRPr="001F665D">
        <w:t>(</w:t>
      </w:r>
      <w:proofErr w:type="spellStart"/>
      <w:r w:rsidR="00EB15A5" w:rsidRPr="001F665D">
        <w:t>xiii</w:t>
      </w:r>
      <w:proofErr w:type="spellEnd"/>
      <w:r w:rsidR="00EB15A5" w:rsidRPr="001F665D">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EB15A5" w:rsidRPr="001F665D">
        <w:t>(</w:t>
      </w:r>
      <w:proofErr w:type="spellStart"/>
      <w:r w:rsidR="00EB15A5" w:rsidRPr="001F665D">
        <w:t>xiv</w:t>
      </w:r>
      <w:proofErr w:type="spellEnd"/>
      <w:r w:rsidR="00EB15A5" w:rsidRPr="001F665D">
        <w:t>) acima</w:t>
      </w:r>
      <w:r w:rsidR="009B19E3" w:rsidRPr="001F665D">
        <w:fldChar w:fldCharType="end"/>
      </w:r>
      <w:r w:rsidRPr="001F665D">
        <w:t>; e (b) documentos e informações exigidas por esta entidade no prazo solicitado;</w:t>
      </w:r>
    </w:p>
    <w:p w:rsidR="00F56FFA" w:rsidRPr="001F665D" w:rsidRDefault="00F56FFA" w:rsidP="00B5347E">
      <w:pPr>
        <w:pStyle w:val="Level4"/>
        <w:spacing w:after="240" w:line="320" w:lineRule="exact"/>
      </w:pPr>
      <w:proofErr w:type="gramStart"/>
      <w:r w:rsidRPr="001F665D">
        <w:t>comparecer</w:t>
      </w:r>
      <w:proofErr w:type="gramEnd"/>
      <w:r w:rsidRPr="001F665D">
        <w:t xml:space="preserve"> às Assembleias Gerais de Debenturistas sempre que solicitada e convocada nos prazos previstos nesta Escritura de Emissão;</w:t>
      </w:r>
      <w:bookmarkStart w:id="61" w:name="_Ref130390977"/>
      <w:bookmarkStart w:id="62" w:name="_Ref260239075"/>
    </w:p>
    <w:bookmarkEnd w:id="61"/>
    <w:bookmarkEnd w:id="62"/>
    <w:p w:rsidR="00F56FFA" w:rsidRPr="001F665D" w:rsidRDefault="00F56FFA" w:rsidP="00B5347E">
      <w:pPr>
        <w:pStyle w:val="Level4"/>
        <w:spacing w:after="240" w:line="320" w:lineRule="exact"/>
      </w:pPr>
      <w:proofErr w:type="gramStart"/>
      <w:r w:rsidRPr="001F665D">
        <w:t>tomar</w:t>
      </w:r>
      <w:proofErr w:type="gramEnd"/>
      <w:r w:rsidRPr="001F665D">
        <w:t xml:space="preserve"> todas e quaisquer providências que se façam necessárias para a manutenção das Debêntures;</w:t>
      </w:r>
    </w:p>
    <w:p w:rsidR="00940358" w:rsidRPr="001F665D" w:rsidRDefault="00940358" w:rsidP="00B5347E">
      <w:pPr>
        <w:pStyle w:val="Level4"/>
        <w:spacing w:after="240" w:line="320" w:lineRule="exact"/>
      </w:pPr>
      <w:proofErr w:type="gramStart"/>
      <w:r w:rsidRPr="001F665D">
        <w:t>não</w:t>
      </w:r>
      <w:proofErr w:type="gramEnd"/>
      <w:r w:rsidRPr="001F665D">
        <w:t xml:space="preserve"> conceder qualquer espécie de empréstimo ou efetuar qualquer tipo de pagamento a, ou por conta e ordem de, suas coligadas, controladas ou controladoras, sem prévia e expressa concordância dos Debenturistas;</w:t>
      </w:r>
    </w:p>
    <w:p w:rsidR="00F56FFA" w:rsidRPr="001F665D" w:rsidRDefault="00F56FFA" w:rsidP="00B5347E">
      <w:pPr>
        <w:pStyle w:val="Level4"/>
        <w:spacing w:after="240" w:line="320" w:lineRule="exact"/>
      </w:pPr>
      <w:proofErr w:type="gramStart"/>
      <w:r w:rsidRPr="001F665D">
        <w:t>uma</w:t>
      </w:r>
      <w:proofErr w:type="gramEnd"/>
      <w:r w:rsidRPr="001F665D">
        <w:t xml:space="preserve"> vez formalizada e constituída, manter sempre válida e exigíve</w:t>
      </w:r>
      <w:r w:rsidR="00CD60D2" w:rsidRPr="001F665D">
        <w:t>l</w:t>
      </w:r>
      <w:r w:rsidRPr="001F665D">
        <w:t xml:space="preserve"> </w:t>
      </w:r>
      <w:r w:rsidR="00CD60D2" w:rsidRPr="001F665D">
        <w:t>a Garantia</w:t>
      </w:r>
      <w:r w:rsidRPr="001F665D">
        <w:t>;</w:t>
      </w:r>
    </w:p>
    <w:p w:rsidR="00F56FFA" w:rsidRPr="001F665D" w:rsidRDefault="00F56FFA" w:rsidP="00B5347E">
      <w:pPr>
        <w:pStyle w:val="Level4"/>
        <w:spacing w:after="240" w:line="320" w:lineRule="exact"/>
      </w:pPr>
      <w:proofErr w:type="gramStart"/>
      <w:r w:rsidRPr="001F665D">
        <w:t>praticar</w:t>
      </w:r>
      <w:proofErr w:type="gramEnd"/>
      <w:r w:rsidRPr="001F665D">
        <w:t xml:space="preserve">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rsidR="004D4DED" w:rsidRPr="001F665D" w:rsidRDefault="004D4DED" w:rsidP="00B5347E">
      <w:pPr>
        <w:pStyle w:val="Level4"/>
        <w:spacing w:after="240" w:line="320" w:lineRule="exact"/>
      </w:pPr>
      <w:proofErr w:type="gramStart"/>
      <w:r w:rsidRPr="001F665D">
        <w:t>praticar</w:t>
      </w:r>
      <w:proofErr w:type="gramEnd"/>
      <w:r w:rsidRPr="001F665D">
        <w:t xml:space="preserve">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rsidR="00F56FFA" w:rsidRPr="001F665D" w:rsidRDefault="003F1690" w:rsidP="006552A0">
      <w:pPr>
        <w:pStyle w:val="Level4"/>
        <w:spacing w:after="240" w:line="320" w:lineRule="exact"/>
      </w:pPr>
      <w:proofErr w:type="gramStart"/>
      <w:r w:rsidRPr="001F665D">
        <w:t>cumprir</w:t>
      </w:r>
      <w:proofErr w:type="gramEnd"/>
      <w:r w:rsidRPr="001F665D">
        <w:t xml:space="preserve"> com as obrigações referentes ao Valor Mínimo, nos termos do Contrato de Cessão Fiduciária</w:t>
      </w:r>
      <w:r w:rsidR="00F56FFA" w:rsidRPr="001F665D">
        <w:t>;</w:t>
      </w:r>
      <w:r w:rsidR="00BC2984" w:rsidRPr="001F665D">
        <w:t xml:space="preserve"> </w:t>
      </w:r>
    </w:p>
    <w:p w:rsidR="00F56FFA" w:rsidRPr="001F665D" w:rsidRDefault="00AB685F" w:rsidP="00B5347E">
      <w:pPr>
        <w:pStyle w:val="Level4"/>
        <w:spacing w:after="240" w:line="320" w:lineRule="exact"/>
      </w:pPr>
      <w:r w:rsidRPr="001F665D">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rsidR="00F56FFA" w:rsidRPr="001F665D" w:rsidRDefault="00F56FFA" w:rsidP="00B5347E">
      <w:pPr>
        <w:pStyle w:val="Level4"/>
        <w:spacing w:after="240" w:line="320" w:lineRule="exact"/>
      </w:pPr>
      <w:proofErr w:type="gramStart"/>
      <w:r w:rsidRPr="001F665D">
        <w:t>não</w:t>
      </w:r>
      <w:proofErr w:type="gramEnd"/>
      <w:r w:rsidRPr="001F665D">
        <w:t xml:space="preserve">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rsidR="00F56FFA" w:rsidRPr="001F665D" w:rsidRDefault="00F56FFA" w:rsidP="00B5347E">
      <w:pPr>
        <w:pStyle w:val="Level4"/>
        <w:spacing w:after="240" w:line="320" w:lineRule="exact"/>
      </w:pPr>
      <w:proofErr w:type="gramStart"/>
      <w:r w:rsidRPr="001F665D">
        <w:t>abster</w:t>
      </w:r>
      <w:proofErr w:type="gramEnd"/>
      <w:r w:rsidRPr="001F665D">
        <w:t xml:space="preserve">-se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rsidR="00F56FFA" w:rsidRPr="001F665D" w:rsidRDefault="00F56FFA" w:rsidP="00B5347E">
      <w:pPr>
        <w:pStyle w:val="Level4"/>
        <w:spacing w:after="240" w:line="320" w:lineRule="exact"/>
      </w:pPr>
      <w:proofErr w:type="gramStart"/>
      <w:r w:rsidRPr="001F665D">
        <w:t>abster</w:t>
      </w:r>
      <w:proofErr w:type="gramEnd"/>
      <w:r w:rsidRPr="001F665D">
        <w:t xml:space="preserve">-se,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rsidR="00F56FFA" w:rsidRPr="001F665D" w:rsidRDefault="00F56FFA" w:rsidP="00B5347E">
      <w:pPr>
        <w:pStyle w:val="Level4"/>
        <w:spacing w:after="240" w:line="320" w:lineRule="exact"/>
      </w:pPr>
      <w:proofErr w:type="gramStart"/>
      <w:r w:rsidRPr="001F665D">
        <w:t>manter</w:t>
      </w:r>
      <w:proofErr w:type="gramEnd"/>
      <w:r w:rsidRPr="001F665D">
        <w:t xml:space="preserve"> as Debêntures registradas para negociação no mercado secundário durante o prazo de vigência das Debêntures, arcando com os custos do referido registro;</w:t>
      </w:r>
    </w:p>
    <w:p w:rsidR="00693F5E" w:rsidRPr="001F665D" w:rsidRDefault="00F56FFA" w:rsidP="00B5347E">
      <w:pPr>
        <w:pStyle w:val="Level4"/>
        <w:spacing w:after="240" w:line="320" w:lineRule="exact"/>
      </w:pPr>
      <w:proofErr w:type="gramStart"/>
      <w:r w:rsidRPr="001F665D">
        <w:t>guardar</w:t>
      </w:r>
      <w:proofErr w:type="gramEnd"/>
      <w:r w:rsidRPr="001F665D">
        <w:t>,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rsidR="00693F5E" w:rsidRPr="001F665D" w:rsidRDefault="00693F5E" w:rsidP="00B5347E">
      <w:pPr>
        <w:pStyle w:val="Level4"/>
        <w:spacing w:after="240" w:line="320" w:lineRule="exact"/>
      </w:pPr>
      <w:proofErr w:type="gramStart"/>
      <w:r w:rsidRPr="001F665D">
        <w:t>arcar</w:t>
      </w:r>
      <w:proofErr w:type="gramEnd"/>
      <w:r w:rsidRPr="001F665D">
        <w:t xml:space="preserve"> com todos os custos decorrentes: (i) da distribuição das Debêntures, incluindo todos os custos relativos ao seu registro na B3; (</w:t>
      </w:r>
      <w:proofErr w:type="spellStart"/>
      <w:r w:rsidRPr="001F665D">
        <w:t>ii</w:t>
      </w:r>
      <w:proofErr w:type="spellEnd"/>
      <w:r w:rsidRPr="001F665D">
        <w:t>) de registro e de publicação das aprovações e dos atos societários 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rsidR="00693F5E" w:rsidRPr="001F665D" w:rsidRDefault="00693F5E" w:rsidP="00B5347E">
      <w:pPr>
        <w:pStyle w:val="Level4"/>
        <w:spacing w:after="240" w:line="320" w:lineRule="exact"/>
      </w:pPr>
      <w:proofErr w:type="gramStart"/>
      <w:r w:rsidRPr="001F665D">
        <w:t>não</w:t>
      </w:r>
      <w:proofErr w:type="gramEnd"/>
      <w:r w:rsidRPr="001F665D">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693F5E" w:rsidRPr="001F665D" w:rsidRDefault="00693F5E" w:rsidP="00B5347E">
      <w:pPr>
        <w:pStyle w:val="Level4"/>
        <w:spacing w:after="240" w:line="320" w:lineRule="exact"/>
      </w:pPr>
      <w:proofErr w:type="gramStart"/>
      <w:r w:rsidRPr="001F665D">
        <w:t>manter</w:t>
      </w:r>
      <w:proofErr w:type="gramEnd"/>
      <w:r w:rsidRPr="001F665D">
        <w:t xml:space="preserve"> os bens necessários para a condução de suas atividades principais adequadamente segurados, conforme práticas correntes em seu setor de atuação, conforme do Decreto nº 61.867, de 11 de dezembro de 1967;</w:t>
      </w:r>
    </w:p>
    <w:p w:rsidR="00F56FFA" w:rsidRPr="001F665D" w:rsidRDefault="00693F5E" w:rsidP="00B5347E">
      <w:pPr>
        <w:pStyle w:val="Level4"/>
        <w:spacing w:after="240" w:line="320" w:lineRule="exact"/>
      </w:pPr>
      <w:proofErr w:type="gramStart"/>
      <w:r w:rsidRPr="001F665D">
        <w:t>informar</w:t>
      </w:r>
      <w:proofErr w:type="gramEnd"/>
      <w:r w:rsidRPr="001F665D">
        <w:t xml:space="preserve">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 </w:t>
      </w:r>
    </w:p>
    <w:p w:rsidR="00F56FFA" w:rsidRPr="001F665D" w:rsidRDefault="00F56FFA" w:rsidP="00B5347E">
      <w:pPr>
        <w:pStyle w:val="Level4"/>
      </w:pPr>
      <w:proofErr w:type="gramStart"/>
      <w:r w:rsidRPr="001F665D">
        <w:t>informar</w:t>
      </w:r>
      <w:proofErr w:type="gramEnd"/>
      <w:r w:rsidRPr="001F665D">
        <w:t xml:space="preserve">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rsidR="00F56FFA" w:rsidRPr="001F665D" w:rsidRDefault="00F56FFA" w:rsidP="00B5347E">
      <w:pPr>
        <w:pStyle w:val="Level1"/>
        <w:spacing w:before="0" w:after="240" w:line="320" w:lineRule="exact"/>
        <w:ind w:hanging="822"/>
        <w:rPr>
          <w:szCs w:val="22"/>
        </w:rPr>
      </w:pPr>
      <w:r w:rsidRPr="001F665D">
        <w:rPr>
          <w:szCs w:val="22"/>
        </w:rPr>
        <w:t>DO AGENTE FIDUCIÁRIO</w:t>
      </w:r>
    </w:p>
    <w:p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rsidR="00F56FFA" w:rsidRPr="001F665D" w:rsidRDefault="00F56FFA" w:rsidP="00B5347E">
      <w:pPr>
        <w:pStyle w:val="Level4"/>
        <w:spacing w:after="240" w:line="320" w:lineRule="exact"/>
      </w:pPr>
      <w:proofErr w:type="gramStart"/>
      <w:r w:rsidRPr="001F665D">
        <w:t>aceita</w:t>
      </w:r>
      <w:proofErr w:type="gramEnd"/>
      <w:r w:rsidRPr="001F665D">
        <w:t xml:space="preserve"> a função para a qual foi nomeado, assumindo integralmente os deveres e atribuições previstas na legislação específica e nesta Escritura de Emissão;</w:t>
      </w:r>
    </w:p>
    <w:p w:rsidR="00F56FFA" w:rsidRPr="001F665D" w:rsidRDefault="00F56FFA" w:rsidP="00B5347E">
      <w:pPr>
        <w:pStyle w:val="Level4"/>
        <w:spacing w:after="240" w:line="320" w:lineRule="exact"/>
      </w:pPr>
      <w:proofErr w:type="gramStart"/>
      <w:r w:rsidRPr="001F665D">
        <w:t>aceita</w:t>
      </w:r>
      <w:proofErr w:type="gramEnd"/>
      <w:r w:rsidRPr="001F665D">
        <w:t xml:space="preserve"> integralmente esta Escritura de Emissão, todas suas Cláusulas e condições;</w:t>
      </w:r>
    </w:p>
    <w:p w:rsidR="00F56FFA" w:rsidRPr="001F665D" w:rsidRDefault="00F56FFA" w:rsidP="00B5347E">
      <w:pPr>
        <w:pStyle w:val="Level4"/>
        <w:spacing w:after="240" w:line="320" w:lineRule="exact"/>
      </w:pPr>
      <w:proofErr w:type="gramStart"/>
      <w:r w:rsidRPr="001F665D">
        <w:t>está</w:t>
      </w:r>
      <w:proofErr w:type="gramEnd"/>
      <w:r w:rsidRPr="001F665D">
        <w:t xml:space="preserve"> devidamente autorizado a celebrar esta Escritura de Emissão e a cumprir com suas obrigações aqui previstas, tendo sido satisfeitos todos os requisitos legais e estatutários necessários para tanto;</w:t>
      </w:r>
    </w:p>
    <w:p w:rsidR="00F56FFA" w:rsidRPr="001F665D" w:rsidRDefault="00F56FFA" w:rsidP="00B5347E">
      <w:pPr>
        <w:pStyle w:val="Level4"/>
        <w:spacing w:after="240" w:line="320" w:lineRule="exact"/>
      </w:pPr>
      <w:proofErr w:type="gramStart"/>
      <w:r w:rsidRPr="001F665D">
        <w:t>a</w:t>
      </w:r>
      <w:proofErr w:type="gramEnd"/>
      <w:r w:rsidRPr="001F665D">
        <w:t xml:space="preserve"> celebração desta Escritura de Emissão e o cumprimento de suas obrigações aqui previstas não infringem qualquer obrigação anteriormente assumida pelo Agente Fiduciário;</w:t>
      </w:r>
    </w:p>
    <w:p w:rsidR="00F56FFA" w:rsidRPr="001F665D" w:rsidRDefault="00F56FFA" w:rsidP="00B5347E">
      <w:pPr>
        <w:pStyle w:val="Level4"/>
        <w:spacing w:after="240" w:line="320" w:lineRule="exact"/>
      </w:pPr>
      <w:proofErr w:type="gramStart"/>
      <w:r w:rsidRPr="001F665D">
        <w:t>não</w:t>
      </w:r>
      <w:proofErr w:type="gramEnd"/>
      <w:r w:rsidRPr="001F665D">
        <w:t xml:space="preserve">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rsidR="00F56FFA" w:rsidRPr="001F665D" w:rsidRDefault="00F56FFA" w:rsidP="00B5347E">
      <w:pPr>
        <w:pStyle w:val="Level4"/>
        <w:spacing w:after="240" w:line="320" w:lineRule="exact"/>
      </w:pPr>
      <w:proofErr w:type="gramStart"/>
      <w:r w:rsidRPr="001F665D">
        <w:t>está</w:t>
      </w:r>
      <w:proofErr w:type="gramEnd"/>
      <w:r w:rsidRPr="001F665D">
        <w:t xml:space="preserve"> devidamente qualificado a exercer as atividades de agente fiduciário, nos termos da regulamentação aplicável e vigente;</w:t>
      </w:r>
    </w:p>
    <w:p w:rsidR="00F56FFA" w:rsidRPr="001F665D" w:rsidRDefault="00F56FFA" w:rsidP="00B5347E">
      <w:pPr>
        <w:pStyle w:val="Level4"/>
        <w:spacing w:after="240" w:line="320" w:lineRule="exact"/>
      </w:pPr>
      <w:proofErr w:type="gramStart"/>
      <w:r w:rsidRPr="001F665D">
        <w:t>não</w:t>
      </w:r>
      <w:proofErr w:type="gramEnd"/>
      <w:r w:rsidRPr="001F665D">
        <w:t xml:space="preserve"> tem qualquer ligação com a Emissora que o impeça de exercer suas funções;</w:t>
      </w:r>
    </w:p>
    <w:p w:rsidR="00F56FFA" w:rsidRPr="001F665D" w:rsidRDefault="00F56FFA" w:rsidP="00B5347E">
      <w:pPr>
        <w:pStyle w:val="Level4"/>
        <w:spacing w:after="240" w:line="320" w:lineRule="exact"/>
      </w:pPr>
      <w:proofErr w:type="gramStart"/>
      <w:r w:rsidRPr="001F665D">
        <w:t>está</w:t>
      </w:r>
      <w:proofErr w:type="gramEnd"/>
      <w:r w:rsidRPr="001F665D">
        <w:t xml:space="preserve"> ciente das disposições da Circular do Banco Central do Brasil n.º 1.832, de 31 de outubro de 1990;</w:t>
      </w:r>
    </w:p>
    <w:p w:rsidR="00F56FFA" w:rsidRPr="001F665D" w:rsidRDefault="00F56FFA" w:rsidP="00B5347E">
      <w:pPr>
        <w:pStyle w:val="Level4"/>
        <w:spacing w:after="240" w:line="320" w:lineRule="exact"/>
      </w:pPr>
      <w:proofErr w:type="gramStart"/>
      <w:r w:rsidRPr="001F665D">
        <w:t>verificou</w:t>
      </w:r>
      <w:proofErr w:type="gramEnd"/>
      <w:r w:rsidRPr="001F665D">
        <w:t xml:space="preserve">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F56FFA" w:rsidRPr="001F665D" w:rsidRDefault="00F56FFA" w:rsidP="00B5347E">
      <w:pPr>
        <w:pStyle w:val="Level4"/>
        <w:spacing w:after="240" w:line="320" w:lineRule="exact"/>
      </w:pPr>
      <w:proofErr w:type="gramStart"/>
      <w:r w:rsidRPr="001F665D">
        <w:t>a</w:t>
      </w:r>
      <w:r w:rsidR="009C6131" w:rsidRPr="001F665D">
        <w:t>s</w:t>
      </w:r>
      <w:proofErr w:type="gramEnd"/>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rsidR="00F56FFA" w:rsidRPr="001F665D" w:rsidRDefault="00F56FFA" w:rsidP="00B5347E">
      <w:pPr>
        <w:pStyle w:val="Level4"/>
        <w:spacing w:after="240" w:line="320" w:lineRule="exact"/>
      </w:pPr>
      <w:proofErr w:type="gramStart"/>
      <w:r w:rsidRPr="001F665D">
        <w:t>esta</w:t>
      </w:r>
      <w:proofErr w:type="gramEnd"/>
      <w:r w:rsidRPr="001F665D">
        <w:t xml:space="preserve">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63" w:name="_DV_M362"/>
      <w:bookmarkEnd w:id="63"/>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rsidR="00513A51" w:rsidRPr="001F665D" w:rsidRDefault="00F56FFA" w:rsidP="00B5347E">
      <w:pPr>
        <w:pStyle w:val="Level4"/>
        <w:spacing w:after="240" w:line="320" w:lineRule="exact"/>
      </w:pPr>
      <w:proofErr w:type="gramStart"/>
      <w:r w:rsidRPr="001F665D">
        <w:t>conforme</w:t>
      </w:r>
      <w:proofErr w:type="gramEnd"/>
      <w:r w:rsidRPr="001F665D">
        <w:t xml:space="preserv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rsidR="00F56FFA" w:rsidRPr="001F665D" w:rsidRDefault="00D90064" w:rsidP="00B5347E">
      <w:pPr>
        <w:pStyle w:val="Level4"/>
        <w:spacing w:after="240" w:line="320" w:lineRule="exact"/>
      </w:pPr>
      <w:r w:rsidRPr="001F665D">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6E38E5">
        <w:rPr>
          <w:szCs w:val="22"/>
        </w:rPr>
        <w:t>[</w:t>
      </w:r>
      <w:r w:rsidR="00A20BF7" w:rsidRPr="006E38E5">
        <w:rPr>
          <w:kern w:val="0"/>
          <w:szCs w:val="22"/>
          <w:highlight w:val="yellow"/>
        </w:rPr>
        <w:t>--</w:t>
      </w:r>
      <w:r w:rsidR="00C052FC" w:rsidRPr="001F665D">
        <w:rPr>
          <w:szCs w:val="22"/>
        </w:rPr>
        <w:t>]</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rsidR="00F56FFA" w:rsidRPr="001F665D" w:rsidRDefault="005000DF" w:rsidP="00B5347E">
      <w:pPr>
        <w:pStyle w:val="Level2"/>
        <w:spacing w:after="240" w:line="320" w:lineRule="exact"/>
        <w:rPr>
          <w:szCs w:val="22"/>
        </w:rPr>
      </w:pPr>
      <w:bookmarkStart w:id="64" w:name="_Ref386054756"/>
      <w:bookmarkStart w:id="65"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DF3753" w:rsidRPr="001F665D">
        <w:rPr>
          <w:szCs w:val="22"/>
        </w:rPr>
        <w:t>[</w:t>
      </w:r>
      <w:r w:rsidR="00DF3753" w:rsidRPr="000B35AA">
        <w:rPr>
          <w:szCs w:val="22"/>
          <w:highlight w:val="yellow"/>
        </w:rPr>
        <w:t>--</w:t>
      </w:r>
      <w:r w:rsidR="00DF3753" w:rsidRPr="001F665D">
        <w:rPr>
          <w:szCs w:val="22"/>
        </w:rPr>
        <w:t>]</w:t>
      </w:r>
      <w:r w:rsidRPr="001F665D">
        <w:rPr>
          <w:szCs w:val="22"/>
        </w:rPr>
        <w:t xml:space="preserve"> por hora-homem de trabalho dedicado a tais f</w:t>
      </w:r>
      <w:r w:rsidR="002F4B21" w:rsidRPr="001F665D">
        <w:rPr>
          <w:szCs w:val="22"/>
        </w:rPr>
        <w:t>atos bem como à (i) execução da 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64"/>
      <w:bookmarkEnd w:id="65"/>
    </w:p>
    <w:p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9313D3" w:rsidRPr="001F665D">
        <w:rPr>
          <w:szCs w:val="22"/>
        </w:rPr>
        <w:t>[</w:t>
      </w:r>
      <w:r w:rsidR="009313D3" w:rsidRPr="001F665D">
        <w:rPr>
          <w:szCs w:val="22"/>
          <w:highlight w:val="yellow"/>
        </w:rPr>
        <w:t>--</w:t>
      </w:r>
      <w:r w:rsidR="009313D3" w:rsidRPr="001F665D">
        <w:rPr>
          <w:szCs w:val="22"/>
        </w:rPr>
        <w:t>]</w:t>
      </w:r>
      <w:r w:rsidRPr="001F665D">
        <w:rPr>
          <w:szCs w:val="22"/>
        </w:rPr>
        <w:t xml:space="preserve"> por hora-homem de trabalho dedicado a tais alterações/serviços;</w:t>
      </w:r>
    </w:p>
    <w:p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anualmente, de acordo com a variação acumulada do Índice Geral de Preços do Mercado, calculado e divulgado pela Fundação Getúlio Vargas (“</w:t>
      </w:r>
      <w:r w:rsidR="00F01FCB" w:rsidRPr="001F665D">
        <w:rPr>
          <w:szCs w:val="22"/>
          <w:u w:val="single"/>
        </w:rPr>
        <w:t>Índice de Atualização</w:t>
      </w:r>
      <w:r w:rsidR="00F01FCB" w:rsidRPr="001F665D">
        <w:rPr>
          <w:szCs w:val="22"/>
        </w:rPr>
        <w:t>”)</w:t>
      </w:r>
      <w:r w:rsidRPr="001F665D">
        <w:rPr>
          <w:szCs w:val="22"/>
        </w:rPr>
        <w:t>, a partir da Data de Emissão.</w:t>
      </w:r>
    </w:p>
    <w:p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F4B21" w:rsidRPr="001F665D">
        <w:rPr>
          <w:szCs w:val="22"/>
        </w:rPr>
        <w:t>.</w:t>
      </w:r>
    </w:p>
    <w:p w:rsidR="00F56FFA" w:rsidRPr="001F665D" w:rsidRDefault="00F56FFA" w:rsidP="00B5347E">
      <w:pPr>
        <w:pStyle w:val="Level2"/>
        <w:rPr>
          <w:szCs w:val="22"/>
        </w:rPr>
      </w:pPr>
      <w:bookmarkStart w:id="66"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1D3211" w:rsidRPr="001F665D">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66"/>
    </w:p>
    <w:p w:rsidR="00674239" w:rsidRPr="001F665D" w:rsidRDefault="00674239" w:rsidP="00B5347E">
      <w:pPr>
        <w:pStyle w:val="Level2"/>
        <w:rPr>
          <w:szCs w:val="22"/>
        </w:rPr>
      </w:pPr>
      <w:r w:rsidRPr="001F665D">
        <w:rPr>
          <w:szCs w:val="22"/>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rsidR="00C052FC" w:rsidRPr="001F665D" w:rsidRDefault="00674239" w:rsidP="00B5347E">
      <w:pPr>
        <w:pStyle w:val="Level2"/>
        <w:rPr>
          <w:szCs w:val="22"/>
        </w:rPr>
      </w:pPr>
      <w:r w:rsidRPr="001F665D">
        <w:rPr>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rsidR="00F56FFA" w:rsidRPr="001F665D" w:rsidRDefault="00F56FFA" w:rsidP="00B5347E">
      <w:pPr>
        <w:pStyle w:val="Level3"/>
        <w:spacing w:after="240" w:line="320" w:lineRule="exact"/>
        <w:rPr>
          <w:szCs w:val="22"/>
        </w:rPr>
      </w:pPr>
      <w:bookmarkStart w:id="67" w:name="_DV_M325"/>
      <w:bookmarkEnd w:id="67"/>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68" w:name="_DV_M327"/>
      <w:bookmarkEnd w:id="68"/>
    </w:p>
    <w:p w:rsidR="00F56FFA" w:rsidRPr="001F665D" w:rsidRDefault="00F56FFA" w:rsidP="00B5347E">
      <w:pPr>
        <w:pStyle w:val="Level4"/>
        <w:spacing w:after="240" w:line="320" w:lineRule="exact"/>
      </w:pPr>
      <w:proofErr w:type="gramStart"/>
      <w:r w:rsidRPr="001F665D">
        <w:t>publicação</w:t>
      </w:r>
      <w:proofErr w:type="gramEnd"/>
      <w:r w:rsidRPr="001F665D">
        <w:t xml:space="preserve"> de relatórios, avisos e notificações, conforme previsto nesta Escritura de Emissão, e outras que vierem a ser exigidas por regulamentos aplicáveis;</w:t>
      </w:r>
    </w:p>
    <w:p w:rsidR="00F56FFA" w:rsidRPr="001F665D" w:rsidRDefault="00F56FFA" w:rsidP="00B5347E">
      <w:pPr>
        <w:pStyle w:val="Level4"/>
        <w:spacing w:after="240" w:line="320" w:lineRule="exact"/>
      </w:pPr>
      <w:proofErr w:type="gramStart"/>
      <w:r w:rsidRPr="001F665D">
        <w:rPr>
          <w:color w:val="000000"/>
        </w:rPr>
        <w:t>extração</w:t>
      </w:r>
      <w:proofErr w:type="gramEnd"/>
      <w:r w:rsidRPr="001F665D">
        <w:rPr>
          <w:color w:val="000000"/>
        </w:rPr>
        <w:t xml:space="preserve"> de certidões;</w:t>
      </w:r>
    </w:p>
    <w:p w:rsidR="00F56FFA" w:rsidRPr="001F665D" w:rsidRDefault="00F56FFA" w:rsidP="00B5347E">
      <w:pPr>
        <w:pStyle w:val="Level4"/>
        <w:spacing w:after="240" w:line="320" w:lineRule="exact"/>
      </w:pPr>
      <w:proofErr w:type="gramStart"/>
      <w:r w:rsidRPr="001F665D">
        <w:rPr>
          <w:color w:val="000000"/>
        </w:rPr>
        <w:t>locomoções</w:t>
      </w:r>
      <w:proofErr w:type="gramEnd"/>
      <w:r w:rsidRPr="001F665D">
        <w:rPr>
          <w:color w:val="000000"/>
        </w:rPr>
        <w:t xml:space="preserve"> entre Estados da Federação com as respectivas hospedagens e alimentação, quando essenciais ao desempenho das funções;</w:t>
      </w:r>
      <w:bookmarkStart w:id="69" w:name="_DV_M330"/>
      <w:bookmarkEnd w:id="69"/>
    </w:p>
    <w:p w:rsidR="00F56FFA" w:rsidRPr="001F665D" w:rsidRDefault="00F56FFA" w:rsidP="00B5347E">
      <w:pPr>
        <w:pStyle w:val="Level4"/>
        <w:spacing w:after="240" w:line="320" w:lineRule="exact"/>
      </w:pPr>
      <w:proofErr w:type="gramStart"/>
      <w:r w:rsidRPr="001F665D">
        <w:rPr>
          <w:color w:val="000000"/>
        </w:rPr>
        <w:t>eventuais</w:t>
      </w:r>
      <w:proofErr w:type="gramEnd"/>
      <w:r w:rsidRPr="001F665D">
        <w:rPr>
          <w:color w:val="000000"/>
        </w:rPr>
        <w:t xml:space="preserve"> levantamentos adicionais e especiais ou periciais que vierem a ser imprescindíveis, se ocorrerem omissões e/ou obscuridades nas informações pertinentes aos estritos interesses dos Debenturistas; e</w:t>
      </w:r>
      <w:bookmarkStart w:id="70" w:name="_DV_M331"/>
      <w:bookmarkEnd w:id="70"/>
    </w:p>
    <w:p w:rsidR="00F56FFA" w:rsidRPr="001F665D" w:rsidRDefault="00F56FFA" w:rsidP="00B5347E">
      <w:pPr>
        <w:pStyle w:val="Level4"/>
        <w:spacing w:after="240" w:line="320" w:lineRule="exact"/>
      </w:pPr>
      <w:proofErr w:type="gramStart"/>
      <w:r w:rsidRPr="001F665D">
        <w:rPr>
          <w:color w:val="000000"/>
        </w:rPr>
        <w:t>despesas</w:t>
      </w:r>
      <w:proofErr w:type="gramEnd"/>
      <w:r w:rsidRPr="001F665D">
        <w:rPr>
          <w:color w:val="000000"/>
        </w:rPr>
        <w:t xml:space="preserve"> com cartorários e com correios necessárias ao desempenho da função de Agente Fiduciário.</w:t>
      </w:r>
      <w:bookmarkStart w:id="71" w:name="_DV_M332"/>
      <w:bookmarkEnd w:id="71"/>
    </w:p>
    <w:p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rsidR="00F56FFA" w:rsidRPr="001F665D" w:rsidRDefault="00F56FFA" w:rsidP="00B5347E">
      <w:pPr>
        <w:pStyle w:val="Level4"/>
        <w:spacing w:after="240" w:line="320" w:lineRule="exact"/>
      </w:pPr>
      <w:proofErr w:type="gramStart"/>
      <w:r w:rsidRPr="001F665D">
        <w:t>proteger</w:t>
      </w:r>
      <w:proofErr w:type="gramEnd"/>
      <w:r w:rsidRPr="001F665D">
        <w:t xml:space="preserve"> os direitos e interesses dos Debenturistas, empregando, no exercício da função, o cuidado e a diligência que todo homem ativo e probo costuma empregar na administração dos seus próprios negócios;</w:t>
      </w:r>
    </w:p>
    <w:p w:rsidR="00F56FFA" w:rsidRPr="001F665D" w:rsidRDefault="00F56FFA" w:rsidP="00B5347E">
      <w:pPr>
        <w:pStyle w:val="Level4"/>
        <w:spacing w:after="240" w:line="320" w:lineRule="exact"/>
      </w:pPr>
      <w:proofErr w:type="gramStart"/>
      <w:r w:rsidRPr="001F665D">
        <w:t>renunciar</w:t>
      </w:r>
      <w:proofErr w:type="gramEnd"/>
      <w:r w:rsidRPr="001F665D">
        <w:t xml:space="preserve"> à função na hipótese de superveniência de conflitos de interesse ou de qualque</w:t>
      </w:r>
      <w:r w:rsidR="009A06D4" w:rsidRPr="001F665D">
        <w:t>r outra modalidade de inaptidão e realizar a imediata convocação da assembleia prevista no artigo 7 da Instrução</w:t>
      </w:r>
      <w:r w:rsidR="00085BCB" w:rsidRPr="001F665D">
        <w:t xml:space="preserve"> CVM nº 583 para deliberar sobre sua substituição;</w:t>
      </w:r>
    </w:p>
    <w:p w:rsidR="00F56FFA" w:rsidRPr="001F665D" w:rsidRDefault="00F56FFA" w:rsidP="00B5347E">
      <w:pPr>
        <w:pStyle w:val="Level4"/>
        <w:spacing w:after="240" w:line="320" w:lineRule="exact"/>
      </w:pPr>
      <w:proofErr w:type="gramStart"/>
      <w:r w:rsidRPr="001F665D">
        <w:t>conservar</w:t>
      </w:r>
      <w:proofErr w:type="gramEnd"/>
      <w:r w:rsidRPr="001F665D">
        <w:t xml:space="preserve"> em boa guarda, toda a escrituração, correspondência e demais papéis relacionados com o exercício de suas funções;</w:t>
      </w:r>
    </w:p>
    <w:p w:rsidR="00F56FFA" w:rsidRPr="001F665D" w:rsidRDefault="00F56FFA" w:rsidP="00B5347E">
      <w:pPr>
        <w:pStyle w:val="Level4"/>
        <w:spacing w:after="240" w:line="320" w:lineRule="exact"/>
      </w:pPr>
      <w:proofErr w:type="gramStart"/>
      <w:r w:rsidRPr="001F665D">
        <w:t>verificar</w:t>
      </w:r>
      <w:proofErr w:type="gramEnd"/>
      <w:r w:rsidRPr="001F665D">
        <w:t xml:space="preserve">,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rsidR="00F56FFA" w:rsidRPr="001F665D" w:rsidRDefault="00C052FC" w:rsidP="00B5347E">
      <w:pPr>
        <w:pStyle w:val="Level4"/>
        <w:spacing w:after="240" w:line="320" w:lineRule="exact"/>
      </w:pPr>
      <w:proofErr w:type="gramStart"/>
      <w:r w:rsidRPr="001F665D">
        <w:t>diligenciar</w:t>
      </w:r>
      <w:proofErr w:type="gramEnd"/>
      <w:r w:rsidRPr="001F665D">
        <w:t xml:space="preserve">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rsidR="00F56FFA" w:rsidRPr="001F665D" w:rsidRDefault="00F56FFA" w:rsidP="00B5347E">
      <w:pPr>
        <w:pStyle w:val="Level4"/>
        <w:spacing w:after="240" w:line="320" w:lineRule="exact"/>
      </w:pPr>
      <w:proofErr w:type="gramStart"/>
      <w:r w:rsidRPr="001F665D">
        <w:t>emitir</w:t>
      </w:r>
      <w:proofErr w:type="gramEnd"/>
      <w:r w:rsidRPr="001F665D">
        <w:t xml:space="preserve"> parecer sobre a suficiência das informações constantes das propostas de modificações nas condições das Debêntures;</w:t>
      </w:r>
    </w:p>
    <w:p w:rsidR="00F56FFA" w:rsidRPr="001F665D" w:rsidRDefault="00F56FFA" w:rsidP="00B5347E">
      <w:pPr>
        <w:pStyle w:val="Level4"/>
        <w:spacing w:after="240" w:line="320" w:lineRule="exact"/>
      </w:pPr>
      <w:proofErr w:type="gramStart"/>
      <w:r w:rsidRPr="001F665D">
        <w:t>solicitar</w:t>
      </w:r>
      <w:proofErr w:type="gramEnd"/>
      <w:r w:rsidRPr="001F665D">
        <w:t>,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rsidR="00F56FFA" w:rsidRPr="001F665D" w:rsidRDefault="00F56FFA" w:rsidP="00B5347E">
      <w:pPr>
        <w:pStyle w:val="Level4"/>
        <w:spacing w:after="240" w:line="320" w:lineRule="exact"/>
      </w:pPr>
      <w:proofErr w:type="gramStart"/>
      <w:r w:rsidRPr="001F665D">
        <w:t>solicitar</w:t>
      </w:r>
      <w:proofErr w:type="gramEnd"/>
      <w:r w:rsidRPr="001F665D">
        <w:t>, quando considerar necessário, às expensas da Emissora, e desde que justificada, auditoria extraordinária na Emissora;</w:t>
      </w:r>
    </w:p>
    <w:p w:rsidR="00F56FFA" w:rsidRPr="001F665D" w:rsidRDefault="00F56FFA" w:rsidP="00B5347E">
      <w:pPr>
        <w:pStyle w:val="Level4"/>
        <w:spacing w:after="240" w:line="320" w:lineRule="exact"/>
      </w:pPr>
      <w:proofErr w:type="gramStart"/>
      <w:r w:rsidRPr="001F665D">
        <w:t>convocar</w:t>
      </w:r>
      <w:proofErr w:type="gramEnd"/>
      <w:r w:rsidRPr="001F665D">
        <w:t>,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0416A9">
        <w:t>6.21 acima</w:t>
      </w:r>
      <w:r w:rsidR="009B19E3" w:rsidRPr="001F665D">
        <w:fldChar w:fldCharType="end"/>
      </w:r>
      <w:r w:rsidRPr="001F665D">
        <w:t>;</w:t>
      </w:r>
    </w:p>
    <w:p w:rsidR="00F56FFA" w:rsidRPr="001F665D" w:rsidRDefault="00F56FFA" w:rsidP="00B5347E">
      <w:pPr>
        <w:pStyle w:val="Level4"/>
        <w:spacing w:after="240" w:line="320" w:lineRule="exact"/>
      </w:pPr>
      <w:proofErr w:type="gramStart"/>
      <w:r w:rsidRPr="001F665D">
        <w:t>comparecer</w:t>
      </w:r>
      <w:proofErr w:type="gramEnd"/>
      <w:r w:rsidRPr="001F665D">
        <w:t xml:space="preserve"> à Assembleia Geral de Debenturistas a fim de prestar as informações que lhe forem solicitadas;</w:t>
      </w:r>
    </w:p>
    <w:p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rsidR="00C052FC" w:rsidRPr="001F665D" w:rsidRDefault="00C052FC" w:rsidP="00B5347E">
      <w:pPr>
        <w:pStyle w:val="Level5"/>
        <w:spacing w:after="240" w:line="320" w:lineRule="exact"/>
      </w:pPr>
      <w:proofErr w:type="gramStart"/>
      <w:r w:rsidRPr="001F665D">
        <w:t>cumprimento</w:t>
      </w:r>
      <w:proofErr w:type="gramEnd"/>
      <w:r w:rsidRPr="001F665D">
        <w:t xml:space="preserve"> pela Emissora das suas obrigações de prestação de informações periódicas, indicando as inconsistências ou omissões de que tenha conhecimento; </w:t>
      </w:r>
    </w:p>
    <w:p w:rsidR="00F56FFA" w:rsidRPr="001F665D" w:rsidRDefault="00F56FFA" w:rsidP="00B5347E">
      <w:pPr>
        <w:pStyle w:val="Level5"/>
        <w:spacing w:after="240" w:line="320" w:lineRule="exact"/>
      </w:pPr>
      <w:proofErr w:type="gramStart"/>
      <w:r w:rsidRPr="001F665D">
        <w:t>alterações</w:t>
      </w:r>
      <w:proofErr w:type="gramEnd"/>
      <w:r w:rsidRPr="001F665D">
        <w:t xml:space="preserve"> estatutárias </w:t>
      </w:r>
      <w:r w:rsidR="00C052FC" w:rsidRPr="001F665D">
        <w:t>ocorridas no exercício social com efeitos relevantes para os Debenturistas;</w:t>
      </w:r>
    </w:p>
    <w:p w:rsidR="00F56FFA" w:rsidRPr="001F665D" w:rsidRDefault="00F56FFA" w:rsidP="00B5347E">
      <w:pPr>
        <w:pStyle w:val="Level5"/>
        <w:spacing w:after="240" w:line="320" w:lineRule="exact"/>
      </w:pPr>
      <w:proofErr w:type="gramStart"/>
      <w:r w:rsidRPr="001F665D">
        <w:t>comentários</w:t>
      </w:r>
      <w:proofErr w:type="gramEnd"/>
      <w:r w:rsidRPr="001F665D">
        <w:t xml:space="preserve">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rsidR="00F56FFA" w:rsidRPr="001F665D" w:rsidRDefault="00C052FC" w:rsidP="00B5347E">
      <w:pPr>
        <w:pStyle w:val="Level5"/>
        <w:spacing w:after="240" w:line="320" w:lineRule="exact"/>
      </w:pPr>
      <w:proofErr w:type="gramStart"/>
      <w:r w:rsidRPr="001F665D">
        <w:t>quantidade</w:t>
      </w:r>
      <w:proofErr w:type="gramEnd"/>
      <w:r w:rsidRPr="001F665D">
        <w:t xml:space="preserve"> das Debêntures emitidas, quantidade de Debêntures em Circulação e saldo cancelado no período;</w:t>
      </w:r>
    </w:p>
    <w:p w:rsidR="00F56FFA" w:rsidRPr="001F665D" w:rsidRDefault="00F56FFA" w:rsidP="00B5347E">
      <w:pPr>
        <w:pStyle w:val="Level5"/>
        <w:spacing w:after="240" w:line="320" w:lineRule="exact"/>
      </w:pPr>
      <w:proofErr w:type="gramStart"/>
      <w:r w:rsidRPr="001F665D">
        <w:t>cumprimento</w:t>
      </w:r>
      <w:proofErr w:type="gramEnd"/>
      <w:r w:rsidRPr="001F665D">
        <w:t xml:space="preserve"> de outras obrigações assumidas pela Emissora nesta Escritura de Emissão, bem como todas as disposições e obrigações </w:t>
      </w:r>
      <w:r w:rsidR="002F1BFE" w:rsidRPr="001F665D">
        <w:t>no Contrato de Cessão Fiduciária</w:t>
      </w:r>
      <w:r w:rsidRPr="001F665D">
        <w:t>;</w:t>
      </w:r>
    </w:p>
    <w:p w:rsidR="00F56FFA" w:rsidRPr="001F665D" w:rsidRDefault="00F56FFA" w:rsidP="00B5347E">
      <w:pPr>
        <w:pStyle w:val="Level5"/>
        <w:spacing w:after="240" w:line="320" w:lineRule="exact"/>
      </w:pPr>
      <w:proofErr w:type="gramStart"/>
      <w:r w:rsidRPr="001F665D">
        <w:t>declaração</w:t>
      </w:r>
      <w:proofErr w:type="gramEnd"/>
      <w:r w:rsidRPr="001F665D">
        <w:t xml:space="preserve">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rsidR="00F56FFA" w:rsidRPr="001F665D" w:rsidRDefault="00F56FFA" w:rsidP="00B5347E">
      <w:pPr>
        <w:pStyle w:val="Level5"/>
        <w:spacing w:after="240" w:line="320" w:lineRule="exact"/>
      </w:pPr>
      <w:proofErr w:type="gramStart"/>
      <w:r w:rsidRPr="001F665D">
        <w:t>resgate</w:t>
      </w:r>
      <w:proofErr w:type="gramEnd"/>
      <w:r w:rsidRPr="001F665D">
        <w:t>, amortização e pagamento de Remuneração realizados no período, bem como aquisições e vendas de Debêntures efetuadas pela Emissora;</w:t>
      </w:r>
    </w:p>
    <w:p w:rsidR="00F56FFA" w:rsidRPr="001F665D" w:rsidRDefault="00F56FFA" w:rsidP="00B5347E">
      <w:pPr>
        <w:pStyle w:val="Level5"/>
        <w:spacing w:after="240" w:line="320" w:lineRule="exact"/>
      </w:pPr>
      <w:proofErr w:type="gramStart"/>
      <w:r w:rsidRPr="001F665D">
        <w:t>acompanhamento</w:t>
      </w:r>
      <w:proofErr w:type="gramEnd"/>
      <w:r w:rsidRPr="001F665D">
        <w:t xml:space="preserve"> da destinação dos recursos captados por meio da emissão das Debêntures, de acordo com os dados obtidos junto aos administradores da Emissora; e</w:t>
      </w:r>
    </w:p>
    <w:p w:rsidR="00F56FFA" w:rsidRPr="001F665D" w:rsidRDefault="00F56FFA" w:rsidP="00B5347E">
      <w:pPr>
        <w:pStyle w:val="Level5"/>
        <w:spacing w:after="240" w:line="320" w:lineRule="exact"/>
      </w:pPr>
      <w:proofErr w:type="gramStart"/>
      <w:r w:rsidRPr="001F665D">
        <w:t>existência</w:t>
      </w:r>
      <w:proofErr w:type="gramEnd"/>
      <w:r w:rsidRPr="001F665D">
        <w:t xml:space="preserve">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Banco Liquidante e </w:t>
      </w:r>
      <w:proofErr w:type="spellStart"/>
      <w:r w:rsidRPr="001F665D">
        <w:t>Escriturador</w:t>
      </w:r>
      <w:proofErr w:type="spellEnd"/>
      <w:r w:rsidRPr="001F665D">
        <w:t xml:space="preserve">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w:t>
      </w:r>
      <w:proofErr w:type="spellStart"/>
      <w:r w:rsidRPr="001F665D">
        <w:t>Escriturador</w:t>
      </w:r>
      <w:proofErr w:type="spellEnd"/>
      <w:r w:rsidRPr="001F665D">
        <w:t xml:space="preserve">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rsidR="00F56FFA" w:rsidRPr="00090C8C" w:rsidRDefault="00F56FFA" w:rsidP="00B5347E">
      <w:pPr>
        <w:pStyle w:val="Level4"/>
        <w:spacing w:after="240" w:line="320" w:lineRule="exact"/>
      </w:pPr>
      <w:proofErr w:type="gramStart"/>
      <w:r w:rsidRPr="001F665D">
        <w:t>fiscalizar</w:t>
      </w:r>
      <w:proofErr w:type="gramEnd"/>
      <w:r w:rsidRPr="001F665D">
        <w:t xml:space="preserve">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rsidR="00C052FC" w:rsidRPr="001F665D" w:rsidRDefault="00C052FC" w:rsidP="00B5347E">
      <w:pPr>
        <w:pStyle w:val="Level4"/>
        <w:spacing w:after="240" w:line="320" w:lineRule="exact"/>
      </w:pPr>
      <w:proofErr w:type="gramStart"/>
      <w:r w:rsidRPr="001F665D">
        <w:t>comunicar</w:t>
      </w:r>
      <w:proofErr w:type="gramEnd"/>
      <w:r w:rsidRPr="001F665D">
        <w:t xml:space="preserve">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 destinação dos recursos captados por meio da emissão das Debêntures, de acordo com os dados obtidos junto aos administradores da Emissora;</w:t>
      </w:r>
    </w:p>
    <w:p w:rsidR="00F56FFA" w:rsidRPr="001F665D" w:rsidRDefault="00F56FFA" w:rsidP="00B5347E">
      <w:pPr>
        <w:pStyle w:val="Level4"/>
        <w:spacing w:after="240" w:line="320" w:lineRule="exact"/>
      </w:pPr>
      <w:proofErr w:type="gramStart"/>
      <w:r w:rsidRPr="001F665D">
        <w:t>verificar</w:t>
      </w:r>
      <w:proofErr w:type="gramEnd"/>
      <w:r w:rsidRPr="001F665D">
        <w:t xml:space="preserve"> a regularidade da constituição das Garantias, bem como o valor dos bens dados em garantia, observando a manutenção de sua suficiência e exequibilidade;</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rsidR="00F56FFA" w:rsidRPr="001F665D" w:rsidRDefault="00F56FFA" w:rsidP="00B5347E">
      <w:pPr>
        <w:pStyle w:val="Level4"/>
        <w:spacing w:after="240" w:line="320" w:lineRule="exact"/>
      </w:pPr>
      <w:proofErr w:type="gramStart"/>
      <w:r w:rsidRPr="001F665D">
        <w:t>acompanhar</w:t>
      </w:r>
      <w:proofErr w:type="gramEnd"/>
      <w:r w:rsidRPr="001F665D">
        <w:t xml:space="preserve"> com o Banco Liquidante e </w:t>
      </w:r>
      <w:proofErr w:type="spellStart"/>
      <w:r w:rsidRPr="001F665D">
        <w:t>Escriturador</w:t>
      </w:r>
      <w:proofErr w:type="spellEnd"/>
      <w:r w:rsidRPr="001F665D">
        <w:t xml:space="preserve"> na Data de Vencimento, o integral e pontual pagamento dos valores devidos, conforme estipulado na presente Escritura de Emissão.</w:t>
      </w:r>
    </w:p>
    <w:p w:rsidR="00F56FFA" w:rsidRPr="001F665D" w:rsidRDefault="00F56FFA" w:rsidP="00B5347E">
      <w:pPr>
        <w:pStyle w:val="Level2"/>
        <w:spacing w:after="240" w:line="320" w:lineRule="exact"/>
        <w:rPr>
          <w:szCs w:val="22"/>
        </w:rPr>
      </w:pPr>
      <w:bookmarkStart w:id="72"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72"/>
    </w:p>
    <w:p w:rsidR="00F56FFA" w:rsidRPr="001F665D" w:rsidRDefault="00F56FFA" w:rsidP="00B5347E">
      <w:pPr>
        <w:pStyle w:val="Level4"/>
        <w:spacing w:after="240" w:line="320" w:lineRule="exact"/>
      </w:pPr>
      <w:bookmarkStart w:id="73" w:name="_Ref382082997"/>
      <w:proofErr w:type="gramStart"/>
      <w:r w:rsidRPr="001F665D">
        <w:t>diante</w:t>
      </w:r>
      <w:proofErr w:type="gramEnd"/>
      <w:r w:rsidRPr="001F665D">
        <w:t xml:space="preserv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0416A9">
        <w:t>6.15.3 acima</w:t>
      </w:r>
      <w:r w:rsidR="009B19E3" w:rsidRPr="001F665D">
        <w:fldChar w:fldCharType="end"/>
      </w:r>
      <w:r w:rsidRPr="001F665D">
        <w:t>, declarar antecipadamente vencidas as Debêntures e cobrar seu principal e acessórios, observadas as condições da presente Escritura de Emissão;</w:t>
      </w:r>
      <w:bookmarkEnd w:id="73"/>
    </w:p>
    <w:p w:rsidR="00F56FFA" w:rsidRPr="001F665D" w:rsidRDefault="00F56FFA" w:rsidP="00B5347E">
      <w:pPr>
        <w:pStyle w:val="Level4"/>
        <w:spacing w:after="240" w:line="320" w:lineRule="exact"/>
      </w:pPr>
      <w:proofErr w:type="gramStart"/>
      <w:r w:rsidRPr="001F665D">
        <w:t>convocar</w:t>
      </w:r>
      <w:proofErr w:type="gramEnd"/>
      <w:r w:rsidRPr="001F665D">
        <w:t xml:space="preserve"> Assembleia Geral de Debenturistas para que seja deliberado a forma de excussão da Garantia descrita na Cláusula </w:t>
      </w:r>
      <w:r w:rsidR="000416A9">
        <w:t>6.14 acima</w:t>
      </w:r>
      <w:r w:rsidRPr="001F665D">
        <w:t>, conforme em vigor, bem como quaisquer outras garantias constituídas, em favor dos Debenturistas;</w:t>
      </w:r>
    </w:p>
    <w:p w:rsidR="00F56FFA" w:rsidRPr="001F665D" w:rsidRDefault="00F56FFA" w:rsidP="00B5347E">
      <w:pPr>
        <w:pStyle w:val="Level4"/>
        <w:spacing w:after="240" w:line="320" w:lineRule="exact"/>
      </w:pPr>
      <w:proofErr w:type="gramStart"/>
      <w:r w:rsidRPr="001F665D">
        <w:rPr>
          <w:color w:val="000000"/>
        </w:rPr>
        <w:t>requerer</w:t>
      </w:r>
      <w:proofErr w:type="gramEnd"/>
      <w:r w:rsidRPr="001F665D">
        <w:rPr>
          <w:color w:val="000000"/>
        </w:rPr>
        <w:t xml:space="preserve"> a falência ou, conforme o caso, a insolvência, da Emissora;</w:t>
      </w:r>
    </w:p>
    <w:p w:rsidR="00F56FFA" w:rsidRPr="001F665D" w:rsidRDefault="00F56FFA" w:rsidP="00B5347E">
      <w:pPr>
        <w:pStyle w:val="Level4"/>
        <w:spacing w:after="240" w:line="320" w:lineRule="exact"/>
      </w:pPr>
      <w:bookmarkStart w:id="74" w:name="_Ref382082998"/>
      <w:proofErr w:type="gramStart"/>
      <w:r w:rsidRPr="001F665D">
        <w:t>tomar</w:t>
      </w:r>
      <w:proofErr w:type="gramEnd"/>
      <w:r w:rsidRPr="001F665D">
        <w:t xml:space="preserve"> todas as providências necessárias para a realização dos créditos dos Debenturistas; e</w:t>
      </w:r>
      <w:bookmarkEnd w:id="74"/>
    </w:p>
    <w:p w:rsidR="00F56FFA" w:rsidRPr="001F665D" w:rsidRDefault="00F56FFA" w:rsidP="00B5347E">
      <w:pPr>
        <w:pStyle w:val="Level4"/>
        <w:spacing w:after="240" w:line="320" w:lineRule="exact"/>
      </w:pPr>
      <w:bookmarkStart w:id="75" w:name="_Ref382083035"/>
      <w:proofErr w:type="gramStart"/>
      <w:r w:rsidRPr="001F665D">
        <w:t>representar</w:t>
      </w:r>
      <w:proofErr w:type="gramEnd"/>
      <w:r w:rsidRPr="001F665D">
        <w:t xml:space="preserve"> os Debenturistas em processo de falência, recuperação judicial e extrajudicial, intervenção, liquidação ou insolvência da Emissora.</w:t>
      </w:r>
      <w:bookmarkEnd w:id="75"/>
    </w:p>
    <w:p w:rsidR="00F56FFA" w:rsidRPr="001F665D" w:rsidRDefault="00F56FFA" w:rsidP="00B5347E">
      <w:pPr>
        <w:pStyle w:val="Level3"/>
        <w:numPr>
          <w:ilvl w:val="2"/>
          <w:numId w:val="54"/>
        </w:numPr>
        <w:spacing w:after="240" w:line="320" w:lineRule="exact"/>
        <w:rPr>
          <w:szCs w:val="22"/>
        </w:rPr>
      </w:pPr>
      <w:r w:rsidRPr="001F665D">
        <w:rPr>
          <w:szCs w:val="22"/>
        </w:rPr>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EB15A5" w:rsidRPr="001F665D">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0416A9">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rsidR="00F56FFA" w:rsidRPr="001F665D" w:rsidRDefault="00F56FFA" w:rsidP="00B5347E">
      <w:pPr>
        <w:pStyle w:val="Level2"/>
        <w:numPr>
          <w:ilvl w:val="1"/>
          <w:numId w:val="54"/>
        </w:numPr>
        <w:spacing w:after="240" w:line="320" w:lineRule="exact"/>
        <w:rPr>
          <w:szCs w:val="22"/>
        </w:rPr>
      </w:pPr>
      <w:r w:rsidRPr="001F665D">
        <w:rPr>
          <w:szCs w:val="22"/>
        </w:rPr>
        <w:t>Nas hipóteses de ausência ou impedimentos temporários, renúncia, intervenção, liquidação, judicial ou extrajudicial,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0416A9">
        <w:rPr>
          <w:szCs w:val="22"/>
        </w:rPr>
        <w:t>6.18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rsidR="00F56FFA" w:rsidRPr="001F665D" w:rsidRDefault="00F56FFA" w:rsidP="00B5347E">
      <w:pPr>
        <w:pStyle w:val="Level3"/>
        <w:numPr>
          <w:ilvl w:val="2"/>
          <w:numId w:val="54"/>
        </w:numPr>
        <w:spacing w:after="240" w:line="320" w:lineRule="exact"/>
        <w:rPr>
          <w:szCs w:val="22"/>
        </w:rPr>
      </w:pPr>
      <w:r w:rsidRPr="001F665D">
        <w:rPr>
          <w:szCs w:val="22"/>
        </w:rPr>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416A9">
        <w:rPr>
          <w:szCs w:val="22"/>
        </w:rPr>
        <w:t>6.21 acima</w:t>
      </w:r>
      <w:r w:rsidR="009B19E3" w:rsidRPr="001F665D">
        <w:rPr>
          <w:szCs w:val="22"/>
        </w:rPr>
        <w:fldChar w:fldCharType="end"/>
      </w:r>
      <w:r w:rsidRPr="001F665D">
        <w:rPr>
          <w:szCs w:val="22"/>
        </w:rPr>
        <w:t>.</w:t>
      </w:r>
    </w:p>
    <w:p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rsidR="00F56FFA" w:rsidRPr="001F665D" w:rsidRDefault="00F56FFA" w:rsidP="00B5347E">
      <w:pPr>
        <w:pStyle w:val="Level1"/>
        <w:numPr>
          <w:ilvl w:val="0"/>
          <w:numId w:val="54"/>
        </w:numPr>
        <w:spacing w:before="0" w:after="240" w:line="320" w:lineRule="exact"/>
        <w:ind w:hanging="822"/>
        <w:rPr>
          <w:szCs w:val="22"/>
        </w:rPr>
      </w:pPr>
      <w:bookmarkStart w:id="76" w:name="_Ref382081591"/>
      <w:r w:rsidRPr="001F665D">
        <w:rPr>
          <w:szCs w:val="22"/>
        </w:rPr>
        <w:t>DA ASSEMBLEIA GERAL DE DEBENTURISTAS</w:t>
      </w:r>
      <w:bookmarkEnd w:id="76"/>
    </w:p>
    <w:p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416A9" w:rsidRPr="006552A0">
        <w:rPr>
          <w:color w:val="000000"/>
          <w:szCs w:val="22"/>
        </w:rPr>
        <w:t>6.21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rsidR="009C6131" w:rsidRPr="001F665D" w:rsidRDefault="00F56FFA" w:rsidP="00B5347E">
      <w:pPr>
        <w:pStyle w:val="Level2"/>
        <w:spacing w:after="240" w:line="320" w:lineRule="exact"/>
        <w:rPr>
          <w:szCs w:val="22"/>
        </w:rPr>
      </w:pPr>
      <w:bookmarkStart w:id="77"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90570C" w:rsidRPr="001F665D">
        <w:rPr>
          <w:szCs w:val="22"/>
        </w:rPr>
        <w:t>9.8 abaixo</w:t>
      </w:r>
      <w:r w:rsidR="009B19E3" w:rsidRPr="001F665D">
        <w:rPr>
          <w:szCs w:val="22"/>
        </w:rPr>
        <w:fldChar w:fldCharType="end"/>
      </w:r>
      <w:r w:rsidRPr="001F665D">
        <w:rPr>
          <w:szCs w:val="22"/>
        </w:rPr>
        <w:t>, e, em segunda convocação, com qualquer quórum.</w:t>
      </w:r>
      <w:bookmarkEnd w:id="77"/>
      <w:r w:rsidR="009C6131" w:rsidRPr="001F665D">
        <w:rPr>
          <w:szCs w:val="22"/>
        </w:rPr>
        <w:t xml:space="preserve"> </w:t>
      </w:r>
    </w:p>
    <w:p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90570C" w:rsidRPr="001F665D">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rsidR="00F56FFA" w:rsidRPr="001F665D" w:rsidRDefault="00F56FFA" w:rsidP="00B5347E">
      <w:pPr>
        <w:pStyle w:val="Level2"/>
        <w:numPr>
          <w:ilvl w:val="1"/>
          <w:numId w:val="54"/>
        </w:numPr>
        <w:spacing w:after="240" w:line="320" w:lineRule="exact"/>
        <w:rPr>
          <w:szCs w:val="22"/>
        </w:rPr>
      </w:pPr>
      <w:r w:rsidRPr="001F665D">
        <w:rPr>
          <w:szCs w:val="22"/>
        </w:rPr>
        <w:t>Cada Debênture conferirá a seu titular o direito a um voto nas Assembleias Gerais de Debenturistas, sendo admitida a constituição de mandatários, titulares de Debêntures ou não.</w:t>
      </w:r>
    </w:p>
    <w:p w:rsidR="00F56FFA" w:rsidRPr="001F665D" w:rsidRDefault="00F56FFA" w:rsidP="00B5347E">
      <w:pPr>
        <w:pStyle w:val="Level2"/>
        <w:numPr>
          <w:ilvl w:val="1"/>
          <w:numId w:val="54"/>
        </w:numPr>
        <w:spacing w:after="240" w:line="320" w:lineRule="exact"/>
        <w:rPr>
          <w:szCs w:val="22"/>
        </w:rPr>
      </w:pPr>
      <w:bookmarkStart w:id="78"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78"/>
    </w:p>
    <w:p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79" w:name="_DV_M384"/>
      <w:bookmarkEnd w:id="79"/>
    </w:p>
    <w:p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rsidR="009313D3" w:rsidRPr="00C8274E" w:rsidRDefault="00F56FFA">
      <w:pPr>
        <w:pStyle w:val="Level2"/>
        <w:spacing w:after="240" w:line="320" w:lineRule="exact"/>
        <w:rPr>
          <w:szCs w:val="22"/>
        </w:rPr>
      </w:pPr>
      <w:bookmarkStart w:id="80" w:name="_Ref386375664"/>
      <w:r w:rsidRPr="001F665D">
        <w:rPr>
          <w:szCs w:val="22"/>
        </w:rPr>
        <w:t xml:space="preserve">Exceto se de outra forma estabelecido nesta Escritura de Emissão, as deliberações serão tomadas por Debenturistas que representem, no mínimo, </w:t>
      </w:r>
      <w:r w:rsidR="00E31D8E">
        <w:rPr>
          <w:szCs w:val="22"/>
        </w:rPr>
        <w:t>[</w:t>
      </w:r>
      <w:r w:rsidR="00EB04A0" w:rsidRPr="00907456">
        <w:rPr>
          <w:szCs w:val="22"/>
          <w:highlight w:val="yellow"/>
        </w:rPr>
        <w:t>95</w:t>
      </w:r>
      <w:r w:rsidRPr="00907456">
        <w:rPr>
          <w:szCs w:val="22"/>
          <w:highlight w:val="yellow"/>
        </w:rPr>
        <w:t>% (</w:t>
      </w:r>
      <w:r w:rsidR="00EB04A0" w:rsidRPr="00907456">
        <w:rPr>
          <w:szCs w:val="22"/>
          <w:highlight w:val="yellow"/>
        </w:rPr>
        <w:t xml:space="preserve">noventa e cinco </w:t>
      </w:r>
      <w:r w:rsidRPr="00907456">
        <w:rPr>
          <w:szCs w:val="22"/>
          <w:highlight w:val="yellow"/>
        </w:rPr>
        <w:t>por cento)</w:t>
      </w:r>
      <w:r w:rsidR="00E31D8E">
        <w:rPr>
          <w:szCs w:val="22"/>
        </w:rPr>
        <w:t>]</w:t>
      </w:r>
      <w:r w:rsidRPr="001F665D">
        <w:rPr>
          <w:szCs w:val="22"/>
        </w:rPr>
        <w:t xml:space="preserve"> das Debêntures em Circulação</w:t>
      </w:r>
      <w:r w:rsidR="003219FF" w:rsidRPr="001F665D">
        <w:rPr>
          <w:szCs w:val="22"/>
        </w:rPr>
        <w:t xml:space="preserve"> em primeira</w:t>
      </w:r>
      <w:r w:rsidR="009313D3" w:rsidRPr="001F665D">
        <w:rPr>
          <w:szCs w:val="22"/>
        </w:rPr>
        <w:t xml:space="preserve"> </w:t>
      </w:r>
      <w:r w:rsidR="00E31D8E">
        <w:rPr>
          <w:szCs w:val="22"/>
        </w:rPr>
        <w:t>convocação ou Debenturistas representando, no mínimo, [</w:t>
      </w:r>
      <w:proofErr w:type="gramStart"/>
      <w:r w:rsidR="00E31D8E" w:rsidRPr="00907456">
        <w:rPr>
          <w:szCs w:val="22"/>
          <w:highlight w:val="yellow"/>
        </w:rPr>
        <w:t>--</w:t>
      </w:r>
      <w:r w:rsidR="00E31D8E">
        <w:rPr>
          <w:szCs w:val="22"/>
        </w:rPr>
        <w:t>]%</w:t>
      </w:r>
      <w:proofErr w:type="gramEnd"/>
      <w:r w:rsidR="00E31D8E">
        <w:rPr>
          <w:szCs w:val="22"/>
        </w:rPr>
        <w:t xml:space="preserve"> das Debêntures em Circulação presentas à Assembleia Geral de Debenturistas </w:t>
      </w:r>
      <w:r w:rsidRPr="00B5347E">
        <w:rPr>
          <w:szCs w:val="22"/>
        </w:rPr>
        <w:t xml:space="preserve"> em segunda convocação.</w:t>
      </w:r>
      <w:r w:rsidR="0022637E" w:rsidRPr="00B5347E">
        <w:rPr>
          <w:szCs w:val="22"/>
        </w:rPr>
        <w:t xml:space="preserve"> </w:t>
      </w:r>
      <w:bookmarkEnd w:id="80"/>
    </w:p>
    <w:p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416A9">
        <w:rPr>
          <w:szCs w:val="22"/>
        </w:rPr>
        <w:t>6.15 acima</w:t>
      </w:r>
      <w:r w:rsidR="009B19E3" w:rsidRPr="001F665D">
        <w:rPr>
          <w:szCs w:val="22"/>
        </w:rPr>
        <w:fldChar w:fldCharType="end"/>
      </w:r>
      <w:r w:rsidR="00452B09" w:rsidRPr="001F665D">
        <w:rPr>
          <w:szCs w:val="22"/>
        </w:rPr>
        <w:t>, ressalvado pelo disposto na Cláusula 6.</w:t>
      </w:r>
      <w:r w:rsidR="000416A9" w:rsidRPr="001F665D">
        <w:rPr>
          <w:szCs w:val="22"/>
        </w:rPr>
        <w:t>1</w:t>
      </w:r>
      <w:r w:rsidR="000416A9">
        <w:rPr>
          <w:szCs w:val="22"/>
        </w:rPr>
        <w:t>3</w:t>
      </w:r>
      <w:r w:rsidR="00452B09" w:rsidRPr="001F665D">
        <w:rPr>
          <w:szCs w:val="22"/>
        </w:rPr>
        <w:t>.3</w:t>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E31D8E">
        <w:rPr>
          <w:szCs w:val="22"/>
        </w:rPr>
        <w:t>[</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w:t>
      </w:r>
      <w:r w:rsidR="00E31D8E">
        <w:rPr>
          <w:szCs w:val="22"/>
        </w:rPr>
        <w:t>]</w:t>
      </w:r>
      <w:r w:rsidRPr="001F665D">
        <w:rPr>
          <w:szCs w:val="22"/>
        </w:rPr>
        <w:t xml:space="preserve"> das Debêntures em Circulação.</w:t>
      </w:r>
      <w:r w:rsidR="000416A9">
        <w:rPr>
          <w:szCs w:val="22"/>
        </w:rPr>
        <w:t xml:space="preserve"> [</w:t>
      </w:r>
      <w:r w:rsidR="000416A9" w:rsidRPr="006552A0">
        <w:rPr>
          <w:szCs w:val="22"/>
          <w:highlight w:val="yellow"/>
        </w:rPr>
        <w:t>NOTA: Exclusão da cláusula 9.13 a ser avaliada em função dos quóruns propostos</w:t>
      </w:r>
      <w:r w:rsidR="000416A9">
        <w:rPr>
          <w:szCs w:val="22"/>
        </w:rPr>
        <w:t>]</w:t>
      </w:r>
    </w:p>
    <w:p w:rsidR="00F56FFA" w:rsidRPr="001F665D" w:rsidRDefault="00F56FFA" w:rsidP="00B5347E">
      <w:pPr>
        <w:pStyle w:val="Level2"/>
        <w:numPr>
          <w:ilvl w:val="1"/>
          <w:numId w:val="54"/>
        </w:numPr>
        <w:spacing w:after="240" w:line="320" w:lineRule="exact"/>
        <w:rPr>
          <w:szCs w:val="22"/>
        </w:rPr>
      </w:pPr>
      <w:r w:rsidRPr="001F665D">
        <w:rPr>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rsidR="004F15D6" w:rsidRPr="001F665D" w:rsidRDefault="004F15D6" w:rsidP="00B5347E">
      <w:pPr>
        <w:pStyle w:val="Level4"/>
        <w:numPr>
          <w:ilvl w:val="3"/>
          <w:numId w:val="54"/>
        </w:numPr>
        <w:tabs>
          <w:tab w:val="clear" w:pos="2041"/>
          <w:tab w:val="num" w:pos="851"/>
        </w:tabs>
        <w:spacing w:after="240" w:line="320" w:lineRule="exact"/>
      </w:pPr>
      <w:proofErr w:type="spellStart"/>
      <w:proofErr w:type="gramStart"/>
      <w:r w:rsidRPr="001F665D">
        <w:t>é</w:t>
      </w:r>
      <w:proofErr w:type="spellEnd"/>
      <w:proofErr w:type="gramEnd"/>
      <w:r w:rsidRPr="001F665D">
        <w:t xml:space="preserve">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os</w:t>
      </w:r>
      <w:proofErr w:type="gramEnd"/>
      <w:r w:rsidRPr="001F665D">
        <w:t xml:space="preserve">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Emissora, em relação às quais a Emissora declara já ter adotado todas as medidas que lhe eram cabíveis para tanto;</w:t>
      </w:r>
      <w:r w:rsidR="00052FA2" w:rsidRPr="006552A0">
        <w:rPr>
          <w:b/>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rsidR="00500EA5"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adequação para atendimento das exigências constantes da Resolução nº 237/97 do CONAMA;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tem</w:t>
      </w:r>
      <w:proofErr w:type="gramEnd"/>
      <w:r w:rsidRPr="001F665D">
        <w:t xml:space="preserve">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há qualquer ligação entre a Emissora e o Agente Fiduciário que impeça o Agente Fiduciário de exercer plenamente suas funções;</w:t>
      </w:r>
    </w:p>
    <w:p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rsidR="00AA10B2" w:rsidRPr="001F665D" w:rsidRDefault="00AA10B2" w:rsidP="00B5347E">
      <w:pPr>
        <w:pStyle w:val="Level4"/>
        <w:numPr>
          <w:ilvl w:val="3"/>
          <w:numId w:val="54"/>
        </w:numPr>
        <w:tabs>
          <w:tab w:val="clear" w:pos="2041"/>
          <w:tab w:val="num" w:pos="851"/>
        </w:tabs>
        <w:spacing w:after="240" w:line="320" w:lineRule="exact"/>
      </w:pPr>
      <w:proofErr w:type="gramStart"/>
      <w:r w:rsidRPr="001F665D">
        <w:rPr>
          <w:kern w:val="16"/>
        </w:rPr>
        <w:t>não</w:t>
      </w:r>
      <w:proofErr w:type="gramEnd"/>
      <w:r w:rsidRPr="001F665D">
        <w:rPr>
          <w:kern w:val="16"/>
        </w:rPr>
        <w:t xml:space="preserve"> omitiu qualquer fato, de qualquer natureza, que seja de seu conhecimento e que possa resultar em alteração substancial na situação econômico-financeira ou jurídica da Emissora em prejuízo dos Debenturistas;</w:t>
      </w:r>
    </w:p>
    <w:p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00476C33">
        <w:t xml:space="preserve">, </w:t>
      </w:r>
      <w:r w:rsidR="00476C33" w:rsidRPr="001F665D">
        <w:t>[ressalvado que os Usuários não serão notificados acerca da constituição da garantia] [</w:t>
      </w:r>
      <w:r w:rsidR="00476C33" w:rsidRPr="001F665D">
        <w:rPr>
          <w:highlight w:val="yellow"/>
        </w:rPr>
        <w:t>NOTA: Ressalva a ser validada de acordo com a Estrutura da Garantia</w:t>
      </w:r>
      <w:r w:rsidR="00476C33" w:rsidRPr="001F665D">
        <w:t>]</w:t>
      </w:r>
      <w:r w:rsidRPr="001F665D">
        <w:rPr>
          <w:color w:val="000000"/>
        </w:rPr>
        <w:t>;</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xml:space="preserve"> e </w:t>
      </w:r>
      <w:r w:rsidR="008D1475" w:rsidRPr="001F665D">
        <w:t>[</w:t>
      </w:r>
      <w:r w:rsidRPr="001F665D">
        <w:t>ressalvado que os Usuários não serão notificados acerca da constituição da garantia</w:t>
      </w:r>
      <w:r w:rsidR="008D1475" w:rsidRPr="001F665D">
        <w:t>] [</w:t>
      </w:r>
      <w:r w:rsidR="008D1475" w:rsidRPr="001F665D">
        <w:rPr>
          <w:highlight w:val="yellow"/>
        </w:rPr>
        <w:t>NOTA: Ressalva a ser validada</w:t>
      </w:r>
      <w:r w:rsidR="00AA10B2" w:rsidRPr="001F665D">
        <w:rPr>
          <w:highlight w:val="yellow"/>
        </w:rPr>
        <w:t xml:space="preserve"> de acordo com a Estrutura da Garantia</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cumpre</w:t>
      </w:r>
      <w:proofErr w:type="gramEnd"/>
      <w:r w:rsidRPr="001F665D">
        <w:t xml:space="preserve"> com todas as obrigações assumidas nos termos da Lei de Concessões;</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há quaisquer ônus ou gravames sobre os direitos creditórios que serão objeto da Garantia;</w:t>
      </w:r>
    </w:p>
    <w:p w:rsidR="008D1475" w:rsidRPr="001F665D" w:rsidRDefault="008D1475" w:rsidP="00B5347E">
      <w:pPr>
        <w:pStyle w:val="Level4"/>
        <w:numPr>
          <w:ilvl w:val="3"/>
          <w:numId w:val="54"/>
        </w:numPr>
        <w:tabs>
          <w:tab w:val="clear" w:pos="2041"/>
          <w:tab w:val="num" w:pos="851"/>
        </w:tabs>
        <w:spacing w:after="240" w:line="320" w:lineRule="exact"/>
      </w:pPr>
      <w:proofErr w:type="gramStart"/>
      <w:r w:rsidRPr="001F665D">
        <w:t>a</w:t>
      </w:r>
      <w:proofErr w:type="gramEnd"/>
      <w:r w:rsidRPr="001F665D">
        <w:t xml:space="preserve"> constituição da Garantia não ameaça a manutenção e continuidade da prestação de serviços pela Emissora;</w:t>
      </w:r>
    </w:p>
    <w:p w:rsidR="006C2E2C" w:rsidRPr="001F665D" w:rsidRDefault="00AA10B2"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cumpre</w:t>
      </w:r>
      <w:proofErr w:type="gramEnd"/>
      <w:r w:rsidRPr="001F665D">
        <w:t xml:space="preserve"> e atua para que suas Afiliadas e Representantes cumpram as normas aplicáveis que versam sobre direito público e administrativo, na forma da Lei n.º 8.666, de 21º de junho de 1993, conforme alterada;</w:t>
      </w:r>
    </w:p>
    <w:p w:rsidR="004F15D6" w:rsidRPr="001F665D" w:rsidRDefault="004F15D6">
      <w:pPr>
        <w:pStyle w:val="Level4"/>
        <w:numPr>
          <w:ilvl w:val="3"/>
          <w:numId w:val="54"/>
        </w:numPr>
        <w:tabs>
          <w:tab w:val="clear" w:pos="2041"/>
          <w:tab w:val="num" w:pos="851"/>
        </w:tabs>
        <w:spacing w:after="240" w:line="320" w:lineRule="exact"/>
      </w:pPr>
      <w:r w:rsidRPr="001F665D">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rsidR="00AA10B2" w:rsidRPr="001F665D" w:rsidRDefault="00AA10B2">
      <w:pPr>
        <w:pStyle w:val="Level4"/>
        <w:numPr>
          <w:ilvl w:val="3"/>
          <w:numId w:val="54"/>
        </w:numPr>
        <w:tabs>
          <w:tab w:val="clear" w:pos="2041"/>
          <w:tab w:val="num" w:pos="851"/>
        </w:tabs>
        <w:spacing w:after="240" w:line="320" w:lineRule="exact"/>
      </w:pPr>
      <w:proofErr w:type="gramStart"/>
      <w:r w:rsidRPr="005F21B0">
        <w:t>inexiste</w:t>
      </w:r>
      <w:proofErr w:type="gramEnd"/>
      <w:r w:rsidRPr="005F21B0">
        <w:t xml:space="preserve"> contra si, e suas respectivas Afiliadas, investigação, inquérito ou procedimento administrativo ou judicial relacionado a práticas contrárias às Leis Anticorrupção</w:t>
      </w:r>
      <w:r w:rsidRPr="00DC4E88">
        <w:t>;</w:t>
      </w:r>
      <w:r w:rsidR="00245A77"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tem</w:t>
      </w:r>
      <w:proofErr w:type="gramEnd"/>
      <w:r w:rsidRPr="001F665D">
        <w:t xml:space="preserve">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rsidR="004F15D6" w:rsidRPr="001F665D" w:rsidRDefault="00AA10B2"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rPr>
          <w:rFonts w:eastAsia="Arial Unicode MS"/>
          <w:w w:val="0"/>
        </w:rPr>
        <w:t>está</w:t>
      </w:r>
      <w:proofErr w:type="gramEnd"/>
      <w:r w:rsidRPr="001F665D">
        <w:rPr>
          <w:rFonts w:eastAsia="Arial Unicode MS"/>
          <w:w w:val="0"/>
        </w:rPr>
        <w:t xml:space="preserve">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inexiste</w:t>
      </w:r>
      <w:proofErr w:type="gramEnd"/>
      <w:r w:rsidRPr="001F665D">
        <w:t xml:space="preserve"> violação ou indício de violação de qualquer dispositivo legal ou regulatório, nacional ou estrangeiro, relativo à prática de corrupção ou de atos lesivos à administração pública, incluindo, sem limitação, </w:t>
      </w:r>
      <w:r w:rsidR="00E637DC" w:rsidRPr="001F665D">
        <w:t xml:space="preserve"> as Leis Anticorrupção</w:t>
      </w:r>
      <w:r w:rsidRPr="001F665D">
        <w:t xml:space="preserve">, pela Emissora ou suas Afiliadas;  </w:t>
      </w:r>
    </w:p>
    <w:p w:rsidR="00AA10B2" w:rsidRPr="001728D5" w:rsidRDefault="004F15D6" w:rsidP="00B5347E">
      <w:pPr>
        <w:pStyle w:val="Level4"/>
        <w:numPr>
          <w:ilvl w:val="3"/>
          <w:numId w:val="54"/>
        </w:numPr>
        <w:tabs>
          <w:tab w:val="clear" w:pos="2041"/>
          <w:tab w:val="num" w:pos="851"/>
        </w:tabs>
        <w:spacing w:after="240" w:line="320" w:lineRule="exact"/>
      </w:pPr>
      <w:proofErr w:type="gramStart"/>
      <w:r w:rsidRPr="001F665D">
        <w:t>contratou</w:t>
      </w:r>
      <w:proofErr w:type="gramEnd"/>
      <w:r w:rsidRPr="001F665D">
        <w:t xml:space="preserve"> assessores legais com experiência em instrumentos semelhantes a esta Escritura de Emissão, ao Contrato de Cessão 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rsidR="00AA10B2" w:rsidRPr="00DC4E88" w:rsidRDefault="00AA10B2" w:rsidP="00B5347E">
      <w:pPr>
        <w:pStyle w:val="Level4"/>
        <w:numPr>
          <w:ilvl w:val="3"/>
          <w:numId w:val="54"/>
        </w:numPr>
        <w:tabs>
          <w:tab w:val="clear" w:pos="2041"/>
          <w:tab w:val="num" w:pos="851"/>
        </w:tabs>
        <w:spacing w:after="240" w:line="320" w:lineRule="exact"/>
      </w:pPr>
      <w:proofErr w:type="gramStart"/>
      <w:r w:rsidRPr="00DC4E88">
        <w:t>esta</w:t>
      </w:r>
      <w:proofErr w:type="gramEnd"/>
      <w:r w:rsidRPr="00DC4E88">
        <w:t xml:space="preserve"> Escritura e as obrigações aqui previstas constituem obrigações lícitas, válidas, vinculantes e eficazes da Emissora, exequíveis de acordo com os seus termos e condições;</w:t>
      </w:r>
    </w:p>
    <w:p w:rsidR="00AA10B2" w:rsidRPr="00DC4E88" w:rsidRDefault="00AA10B2" w:rsidP="00B5347E">
      <w:pPr>
        <w:pStyle w:val="Level4"/>
        <w:numPr>
          <w:ilvl w:val="3"/>
          <w:numId w:val="54"/>
        </w:numPr>
        <w:tabs>
          <w:tab w:val="clear" w:pos="2041"/>
          <w:tab w:val="num" w:pos="851"/>
        </w:tabs>
        <w:spacing w:after="240" w:line="320" w:lineRule="exact"/>
      </w:pPr>
      <w:proofErr w:type="gramStart"/>
      <w:r w:rsidRPr="00DC4E88">
        <w:t>não</w:t>
      </w:r>
      <w:proofErr w:type="gramEnd"/>
      <w:r w:rsidRPr="00DC4E88">
        <w:t xml:space="preserve"> ocorreu e não existe qualquer Evento de Vencimento Antecipado; e</w:t>
      </w:r>
    </w:p>
    <w:p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xml:space="preserve">,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w:t>
      </w:r>
      <w:proofErr w:type="spellStart"/>
      <w:r w:rsidR="00BC6BBE" w:rsidRPr="001F665D">
        <w:rPr>
          <w:szCs w:val="22"/>
        </w:rPr>
        <w:t>inveracidade</w:t>
      </w:r>
      <w:proofErr w:type="spellEnd"/>
      <w:r w:rsidR="00BC6BBE" w:rsidRPr="001F665D">
        <w:rPr>
          <w:szCs w:val="22"/>
        </w:rPr>
        <w:t>, incorreção ou inconsistência de quaisquer das suas declarações prestadas nos termos da cláusula 10.1 acima</w:t>
      </w:r>
      <w:r w:rsidRPr="001F665D">
        <w:rPr>
          <w:szCs w:val="22"/>
        </w:rPr>
        <w:t>.</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F56FFA" w:rsidRPr="001F665D" w:rsidRDefault="00F56FFA" w:rsidP="00B5347E">
      <w:pPr>
        <w:pStyle w:val="Level4"/>
        <w:numPr>
          <w:ilvl w:val="3"/>
          <w:numId w:val="55"/>
        </w:numPr>
        <w:spacing w:after="240" w:line="320" w:lineRule="exact"/>
      </w:pPr>
      <w:r w:rsidRPr="001F665D">
        <w:t>Se para Emissora:</w:t>
      </w:r>
    </w:p>
    <w:p w:rsidR="00F56FFA" w:rsidRPr="001F665D" w:rsidRDefault="003271B8" w:rsidP="00B5347E">
      <w:pPr>
        <w:pStyle w:val="Level4"/>
        <w:numPr>
          <w:ilvl w:val="0"/>
          <w:numId w:val="0"/>
        </w:numPr>
        <w:spacing w:after="240" w:line="320" w:lineRule="exact"/>
        <w:ind w:left="2041"/>
        <w:jc w:val="left"/>
      </w:pPr>
      <w:r w:rsidRPr="001F665D">
        <w:rPr>
          <w:b/>
        </w:rPr>
        <w:t>Companhia Catarinense de Águas e Saneamento - CASAN</w:t>
      </w:r>
      <w:r w:rsidR="00F56FFA" w:rsidRPr="001F665D">
        <w:rPr>
          <w:b/>
        </w:rPr>
        <w:br/>
      </w:r>
      <w:r w:rsidRPr="001F665D">
        <w:rPr>
          <w:bCs/>
        </w:rPr>
        <w:t xml:space="preserve">Rua Emílio </w:t>
      </w:r>
      <w:proofErr w:type="spellStart"/>
      <w:r w:rsidRPr="001F665D">
        <w:rPr>
          <w:bCs/>
        </w:rPr>
        <w:t>Blum</w:t>
      </w:r>
      <w:proofErr w:type="spellEnd"/>
      <w:r w:rsidRPr="001F665D">
        <w:rPr>
          <w:bCs/>
        </w:rPr>
        <w:t>,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rsidR="00F56FFA" w:rsidRPr="001F665D" w:rsidRDefault="00F56FFA" w:rsidP="00B5347E">
      <w:pPr>
        <w:pStyle w:val="Level4"/>
        <w:numPr>
          <w:ilvl w:val="3"/>
          <w:numId w:val="55"/>
        </w:numPr>
        <w:spacing w:after="240" w:line="320" w:lineRule="exact"/>
        <w:rPr>
          <w:b/>
        </w:rPr>
      </w:pPr>
      <w:r w:rsidRPr="001F665D">
        <w:t>Se para o Agente Fiduciário:</w:t>
      </w:r>
    </w:p>
    <w:p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rsidR="006552A0" w:rsidRPr="00DF7F34" w:rsidRDefault="006552A0" w:rsidP="006552A0">
      <w:pPr>
        <w:pStyle w:val="Recuodecorpodetexto"/>
        <w:spacing w:after="0" w:line="320" w:lineRule="exact"/>
        <w:ind w:left="2127"/>
      </w:pPr>
      <w:r w:rsidRPr="00DF7F34">
        <w:t>Rua Sete de Setembro, nº 99, 24º andar</w:t>
      </w:r>
    </w:p>
    <w:p w:rsidR="006552A0" w:rsidRPr="00DF7F34" w:rsidRDefault="006552A0" w:rsidP="006552A0">
      <w:pPr>
        <w:pStyle w:val="Recuodecorpodetexto"/>
        <w:spacing w:after="0" w:line="320" w:lineRule="exact"/>
        <w:ind w:left="2127"/>
      </w:pPr>
      <w:r w:rsidRPr="00DF7F34">
        <w:t>CEP 20050-005, Rio de Janeiro – RJ</w:t>
      </w:r>
    </w:p>
    <w:p w:rsidR="006552A0" w:rsidRPr="00DF7F34" w:rsidRDefault="006552A0" w:rsidP="006552A0">
      <w:pPr>
        <w:pStyle w:val="Recuodecorpodetexto"/>
        <w:spacing w:after="0" w:line="320" w:lineRule="exact"/>
        <w:ind w:left="2127"/>
      </w:pPr>
      <w:r w:rsidRPr="00DF7F34">
        <w:t>AT.: Carlos Alberto Bacha / Matheus Gomes Faria / Rinaldo Rabello Ferreira</w:t>
      </w:r>
    </w:p>
    <w:p w:rsidR="006552A0" w:rsidRPr="00DF7F34" w:rsidRDefault="006552A0" w:rsidP="006552A0">
      <w:pPr>
        <w:pStyle w:val="Recuodecorpodetexto"/>
        <w:spacing w:after="0" w:line="320" w:lineRule="exact"/>
        <w:ind w:left="2127"/>
      </w:pPr>
      <w:r w:rsidRPr="00DF7F34">
        <w:t>Tel.: (21) 2507-1949</w:t>
      </w:r>
    </w:p>
    <w:p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81" w:name="_DV_M393"/>
      <w:bookmarkStart w:id="82" w:name="_DV_M395"/>
      <w:bookmarkStart w:id="83" w:name="_DV_M398"/>
      <w:bookmarkStart w:id="84" w:name="_DV_M399"/>
      <w:bookmarkEnd w:id="81"/>
      <w:bookmarkEnd w:id="82"/>
      <w:bookmarkEnd w:id="83"/>
      <w:bookmarkEnd w:id="84"/>
    </w:p>
    <w:p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F56FFA" w:rsidRPr="001F665D" w:rsidRDefault="00F56FFA" w:rsidP="00B5347E">
      <w:pPr>
        <w:pStyle w:val="Level2"/>
        <w:numPr>
          <w:ilvl w:val="1"/>
          <w:numId w:val="55"/>
        </w:numPr>
        <w:spacing w:after="240" w:line="320" w:lineRule="exact"/>
        <w:rPr>
          <w:szCs w:val="22"/>
        </w:rPr>
      </w:pPr>
      <w:r w:rsidRPr="001F665D">
        <w:rPr>
          <w:szCs w:val="22"/>
        </w:rPr>
        <w:t>A presente Escritura de Emissão é firmada em caráter irrevogável e irretratável.</w:t>
      </w:r>
    </w:p>
    <w:p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p w:rsidR="00F56FFA" w:rsidRPr="001F665D" w:rsidRDefault="00F56FFA" w:rsidP="00B5347E">
      <w:pPr>
        <w:widowControl w:val="0"/>
        <w:suppressAutoHyphens/>
        <w:spacing w:after="240" w:line="320" w:lineRule="exact"/>
        <w:jc w:val="both"/>
      </w:pPr>
      <w:r w:rsidRPr="001F665D">
        <w:t xml:space="preserve">E, por estarem justas e contratadas, as Partes firmam esta Escritura de Emissão em </w:t>
      </w:r>
      <w:r w:rsidR="00F07889" w:rsidRPr="001F665D">
        <w:t xml:space="preserve">3 (três) </w:t>
      </w:r>
      <w:r w:rsidRPr="001F665D">
        <w:t>vias de igual teor e forma, na presença das duas testemunhas ao final assinadas e qualificadas.</w:t>
      </w:r>
      <w:r w:rsidR="000F6BD6" w:rsidRPr="001F665D">
        <w:t xml:space="preserve"> </w:t>
      </w:r>
    </w:p>
    <w:p w:rsidR="00F56FFA" w:rsidRPr="001F665D" w:rsidRDefault="00B5347E" w:rsidP="00B5347E">
      <w:pPr>
        <w:widowControl w:val="0"/>
        <w:suppressAutoHyphens/>
        <w:spacing w:after="240" w:line="320" w:lineRule="exact"/>
        <w:jc w:val="center"/>
      </w:pPr>
      <w:r w:rsidRPr="001F665D">
        <w:t>Florianópolis/SC,</w:t>
      </w:r>
      <w:r w:rsidR="00F56FFA" w:rsidRPr="001F665D">
        <w:t xml:space="preserve"> </w:t>
      </w:r>
      <w:r w:rsidR="003803F7" w:rsidRPr="001F665D">
        <w:t>[--]</w:t>
      </w:r>
      <w:r w:rsidR="00FD7155" w:rsidRPr="001F665D">
        <w:t xml:space="preserve"> </w:t>
      </w:r>
      <w:r w:rsidR="00F56FFA" w:rsidRPr="001F665D">
        <w:t>de</w:t>
      </w:r>
      <w:r w:rsidR="007732F8" w:rsidRPr="001F665D">
        <w:t xml:space="preserve"> </w:t>
      </w:r>
      <w:r w:rsidR="00C8274E">
        <w:t>[</w:t>
      </w:r>
      <w:r w:rsidR="006552A0">
        <w:t>--</w:t>
      </w:r>
      <w:r w:rsidR="00C8274E">
        <w:t>]</w:t>
      </w:r>
      <w:r w:rsidR="00C8274E" w:rsidRPr="001F665D">
        <w:t xml:space="preserve"> </w:t>
      </w:r>
      <w:r w:rsidR="003803F7" w:rsidRPr="001F665D">
        <w:t>de 201</w:t>
      </w:r>
      <w:r w:rsidR="00C8274E">
        <w:t>9</w:t>
      </w:r>
      <w:r w:rsidR="00F56FFA" w:rsidRPr="001F665D">
        <w:br/>
        <w:t>[</w:t>
      </w:r>
      <w:r w:rsidR="00F56FFA" w:rsidRPr="001F665D">
        <w:rPr>
          <w:i/>
        </w:rPr>
        <w:t>restante da página intencionalmente deixado em branco</w:t>
      </w:r>
      <w:r w:rsidR="00F56FFA" w:rsidRPr="001F665D">
        <w:t>]</w:t>
      </w:r>
    </w:p>
    <w:p w:rsidR="00F56FFA" w:rsidRPr="001F665D" w:rsidRDefault="00F56FFA" w:rsidP="00B5347E">
      <w:pPr>
        <w:widowControl w:val="0"/>
        <w:suppressAutoHyphens/>
        <w:spacing w:after="240" w:line="320" w:lineRule="exact"/>
        <w:jc w:val="both"/>
        <w:rPr>
          <w:i/>
        </w:rPr>
      </w:pPr>
      <w:r w:rsidRPr="001F665D">
        <w:br w:type="page"/>
      </w:r>
      <w:bookmarkEnd w:id="0"/>
      <w:bookmarkEnd w:id="1"/>
      <w:r w:rsidR="003803F7" w:rsidRPr="001F665D">
        <w:rPr>
          <w:i/>
        </w:rPr>
        <w:t>Página de assinatura do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160819" w:rsidP="00B5347E">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tabs>
                <w:tab w:val="left" w:pos="451"/>
              </w:tabs>
              <w:spacing w:after="240" w:line="320" w:lineRule="exact"/>
              <w:jc w:val="both"/>
            </w:pPr>
            <w:r w:rsidRPr="001F665D">
              <w:t>Nome:</w:t>
            </w:r>
            <w:r w:rsidRPr="001F665D">
              <w:br/>
              <w:t>Cargo:</w:t>
            </w:r>
          </w:p>
        </w:tc>
      </w:tr>
    </w:tbl>
    <w:p w:rsidR="00F56FFA" w:rsidRPr="001F665D" w:rsidRDefault="00F56FFA" w:rsidP="00B5347E">
      <w:pPr>
        <w:widowControl w:val="0"/>
        <w:suppressAutoHyphens/>
        <w:spacing w:after="240" w:line="320" w:lineRule="exact"/>
        <w:jc w:val="both"/>
        <w:rPr>
          <w:i/>
        </w:rPr>
      </w:pPr>
      <w:r w:rsidRPr="001F665D">
        <w:br w:type="page"/>
      </w:r>
      <w:r w:rsidR="00160819" w:rsidRPr="001F665D">
        <w:rPr>
          <w:i/>
        </w:rPr>
        <w:t>Página de assinatura do Instrume</w:t>
      </w:r>
      <w:r w:rsidR="003803F7" w:rsidRPr="001F665D">
        <w:rPr>
          <w:i/>
        </w:rPr>
        <w:t>nto Particular de Escritura da 2</w:t>
      </w:r>
      <w:r w:rsidR="00160819" w:rsidRPr="001F665D">
        <w:rPr>
          <w:i/>
        </w:rPr>
        <w:t>ª (</w:t>
      </w:r>
      <w:r w:rsidR="003803F7" w:rsidRPr="001F665D">
        <w:rPr>
          <w:i/>
        </w:rPr>
        <w:t>segunda</w:t>
      </w:r>
      <w:r w:rsidR="00160819" w:rsidRPr="001F665D">
        <w:rPr>
          <w:i/>
        </w:rPr>
        <w:t xml:space="preserve">) Emissão de Debêntures Simples, Não Conversíveis em Ações, da Espécie com Garantia Real, em </w:t>
      </w:r>
      <w:r w:rsidR="003803F7" w:rsidRPr="001F665D">
        <w:rPr>
          <w:i/>
        </w:rPr>
        <w:t>Série Única</w:t>
      </w:r>
      <w:r w:rsidR="00160819" w:rsidRPr="001F665D">
        <w:rPr>
          <w:i/>
        </w:rPr>
        <w:t>, para Distribuição Pública com Esforços Restritos de Distribuição, da Companhia Catarinense de Águas e Saneamento - CASAN – Página 2/2.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6552A0" w:rsidRPr="00DF7F34" w:rsidRDefault="006552A0" w:rsidP="006552A0">
      <w:pPr>
        <w:pStyle w:val="Recuodecorpodetexto"/>
        <w:spacing w:after="0" w:line="320" w:lineRule="exact"/>
        <w:ind w:left="0"/>
        <w:jc w:val="center"/>
      </w:pPr>
      <w:r w:rsidRPr="00DF7F34">
        <w:rPr>
          <w:b/>
          <w:bCs/>
        </w:rPr>
        <w:t>SIMPLIFIC PAVARINI DISTRIBUIDORA DE TÍTULOS E VALORES MOBILIÁRIOS LTDA.</w:t>
      </w:r>
    </w:p>
    <w:p w:rsidR="00F56FFA" w:rsidRPr="001F665D" w:rsidRDefault="006552A0" w:rsidP="006552A0">
      <w:pPr>
        <w:widowControl w:val="0"/>
        <w:suppressAutoHyphens/>
        <w:spacing w:after="240" w:line="320" w:lineRule="exact"/>
        <w:jc w:val="center"/>
      </w:pPr>
      <w:r w:rsidRPr="001F665D" w:rsidDel="006552A0">
        <w:rPr>
          <w:b/>
          <w:bCs/>
        </w:rPr>
        <w:t xml:space="preserve"> </w:t>
      </w: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tabs>
                <w:tab w:val="left" w:pos="451"/>
              </w:tabs>
              <w:spacing w:after="240" w:line="320" w:lineRule="exact"/>
              <w:jc w:val="both"/>
            </w:pPr>
            <w:r w:rsidRPr="001F665D">
              <w:t>Nome:</w:t>
            </w:r>
            <w:r w:rsidRPr="001F665D">
              <w:br/>
              <w:t>Cargo:</w:t>
            </w:r>
          </w:p>
        </w:tc>
      </w:tr>
    </w:tbl>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F56FFA" w:rsidP="00B5347E">
      <w:pPr>
        <w:spacing w:after="240" w:line="320" w:lineRule="exact"/>
        <w:jc w:val="both"/>
        <w:rPr>
          <w:b/>
          <w:i/>
        </w:rPr>
      </w:pPr>
      <w:r w:rsidRPr="001F665D">
        <w:rPr>
          <w:b/>
          <w:i/>
        </w:rPr>
        <w:t>TESTEMUNHAS</w:t>
      </w:r>
    </w:p>
    <w:p w:rsidR="00F56FFA" w:rsidRPr="001F665D" w:rsidRDefault="00F56FFA" w:rsidP="00B5347E">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r>
    </w:tbl>
    <w:p w:rsidR="00F56FFA" w:rsidRPr="001F665D" w:rsidRDefault="00F56FFA" w:rsidP="00B5347E">
      <w:pPr>
        <w:widowControl w:val="0"/>
        <w:spacing w:after="240" w:line="320" w:lineRule="exact"/>
        <w:jc w:val="both"/>
        <w:rPr>
          <w:b/>
          <w:color w:val="000000"/>
        </w:rPr>
      </w:pPr>
    </w:p>
    <w:p w:rsidR="00EA4C90" w:rsidRPr="001F665D" w:rsidRDefault="00EA4C90" w:rsidP="00B5347E">
      <w:pPr>
        <w:spacing w:after="240" w:line="320" w:lineRule="exact"/>
        <w:jc w:val="both"/>
      </w:pPr>
    </w:p>
    <w:sectPr w:rsidR="00EA4C90" w:rsidRPr="001F665D" w:rsidSect="00C8274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12" w:rsidRDefault="00801812" w:rsidP="00DD188F">
      <w:r>
        <w:separator/>
      </w:r>
    </w:p>
  </w:endnote>
  <w:endnote w:type="continuationSeparator" w:id="0">
    <w:p w:rsidR="00801812" w:rsidRDefault="00801812" w:rsidP="00DD188F">
      <w:r>
        <w:continuationSeparator/>
      </w:r>
    </w:p>
  </w:endnote>
  <w:endnote w:type="continuationNotice" w:id="1">
    <w:p w:rsidR="00801812" w:rsidRDefault="0080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altName w:val="Verdana"/>
    <w:panose1 w:val="020B0604030504040204"/>
    <w:charset w:val="00"/>
    <w:family w:val="swiss"/>
    <w:pitch w:val="variable"/>
    <w:sig w:usb0="A1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D6" w:rsidRDefault="00A35F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20"/>
        <w:sz w:val="16"/>
      </w:rPr>
      <w:id w:val="926159135"/>
      <w:docPartObj>
        <w:docPartGallery w:val="Page Numbers (Bottom of Page)"/>
        <w:docPartUnique/>
      </w:docPartObj>
    </w:sdtPr>
    <w:sdtContent>
      <w:p w:rsidR="00A35FD6" w:rsidRDefault="00A35FD6" w:rsidP="001843AD">
        <w:pPr>
          <w:pStyle w:val="Rodap"/>
          <w:rPr>
            <w:rFonts w:ascii="Verdana" w:hAnsi="Verdana"/>
            <w:kern w:val="20"/>
            <w:sz w:val="14"/>
          </w:rPr>
        </w:pPr>
        <w:r>
          <w:rPr>
            <w:rFonts w:ascii="Verdana" w:hAnsi="Verdana"/>
            <w:kern w:val="20"/>
            <w:sz w:val="14"/>
          </w:rPr>
          <w:fldChar w:fldCharType="begin"/>
        </w:r>
        <w:r>
          <w:rPr>
            <w:rFonts w:ascii="Verdana" w:hAnsi="Verdana"/>
            <w:kern w:val="20"/>
            <w:sz w:val="14"/>
          </w:rPr>
          <w:instrText xml:space="preserve"> DOCPROPERTY "iManageFooter"  \* MERGEFORMAT </w:instrText>
        </w:r>
        <w:r>
          <w:rPr>
            <w:rFonts w:ascii="Verdana" w:hAnsi="Verdana"/>
            <w:kern w:val="20"/>
            <w:sz w:val="14"/>
          </w:rPr>
          <w:fldChar w:fldCharType="separate"/>
        </w:r>
      </w:p>
      <w:p w:rsidR="00801812" w:rsidRPr="001843AD" w:rsidRDefault="00A35FD6" w:rsidP="00907456">
        <w:pPr>
          <w:pStyle w:val="Rodap"/>
          <w:rPr>
            <w:rFonts w:ascii="Verdana" w:hAnsi="Verdana"/>
            <w:sz w:val="14"/>
          </w:rPr>
        </w:pPr>
        <w:r>
          <w:rPr>
            <w:rFonts w:ascii="Verdana" w:hAnsi="Verdana"/>
            <w:kern w:val="20"/>
            <w:sz w:val="14"/>
          </w:rPr>
          <w:t xml:space="preserve">TEXT_SP - 15386564v6 1086.89 </w:t>
        </w:r>
        <w:r>
          <w:rPr>
            <w:rFonts w:ascii="Verdana" w:hAnsi="Verdana"/>
            <w:kern w:val="20"/>
            <w:sz w:val="14"/>
          </w:rPr>
          <w:fldChar w:fldCharType="end"/>
        </w:r>
      </w:p>
      <w:p w:rsidR="00801812" w:rsidRDefault="00801812" w:rsidP="00C8274E">
        <w:pPr>
          <w:pStyle w:val="Rodap"/>
        </w:pPr>
      </w:p>
      <w:p w:rsidR="00801812" w:rsidRPr="006552A0" w:rsidRDefault="00801812" w:rsidP="008E557D">
        <w:pPr>
          <w:pStyle w:val="DocExCode"/>
          <w:pBdr>
            <w:top w:val="single" w:sz="4" w:space="31" w:color="auto"/>
          </w:pBdr>
          <w:rPr>
            <w:rFonts w:ascii="Times New Roman" w:hAnsi="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D6" w:rsidRDefault="00A35F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12" w:rsidRDefault="00801812" w:rsidP="00DD188F">
      <w:r>
        <w:separator/>
      </w:r>
    </w:p>
  </w:footnote>
  <w:footnote w:type="continuationSeparator" w:id="0">
    <w:p w:rsidR="00801812" w:rsidRDefault="00801812" w:rsidP="00DD188F">
      <w:r>
        <w:continuationSeparator/>
      </w:r>
    </w:p>
  </w:footnote>
  <w:footnote w:type="continuationNotice" w:id="1">
    <w:p w:rsidR="00801812" w:rsidRDefault="00801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D6" w:rsidRDefault="00A35FD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12" w:rsidRPr="000B35AA" w:rsidRDefault="00801812" w:rsidP="004E3366">
    <w:pPr>
      <w:pStyle w:val="Cabealho"/>
      <w:jc w:val="right"/>
      <w:rPr>
        <w:i/>
      </w:rPr>
    </w:pPr>
    <w:r>
      <w:rPr>
        <w:i/>
      </w:rPr>
      <w:t xml:space="preserve">Minuta Pós </w:t>
    </w:r>
    <w:proofErr w:type="spellStart"/>
    <w:r>
      <w:rPr>
        <w:i/>
      </w:rPr>
      <w:t>call</w:t>
    </w:r>
    <w:proofErr w:type="spellEnd"/>
  </w:p>
  <w:p w:rsidR="00801812" w:rsidRPr="006552A0" w:rsidRDefault="00801812" w:rsidP="004E3366">
    <w:pPr>
      <w:pStyle w:val="Cabealho"/>
      <w:jc w:val="right"/>
      <w:rPr>
        <w:i/>
      </w:rPr>
    </w:pPr>
    <w:r>
      <w:rPr>
        <w:i/>
      </w:rPr>
      <w:t>29</w:t>
    </w:r>
    <w:r w:rsidRPr="000B35AA">
      <w:rPr>
        <w:i/>
      </w:rPr>
      <w:t>.01.201</w:t>
    </w:r>
    <w:r>
      <w:rPr>
        <w:i/>
      </w:rPr>
      <w:t>9</w:t>
    </w:r>
  </w:p>
  <w:p w:rsidR="00801812" w:rsidRDefault="00801812" w:rsidP="006552A0">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D6" w:rsidRDefault="00A35F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2">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1"/>
  </w:num>
  <w:num w:numId="2">
    <w:abstractNumId w:val="28"/>
  </w:num>
  <w:num w:numId="3">
    <w:abstractNumId w:val="47"/>
  </w:num>
  <w:num w:numId="4">
    <w:abstractNumId w:val="18"/>
  </w:num>
  <w:num w:numId="5">
    <w:abstractNumId w:val="9"/>
  </w:num>
  <w:num w:numId="6">
    <w:abstractNumId w:val="21"/>
  </w:num>
  <w:num w:numId="7">
    <w:abstractNumId w:val="10"/>
  </w:num>
  <w:num w:numId="8">
    <w:abstractNumId w:val="17"/>
  </w:num>
  <w:num w:numId="9">
    <w:abstractNumId w:val="15"/>
  </w:num>
  <w:num w:numId="10">
    <w:abstractNumId w:val="35"/>
  </w:num>
  <w:num w:numId="11">
    <w:abstractNumId w:val="50"/>
  </w:num>
  <w:num w:numId="12">
    <w:abstractNumId w:val="11"/>
  </w:num>
  <w:num w:numId="13">
    <w:abstractNumId w:val="22"/>
  </w:num>
  <w:num w:numId="14">
    <w:abstractNumId w:val="31"/>
  </w:num>
  <w:num w:numId="15">
    <w:abstractNumId w:val="24"/>
  </w:num>
  <w:num w:numId="16">
    <w:abstractNumId w:val="30"/>
  </w:num>
  <w:num w:numId="17">
    <w:abstractNumId w:val="29"/>
  </w:num>
  <w:num w:numId="18">
    <w:abstractNumId w:val="12"/>
  </w:num>
  <w:num w:numId="19">
    <w:abstractNumId w:val="43"/>
  </w:num>
  <w:num w:numId="20">
    <w:abstractNumId w:val="52"/>
  </w:num>
  <w:num w:numId="21">
    <w:abstractNumId w:val="5"/>
  </w:num>
  <w:num w:numId="22">
    <w:abstractNumId w:val="37"/>
  </w:num>
  <w:num w:numId="23">
    <w:abstractNumId w:val="36"/>
  </w:num>
  <w:num w:numId="24">
    <w:abstractNumId w:val="49"/>
  </w:num>
  <w:num w:numId="25">
    <w:abstractNumId w:val="38"/>
  </w:num>
  <w:num w:numId="26">
    <w:abstractNumId w:val="33"/>
  </w:num>
  <w:num w:numId="27">
    <w:abstractNumId w:val="48"/>
  </w:num>
  <w:num w:numId="28">
    <w:abstractNumId w:val="45"/>
  </w:num>
  <w:num w:numId="29">
    <w:abstractNumId w:val="7"/>
  </w:num>
  <w:num w:numId="30">
    <w:abstractNumId w:val="20"/>
  </w:num>
  <w:num w:numId="31">
    <w:abstractNumId w:val="8"/>
  </w:num>
  <w:num w:numId="32">
    <w:abstractNumId w:val="16"/>
  </w:num>
  <w:num w:numId="33">
    <w:abstractNumId w:val="6"/>
  </w:num>
  <w:num w:numId="34">
    <w:abstractNumId w:val="40"/>
  </w:num>
  <w:num w:numId="35">
    <w:abstractNumId w:val="4"/>
  </w:num>
  <w:num w:numId="36">
    <w:abstractNumId w:val="19"/>
  </w:num>
  <w:num w:numId="37">
    <w:abstractNumId w:val="41"/>
  </w:num>
  <w:num w:numId="38">
    <w:abstractNumId w:val="14"/>
  </w:num>
  <w:num w:numId="39">
    <w:abstractNumId w:val="23"/>
  </w:num>
  <w:num w:numId="40">
    <w:abstractNumId w:val="44"/>
  </w:num>
  <w:num w:numId="41">
    <w:abstractNumId w:val="13"/>
  </w:num>
  <w:num w:numId="42">
    <w:abstractNumId w:val="32"/>
  </w:num>
  <w:num w:numId="43">
    <w:abstractNumId w:val="0"/>
  </w:num>
  <w:num w:numId="44">
    <w:abstractNumId w:val="2"/>
  </w:num>
  <w:num w:numId="45">
    <w:abstractNumId w:val="1"/>
  </w:num>
  <w:num w:numId="46">
    <w:abstractNumId w:val="3"/>
  </w:num>
  <w:num w:numId="47">
    <w:abstractNumId w:val="42"/>
  </w:num>
  <w:num w:numId="48">
    <w:abstractNumId w:val="25"/>
  </w:num>
  <w:num w:numId="49">
    <w:abstractNumId w:val="27"/>
  </w:num>
  <w:num w:numId="50">
    <w:abstractNumId w:val="34"/>
  </w:num>
  <w:num w:numId="51">
    <w:abstractNumId w:val="46"/>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9"/>
  </w:num>
  <w:num w:numId="59">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F0"/>
    <w:rsid w:val="000009AF"/>
    <w:rsid w:val="00005072"/>
    <w:rsid w:val="00011C0F"/>
    <w:rsid w:val="00011F66"/>
    <w:rsid w:val="00015D2D"/>
    <w:rsid w:val="00015E27"/>
    <w:rsid w:val="000201B4"/>
    <w:rsid w:val="000222D3"/>
    <w:rsid w:val="00022846"/>
    <w:rsid w:val="00031CFA"/>
    <w:rsid w:val="0003398B"/>
    <w:rsid w:val="000348F8"/>
    <w:rsid w:val="00040D12"/>
    <w:rsid w:val="000416A9"/>
    <w:rsid w:val="00045876"/>
    <w:rsid w:val="00046B2E"/>
    <w:rsid w:val="000477A7"/>
    <w:rsid w:val="00052FA2"/>
    <w:rsid w:val="000554A2"/>
    <w:rsid w:val="00055A00"/>
    <w:rsid w:val="00060743"/>
    <w:rsid w:val="000612C1"/>
    <w:rsid w:val="00063FBF"/>
    <w:rsid w:val="000651AB"/>
    <w:rsid w:val="000655A3"/>
    <w:rsid w:val="00070716"/>
    <w:rsid w:val="000719DC"/>
    <w:rsid w:val="000762F1"/>
    <w:rsid w:val="00080499"/>
    <w:rsid w:val="00081ABE"/>
    <w:rsid w:val="00085BCB"/>
    <w:rsid w:val="0008681C"/>
    <w:rsid w:val="00090C8C"/>
    <w:rsid w:val="000910BA"/>
    <w:rsid w:val="00091655"/>
    <w:rsid w:val="00091BF4"/>
    <w:rsid w:val="0009332A"/>
    <w:rsid w:val="00093918"/>
    <w:rsid w:val="000963C6"/>
    <w:rsid w:val="0009648C"/>
    <w:rsid w:val="00096865"/>
    <w:rsid w:val="00097708"/>
    <w:rsid w:val="000B18EC"/>
    <w:rsid w:val="000B213C"/>
    <w:rsid w:val="000B35AA"/>
    <w:rsid w:val="000B69AB"/>
    <w:rsid w:val="000B7C8D"/>
    <w:rsid w:val="000C2866"/>
    <w:rsid w:val="000C4BF9"/>
    <w:rsid w:val="000C6107"/>
    <w:rsid w:val="000D46DA"/>
    <w:rsid w:val="000D51F9"/>
    <w:rsid w:val="000D53CA"/>
    <w:rsid w:val="000D7C1E"/>
    <w:rsid w:val="000E08B0"/>
    <w:rsid w:val="000E23FA"/>
    <w:rsid w:val="000E29B1"/>
    <w:rsid w:val="000F0354"/>
    <w:rsid w:val="000F0F30"/>
    <w:rsid w:val="000F1F8A"/>
    <w:rsid w:val="000F2560"/>
    <w:rsid w:val="000F2AB9"/>
    <w:rsid w:val="000F5839"/>
    <w:rsid w:val="000F5C79"/>
    <w:rsid w:val="000F6BD6"/>
    <w:rsid w:val="000F7323"/>
    <w:rsid w:val="0010087B"/>
    <w:rsid w:val="00107B17"/>
    <w:rsid w:val="0011090C"/>
    <w:rsid w:val="00114E97"/>
    <w:rsid w:val="001172D4"/>
    <w:rsid w:val="001244CE"/>
    <w:rsid w:val="00124B6D"/>
    <w:rsid w:val="00127580"/>
    <w:rsid w:val="0013260E"/>
    <w:rsid w:val="001357B4"/>
    <w:rsid w:val="00136B35"/>
    <w:rsid w:val="001371A7"/>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6270"/>
    <w:rsid w:val="001D3211"/>
    <w:rsid w:val="001D438E"/>
    <w:rsid w:val="001E67CB"/>
    <w:rsid w:val="001F0F10"/>
    <w:rsid w:val="001F493F"/>
    <w:rsid w:val="001F510F"/>
    <w:rsid w:val="001F53D3"/>
    <w:rsid w:val="001F665D"/>
    <w:rsid w:val="002021A1"/>
    <w:rsid w:val="00213F64"/>
    <w:rsid w:val="00214364"/>
    <w:rsid w:val="00214DAF"/>
    <w:rsid w:val="00215C18"/>
    <w:rsid w:val="00217941"/>
    <w:rsid w:val="0022637E"/>
    <w:rsid w:val="002263EC"/>
    <w:rsid w:val="00226786"/>
    <w:rsid w:val="002272CB"/>
    <w:rsid w:val="00227FE3"/>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559D"/>
    <w:rsid w:val="0028210A"/>
    <w:rsid w:val="002824BB"/>
    <w:rsid w:val="002850F6"/>
    <w:rsid w:val="00286259"/>
    <w:rsid w:val="00287617"/>
    <w:rsid w:val="00292ADA"/>
    <w:rsid w:val="002A1B28"/>
    <w:rsid w:val="002A3210"/>
    <w:rsid w:val="002A54EC"/>
    <w:rsid w:val="002A7175"/>
    <w:rsid w:val="002A7773"/>
    <w:rsid w:val="002A7C95"/>
    <w:rsid w:val="002B0F90"/>
    <w:rsid w:val="002B2CC8"/>
    <w:rsid w:val="002C22AD"/>
    <w:rsid w:val="002C283D"/>
    <w:rsid w:val="002C2C53"/>
    <w:rsid w:val="002C4B4A"/>
    <w:rsid w:val="002C4C20"/>
    <w:rsid w:val="002C5316"/>
    <w:rsid w:val="002D16CA"/>
    <w:rsid w:val="002D205E"/>
    <w:rsid w:val="002D6E57"/>
    <w:rsid w:val="002E0F1D"/>
    <w:rsid w:val="002E1CCD"/>
    <w:rsid w:val="002E2168"/>
    <w:rsid w:val="002E25AC"/>
    <w:rsid w:val="002F1BFE"/>
    <w:rsid w:val="002F4B21"/>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DCD"/>
    <w:rsid w:val="0041408B"/>
    <w:rsid w:val="00415D86"/>
    <w:rsid w:val="0041612A"/>
    <w:rsid w:val="00416F14"/>
    <w:rsid w:val="004310A1"/>
    <w:rsid w:val="00434746"/>
    <w:rsid w:val="004367E5"/>
    <w:rsid w:val="00447265"/>
    <w:rsid w:val="00452B09"/>
    <w:rsid w:val="0045706F"/>
    <w:rsid w:val="00464E41"/>
    <w:rsid w:val="00466A87"/>
    <w:rsid w:val="004728A0"/>
    <w:rsid w:val="00476179"/>
    <w:rsid w:val="00476C33"/>
    <w:rsid w:val="00481E68"/>
    <w:rsid w:val="0048244B"/>
    <w:rsid w:val="00494B00"/>
    <w:rsid w:val="00494C59"/>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3EF0"/>
    <w:rsid w:val="005850BA"/>
    <w:rsid w:val="00585383"/>
    <w:rsid w:val="00590621"/>
    <w:rsid w:val="0059168F"/>
    <w:rsid w:val="00593E6F"/>
    <w:rsid w:val="0059490F"/>
    <w:rsid w:val="005955B0"/>
    <w:rsid w:val="005A1001"/>
    <w:rsid w:val="005A3B57"/>
    <w:rsid w:val="005A4F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72EA"/>
    <w:rsid w:val="00641A48"/>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C6C"/>
    <w:rsid w:val="007E2540"/>
    <w:rsid w:val="007E7638"/>
    <w:rsid w:val="007F0B6A"/>
    <w:rsid w:val="007F766F"/>
    <w:rsid w:val="00801812"/>
    <w:rsid w:val="00803A67"/>
    <w:rsid w:val="00812C8B"/>
    <w:rsid w:val="00813412"/>
    <w:rsid w:val="008155F3"/>
    <w:rsid w:val="008165A7"/>
    <w:rsid w:val="008207CD"/>
    <w:rsid w:val="0082130B"/>
    <w:rsid w:val="0082347B"/>
    <w:rsid w:val="00831A09"/>
    <w:rsid w:val="00831DCD"/>
    <w:rsid w:val="00833DAC"/>
    <w:rsid w:val="00841FDD"/>
    <w:rsid w:val="00846073"/>
    <w:rsid w:val="008545E3"/>
    <w:rsid w:val="00855E8C"/>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619BF"/>
    <w:rsid w:val="00963A05"/>
    <w:rsid w:val="00967943"/>
    <w:rsid w:val="00977577"/>
    <w:rsid w:val="009802CA"/>
    <w:rsid w:val="00980A33"/>
    <w:rsid w:val="0098282B"/>
    <w:rsid w:val="00982A23"/>
    <w:rsid w:val="009852BC"/>
    <w:rsid w:val="00986ADF"/>
    <w:rsid w:val="00987533"/>
    <w:rsid w:val="0099516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684A"/>
    <w:rsid w:val="00AA10B2"/>
    <w:rsid w:val="00AA18CA"/>
    <w:rsid w:val="00AA3712"/>
    <w:rsid w:val="00AA47B5"/>
    <w:rsid w:val="00AA5808"/>
    <w:rsid w:val="00AB297C"/>
    <w:rsid w:val="00AB685F"/>
    <w:rsid w:val="00AC159F"/>
    <w:rsid w:val="00AD0028"/>
    <w:rsid w:val="00AE094F"/>
    <w:rsid w:val="00AE0B22"/>
    <w:rsid w:val="00AE1B2F"/>
    <w:rsid w:val="00AE3349"/>
    <w:rsid w:val="00AE5234"/>
    <w:rsid w:val="00AE5266"/>
    <w:rsid w:val="00AE6A34"/>
    <w:rsid w:val="00AF123E"/>
    <w:rsid w:val="00AF3084"/>
    <w:rsid w:val="00AF3DE7"/>
    <w:rsid w:val="00AF47B8"/>
    <w:rsid w:val="00B03F4A"/>
    <w:rsid w:val="00B103E3"/>
    <w:rsid w:val="00B10550"/>
    <w:rsid w:val="00B119A8"/>
    <w:rsid w:val="00B122FC"/>
    <w:rsid w:val="00B12A39"/>
    <w:rsid w:val="00B151FA"/>
    <w:rsid w:val="00B207E8"/>
    <w:rsid w:val="00B242D3"/>
    <w:rsid w:val="00B271D2"/>
    <w:rsid w:val="00B27284"/>
    <w:rsid w:val="00B30FBA"/>
    <w:rsid w:val="00B42790"/>
    <w:rsid w:val="00B43542"/>
    <w:rsid w:val="00B50106"/>
    <w:rsid w:val="00B5196D"/>
    <w:rsid w:val="00B51AF7"/>
    <w:rsid w:val="00B51F70"/>
    <w:rsid w:val="00B5347E"/>
    <w:rsid w:val="00B54934"/>
    <w:rsid w:val="00B54E1F"/>
    <w:rsid w:val="00B567AE"/>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5BDF"/>
    <w:rsid w:val="00C21591"/>
    <w:rsid w:val="00C23AAC"/>
    <w:rsid w:val="00C243F4"/>
    <w:rsid w:val="00C25623"/>
    <w:rsid w:val="00C26EC1"/>
    <w:rsid w:val="00C308E3"/>
    <w:rsid w:val="00C316BE"/>
    <w:rsid w:val="00C35A7F"/>
    <w:rsid w:val="00C42783"/>
    <w:rsid w:val="00C44B66"/>
    <w:rsid w:val="00C50A0C"/>
    <w:rsid w:val="00C53509"/>
    <w:rsid w:val="00C5407A"/>
    <w:rsid w:val="00C61F8E"/>
    <w:rsid w:val="00C63EA7"/>
    <w:rsid w:val="00C652A4"/>
    <w:rsid w:val="00C65FD8"/>
    <w:rsid w:val="00C70DDD"/>
    <w:rsid w:val="00C811BE"/>
    <w:rsid w:val="00C826F8"/>
    <w:rsid w:val="00C8274E"/>
    <w:rsid w:val="00C84B7B"/>
    <w:rsid w:val="00C85551"/>
    <w:rsid w:val="00C954B9"/>
    <w:rsid w:val="00CA186E"/>
    <w:rsid w:val="00CA2958"/>
    <w:rsid w:val="00CA3257"/>
    <w:rsid w:val="00CA593D"/>
    <w:rsid w:val="00CB0BE6"/>
    <w:rsid w:val="00CB2267"/>
    <w:rsid w:val="00CB4653"/>
    <w:rsid w:val="00CC1CFF"/>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4DB5"/>
    <w:rsid w:val="00D04FAA"/>
    <w:rsid w:val="00D06A32"/>
    <w:rsid w:val="00D12424"/>
    <w:rsid w:val="00D12460"/>
    <w:rsid w:val="00D12E7C"/>
    <w:rsid w:val="00D13A55"/>
    <w:rsid w:val="00D1660A"/>
    <w:rsid w:val="00D1704B"/>
    <w:rsid w:val="00D24DF3"/>
    <w:rsid w:val="00D310D7"/>
    <w:rsid w:val="00D34451"/>
    <w:rsid w:val="00D35683"/>
    <w:rsid w:val="00D357D9"/>
    <w:rsid w:val="00D40C6C"/>
    <w:rsid w:val="00D429E8"/>
    <w:rsid w:val="00D43816"/>
    <w:rsid w:val="00D529BE"/>
    <w:rsid w:val="00D533D7"/>
    <w:rsid w:val="00D53AAF"/>
    <w:rsid w:val="00D544D4"/>
    <w:rsid w:val="00D6355F"/>
    <w:rsid w:val="00D657DB"/>
    <w:rsid w:val="00D66ED6"/>
    <w:rsid w:val="00D675D5"/>
    <w:rsid w:val="00D67956"/>
    <w:rsid w:val="00D717B2"/>
    <w:rsid w:val="00D8001A"/>
    <w:rsid w:val="00D80E7C"/>
    <w:rsid w:val="00D8345B"/>
    <w:rsid w:val="00D8398C"/>
    <w:rsid w:val="00D84918"/>
    <w:rsid w:val="00D86B56"/>
    <w:rsid w:val="00D86D41"/>
    <w:rsid w:val="00D90064"/>
    <w:rsid w:val="00D93DA7"/>
    <w:rsid w:val="00D94A9D"/>
    <w:rsid w:val="00D94B8F"/>
    <w:rsid w:val="00D97D15"/>
    <w:rsid w:val="00DA11A4"/>
    <w:rsid w:val="00DA2A17"/>
    <w:rsid w:val="00DB024C"/>
    <w:rsid w:val="00DB1956"/>
    <w:rsid w:val="00DB36A7"/>
    <w:rsid w:val="00DB6D2A"/>
    <w:rsid w:val="00DC140C"/>
    <w:rsid w:val="00DC2D21"/>
    <w:rsid w:val="00DC4E88"/>
    <w:rsid w:val="00DC5FA6"/>
    <w:rsid w:val="00DC6376"/>
    <w:rsid w:val="00DC6C15"/>
    <w:rsid w:val="00DD0D05"/>
    <w:rsid w:val="00DD188F"/>
    <w:rsid w:val="00DD3AF3"/>
    <w:rsid w:val="00DD5D0B"/>
    <w:rsid w:val="00DE4011"/>
    <w:rsid w:val="00DF10C2"/>
    <w:rsid w:val="00DF3753"/>
    <w:rsid w:val="00DF4AB1"/>
    <w:rsid w:val="00DF610F"/>
    <w:rsid w:val="00DF7A93"/>
    <w:rsid w:val="00E014F1"/>
    <w:rsid w:val="00E04711"/>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7ACA"/>
    <w:rsid w:val="00EA25E6"/>
    <w:rsid w:val="00EA4C90"/>
    <w:rsid w:val="00EA5235"/>
    <w:rsid w:val="00EB04A0"/>
    <w:rsid w:val="00EB056F"/>
    <w:rsid w:val="00EB15A5"/>
    <w:rsid w:val="00EB1E36"/>
    <w:rsid w:val="00EB1F83"/>
    <w:rsid w:val="00EC0790"/>
    <w:rsid w:val="00EC2414"/>
    <w:rsid w:val="00EC2864"/>
    <w:rsid w:val="00EC5788"/>
    <w:rsid w:val="00EC6FBA"/>
    <w:rsid w:val="00ED280B"/>
    <w:rsid w:val="00ED4FF1"/>
    <w:rsid w:val="00EE59D6"/>
    <w:rsid w:val="00EF07C9"/>
    <w:rsid w:val="00EF178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A2765"/>
    <w:rsid w:val="00FA2C23"/>
    <w:rsid w:val="00FA3750"/>
    <w:rsid w:val="00FA5696"/>
    <w:rsid w:val="00FB2917"/>
    <w:rsid w:val="00FB7169"/>
    <w:rsid w:val="00FC157C"/>
    <w:rsid w:val="00FC69C5"/>
    <w:rsid w:val="00FC70F4"/>
    <w:rsid w:val="00FD5A1C"/>
    <w:rsid w:val="00FD6B8D"/>
    <w:rsid w:val="00FD7155"/>
    <w:rsid w:val="00FE4052"/>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93C2-5603-4498-AACD-B19255CF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20115</Words>
  <Characters>108627</Characters>
  <Application>Microsoft Office Word</Application>
  <DocSecurity>0</DocSecurity>
  <Lines>905</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Mario Gomez Carrera Neto | Machado Meyer Advogados</cp:lastModifiedBy>
  <cp:revision>3</cp:revision>
  <cp:lastPrinted>2015-10-28T02:03:00Z</cp:lastPrinted>
  <dcterms:created xsi:type="dcterms:W3CDTF">2019-01-29T21:31:00Z</dcterms:created>
  <dcterms:modified xsi:type="dcterms:W3CDTF">2019-01-29T22:01:00Z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- 15386564v6 1086.89 </vt:lpwstr>
  </property>
</Properties>
</file>