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95D4" w14:textId="78329E38" w:rsidR="007C4592" w:rsidRPr="002C31A2" w:rsidRDefault="00A948A7" w:rsidP="007C4592">
      <w:pPr>
        <w:spacing w:after="240" w:line="320" w:lineRule="exact"/>
        <w:jc w:val="center"/>
        <w:rPr>
          <w:rFonts w:ascii="Tahoma" w:hAnsi="Tahoma" w:cs="Tahoma"/>
          <w:b/>
          <w:caps/>
          <w:sz w:val="22"/>
          <w:szCs w:val="22"/>
        </w:rPr>
      </w:pPr>
      <w:r>
        <w:rPr>
          <w:rFonts w:ascii="Tahoma" w:hAnsi="Tahoma" w:cs="Tahoma"/>
          <w:b/>
          <w:caps/>
          <w:sz w:val="22"/>
          <w:szCs w:val="22"/>
        </w:rPr>
        <w:t>SEGUNDO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5751935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A948A7">
        <w:rPr>
          <w:rFonts w:ascii="Tahoma" w:hAnsi="Tahoma" w:cs="Tahoma"/>
          <w:sz w:val="22"/>
          <w:szCs w:val="22"/>
        </w:rPr>
        <w:t>Segundo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A948A7" w:rsidRPr="00A948A7">
        <w:rPr>
          <w:rFonts w:ascii="Tahoma" w:hAnsi="Tahoma" w:cs="Tahoma"/>
          <w:sz w:val="22"/>
          <w:szCs w:val="22"/>
          <w:u w:val="single"/>
        </w:rPr>
        <w:t>Segundo</w:t>
      </w:r>
      <w:r w:rsidR="00E75B5A" w:rsidRPr="00A948A7">
        <w:rPr>
          <w:rFonts w:ascii="Tahoma" w:hAnsi="Tahoma" w:cs="Tahoma"/>
          <w:sz w:val="22"/>
          <w:szCs w:val="22"/>
          <w:u w:val="single"/>
        </w:rPr>
        <w:t xml:space="preserve"> 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640F7BCC" w14:textId="445D1906" w:rsidR="003E28F0" w:rsidRPr="00A948A7" w:rsidRDefault="00E75B5A"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p>
    <w:p w14:paraId="4DC97367" w14:textId="7EAA39C3" w:rsidR="00A948A7" w:rsidRPr="009A523B" w:rsidRDefault="00A948A7" w:rsidP="009F2804">
      <w:pPr>
        <w:numPr>
          <w:ilvl w:val="0"/>
          <w:numId w:val="24"/>
        </w:numPr>
        <w:spacing w:after="240" w:line="320" w:lineRule="exact"/>
        <w:jc w:val="both"/>
        <w:rPr>
          <w:rFonts w:ascii="Tahoma" w:hAnsi="Tahoma" w:cs="Tahoma"/>
          <w:bCs/>
          <w:sz w:val="22"/>
          <w:szCs w:val="22"/>
        </w:rPr>
      </w:pPr>
      <w:r>
        <w:rPr>
          <w:rFonts w:ascii="Tahoma" w:hAnsi="Tahoma" w:cs="Tahoma"/>
          <w:bCs/>
          <w:sz w:val="22"/>
          <w:szCs w:val="22"/>
        </w:rPr>
        <w:t>as Partes celebraram, em 18 de fevereiro de 2020, o Primeiro Aditamento ao Instrumento Particular de Cessão Fiduciária em Garantia e Outras Avenças (“</w:t>
      </w:r>
      <w:r>
        <w:rPr>
          <w:rFonts w:ascii="Tahoma" w:hAnsi="Tahoma" w:cs="Tahoma"/>
          <w:bCs/>
          <w:sz w:val="22"/>
          <w:szCs w:val="22"/>
          <w:u w:val="single"/>
        </w:rPr>
        <w:t>Primeiro Aditamento</w:t>
      </w:r>
      <w:r>
        <w:rPr>
          <w:rFonts w:ascii="Tahoma" w:hAnsi="Tahoma" w:cs="Tahoma"/>
          <w:bCs/>
          <w:sz w:val="22"/>
          <w:szCs w:val="22"/>
        </w:rPr>
        <w:t>”); e</w:t>
      </w:r>
    </w:p>
    <w:p w14:paraId="38F7800C" w14:textId="17564C69" w:rsidR="007C4592" w:rsidRPr="002C31A2" w:rsidRDefault="006C5BD6" w:rsidP="00805CCD">
      <w:pPr>
        <w:numPr>
          <w:ilvl w:val="0"/>
          <w:numId w:val="24"/>
        </w:numPr>
        <w:spacing w:after="240" w:line="320" w:lineRule="exact"/>
        <w:jc w:val="both"/>
        <w:rPr>
          <w:rFonts w:ascii="Tahoma" w:hAnsi="Tahoma" w:cs="Tahoma"/>
          <w:sz w:val="22"/>
          <w:szCs w:val="22"/>
        </w:rPr>
      </w:pPr>
      <w:r>
        <w:rPr>
          <w:rFonts w:ascii="Tahoma" w:hAnsi="Tahoma" w:cs="Tahoma"/>
          <w:bCs/>
          <w:sz w:val="22"/>
          <w:szCs w:val="22"/>
        </w:rPr>
        <w:t xml:space="preserve">em </w:t>
      </w:r>
      <w:r w:rsidR="00A948A7">
        <w:rPr>
          <w:rFonts w:ascii="Tahoma" w:hAnsi="Tahoma" w:cs="Tahoma"/>
          <w:bCs/>
          <w:sz w:val="22"/>
          <w:szCs w:val="22"/>
        </w:rPr>
        <w:t>02</w:t>
      </w:r>
      <w:r>
        <w:rPr>
          <w:rFonts w:ascii="Tahoma" w:hAnsi="Tahoma" w:cs="Tahoma"/>
          <w:bCs/>
          <w:sz w:val="22"/>
          <w:szCs w:val="22"/>
        </w:rPr>
        <w:t xml:space="preserve"> de </w:t>
      </w:r>
      <w:r w:rsidR="00A948A7">
        <w:rPr>
          <w:rFonts w:ascii="Tahoma" w:hAnsi="Tahoma" w:cs="Tahoma"/>
          <w:bCs/>
          <w:sz w:val="22"/>
          <w:szCs w:val="22"/>
        </w:rPr>
        <w:t>setembro</w:t>
      </w:r>
      <w:r>
        <w:rPr>
          <w:rFonts w:ascii="Tahoma" w:hAnsi="Tahoma" w:cs="Tahoma"/>
          <w:bCs/>
          <w:sz w:val="22"/>
          <w:szCs w:val="22"/>
        </w:rPr>
        <w:t xml:space="preserve"> de 20</w:t>
      </w:r>
      <w:r w:rsidR="00A948A7">
        <w:rPr>
          <w:rFonts w:ascii="Tahoma" w:hAnsi="Tahoma" w:cs="Tahoma"/>
          <w:bCs/>
          <w:sz w:val="22"/>
          <w:szCs w:val="22"/>
        </w:rPr>
        <w:t>20</w:t>
      </w:r>
      <w:r>
        <w:rPr>
          <w:rFonts w:ascii="Tahoma" w:hAnsi="Tahoma" w:cs="Tahoma"/>
          <w:bCs/>
          <w:sz w:val="22"/>
          <w:szCs w:val="22"/>
        </w:rPr>
        <w:t>, foi realizada a Assembleia Geral dos Debenturistas da 2ª (Segunda) Emissão de Debêntures Simples, Não Conversíveis em Ações, da Espécie com Garantia Real, em Série Única, para Distribuição Pública Com Esforços Restritos de Distribuição, da Cedente (“</w:t>
      </w:r>
      <w:r w:rsidRPr="009A523B">
        <w:rPr>
          <w:rFonts w:ascii="Tahoma" w:hAnsi="Tahoma" w:cs="Tahoma"/>
          <w:bCs/>
          <w:sz w:val="22"/>
          <w:szCs w:val="22"/>
          <w:u w:val="single"/>
        </w:rPr>
        <w:t>AGD</w:t>
      </w:r>
      <w:r>
        <w:rPr>
          <w:rFonts w:ascii="Tahoma" w:hAnsi="Tahoma" w:cs="Tahoma"/>
          <w:bCs/>
          <w:sz w:val="22"/>
          <w:szCs w:val="22"/>
        </w:rPr>
        <w:t xml:space="preserve">”), </w:t>
      </w:r>
      <w:r w:rsidR="009A523B" w:rsidRPr="002F4D7A">
        <w:rPr>
          <w:rFonts w:ascii="Tahoma" w:hAnsi="Tahoma"/>
          <w:bCs/>
          <w:sz w:val="22"/>
        </w:rPr>
        <w:t>por meio da qual os Debenturistas deliberaram, por unanimidade de votos e sem quaisquer restrições</w:t>
      </w:r>
      <w:r w:rsidR="009A523B">
        <w:rPr>
          <w:rFonts w:ascii="Tahoma" w:hAnsi="Tahoma"/>
          <w:bCs/>
          <w:sz w:val="22"/>
        </w:rPr>
        <w:t>: (i) alterar a data de início de pagamento da Amortização do Principal; e (ii) alterar o Prazo de Vigência e Data de Vencimento das debêntures.</w:t>
      </w:r>
    </w:p>
    <w:p w14:paraId="09F80E26" w14:textId="76696AC9"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9A523B">
        <w:rPr>
          <w:rFonts w:ascii="Tahoma" w:hAnsi="Tahoma" w:cs="Tahoma"/>
          <w:sz w:val="22"/>
          <w:szCs w:val="22"/>
        </w:rPr>
        <w:t>Segundo</w:t>
      </w:r>
      <w:r w:rsidR="00BA0B26">
        <w:rPr>
          <w:rFonts w:ascii="Tahoma" w:hAnsi="Tahoma" w:cs="Tahoma"/>
          <w:sz w:val="22"/>
          <w:szCs w:val="22"/>
        </w:rPr>
        <w:t xml:space="preserve">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6B1CD0C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CB5D03">
        <w:rPr>
          <w:rFonts w:ascii="Tahoma" w:hAnsi="Tahoma" w:cs="Tahoma"/>
          <w:sz w:val="22"/>
          <w:szCs w:val="22"/>
        </w:rPr>
        <w:t>Segundo</w:t>
      </w:r>
      <w:r w:rsidRPr="009A523B">
        <w:rPr>
          <w:rFonts w:ascii="Tahoma" w:hAnsi="Tahoma" w:cs="Tahoma"/>
          <w:sz w:val="22"/>
          <w:szCs w:val="22"/>
        </w:rPr>
        <w:t xml:space="preserve"> Aditamento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77777777"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Resolvem as Partes: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7C9A53DC" w14:textId="3FB8D1B6" w:rsidR="00BA0B26" w:rsidRDefault="00BA0B26" w:rsidP="00BA0B26">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w:t>
      </w:r>
      <w:r w:rsidRPr="009A523B">
        <w:rPr>
          <w:rFonts w:ascii="Tahoma" w:hAnsi="Tahoma" w:cs="Tahoma"/>
          <w:sz w:val="22"/>
          <w:szCs w:val="22"/>
        </w:rPr>
        <w:t xml:space="preserve">lterar </w:t>
      </w:r>
      <w:r>
        <w:rPr>
          <w:rFonts w:ascii="Tahoma" w:hAnsi="Tahoma" w:cs="Tahoma"/>
          <w:sz w:val="22"/>
          <w:szCs w:val="22"/>
        </w:rPr>
        <w:t>o Anexo I</w:t>
      </w:r>
      <w:r w:rsidR="009A523B">
        <w:rPr>
          <w:rFonts w:ascii="Tahoma" w:hAnsi="Tahoma" w:cs="Tahoma"/>
          <w:sz w:val="22"/>
          <w:szCs w:val="22"/>
        </w:rPr>
        <w:t>II</w:t>
      </w:r>
      <w:r w:rsidRPr="009A523B">
        <w:rPr>
          <w:rFonts w:ascii="Tahoma" w:hAnsi="Tahoma" w:cs="Tahoma"/>
          <w:sz w:val="22"/>
          <w:szCs w:val="22"/>
        </w:rPr>
        <w:t xml:space="preserve"> do Contrato, para</w:t>
      </w:r>
      <w:r>
        <w:rPr>
          <w:rFonts w:ascii="Tahoma" w:hAnsi="Tahoma" w:cs="Tahoma"/>
          <w:sz w:val="22"/>
          <w:szCs w:val="22"/>
        </w:rPr>
        <w:t xml:space="preserve"> que passe a constar </w:t>
      </w:r>
      <w:r w:rsidR="00CB5D03">
        <w:rPr>
          <w:rFonts w:ascii="Tahoma" w:hAnsi="Tahoma" w:cs="Tahoma"/>
          <w:sz w:val="22"/>
          <w:szCs w:val="22"/>
        </w:rPr>
        <w:t>a alteração da data de início de pagamento da Amortização do Principal e a alteração do Prazo de Vigência e Data de Vencimento das debêntures</w:t>
      </w:r>
      <w:r>
        <w:rPr>
          <w:rFonts w:ascii="Tahoma" w:hAnsi="Tahoma" w:cs="Tahoma"/>
          <w:sz w:val="22"/>
          <w:szCs w:val="22"/>
        </w:rPr>
        <w:t xml:space="preserve"> aprovad</w:t>
      </w:r>
      <w:r w:rsidR="00CB5D03">
        <w:rPr>
          <w:rFonts w:ascii="Tahoma" w:hAnsi="Tahoma" w:cs="Tahoma"/>
          <w:sz w:val="22"/>
          <w:szCs w:val="22"/>
        </w:rPr>
        <w:t>a</w:t>
      </w:r>
      <w:r>
        <w:rPr>
          <w:rFonts w:ascii="Tahoma" w:hAnsi="Tahoma" w:cs="Tahoma"/>
          <w:sz w:val="22"/>
          <w:szCs w:val="22"/>
        </w:rPr>
        <w:t>s em sede da AGD</w:t>
      </w:r>
      <w:r w:rsidRPr="009A523B">
        <w:rPr>
          <w:rFonts w:ascii="Tahoma" w:hAnsi="Tahoma" w:cs="Tahoma"/>
          <w:sz w:val="22"/>
          <w:szCs w:val="22"/>
        </w:rPr>
        <w:t xml:space="preserve">, </w:t>
      </w:r>
      <w:r>
        <w:rPr>
          <w:rFonts w:ascii="Tahoma" w:hAnsi="Tahoma" w:cs="Tahoma"/>
          <w:sz w:val="22"/>
          <w:szCs w:val="22"/>
        </w:rPr>
        <w:t>o</w:t>
      </w:r>
      <w:r w:rsidRPr="009A523B">
        <w:rPr>
          <w:rFonts w:ascii="Tahoma" w:hAnsi="Tahoma" w:cs="Tahoma"/>
          <w:sz w:val="22"/>
          <w:szCs w:val="22"/>
        </w:rPr>
        <w:t xml:space="preserve"> qual passará a vigorar com a seguinte redação:</w:t>
      </w:r>
    </w:p>
    <w:p w14:paraId="45322D10" w14:textId="77777777" w:rsidR="00C052F3" w:rsidRPr="009A523B" w:rsidRDefault="00C052F3" w:rsidP="00C052F3">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7CE2E4A7" w14:textId="77777777" w:rsidR="00C052F3" w:rsidRPr="002C31A2" w:rsidRDefault="00C052F3" w:rsidP="00C052F3">
      <w:pPr>
        <w:tabs>
          <w:tab w:val="left" w:pos="5812"/>
        </w:tabs>
        <w:spacing w:after="240" w:line="320" w:lineRule="exact"/>
        <w:jc w:val="center"/>
        <w:rPr>
          <w:rFonts w:ascii="Tahoma" w:hAnsi="Tahoma" w:cs="Tahoma"/>
          <w:sz w:val="22"/>
          <w:szCs w:val="22"/>
          <w:u w:val="single"/>
        </w:rPr>
      </w:pPr>
      <w:r>
        <w:rPr>
          <w:rFonts w:ascii="Tahoma" w:hAnsi="Tahoma" w:cs="Tahoma"/>
          <w:sz w:val="22"/>
          <w:szCs w:val="22"/>
        </w:rPr>
        <w:t>“</w:t>
      </w:r>
      <w:r w:rsidRPr="002C31A2">
        <w:rPr>
          <w:rFonts w:ascii="Tahoma" w:hAnsi="Tahoma" w:cs="Tahoma"/>
          <w:sz w:val="22"/>
          <w:szCs w:val="22"/>
          <w:u w:val="single"/>
        </w:rPr>
        <w:t>Características da Emissão das Debêntures</w:t>
      </w:r>
      <w:r>
        <w:rPr>
          <w:rFonts w:ascii="Tahoma" w:hAnsi="Tahoma" w:cs="Tahoma"/>
          <w:sz w:val="22"/>
          <w:szCs w:val="22"/>
          <w:u w:val="single"/>
        </w:rPr>
        <w:t xml:space="preserve"> </w:t>
      </w:r>
    </w:p>
    <w:p w14:paraId="479019F4" w14:textId="276AD939" w:rsidR="00BA0B26" w:rsidRPr="009A523B" w:rsidRDefault="00BA0B26" w:rsidP="00BA0B26">
      <w:pPr>
        <w:autoSpaceDE w:val="0"/>
        <w:autoSpaceDN w:val="0"/>
        <w:adjustRightInd w:val="0"/>
        <w:spacing w:line="300" w:lineRule="exact"/>
        <w:jc w:val="both"/>
        <w:rPr>
          <w:rFonts w:ascii="Tahoma" w:hAnsi="Tahoma" w:cs="Tahoma"/>
          <w:sz w:val="22"/>
          <w:szCs w:val="22"/>
        </w:rPr>
      </w:pPr>
    </w:p>
    <w:p w14:paraId="6B7532BD" w14:textId="1D814710"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Valor Nominal Unitário</w:t>
      </w:r>
      <w:r w:rsidRPr="00C052F3">
        <w:rPr>
          <w:rFonts w:ascii="Tahoma" w:hAnsi="Tahoma" w:cs="Tahoma"/>
          <w:i/>
          <w:iCs/>
          <w:sz w:val="22"/>
          <w:szCs w:val="22"/>
        </w:rPr>
        <w:t>:</w:t>
      </w:r>
      <w:r w:rsidRPr="00C052F3">
        <w:rPr>
          <w:rFonts w:ascii="Tahoma" w:hAnsi="Tahoma" w:cs="Tahoma"/>
          <w:i/>
          <w:iCs/>
          <w:snapToGrid w:val="0"/>
          <w:sz w:val="22"/>
          <w:szCs w:val="22"/>
        </w:rPr>
        <w:t xml:space="preserve"> O valor nominal unitário das Debêntures, na Data de Emissão, será de R$ </w:t>
      </w:r>
      <w:r w:rsidRPr="00C052F3">
        <w:rPr>
          <w:rFonts w:ascii="Tahoma" w:hAnsi="Tahoma" w:cs="Tahoma"/>
          <w:i/>
          <w:iCs/>
          <w:sz w:val="22"/>
          <w:szCs w:val="22"/>
        </w:rPr>
        <w:t>10.000,00</w:t>
      </w:r>
      <w:r w:rsidRPr="00C052F3">
        <w:rPr>
          <w:rFonts w:ascii="Tahoma" w:hAnsi="Tahoma" w:cs="Tahoma"/>
          <w:i/>
          <w:iCs/>
          <w:snapToGrid w:val="0"/>
          <w:sz w:val="22"/>
          <w:szCs w:val="22"/>
        </w:rPr>
        <w:t xml:space="preserve"> (dez mil reais) (“</w:t>
      </w:r>
      <w:r w:rsidRPr="00C052F3">
        <w:rPr>
          <w:rFonts w:ascii="Tahoma" w:hAnsi="Tahoma" w:cs="Tahoma"/>
          <w:i/>
          <w:iCs/>
          <w:snapToGrid w:val="0"/>
          <w:sz w:val="22"/>
          <w:szCs w:val="22"/>
          <w:u w:val="single"/>
        </w:rPr>
        <w:t>Valor Nominal Unitário</w:t>
      </w:r>
      <w:r w:rsidRPr="00C052F3">
        <w:rPr>
          <w:rFonts w:ascii="Tahoma" w:hAnsi="Tahoma" w:cs="Tahoma"/>
          <w:i/>
          <w:iCs/>
          <w:snapToGrid w:val="0"/>
          <w:sz w:val="22"/>
          <w:szCs w:val="22"/>
        </w:rPr>
        <w:t xml:space="preserve">”). </w:t>
      </w:r>
      <w:r w:rsidRPr="00C052F3">
        <w:rPr>
          <w:rFonts w:ascii="Tahoma" w:hAnsi="Tahoma" w:cs="Tahoma"/>
          <w:i/>
          <w:iCs/>
          <w:sz w:val="22"/>
          <w:szCs w:val="22"/>
        </w:rPr>
        <w:t>Não haverá atualização monetária do Valor Nominal Unitário das Debêntures</w:t>
      </w:r>
      <w:r w:rsidRPr="00C052F3">
        <w:rPr>
          <w:rFonts w:ascii="Tahoma" w:hAnsi="Tahoma" w:cs="Tahoma"/>
          <w:i/>
          <w:iCs/>
          <w:snapToGrid w:val="0"/>
          <w:sz w:val="22"/>
          <w:szCs w:val="22"/>
        </w:rPr>
        <w:t xml:space="preserve">; </w:t>
      </w:r>
    </w:p>
    <w:p w14:paraId="0A287D04" w14:textId="77777777" w:rsidR="00C052F3" w:rsidRPr="00C052F3" w:rsidRDefault="00C052F3" w:rsidP="00C052F3">
      <w:pPr>
        <w:pStyle w:val="PargrafodaLista"/>
        <w:numPr>
          <w:ilvl w:val="0"/>
          <w:numId w:val="19"/>
        </w:numPr>
        <w:spacing w:after="240" w:line="320" w:lineRule="exact"/>
        <w:ind w:left="624" w:hanging="567"/>
        <w:jc w:val="both"/>
        <w:rPr>
          <w:rFonts w:ascii="Tahoma" w:hAnsi="Tahoma" w:cs="Tahoma"/>
          <w:i/>
          <w:iCs/>
          <w:sz w:val="22"/>
          <w:szCs w:val="22"/>
        </w:rPr>
      </w:pPr>
      <w:r w:rsidRPr="00C052F3">
        <w:rPr>
          <w:rFonts w:ascii="Tahoma" w:hAnsi="Tahoma" w:cs="Tahoma"/>
          <w:i/>
          <w:iCs/>
          <w:sz w:val="22"/>
          <w:szCs w:val="22"/>
          <w:u w:val="single"/>
        </w:rPr>
        <w:t>Valor Total da Emissão</w:t>
      </w:r>
      <w:r w:rsidRPr="00C052F3">
        <w:rPr>
          <w:rFonts w:ascii="Tahoma" w:hAnsi="Tahoma" w:cs="Tahoma"/>
          <w:i/>
          <w:iCs/>
          <w:sz w:val="22"/>
          <w:szCs w:val="22"/>
        </w:rPr>
        <w:t>: O valor total da Emissão será de R$ 600.000.000,00 (seiscentos milhões de reais) na Data de Emissão (“</w:t>
      </w:r>
      <w:r w:rsidRPr="00C052F3">
        <w:rPr>
          <w:rFonts w:ascii="Tahoma" w:hAnsi="Tahoma" w:cs="Tahoma"/>
          <w:i/>
          <w:iCs/>
          <w:sz w:val="22"/>
          <w:szCs w:val="22"/>
          <w:u w:val="single"/>
        </w:rPr>
        <w:t>Valor Total da Emissão</w:t>
      </w:r>
      <w:r w:rsidRPr="00C052F3">
        <w:rPr>
          <w:rFonts w:ascii="Tahoma" w:hAnsi="Tahoma" w:cs="Tahoma"/>
          <w:i/>
          <w:iCs/>
          <w:sz w:val="22"/>
          <w:szCs w:val="22"/>
        </w:rPr>
        <w:t>”)</w:t>
      </w:r>
    </w:p>
    <w:p w14:paraId="4E50BBC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Quantidade de Debêntures</w:t>
      </w:r>
      <w:r w:rsidRPr="00C052F3">
        <w:rPr>
          <w:rFonts w:ascii="Tahoma" w:hAnsi="Tahoma" w:cs="Tahoma"/>
          <w:i/>
          <w:iCs/>
          <w:sz w:val="22"/>
          <w:szCs w:val="22"/>
        </w:rPr>
        <w:t>: Serão emitidas 60.000 (sessenta mil) Debêntures;</w:t>
      </w:r>
    </w:p>
    <w:p w14:paraId="0A40730D"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Data de Emissão das Debêntures</w:t>
      </w:r>
      <w:r w:rsidRPr="00C052F3">
        <w:rPr>
          <w:rFonts w:ascii="Tahoma" w:hAnsi="Tahoma" w:cs="Tahoma"/>
          <w:i/>
          <w:iCs/>
          <w:sz w:val="22"/>
          <w:szCs w:val="22"/>
        </w:rPr>
        <w:t>: Para todos os efeitos legais, a data de Emissão das Debêntures será o dia 12 de março de 2019 (“</w:t>
      </w:r>
      <w:r w:rsidRPr="00C052F3">
        <w:rPr>
          <w:rFonts w:ascii="Tahoma" w:hAnsi="Tahoma" w:cs="Tahoma"/>
          <w:i/>
          <w:iCs/>
          <w:sz w:val="22"/>
          <w:szCs w:val="22"/>
          <w:u w:val="single"/>
        </w:rPr>
        <w:t>Data de Emissão</w:t>
      </w:r>
      <w:r w:rsidRPr="00C052F3">
        <w:rPr>
          <w:rFonts w:ascii="Tahoma" w:hAnsi="Tahoma" w:cs="Tahoma"/>
          <w:i/>
          <w:iCs/>
          <w:sz w:val="22"/>
          <w:szCs w:val="22"/>
        </w:rPr>
        <w:t>”);</w:t>
      </w:r>
    </w:p>
    <w:p w14:paraId="658A5E36" w14:textId="77777777" w:rsidR="00C052F3" w:rsidRPr="00C052F3" w:rsidRDefault="00C052F3" w:rsidP="00C052F3">
      <w:pPr>
        <w:pStyle w:val="PargrafodaLista"/>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Séries</w:t>
      </w:r>
      <w:r w:rsidRPr="00C052F3">
        <w:rPr>
          <w:rFonts w:ascii="Tahoma" w:hAnsi="Tahoma" w:cs="Tahoma"/>
          <w:i/>
          <w:iCs/>
          <w:sz w:val="22"/>
          <w:szCs w:val="22"/>
        </w:rPr>
        <w:t>: A Emissão será realizada em série única;</w:t>
      </w:r>
    </w:p>
    <w:p w14:paraId="084D2911"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Prazo de Vigência e Data de Vencimento</w:t>
      </w:r>
      <w:r w:rsidRPr="00C052F3">
        <w:rPr>
          <w:rFonts w:ascii="Tahoma" w:hAnsi="Tahoma" w:cs="Tahoma"/>
          <w:i/>
          <w:iCs/>
          <w:sz w:val="22"/>
          <w:szCs w:val="22"/>
        </w:rPr>
        <w:t>. As Debêntures terão prazo de vigência de 72 (setenta e dois) meses contados da Data de Emissão, vencendo-se, portanto, em 12 de março de 2025 (“Data de Vencimento”), ressalvadas as hipóteses em que ocorrer o resgate antecipado, ou o vencimento antecipado das Debêntures, nos termos desta Escritura de Emissão;</w:t>
      </w:r>
    </w:p>
    <w:p w14:paraId="132D36C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Forma e Prazo de Subscrição e Integralização.</w:t>
      </w:r>
      <w:r w:rsidRPr="00C052F3">
        <w:rPr>
          <w:rFonts w:ascii="Tahoma" w:hAnsi="Tahoma" w:cs="Tahoma"/>
          <w:i/>
          <w:iCs/>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w:t>
      </w:r>
      <w:r w:rsidRPr="00C052F3">
        <w:rPr>
          <w:rFonts w:ascii="Tahoma" w:hAnsi="Tahoma" w:cs="Tahoma"/>
          <w:i/>
          <w:iCs/>
          <w:sz w:val="22"/>
          <w:szCs w:val="22"/>
        </w:rPr>
        <w:lastRenderedPageBreak/>
        <w:t>integralizadas à vista, em moeda corrente nacional, pelo seu Valor Nominal Unitário, de acordo com as normas de liquidação e procedimentos estabelecidos pela B3 (“</w:t>
      </w:r>
      <w:r w:rsidRPr="00C052F3">
        <w:rPr>
          <w:rFonts w:ascii="Tahoma" w:hAnsi="Tahoma" w:cs="Tahoma"/>
          <w:i/>
          <w:iCs/>
          <w:sz w:val="22"/>
          <w:szCs w:val="22"/>
          <w:u w:val="single"/>
        </w:rPr>
        <w:t>Data de Liquidação</w:t>
      </w:r>
      <w:r w:rsidRPr="00C052F3">
        <w:rPr>
          <w:rFonts w:ascii="Tahoma" w:hAnsi="Tahoma" w:cs="Tahoma"/>
          <w:i/>
          <w:iCs/>
          <w:sz w:val="22"/>
          <w:szCs w:val="22"/>
        </w:rPr>
        <w:t>”);</w:t>
      </w:r>
    </w:p>
    <w:p w14:paraId="489B8D0B"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Forma, Conversibilidade e Comprovação de Titularidade das Debêntures:</w:t>
      </w:r>
      <w:r w:rsidRPr="00C052F3">
        <w:rPr>
          <w:rFonts w:ascii="Tahoma" w:hAnsi="Tahoma" w:cs="Tahoma"/>
          <w:i/>
          <w:iCs/>
          <w:sz w:val="22"/>
          <w:szCs w:val="22"/>
        </w:rPr>
        <w:t xml:space="preserve"> As Debêntures serão da forma nominativa e escritural, sem a emissão de cautela ou certificados, não conversíveis em ações de emissão da Cedente. Para todos os fins e efeitos, a titularidade das Debêntures será comprovada pelo extrato emitido pela instituição financeira responsável pela escrituração das Debêntures, o Escriturador (conforme definido na Escritura de Emissão). Adicionalmente, será reconhecido como comprovante de titularidade para as Debêntures custodiadas eletronicamente na B3 o extrato em nome dos Debenturistas emitido pela B3;</w:t>
      </w:r>
    </w:p>
    <w:p w14:paraId="127EB88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Garantias</w:t>
      </w:r>
      <w:r w:rsidRPr="00C052F3">
        <w:rPr>
          <w:rFonts w:ascii="Tahoma" w:hAnsi="Tahoma" w:cs="Tahoma"/>
          <w:i/>
          <w:iCs/>
          <w:sz w:val="22"/>
          <w:szCs w:val="22"/>
        </w:rPr>
        <w:t>: As Debêntures serão da espécie com garantia real, nos termos do artigo 58, caput, da Lei das Sociedades por Ações, representada por esta Cessão Fiduciária, nos termos da Escritura de Emissão;</w:t>
      </w:r>
    </w:p>
    <w:p w14:paraId="227A3BEF"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Remuneração das Debêntures</w:t>
      </w:r>
      <w:r w:rsidRPr="00C052F3">
        <w:rPr>
          <w:rFonts w:ascii="Tahoma" w:hAnsi="Tahoma" w:cs="Tahoma"/>
          <w:i/>
          <w:iCs/>
          <w:sz w:val="22"/>
          <w:szCs w:val="22"/>
        </w:rPr>
        <w:t>. Sobre o Valor Nominal Unitário das Debêntures ou o Saldo do Valor Nominal Unitário das Debêntures, conforme o caso, incidirão juros remuneratórios correspondentes à variação acumulada de 100% (cem por cento)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C052F3">
        <w:rPr>
          <w:rFonts w:ascii="Tahoma" w:hAnsi="Tahoma" w:cs="Tahoma"/>
          <w:i/>
          <w:iCs/>
          <w:sz w:val="22"/>
          <w:szCs w:val="22"/>
          <w:u w:val="single"/>
        </w:rPr>
        <w:t>Taxa DI</w:t>
      </w:r>
      <w:r w:rsidRPr="00C052F3">
        <w:rPr>
          <w:rFonts w:ascii="Tahoma" w:hAnsi="Tahoma" w:cs="Tahoma"/>
          <w:i/>
          <w:iCs/>
          <w:sz w:val="22"/>
          <w:szCs w:val="22"/>
        </w:rPr>
        <w:t>”), acrescida de um spread equivalente a 5,75% (cinco inteiros e setenta e cinco centésimos por cento) ao ano, base 252 (duzentos e cinquenta e dois) Dias Úteis (“</w:t>
      </w:r>
      <w:r w:rsidRPr="00C052F3">
        <w:rPr>
          <w:rFonts w:ascii="Tahoma" w:hAnsi="Tahoma" w:cs="Tahoma"/>
          <w:i/>
          <w:iCs/>
          <w:sz w:val="22"/>
          <w:szCs w:val="22"/>
          <w:u w:val="single"/>
        </w:rPr>
        <w:t>Sobretaxa</w:t>
      </w:r>
      <w:r w:rsidRPr="00C052F3">
        <w:rPr>
          <w:rFonts w:ascii="Tahoma" w:hAnsi="Tahoma" w:cs="Tahoma"/>
          <w:i/>
          <w:iCs/>
          <w:sz w:val="22"/>
          <w:szCs w:val="22"/>
        </w:rPr>
        <w:t>” e, em conjunto com a Taxa DI, (“</w:t>
      </w:r>
      <w:r w:rsidRPr="00C052F3">
        <w:rPr>
          <w:rFonts w:ascii="Tahoma" w:hAnsi="Tahoma" w:cs="Tahoma"/>
          <w:i/>
          <w:iCs/>
          <w:sz w:val="22"/>
          <w:szCs w:val="22"/>
          <w:u w:val="single"/>
        </w:rPr>
        <w:t>Remuneração</w:t>
      </w:r>
      <w:r w:rsidRPr="00C052F3">
        <w:rPr>
          <w:rFonts w:ascii="Tahoma" w:hAnsi="Tahoma" w:cs="Tahoma"/>
          <w:i/>
          <w:iCs/>
          <w:sz w:val="22"/>
          <w:szCs w:val="22"/>
        </w:rPr>
        <w:t xml:space="preserve">”), calculados de forma exponencial e cumulativa pro rata temporis por Dias Úteis decorridos, desde a respectiva Data de Liquidação </w:t>
      </w:r>
      <w:r w:rsidRPr="00C052F3">
        <w:rPr>
          <w:rFonts w:ascii="Tahoma" w:hAnsi="Tahoma" w:cs="Tahoma"/>
          <w:i/>
          <w:iCs/>
          <w:noProof/>
          <w:sz w:val="22"/>
          <w:szCs w:val="22"/>
        </w:rPr>
        <w:t xml:space="preserve">ou desde a última Data de Pagamento da Remuneração, conforme o caso, </w:t>
      </w:r>
      <w:r w:rsidRPr="00C052F3">
        <w:rPr>
          <w:rFonts w:ascii="Tahoma" w:hAnsi="Tahoma" w:cs="Tahoma"/>
          <w:i/>
          <w:iCs/>
          <w:sz w:val="22"/>
          <w:szCs w:val="22"/>
        </w:rPr>
        <w:t>até a data de seu efetivo pagamento, de acordo com fórmula descrita na Escritura de Emissão;</w:t>
      </w:r>
    </w:p>
    <w:p w14:paraId="465A0356"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i/>
          <w:iCs/>
          <w:sz w:val="22"/>
          <w:szCs w:val="22"/>
        </w:rPr>
      </w:pPr>
      <w:r w:rsidRPr="00C052F3">
        <w:rPr>
          <w:rFonts w:ascii="Tahoma" w:hAnsi="Tahoma" w:cs="Tahoma"/>
          <w:bCs/>
          <w:i/>
          <w:iCs/>
          <w:sz w:val="22"/>
          <w:szCs w:val="22"/>
          <w:u w:val="single"/>
        </w:rPr>
        <w:t>Pagamento da Remuneração:</w:t>
      </w:r>
      <w:r w:rsidRPr="00C052F3">
        <w:rPr>
          <w:rFonts w:ascii="Tahoma" w:hAnsi="Tahoma" w:cs="Tahoma"/>
          <w:i/>
          <w:iCs/>
          <w:sz w:val="22"/>
          <w:szCs w:val="22"/>
        </w:rPr>
        <w:t xml:space="preserve"> 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da Escritura de Emissão); ou (iii) na data em que ocorrer o resgate antecipado das Debêntures, conforme previsto na Escritura de Emissão (“</w:t>
      </w:r>
      <w:r w:rsidRPr="00C052F3">
        <w:rPr>
          <w:rFonts w:ascii="Tahoma" w:hAnsi="Tahoma" w:cs="Tahoma"/>
          <w:i/>
          <w:iCs/>
          <w:sz w:val="22"/>
          <w:szCs w:val="22"/>
          <w:u w:val="single"/>
        </w:rPr>
        <w:t>Data de Pagamento da Remuneração</w:t>
      </w:r>
      <w:r w:rsidRPr="00C052F3">
        <w:rPr>
          <w:rFonts w:ascii="Tahoma" w:hAnsi="Tahoma" w:cs="Tahoma"/>
          <w:i/>
          <w:iCs/>
          <w:sz w:val="22"/>
          <w:szCs w:val="22"/>
        </w:rPr>
        <w:t xml:space="preserve">”), o que ocorrer primeiro. O pagamento da </w:t>
      </w:r>
      <w:r w:rsidRPr="00C052F3">
        <w:rPr>
          <w:rFonts w:ascii="Tahoma" w:hAnsi="Tahoma" w:cs="Tahoma"/>
          <w:i/>
          <w:iCs/>
          <w:sz w:val="22"/>
          <w:szCs w:val="22"/>
        </w:rPr>
        <w:lastRenderedPageBreak/>
        <w:t>Remuneração das Debêntures será feito pela Emissora aos Debenturistas, de acordo com as normas e procedimentos da B3;</w:t>
      </w:r>
    </w:p>
    <w:p w14:paraId="063EC6F9" w14:textId="77777777" w:rsidR="00C052F3" w:rsidRPr="00C052F3" w:rsidRDefault="00C052F3" w:rsidP="00C052F3">
      <w:pPr>
        <w:numPr>
          <w:ilvl w:val="0"/>
          <w:numId w:val="19"/>
        </w:numPr>
        <w:tabs>
          <w:tab w:val="left" w:pos="567"/>
        </w:tabs>
        <w:spacing w:after="240" w:line="320" w:lineRule="exact"/>
        <w:ind w:left="567" w:hanging="567"/>
        <w:jc w:val="both"/>
        <w:rPr>
          <w:rFonts w:ascii="Tahoma" w:hAnsi="Tahoma" w:cs="Tahoma"/>
          <w:bCs/>
          <w:i/>
          <w:iCs/>
          <w:sz w:val="22"/>
          <w:szCs w:val="22"/>
        </w:rPr>
      </w:pPr>
      <w:r w:rsidRPr="00C052F3">
        <w:rPr>
          <w:rFonts w:ascii="Tahoma" w:hAnsi="Tahoma" w:cs="Tahoma"/>
          <w:i/>
          <w:iCs/>
          <w:sz w:val="22"/>
          <w:szCs w:val="22"/>
          <w:u w:val="single"/>
        </w:rPr>
        <w:t>Amortização</w:t>
      </w:r>
      <w:r w:rsidRPr="00C052F3">
        <w:rPr>
          <w:rFonts w:ascii="Tahoma" w:hAnsi="Tahoma" w:cs="Tahoma"/>
          <w:i/>
          <w:iCs/>
          <w:sz w:val="22"/>
          <w:szCs w:val="22"/>
        </w:rPr>
        <w:t>: O Valor Nominal Unitário ou o Saldo do Valor Nominal Unitário das Debêntures, conforme o caso, será amortizado em parcelas mensais e consecutivas, a partir do 30</w:t>
      </w:r>
      <w:r w:rsidRPr="00C052F3">
        <w:rPr>
          <w:i/>
          <w:iCs/>
          <w:szCs w:val="22"/>
        </w:rPr>
        <w:t xml:space="preserve"> º</w:t>
      </w:r>
      <w:r w:rsidRPr="00C052F3">
        <w:rPr>
          <w:rFonts w:ascii="Tahoma" w:hAnsi="Tahoma" w:cs="Tahoma"/>
          <w:i/>
          <w:iCs/>
          <w:sz w:val="22"/>
          <w:szCs w:val="22"/>
        </w:rPr>
        <w:t xml:space="preserve"> (trigésimo) mês a contar da Data de Emissão, inclusive, sendo a primeira parcela devida em 12 de setembro de 2021, e a última parcela correspondente ao Saldo do Valor Nominal Unitário das Debêntures devida na Data de Vencimento, conforme tabela abaixo (cada uma, uma “</w:t>
      </w:r>
      <w:r w:rsidRPr="00C052F3">
        <w:rPr>
          <w:rFonts w:ascii="Tahoma" w:hAnsi="Tahoma" w:cs="Tahoma"/>
          <w:i/>
          <w:iCs/>
          <w:sz w:val="22"/>
          <w:szCs w:val="22"/>
          <w:u w:val="single"/>
        </w:rPr>
        <w:t>Data de Amortização</w:t>
      </w:r>
      <w:r w:rsidRPr="00C052F3">
        <w:rPr>
          <w:rFonts w:ascii="Tahoma" w:hAnsi="Tahoma" w:cs="Tahoma"/>
          <w:i/>
          <w:iCs/>
          <w:sz w:val="22"/>
          <w:szCs w:val="22"/>
        </w:rPr>
        <w:t>”), ressalvadas as hipóteses em que ocorrer o resgate antecipado, ou ainda o vencimento antecipado das Debêntures, nos termos da Escritura de Emissão</w:t>
      </w:r>
      <w:r w:rsidRPr="00C052F3">
        <w:rPr>
          <w:rFonts w:ascii="Tahoma" w:hAnsi="Tahoma" w:cs="Tahoma"/>
          <w:bCs/>
          <w:i/>
          <w:i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C052F3" w14:paraId="7E20AD44" w14:textId="77777777" w:rsidTr="00717966">
        <w:trPr>
          <w:trHeight w:val="858"/>
        </w:trPr>
        <w:tc>
          <w:tcPr>
            <w:tcW w:w="1101" w:type="pct"/>
            <w:shd w:val="clear" w:color="000000" w:fill="D8D8D8"/>
          </w:tcPr>
          <w:p w14:paraId="3163F1EF" w14:textId="77777777" w:rsidR="00C052F3" w:rsidRPr="00C052F3" w:rsidRDefault="00C052F3" w:rsidP="00717966">
            <w:pPr>
              <w:widowControl w:val="0"/>
              <w:jc w:val="center"/>
              <w:rPr>
                <w:b/>
                <w:i/>
                <w:iCs/>
                <w:smallCaps/>
                <w:color w:val="000000"/>
              </w:rPr>
            </w:pPr>
            <w:r w:rsidRPr="00C052F3">
              <w:rPr>
                <w:b/>
                <w:i/>
                <w:iCs/>
                <w:smallCaps/>
                <w:color w:val="000000"/>
              </w:rPr>
              <w:t>Parcela de Amortização</w:t>
            </w:r>
          </w:p>
        </w:tc>
        <w:tc>
          <w:tcPr>
            <w:tcW w:w="1902" w:type="pct"/>
            <w:shd w:val="clear" w:color="000000" w:fill="D8D8D8"/>
            <w:noWrap/>
            <w:vAlign w:val="center"/>
            <w:hideMark/>
          </w:tcPr>
          <w:p w14:paraId="62452F7F" w14:textId="77777777" w:rsidR="00C052F3" w:rsidRPr="00C052F3" w:rsidRDefault="00C052F3" w:rsidP="00717966">
            <w:pPr>
              <w:widowControl w:val="0"/>
              <w:jc w:val="center"/>
              <w:rPr>
                <w:b/>
                <w:i/>
                <w:iCs/>
                <w:smallCaps/>
                <w:color w:val="000000"/>
              </w:rPr>
            </w:pPr>
            <w:r w:rsidRPr="00C052F3">
              <w:rPr>
                <w:b/>
                <w:i/>
                <w:iCs/>
                <w:smallCaps/>
                <w:color w:val="000000"/>
              </w:rPr>
              <w:t>Data de Amortização</w:t>
            </w:r>
          </w:p>
        </w:tc>
        <w:tc>
          <w:tcPr>
            <w:tcW w:w="1996" w:type="pct"/>
            <w:shd w:val="clear" w:color="000000" w:fill="D8D8D8"/>
          </w:tcPr>
          <w:p w14:paraId="133BF487" w14:textId="77777777" w:rsidR="00C052F3" w:rsidRPr="00C052F3" w:rsidRDefault="00C052F3" w:rsidP="00717966">
            <w:pPr>
              <w:widowControl w:val="0"/>
              <w:jc w:val="center"/>
              <w:rPr>
                <w:b/>
                <w:i/>
                <w:iCs/>
                <w:smallCaps/>
                <w:color w:val="000000"/>
              </w:rPr>
            </w:pPr>
            <w:r w:rsidRPr="00C052F3">
              <w:rPr>
                <w:b/>
                <w:i/>
                <w:iCs/>
                <w:smallCaps/>
                <w:color w:val="000000"/>
              </w:rPr>
              <w:t xml:space="preserve">Percentual do Saldo do Valor Nominal Unitário das Debentures a Ser Amortizado </w:t>
            </w:r>
          </w:p>
        </w:tc>
      </w:tr>
      <w:tr w:rsidR="00C052F3" w:rsidRPr="00C052F3" w:rsidDel="000D0B5A" w14:paraId="6B9230E6"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6A3FBD2" w14:textId="77777777" w:rsidR="00C052F3" w:rsidRPr="00C052F3" w:rsidRDefault="00C052F3" w:rsidP="00717966">
            <w:pPr>
              <w:widowControl w:val="0"/>
              <w:jc w:val="center"/>
              <w:rPr>
                <w:i/>
                <w:iCs/>
              </w:rPr>
            </w:pPr>
            <w:r w:rsidRPr="00C052F3">
              <w:rPr>
                <w:i/>
                <w:iCs/>
              </w:rPr>
              <w:t>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007358" w14:textId="77777777" w:rsidR="00C052F3" w:rsidRPr="00C052F3" w:rsidRDefault="00C052F3" w:rsidP="00717966">
            <w:pPr>
              <w:jc w:val="center"/>
              <w:rPr>
                <w:i/>
                <w:iCs/>
              </w:rPr>
            </w:pPr>
            <w:r w:rsidRPr="00C052F3">
              <w:rPr>
                <w:i/>
                <w:iCs/>
              </w:rPr>
              <w:t>12 de setembro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5855B874" w14:textId="77777777" w:rsidR="00C052F3" w:rsidRPr="00C052F3" w:rsidRDefault="00C052F3" w:rsidP="00717966">
            <w:pPr>
              <w:jc w:val="center"/>
              <w:rPr>
                <w:i/>
                <w:iCs/>
                <w:color w:val="000000"/>
              </w:rPr>
            </w:pPr>
            <w:r w:rsidRPr="00C052F3">
              <w:rPr>
                <w:i/>
                <w:iCs/>
                <w:color w:val="000000"/>
              </w:rPr>
              <w:t>2,3256%</w:t>
            </w:r>
          </w:p>
        </w:tc>
      </w:tr>
      <w:tr w:rsidR="00C052F3" w:rsidRPr="00C052F3" w:rsidDel="000D0B5A" w14:paraId="3C05580C"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26AE3EF" w14:textId="77777777" w:rsidR="00C052F3" w:rsidRPr="00C052F3" w:rsidRDefault="00C052F3" w:rsidP="00717966">
            <w:pPr>
              <w:widowControl w:val="0"/>
              <w:jc w:val="center"/>
              <w:rPr>
                <w:i/>
                <w:iCs/>
              </w:rPr>
            </w:pPr>
            <w:r w:rsidRPr="00C052F3">
              <w:rPr>
                <w:i/>
                <w:iCs/>
              </w:rPr>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B735BF" w14:textId="77777777" w:rsidR="00C052F3" w:rsidRPr="00C052F3" w:rsidRDefault="00C052F3" w:rsidP="00717966">
            <w:pPr>
              <w:jc w:val="center"/>
              <w:rPr>
                <w:i/>
                <w:iCs/>
              </w:rPr>
            </w:pPr>
            <w:r w:rsidRPr="00C052F3">
              <w:rPr>
                <w:i/>
                <w:iCs/>
              </w:rPr>
              <w:t>12 de outubro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4495A5C5" w14:textId="77777777" w:rsidR="00C052F3" w:rsidRPr="00C052F3" w:rsidRDefault="00C052F3" w:rsidP="00717966">
            <w:pPr>
              <w:jc w:val="center"/>
              <w:rPr>
                <w:i/>
                <w:iCs/>
                <w:color w:val="000000"/>
              </w:rPr>
            </w:pPr>
            <w:r w:rsidRPr="00C052F3">
              <w:rPr>
                <w:i/>
                <w:iCs/>
                <w:color w:val="000000"/>
              </w:rPr>
              <w:t>2,3810%</w:t>
            </w:r>
          </w:p>
        </w:tc>
      </w:tr>
      <w:tr w:rsidR="00C052F3" w:rsidRPr="00C052F3" w:rsidDel="000D0B5A" w14:paraId="691A9B3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40FAA43" w14:textId="77777777" w:rsidR="00C052F3" w:rsidRPr="00C052F3" w:rsidRDefault="00C052F3" w:rsidP="00717966">
            <w:pPr>
              <w:widowControl w:val="0"/>
              <w:jc w:val="center"/>
              <w:rPr>
                <w:i/>
                <w:iCs/>
              </w:rPr>
            </w:pPr>
            <w:r w:rsidRPr="00C052F3">
              <w:rPr>
                <w:i/>
                <w:iCs/>
              </w:rPr>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03A760" w14:textId="77777777" w:rsidR="00C052F3" w:rsidRPr="00C052F3" w:rsidRDefault="00C052F3" w:rsidP="00717966">
            <w:pPr>
              <w:jc w:val="center"/>
              <w:rPr>
                <w:i/>
                <w:iCs/>
              </w:rPr>
            </w:pPr>
            <w:r w:rsidRPr="00C052F3">
              <w:rPr>
                <w:i/>
                <w:iCs/>
              </w:rPr>
              <w:t>12 de novembro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1F390251" w14:textId="77777777" w:rsidR="00C052F3" w:rsidRPr="00C052F3" w:rsidRDefault="00C052F3" w:rsidP="00717966">
            <w:pPr>
              <w:jc w:val="center"/>
              <w:rPr>
                <w:i/>
                <w:iCs/>
                <w:color w:val="000000"/>
              </w:rPr>
            </w:pPr>
            <w:r w:rsidRPr="00C052F3">
              <w:rPr>
                <w:i/>
                <w:iCs/>
                <w:color w:val="000000"/>
              </w:rPr>
              <w:t>2,4390%</w:t>
            </w:r>
          </w:p>
        </w:tc>
      </w:tr>
      <w:tr w:rsidR="00C052F3" w:rsidRPr="00C052F3" w:rsidDel="000D0B5A" w14:paraId="6A65A535"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CC26DBE" w14:textId="77777777" w:rsidR="00C052F3" w:rsidRPr="00C052F3" w:rsidRDefault="00C052F3" w:rsidP="00717966">
            <w:pPr>
              <w:widowControl w:val="0"/>
              <w:jc w:val="center"/>
              <w:rPr>
                <w:i/>
                <w:iCs/>
              </w:rPr>
            </w:pPr>
            <w:r w:rsidRPr="00C052F3">
              <w:rPr>
                <w:i/>
                <w:iCs/>
              </w:rPr>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F8F229" w14:textId="77777777" w:rsidR="00C052F3" w:rsidRPr="00C052F3" w:rsidRDefault="00C052F3" w:rsidP="00717966">
            <w:pPr>
              <w:jc w:val="center"/>
              <w:rPr>
                <w:i/>
                <w:iCs/>
              </w:rPr>
            </w:pPr>
            <w:r w:rsidRPr="00C052F3">
              <w:rPr>
                <w:i/>
                <w:iCs/>
              </w:rPr>
              <w:t>12 de dezembro de 2021</w:t>
            </w:r>
          </w:p>
        </w:tc>
        <w:tc>
          <w:tcPr>
            <w:tcW w:w="1996" w:type="pct"/>
            <w:tcBorders>
              <w:top w:val="single" w:sz="4" w:space="0" w:color="auto"/>
              <w:left w:val="single" w:sz="4" w:space="0" w:color="auto"/>
              <w:bottom w:val="single" w:sz="4" w:space="0" w:color="auto"/>
              <w:right w:val="single" w:sz="4" w:space="0" w:color="auto"/>
            </w:tcBorders>
            <w:vAlign w:val="bottom"/>
          </w:tcPr>
          <w:p w14:paraId="2E6EC418" w14:textId="77777777" w:rsidR="00C052F3" w:rsidRPr="00C052F3" w:rsidRDefault="00C052F3" w:rsidP="00717966">
            <w:pPr>
              <w:jc w:val="center"/>
              <w:rPr>
                <w:i/>
                <w:iCs/>
                <w:color w:val="000000"/>
              </w:rPr>
            </w:pPr>
            <w:r w:rsidRPr="00C052F3">
              <w:rPr>
                <w:i/>
                <w:iCs/>
                <w:color w:val="000000"/>
              </w:rPr>
              <w:t>2,5000%</w:t>
            </w:r>
          </w:p>
        </w:tc>
      </w:tr>
      <w:tr w:rsidR="00C052F3" w:rsidRPr="00C052F3" w:rsidDel="000D0B5A" w14:paraId="6D65ADC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587FCFF3" w14:textId="77777777" w:rsidR="00C052F3" w:rsidRPr="00C052F3" w:rsidRDefault="00C052F3" w:rsidP="00717966">
            <w:pPr>
              <w:widowControl w:val="0"/>
              <w:jc w:val="center"/>
              <w:rPr>
                <w:i/>
                <w:iCs/>
              </w:rPr>
            </w:pPr>
            <w:r w:rsidRPr="00C052F3">
              <w:rPr>
                <w:i/>
                <w:iCs/>
              </w:rPr>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59741F" w14:textId="77777777" w:rsidR="00C052F3" w:rsidRPr="00C052F3" w:rsidRDefault="00C052F3" w:rsidP="00717966">
            <w:pPr>
              <w:jc w:val="center"/>
              <w:rPr>
                <w:i/>
                <w:iCs/>
              </w:rPr>
            </w:pPr>
            <w:r w:rsidRPr="00C052F3">
              <w:rPr>
                <w:i/>
                <w:iCs/>
              </w:rPr>
              <w:t>12 de janeiro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4C890BF" w14:textId="77777777" w:rsidR="00C052F3" w:rsidRPr="00C052F3" w:rsidRDefault="00C052F3" w:rsidP="00717966">
            <w:pPr>
              <w:jc w:val="center"/>
              <w:rPr>
                <w:i/>
                <w:iCs/>
                <w:color w:val="000000"/>
              </w:rPr>
            </w:pPr>
            <w:r w:rsidRPr="00C052F3">
              <w:rPr>
                <w:i/>
                <w:iCs/>
                <w:color w:val="000000"/>
              </w:rPr>
              <w:t>2,5641%</w:t>
            </w:r>
          </w:p>
        </w:tc>
      </w:tr>
      <w:tr w:rsidR="00C052F3" w:rsidRPr="00C052F3" w:rsidDel="000D0B5A" w14:paraId="1EB2E3F2"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70C97713" w14:textId="77777777" w:rsidR="00C052F3" w:rsidRPr="00C052F3" w:rsidRDefault="00C052F3" w:rsidP="00717966">
            <w:pPr>
              <w:widowControl w:val="0"/>
              <w:jc w:val="center"/>
              <w:rPr>
                <w:i/>
                <w:iCs/>
              </w:rPr>
            </w:pPr>
            <w:r w:rsidRPr="00C052F3">
              <w:rPr>
                <w:i/>
                <w:iCs/>
              </w:rPr>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E9F96D" w14:textId="77777777" w:rsidR="00C052F3" w:rsidRPr="00C052F3" w:rsidRDefault="00C052F3" w:rsidP="00717966">
            <w:pPr>
              <w:jc w:val="center"/>
              <w:rPr>
                <w:i/>
                <w:iCs/>
              </w:rPr>
            </w:pPr>
            <w:r w:rsidRPr="00C052F3">
              <w:rPr>
                <w:i/>
                <w:iCs/>
              </w:rPr>
              <w:t>12 de fevereiro de 2022</w:t>
            </w:r>
          </w:p>
        </w:tc>
        <w:tc>
          <w:tcPr>
            <w:tcW w:w="1996" w:type="pct"/>
            <w:tcBorders>
              <w:top w:val="single" w:sz="4" w:space="0" w:color="auto"/>
              <w:left w:val="single" w:sz="4" w:space="0" w:color="auto"/>
              <w:bottom w:val="single" w:sz="4" w:space="0" w:color="auto"/>
              <w:right w:val="single" w:sz="4" w:space="0" w:color="auto"/>
            </w:tcBorders>
            <w:vAlign w:val="bottom"/>
          </w:tcPr>
          <w:p w14:paraId="5A12CF98" w14:textId="77777777" w:rsidR="00C052F3" w:rsidRPr="00C052F3" w:rsidRDefault="00C052F3" w:rsidP="00717966">
            <w:pPr>
              <w:jc w:val="center"/>
              <w:rPr>
                <w:i/>
                <w:iCs/>
                <w:color w:val="000000"/>
              </w:rPr>
            </w:pPr>
            <w:r w:rsidRPr="00C052F3">
              <w:rPr>
                <w:i/>
                <w:iCs/>
                <w:color w:val="000000"/>
              </w:rPr>
              <w:t>2,6316%</w:t>
            </w:r>
          </w:p>
        </w:tc>
      </w:tr>
      <w:tr w:rsidR="00C052F3" w:rsidRPr="00C052F3" w:rsidDel="000D0B5A" w14:paraId="1237D22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FDF79B4" w14:textId="77777777" w:rsidR="00C052F3" w:rsidRPr="00C052F3" w:rsidRDefault="00C052F3" w:rsidP="00717966">
            <w:pPr>
              <w:widowControl w:val="0"/>
              <w:jc w:val="center"/>
              <w:rPr>
                <w:i/>
                <w:iCs/>
              </w:rPr>
            </w:pPr>
            <w:r w:rsidRPr="00C052F3">
              <w:rPr>
                <w:i/>
                <w:iCs/>
              </w:rPr>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4CD079" w14:textId="77777777" w:rsidR="00C052F3" w:rsidRPr="00C052F3" w:rsidRDefault="00C052F3" w:rsidP="00717966">
            <w:pPr>
              <w:jc w:val="center"/>
              <w:rPr>
                <w:i/>
                <w:iCs/>
              </w:rPr>
            </w:pPr>
            <w:r w:rsidRPr="00C052F3">
              <w:rPr>
                <w:i/>
                <w:iCs/>
              </w:rPr>
              <w:t>12 de março de 2022</w:t>
            </w:r>
          </w:p>
        </w:tc>
        <w:tc>
          <w:tcPr>
            <w:tcW w:w="1996" w:type="pct"/>
            <w:tcBorders>
              <w:top w:val="single" w:sz="4" w:space="0" w:color="auto"/>
              <w:left w:val="single" w:sz="4" w:space="0" w:color="auto"/>
              <w:bottom w:val="single" w:sz="4" w:space="0" w:color="auto"/>
              <w:right w:val="single" w:sz="4" w:space="0" w:color="auto"/>
            </w:tcBorders>
            <w:vAlign w:val="bottom"/>
          </w:tcPr>
          <w:p w14:paraId="5CE682E1" w14:textId="77777777" w:rsidR="00C052F3" w:rsidRPr="00C052F3" w:rsidRDefault="00C052F3" w:rsidP="00717966">
            <w:pPr>
              <w:jc w:val="center"/>
              <w:rPr>
                <w:i/>
                <w:iCs/>
                <w:color w:val="000000"/>
              </w:rPr>
            </w:pPr>
            <w:r w:rsidRPr="00C052F3">
              <w:rPr>
                <w:i/>
                <w:iCs/>
                <w:color w:val="000000"/>
              </w:rPr>
              <w:t>2,7027%</w:t>
            </w:r>
          </w:p>
        </w:tc>
      </w:tr>
      <w:tr w:rsidR="00C052F3" w:rsidRPr="00C052F3" w:rsidDel="000D0B5A" w14:paraId="56942DF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286B310" w14:textId="77777777" w:rsidR="00C052F3" w:rsidRPr="00C052F3" w:rsidRDefault="00C052F3" w:rsidP="00717966">
            <w:pPr>
              <w:widowControl w:val="0"/>
              <w:jc w:val="center"/>
              <w:rPr>
                <w:i/>
                <w:iCs/>
              </w:rPr>
            </w:pPr>
            <w:r w:rsidRPr="00C052F3">
              <w:rPr>
                <w:i/>
                <w:iCs/>
              </w:rPr>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900E76" w14:textId="77777777" w:rsidR="00C052F3" w:rsidRPr="00C052F3" w:rsidRDefault="00C052F3" w:rsidP="00717966">
            <w:pPr>
              <w:jc w:val="center"/>
              <w:rPr>
                <w:i/>
                <w:iCs/>
              </w:rPr>
            </w:pPr>
            <w:r w:rsidRPr="00C052F3">
              <w:rPr>
                <w:i/>
                <w:iCs/>
              </w:rPr>
              <w:t>12 de abril de 2022</w:t>
            </w:r>
          </w:p>
        </w:tc>
        <w:tc>
          <w:tcPr>
            <w:tcW w:w="1996" w:type="pct"/>
            <w:tcBorders>
              <w:top w:val="single" w:sz="4" w:space="0" w:color="auto"/>
              <w:left w:val="single" w:sz="4" w:space="0" w:color="auto"/>
              <w:bottom w:val="single" w:sz="4" w:space="0" w:color="auto"/>
              <w:right w:val="single" w:sz="4" w:space="0" w:color="auto"/>
            </w:tcBorders>
            <w:vAlign w:val="bottom"/>
          </w:tcPr>
          <w:p w14:paraId="25876757" w14:textId="77777777" w:rsidR="00C052F3" w:rsidRPr="00C052F3" w:rsidRDefault="00C052F3" w:rsidP="00717966">
            <w:pPr>
              <w:jc w:val="center"/>
              <w:rPr>
                <w:i/>
                <w:iCs/>
                <w:color w:val="000000"/>
              </w:rPr>
            </w:pPr>
            <w:r w:rsidRPr="00C052F3">
              <w:rPr>
                <w:i/>
                <w:iCs/>
                <w:color w:val="000000"/>
              </w:rPr>
              <w:t>2,7778%</w:t>
            </w:r>
          </w:p>
        </w:tc>
      </w:tr>
      <w:tr w:rsidR="00C052F3" w:rsidRPr="00C052F3" w:rsidDel="000D0B5A" w14:paraId="349E2B3A"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DB5391D" w14:textId="77777777" w:rsidR="00C052F3" w:rsidRPr="00C052F3" w:rsidRDefault="00C052F3" w:rsidP="00717966">
            <w:pPr>
              <w:widowControl w:val="0"/>
              <w:jc w:val="center"/>
              <w:rPr>
                <w:i/>
                <w:iCs/>
              </w:rPr>
            </w:pPr>
            <w:r w:rsidRPr="00C052F3">
              <w:rPr>
                <w:i/>
                <w:iCs/>
              </w:rPr>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5CC26E" w14:textId="77777777" w:rsidR="00C052F3" w:rsidRPr="00C052F3" w:rsidRDefault="00C052F3" w:rsidP="00717966">
            <w:pPr>
              <w:jc w:val="center"/>
              <w:rPr>
                <w:i/>
                <w:iCs/>
              </w:rPr>
            </w:pPr>
            <w:r w:rsidRPr="00C052F3">
              <w:rPr>
                <w:i/>
                <w:iCs/>
              </w:rPr>
              <w:t>12 de maio de 2022</w:t>
            </w:r>
          </w:p>
        </w:tc>
        <w:tc>
          <w:tcPr>
            <w:tcW w:w="1996" w:type="pct"/>
            <w:tcBorders>
              <w:top w:val="single" w:sz="4" w:space="0" w:color="auto"/>
              <w:left w:val="single" w:sz="4" w:space="0" w:color="auto"/>
              <w:bottom w:val="single" w:sz="4" w:space="0" w:color="auto"/>
              <w:right w:val="single" w:sz="4" w:space="0" w:color="auto"/>
            </w:tcBorders>
            <w:vAlign w:val="bottom"/>
          </w:tcPr>
          <w:p w14:paraId="0D9BFF4F" w14:textId="77777777" w:rsidR="00C052F3" w:rsidRPr="00C052F3" w:rsidRDefault="00C052F3" w:rsidP="00717966">
            <w:pPr>
              <w:jc w:val="center"/>
              <w:rPr>
                <w:i/>
                <w:iCs/>
                <w:color w:val="000000"/>
              </w:rPr>
            </w:pPr>
            <w:r w:rsidRPr="00C052F3">
              <w:rPr>
                <w:i/>
                <w:iCs/>
                <w:color w:val="000000"/>
              </w:rPr>
              <w:t>2,8571%</w:t>
            </w:r>
          </w:p>
        </w:tc>
      </w:tr>
      <w:tr w:rsidR="00C052F3" w:rsidRPr="00C052F3" w:rsidDel="000D0B5A" w14:paraId="016E6BD9"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2ED2C62" w14:textId="77777777" w:rsidR="00C052F3" w:rsidRPr="00C052F3" w:rsidRDefault="00C052F3" w:rsidP="00717966">
            <w:pPr>
              <w:widowControl w:val="0"/>
              <w:jc w:val="center"/>
              <w:rPr>
                <w:i/>
                <w:iCs/>
              </w:rPr>
            </w:pPr>
            <w:r w:rsidRPr="00C052F3">
              <w:rPr>
                <w:i/>
                <w:iCs/>
              </w:rPr>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C7D0C" w14:textId="77777777" w:rsidR="00C052F3" w:rsidRPr="00C052F3" w:rsidRDefault="00C052F3" w:rsidP="00717966">
            <w:pPr>
              <w:jc w:val="center"/>
              <w:rPr>
                <w:i/>
                <w:iCs/>
              </w:rPr>
            </w:pPr>
            <w:r w:rsidRPr="00C052F3">
              <w:rPr>
                <w:i/>
                <w:iCs/>
              </w:rPr>
              <w:t>12 de junho de 2022</w:t>
            </w:r>
          </w:p>
        </w:tc>
        <w:tc>
          <w:tcPr>
            <w:tcW w:w="1996" w:type="pct"/>
            <w:tcBorders>
              <w:top w:val="single" w:sz="4" w:space="0" w:color="auto"/>
              <w:left w:val="single" w:sz="4" w:space="0" w:color="auto"/>
              <w:bottom w:val="single" w:sz="4" w:space="0" w:color="auto"/>
              <w:right w:val="single" w:sz="4" w:space="0" w:color="auto"/>
            </w:tcBorders>
            <w:vAlign w:val="bottom"/>
          </w:tcPr>
          <w:p w14:paraId="72E62034" w14:textId="77777777" w:rsidR="00C052F3" w:rsidRPr="00C052F3" w:rsidRDefault="00C052F3" w:rsidP="00717966">
            <w:pPr>
              <w:jc w:val="center"/>
              <w:rPr>
                <w:i/>
                <w:iCs/>
                <w:color w:val="000000"/>
              </w:rPr>
            </w:pPr>
            <w:r w:rsidRPr="00C052F3">
              <w:rPr>
                <w:i/>
                <w:iCs/>
                <w:color w:val="000000"/>
              </w:rPr>
              <w:t>2,9412%</w:t>
            </w:r>
          </w:p>
        </w:tc>
      </w:tr>
      <w:tr w:rsidR="00C052F3" w:rsidRPr="00C052F3" w:rsidDel="000D0B5A" w14:paraId="2EDE2D54"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42C082D" w14:textId="77777777" w:rsidR="00C052F3" w:rsidRPr="00C052F3" w:rsidRDefault="00C052F3" w:rsidP="00717966">
            <w:pPr>
              <w:widowControl w:val="0"/>
              <w:jc w:val="center"/>
              <w:rPr>
                <w:i/>
                <w:iCs/>
              </w:rPr>
            </w:pPr>
            <w:r w:rsidRPr="00C052F3">
              <w:rPr>
                <w:i/>
                <w:iCs/>
              </w:rPr>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25D7F" w14:textId="77777777" w:rsidR="00C052F3" w:rsidRPr="00C052F3" w:rsidRDefault="00C052F3" w:rsidP="00717966">
            <w:pPr>
              <w:jc w:val="center"/>
              <w:rPr>
                <w:i/>
                <w:iCs/>
              </w:rPr>
            </w:pPr>
            <w:r w:rsidRPr="00C052F3">
              <w:rPr>
                <w:i/>
                <w:iCs/>
              </w:rPr>
              <w:t>12 de julho de 2022</w:t>
            </w:r>
          </w:p>
        </w:tc>
        <w:tc>
          <w:tcPr>
            <w:tcW w:w="1996" w:type="pct"/>
            <w:tcBorders>
              <w:top w:val="single" w:sz="4" w:space="0" w:color="auto"/>
              <w:left w:val="single" w:sz="4" w:space="0" w:color="auto"/>
              <w:bottom w:val="single" w:sz="4" w:space="0" w:color="auto"/>
              <w:right w:val="single" w:sz="4" w:space="0" w:color="auto"/>
            </w:tcBorders>
            <w:vAlign w:val="bottom"/>
          </w:tcPr>
          <w:p w14:paraId="1509AA7D" w14:textId="77777777" w:rsidR="00C052F3" w:rsidRPr="00C052F3" w:rsidRDefault="00C052F3" w:rsidP="00717966">
            <w:pPr>
              <w:jc w:val="center"/>
              <w:rPr>
                <w:i/>
                <w:iCs/>
                <w:color w:val="000000"/>
              </w:rPr>
            </w:pPr>
            <w:r w:rsidRPr="00C052F3">
              <w:rPr>
                <w:i/>
                <w:iCs/>
                <w:color w:val="000000"/>
              </w:rPr>
              <w:t>3,0303%</w:t>
            </w:r>
          </w:p>
        </w:tc>
      </w:tr>
      <w:tr w:rsidR="00C052F3" w:rsidRPr="00C052F3" w:rsidDel="000D0B5A" w14:paraId="646D96FE"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1C7DBC48" w14:textId="77777777" w:rsidR="00C052F3" w:rsidRPr="00C052F3" w:rsidRDefault="00C052F3" w:rsidP="00717966">
            <w:pPr>
              <w:widowControl w:val="0"/>
              <w:jc w:val="center"/>
              <w:rPr>
                <w:i/>
                <w:iCs/>
              </w:rPr>
            </w:pPr>
            <w:r w:rsidRPr="00C052F3">
              <w:rPr>
                <w:i/>
                <w:iCs/>
              </w:rPr>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ACE04D" w14:textId="77777777" w:rsidR="00C052F3" w:rsidRPr="00C052F3" w:rsidRDefault="00C052F3" w:rsidP="00717966">
            <w:pPr>
              <w:jc w:val="center"/>
              <w:rPr>
                <w:i/>
                <w:iCs/>
              </w:rPr>
            </w:pPr>
            <w:r w:rsidRPr="00C052F3">
              <w:rPr>
                <w:i/>
                <w:iCs/>
              </w:rPr>
              <w:t>12 de agosto de 2022</w:t>
            </w:r>
          </w:p>
        </w:tc>
        <w:tc>
          <w:tcPr>
            <w:tcW w:w="1996" w:type="pct"/>
            <w:tcBorders>
              <w:top w:val="single" w:sz="4" w:space="0" w:color="auto"/>
              <w:left w:val="single" w:sz="4" w:space="0" w:color="auto"/>
              <w:bottom w:val="single" w:sz="4" w:space="0" w:color="auto"/>
              <w:right w:val="single" w:sz="4" w:space="0" w:color="auto"/>
            </w:tcBorders>
            <w:vAlign w:val="bottom"/>
          </w:tcPr>
          <w:p w14:paraId="6925A666" w14:textId="77777777" w:rsidR="00C052F3" w:rsidRPr="00C052F3" w:rsidRDefault="00C052F3" w:rsidP="00717966">
            <w:pPr>
              <w:jc w:val="center"/>
              <w:rPr>
                <w:i/>
                <w:iCs/>
                <w:color w:val="000000"/>
              </w:rPr>
            </w:pPr>
            <w:r w:rsidRPr="00C052F3">
              <w:rPr>
                <w:i/>
                <w:iCs/>
                <w:color w:val="000000"/>
              </w:rPr>
              <w:t>3,1250%</w:t>
            </w:r>
          </w:p>
        </w:tc>
      </w:tr>
      <w:tr w:rsidR="00C052F3" w:rsidRPr="00C052F3" w:rsidDel="000D0B5A" w14:paraId="160F3FB1" w14:textId="77777777" w:rsidTr="00717966">
        <w:trPr>
          <w:trHeight w:val="244"/>
        </w:trPr>
        <w:tc>
          <w:tcPr>
            <w:tcW w:w="1101" w:type="pct"/>
            <w:tcBorders>
              <w:top w:val="single" w:sz="4" w:space="0" w:color="auto"/>
              <w:left w:val="single" w:sz="4" w:space="0" w:color="auto"/>
              <w:bottom w:val="single" w:sz="4" w:space="0" w:color="auto"/>
              <w:right w:val="single" w:sz="4" w:space="0" w:color="auto"/>
            </w:tcBorders>
          </w:tcPr>
          <w:p w14:paraId="5B468110" w14:textId="77777777" w:rsidR="00C052F3" w:rsidRPr="00C052F3" w:rsidRDefault="00C052F3" w:rsidP="00717966">
            <w:pPr>
              <w:widowControl w:val="0"/>
              <w:jc w:val="center"/>
              <w:rPr>
                <w:i/>
                <w:iCs/>
              </w:rPr>
            </w:pPr>
            <w:r w:rsidRPr="00C052F3">
              <w:rPr>
                <w:i/>
                <w:iCs/>
              </w:rPr>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AD22724" w14:textId="77777777" w:rsidR="00C052F3" w:rsidRPr="00C052F3" w:rsidRDefault="00C052F3" w:rsidP="00717966">
            <w:pPr>
              <w:jc w:val="center"/>
              <w:rPr>
                <w:i/>
                <w:iCs/>
              </w:rPr>
            </w:pPr>
            <w:r w:rsidRPr="00C052F3">
              <w:rPr>
                <w:i/>
                <w:iCs/>
              </w:rPr>
              <w:t>12 de setembro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34723C" w14:textId="77777777" w:rsidR="00C052F3" w:rsidRPr="00C052F3" w:rsidRDefault="00C052F3" w:rsidP="00717966">
            <w:pPr>
              <w:jc w:val="center"/>
              <w:rPr>
                <w:i/>
                <w:iCs/>
              </w:rPr>
            </w:pPr>
            <w:r w:rsidRPr="00C052F3">
              <w:rPr>
                <w:i/>
                <w:iCs/>
              </w:rPr>
              <w:t>3,2258%</w:t>
            </w:r>
          </w:p>
        </w:tc>
      </w:tr>
      <w:tr w:rsidR="00C052F3" w:rsidRPr="00C052F3" w:rsidDel="000D0B5A" w14:paraId="67BB9A2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20B1F3F" w14:textId="77777777" w:rsidR="00C052F3" w:rsidRPr="00C052F3" w:rsidRDefault="00C052F3" w:rsidP="00717966">
            <w:pPr>
              <w:widowControl w:val="0"/>
              <w:jc w:val="center"/>
              <w:rPr>
                <w:i/>
                <w:iCs/>
              </w:rPr>
            </w:pPr>
            <w:r w:rsidRPr="00C052F3">
              <w:rPr>
                <w:i/>
                <w:iCs/>
              </w:rPr>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BAABB2" w14:textId="77777777" w:rsidR="00C052F3" w:rsidRPr="00C052F3" w:rsidRDefault="00C052F3" w:rsidP="00717966">
            <w:pPr>
              <w:jc w:val="center"/>
              <w:rPr>
                <w:i/>
                <w:iCs/>
              </w:rPr>
            </w:pPr>
            <w:r w:rsidRPr="00C052F3">
              <w:rPr>
                <w:i/>
                <w:iCs/>
              </w:rPr>
              <w:t>12 de outubro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1759B684" w14:textId="77777777" w:rsidR="00C052F3" w:rsidRPr="00C052F3" w:rsidRDefault="00C052F3" w:rsidP="00717966">
            <w:pPr>
              <w:jc w:val="center"/>
              <w:rPr>
                <w:i/>
                <w:iCs/>
                <w:color w:val="000000"/>
              </w:rPr>
            </w:pPr>
            <w:r w:rsidRPr="00C052F3">
              <w:rPr>
                <w:i/>
                <w:iCs/>
                <w:color w:val="000000"/>
              </w:rPr>
              <w:t>3,3333%</w:t>
            </w:r>
          </w:p>
        </w:tc>
      </w:tr>
      <w:tr w:rsidR="00C052F3" w:rsidRPr="00C052F3" w:rsidDel="000D0B5A" w14:paraId="42403D31"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2316A157" w14:textId="77777777" w:rsidR="00C052F3" w:rsidRPr="00C052F3" w:rsidRDefault="00C052F3" w:rsidP="00717966">
            <w:pPr>
              <w:widowControl w:val="0"/>
              <w:jc w:val="center"/>
              <w:rPr>
                <w:i/>
                <w:iCs/>
              </w:rPr>
            </w:pPr>
            <w:r w:rsidRPr="00C052F3">
              <w:rPr>
                <w:i/>
                <w:iCs/>
              </w:rPr>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385D26" w14:textId="77777777" w:rsidR="00C052F3" w:rsidRPr="00C052F3" w:rsidRDefault="00C052F3" w:rsidP="00717966">
            <w:pPr>
              <w:jc w:val="center"/>
              <w:rPr>
                <w:i/>
                <w:iCs/>
              </w:rPr>
            </w:pPr>
            <w:r w:rsidRPr="00C052F3">
              <w:rPr>
                <w:i/>
                <w:iCs/>
              </w:rPr>
              <w:t>12 de novembro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2B5A4CC7" w14:textId="77777777" w:rsidR="00C052F3" w:rsidRPr="00C052F3" w:rsidRDefault="00C052F3" w:rsidP="00717966">
            <w:pPr>
              <w:jc w:val="center"/>
              <w:rPr>
                <w:i/>
                <w:iCs/>
                <w:color w:val="000000"/>
              </w:rPr>
            </w:pPr>
            <w:r w:rsidRPr="00C052F3">
              <w:rPr>
                <w:i/>
                <w:iCs/>
                <w:color w:val="000000"/>
              </w:rPr>
              <w:t>3,4483%</w:t>
            </w:r>
          </w:p>
        </w:tc>
      </w:tr>
      <w:tr w:rsidR="00C052F3" w:rsidRPr="00C052F3" w:rsidDel="000D0B5A" w14:paraId="115A0C96"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57864E8" w14:textId="77777777" w:rsidR="00C052F3" w:rsidRPr="00C052F3" w:rsidRDefault="00C052F3" w:rsidP="00717966">
            <w:pPr>
              <w:widowControl w:val="0"/>
              <w:jc w:val="center"/>
              <w:rPr>
                <w:i/>
                <w:iCs/>
              </w:rPr>
            </w:pPr>
            <w:r w:rsidRPr="00C052F3">
              <w:rPr>
                <w:i/>
                <w:iCs/>
              </w:rPr>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C3E588" w14:textId="77777777" w:rsidR="00C052F3" w:rsidRPr="00C052F3" w:rsidRDefault="00C052F3" w:rsidP="00717966">
            <w:pPr>
              <w:jc w:val="center"/>
              <w:rPr>
                <w:i/>
                <w:iCs/>
              </w:rPr>
            </w:pPr>
            <w:r w:rsidRPr="00C052F3">
              <w:rPr>
                <w:i/>
                <w:iCs/>
              </w:rPr>
              <w:t>12 de dezembro de 2022</w:t>
            </w:r>
          </w:p>
        </w:tc>
        <w:tc>
          <w:tcPr>
            <w:tcW w:w="1996" w:type="pct"/>
            <w:tcBorders>
              <w:top w:val="single" w:sz="4" w:space="0" w:color="auto"/>
              <w:left w:val="single" w:sz="4" w:space="0" w:color="auto"/>
              <w:bottom w:val="single" w:sz="4" w:space="0" w:color="auto"/>
              <w:right w:val="single" w:sz="4" w:space="0" w:color="auto"/>
            </w:tcBorders>
            <w:vAlign w:val="bottom"/>
          </w:tcPr>
          <w:p w14:paraId="044976AA" w14:textId="77777777" w:rsidR="00C052F3" w:rsidRPr="00C052F3" w:rsidRDefault="00C052F3" w:rsidP="00717966">
            <w:pPr>
              <w:jc w:val="center"/>
              <w:rPr>
                <w:i/>
                <w:iCs/>
                <w:color w:val="000000"/>
              </w:rPr>
            </w:pPr>
            <w:r w:rsidRPr="00C052F3">
              <w:rPr>
                <w:i/>
                <w:iCs/>
                <w:color w:val="000000"/>
              </w:rPr>
              <w:t>3,5714%</w:t>
            </w:r>
          </w:p>
        </w:tc>
      </w:tr>
      <w:tr w:rsidR="00C052F3" w:rsidRPr="00C052F3" w:rsidDel="000D0B5A" w14:paraId="222BC354"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6A18C24" w14:textId="77777777" w:rsidR="00C052F3" w:rsidRPr="00C052F3" w:rsidRDefault="00C052F3" w:rsidP="00717966">
            <w:pPr>
              <w:widowControl w:val="0"/>
              <w:jc w:val="center"/>
              <w:rPr>
                <w:i/>
                <w:iCs/>
              </w:rPr>
            </w:pPr>
            <w:r w:rsidRPr="00C052F3">
              <w:rPr>
                <w:i/>
                <w:iCs/>
              </w:rPr>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8A1D04" w14:textId="77777777" w:rsidR="00C052F3" w:rsidRPr="00C052F3" w:rsidRDefault="00C052F3" w:rsidP="00717966">
            <w:pPr>
              <w:jc w:val="center"/>
              <w:rPr>
                <w:i/>
                <w:iCs/>
              </w:rPr>
            </w:pPr>
            <w:r w:rsidRPr="00C052F3">
              <w:rPr>
                <w:i/>
                <w:iCs/>
              </w:rPr>
              <w:t>12 de janeiro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387F76C" w14:textId="77777777" w:rsidR="00C052F3" w:rsidRPr="00C052F3" w:rsidRDefault="00C052F3" w:rsidP="00717966">
            <w:pPr>
              <w:jc w:val="center"/>
              <w:rPr>
                <w:i/>
                <w:iCs/>
                <w:color w:val="000000"/>
              </w:rPr>
            </w:pPr>
            <w:r w:rsidRPr="00C052F3">
              <w:rPr>
                <w:i/>
                <w:iCs/>
                <w:color w:val="000000"/>
              </w:rPr>
              <w:t>3,7037%</w:t>
            </w:r>
          </w:p>
        </w:tc>
      </w:tr>
      <w:tr w:rsidR="00C052F3" w:rsidRPr="00C052F3" w:rsidDel="000D0B5A" w14:paraId="338A9D85"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3F11FDF" w14:textId="77777777" w:rsidR="00C052F3" w:rsidRPr="00C052F3" w:rsidRDefault="00C052F3" w:rsidP="00717966">
            <w:pPr>
              <w:widowControl w:val="0"/>
              <w:jc w:val="center"/>
              <w:rPr>
                <w:i/>
                <w:iCs/>
              </w:rPr>
            </w:pPr>
            <w:r w:rsidRPr="00C052F3">
              <w:rPr>
                <w:i/>
                <w:iCs/>
              </w:rPr>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6063E2" w14:textId="77777777" w:rsidR="00C052F3" w:rsidRPr="00C052F3" w:rsidRDefault="00C052F3" w:rsidP="00717966">
            <w:pPr>
              <w:jc w:val="center"/>
              <w:rPr>
                <w:i/>
                <w:iCs/>
              </w:rPr>
            </w:pPr>
            <w:r w:rsidRPr="00C052F3">
              <w:rPr>
                <w:i/>
                <w:iCs/>
              </w:rPr>
              <w:t>12 de fevereiro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0E4C5F2" w14:textId="77777777" w:rsidR="00C052F3" w:rsidRPr="00C052F3" w:rsidRDefault="00C052F3" w:rsidP="00717966">
            <w:pPr>
              <w:jc w:val="center"/>
              <w:rPr>
                <w:i/>
                <w:iCs/>
                <w:color w:val="000000"/>
              </w:rPr>
            </w:pPr>
            <w:r w:rsidRPr="00C052F3">
              <w:rPr>
                <w:i/>
                <w:iCs/>
                <w:color w:val="000000"/>
              </w:rPr>
              <w:t>3,8462%</w:t>
            </w:r>
          </w:p>
        </w:tc>
      </w:tr>
      <w:tr w:rsidR="00C052F3" w:rsidRPr="00C052F3" w:rsidDel="000D0B5A" w14:paraId="5CFB2265"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7C9D187" w14:textId="77777777" w:rsidR="00C052F3" w:rsidRPr="00C052F3" w:rsidRDefault="00C052F3" w:rsidP="00717966">
            <w:pPr>
              <w:widowControl w:val="0"/>
              <w:jc w:val="center"/>
              <w:rPr>
                <w:i/>
                <w:iCs/>
              </w:rPr>
            </w:pPr>
            <w:r w:rsidRPr="00C052F3">
              <w:rPr>
                <w:i/>
                <w:iCs/>
              </w:rPr>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781C8E" w14:textId="77777777" w:rsidR="00C052F3" w:rsidRPr="00C052F3" w:rsidRDefault="00C052F3" w:rsidP="00717966">
            <w:pPr>
              <w:jc w:val="center"/>
              <w:rPr>
                <w:i/>
                <w:iCs/>
              </w:rPr>
            </w:pPr>
            <w:r w:rsidRPr="00C052F3">
              <w:rPr>
                <w:i/>
                <w:iCs/>
              </w:rPr>
              <w:t>12 de março de 2023</w:t>
            </w:r>
          </w:p>
        </w:tc>
        <w:tc>
          <w:tcPr>
            <w:tcW w:w="1996" w:type="pct"/>
            <w:tcBorders>
              <w:top w:val="single" w:sz="4" w:space="0" w:color="auto"/>
              <w:left w:val="single" w:sz="4" w:space="0" w:color="auto"/>
              <w:bottom w:val="single" w:sz="4" w:space="0" w:color="auto"/>
              <w:right w:val="single" w:sz="4" w:space="0" w:color="auto"/>
            </w:tcBorders>
            <w:vAlign w:val="bottom"/>
          </w:tcPr>
          <w:p w14:paraId="4EEC5EBC" w14:textId="77777777" w:rsidR="00C052F3" w:rsidRPr="00C052F3" w:rsidRDefault="00C052F3" w:rsidP="00717966">
            <w:pPr>
              <w:jc w:val="center"/>
              <w:rPr>
                <w:i/>
                <w:iCs/>
                <w:color w:val="000000"/>
              </w:rPr>
            </w:pPr>
            <w:r w:rsidRPr="00C052F3">
              <w:rPr>
                <w:i/>
                <w:iCs/>
                <w:color w:val="000000"/>
              </w:rPr>
              <w:t>4,0000%</w:t>
            </w:r>
          </w:p>
        </w:tc>
      </w:tr>
      <w:tr w:rsidR="00C052F3" w:rsidRPr="00C052F3" w:rsidDel="000D0B5A" w14:paraId="18580E4E"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29635D33" w14:textId="77777777" w:rsidR="00C052F3" w:rsidRPr="00C052F3" w:rsidRDefault="00C052F3" w:rsidP="00717966">
            <w:pPr>
              <w:widowControl w:val="0"/>
              <w:jc w:val="center"/>
              <w:rPr>
                <w:i/>
                <w:iCs/>
              </w:rPr>
            </w:pPr>
            <w:r w:rsidRPr="00C052F3">
              <w:rPr>
                <w:i/>
                <w:iCs/>
              </w:rPr>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3FB4591" w14:textId="77777777" w:rsidR="00C052F3" w:rsidRPr="00C052F3" w:rsidRDefault="00C052F3" w:rsidP="00717966">
            <w:pPr>
              <w:jc w:val="center"/>
              <w:rPr>
                <w:i/>
                <w:iCs/>
              </w:rPr>
            </w:pPr>
            <w:r w:rsidRPr="00C052F3">
              <w:rPr>
                <w:i/>
                <w:iCs/>
              </w:rPr>
              <w:t>12 de abril de 2023</w:t>
            </w:r>
          </w:p>
        </w:tc>
        <w:tc>
          <w:tcPr>
            <w:tcW w:w="1996" w:type="pct"/>
            <w:tcBorders>
              <w:top w:val="single" w:sz="4" w:space="0" w:color="auto"/>
              <w:left w:val="single" w:sz="4" w:space="0" w:color="auto"/>
              <w:bottom w:val="single" w:sz="4" w:space="0" w:color="auto"/>
              <w:right w:val="single" w:sz="4" w:space="0" w:color="auto"/>
            </w:tcBorders>
            <w:vAlign w:val="bottom"/>
          </w:tcPr>
          <w:p w14:paraId="39A8B5ED" w14:textId="77777777" w:rsidR="00C052F3" w:rsidRPr="00C052F3" w:rsidRDefault="00C052F3" w:rsidP="00717966">
            <w:pPr>
              <w:jc w:val="center"/>
              <w:rPr>
                <w:i/>
                <w:iCs/>
                <w:color w:val="000000"/>
              </w:rPr>
            </w:pPr>
            <w:r w:rsidRPr="00C052F3">
              <w:rPr>
                <w:i/>
                <w:iCs/>
                <w:color w:val="000000"/>
              </w:rPr>
              <w:t>4,1667%</w:t>
            </w:r>
          </w:p>
        </w:tc>
      </w:tr>
      <w:tr w:rsidR="00C052F3" w:rsidRPr="00C052F3" w:rsidDel="000D0B5A" w14:paraId="0B3D5CB9"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5298B93" w14:textId="77777777" w:rsidR="00C052F3" w:rsidRPr="00C052F3" w:rsidRDefault="00C052F3" w:rsidP="00717966">
            <w:pPr>
              <w:widowControl w:val="0"/>
              <w:jc w:val="center"/>
              <w:rPr>
                <w:i/>
                <w:iCs/>
              </w:rPr>
            </w:pPr>
            <w:r w:rsidRPr="00C052F3">
              <w:rPr>
                <w:i/>
                <w:iCs/>
              </w:rPr>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DC3396" w14:textId="77777777" w:rsidR="00C052F3" w:rsidRPr="00C052F3" w:rsidRDefault="00C052F3" w:rsidP="00717966">
            <w:pPr>
              <w:jc w:val="center"/>
              <w:rPr>
                <w:i/>
                <w:iCs/>
              </w:rPr>
            </w:pPr>
            <w:r w:rsidRPr="00C052F3">
              <w:rPr>
                <w:i/>
                <w:iCs/>
              </w:rPr>
              <w:t>12 de maio de 2023</w:t>
            </w:r>
          </w:p>
        </w:tc>
        <w:tc>
          <w:tcPr>
            <w:tcW w:w="1996" w:type="pct"/>
            <w:tcBorders>
              <w:top w:val="single" w:sz="4" w:space="0" w:color="auto"/>
              <w:left w:val="single" w:sz="4" w:space="0" w:color="auto"/>
              <w:bottom w:val="single" w:sz="4" w:space="0" w:color="auto"/>
              <w:right w:val="single" w:sz="4" w:space="0" w:color="auto"/>
            </w:tcBorders>
            <w:vAlign w:val="bottom"/>
          </w:tcPr>
          <w:p w14:paraId="0BB3C947" w14:textId="77777777" w:rsidR="00C052F3" w:rsidRPr="00C052F3" w:rsidRDefault="00C052F3" w:rsidP="00717966">
            <w:pPr>
              <w:jc w:val="center"/>
              <w:rPr>
                <w:i/>
                <w:iCs/>
                <w:color w:val="000000"/>
              </w:rPr>
            </w:pPr>
            <w:r w:rsidRPr="00C052F3">
              <w:rPr>
                <w:i/>
                <w:iCs/>
                <w:color w:val="000000"/>
              </w:rPr>
              <w:t>4,3478%</w:t>
            </w:r>
          </w:p>
        </w:tc>
      </w:tr>
      <w:tr w:rsidR="00C052F3" w:rsidRPr="00C052F3" w:rsidDel="000D0B5A" w14:paraId="4871723E"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C1AD3F6" w14:textId="77777777" w:rsidR="00C052F3" w:rsidRPr="00C052F3" w:rsidRDefault="00C052F3" w:rsidP="00717966">
            <w:pPr>
              <w:widowControl w:val="0"/>
              <w:jc w:val="center"/>
              <w:rPr>
                <w:i/>
                <w:iCs/>
              </w:rPr>
            </w:pPr>
            <w:r w:rsidRPr="00C052F3">
              <w:rPr>
                <w:i/>
                <w:iCs/>
              </w:rPr>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426B65" w14:textId="77777777" w:rsidR="00C052F3" w:rsidRPr="00C052F3" w:rsidRDefault="00C052F3" w:rsidP="00717966">
            <w:pPr>
              <w:jc w:val="center"/>
              <w:rPr>
                <w:i/>
                <w:iCs/>
              </w:rPr>
            </w:pPr>
            <w:r w:rsidRPr="00C052F3">
              <w:rPr>
                <w:i/>
                <w:iCs/>
              </w:rPr>
              <w:t>12 de junho de 2023</w:t>
            </w:r>
          </w:p>
        </w:tc>
        <w:tc>
          <w:tcPr>
            <w:tcW w:w="1996" w:type="pct"/>
            <w:tcBorders>
              <w:top w:val="single" w:sz="4" w:space="0" w:color="auto"/>
              <w:left w:val="single" w:sz="4" w:space="0" w:color="auto"/>
              <w:bottom w:val="single" w:sz="4" w:space="0" w:color="auto"/>
              <w:right w:val="single" w:sz="4" w:space="0" w:color="auto"/>
            </w:tcBorders>
            <w:vAlign w:val="bottom"/>
          </w:tcPr>
          <w:p w14:paraId="5B1ED22A" w14:textId="77777777" w:rsidR="00C052F3" w:rsidRPr="00C052F3" w:rsidRDefault="00C052F3" w:rsidP="00717966">
            <w:pPr>
              <w:jc w:val="center"/>
              <w:rPr>
                <w:i/>
                <w:iCs/>
                <w:color w:val="000000"/>
              </w:rPr>
            </w:pPr>
            <w:r w:rsidRPr="00C052F3">
              <w:rPr>
                <w:i/>
                <w:iCs/>
                <w:color w:val="000000"/>
              </w:rPr>
              <w:t>4,5455%</w:t>
            </w:r>
          </w:p>
        </w:tc>
      </w:tr>
      <w:tr w:rsidR="00C052F3" w:rsidRPr="00C052F3" w:rsidDel="000D0B5A" w14:paraId="46A666C1"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3389E53" w14:textId="77777777" w:rsidR="00C052F3" w:rsidRPr="00C052F3" w:rsidRDefault="00C052F3" w:rsidP="00717966">
            <w:pPr>
              <w:widowControl w:val="0"/>
              <w:jc w:val="center"/>
              <w:rPr>
                <w:i/>
                <w:iCs/>
              </w:rPr>
            </w:pPr>
            <w:r w:rsidRPr="00C052F3">
              <w:rPr>
                <w:i/>
                <w:iCs/>
              </w:rPr>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1E9BE8" w14:textId="77777777" w:rsidR="00C052F3" w:rsidRPr="00C052F3" w:rsidRDefault="00C052F3" w:rsidP="00717966">
            <w:pPr>
              <w:jc w:val="center"/>
              <w:rPr>
                <w:i/>
                <w:iCs/>
              </w:rPr>
            </w:pPr>
            <w:r w:rsidRPr="00C052F3">
              <w:rPr>
                <w:i/>
                <w:iCs/>
              </w:rPr>
              <w:t>12 de julho de 2023</w:t>
            </w:r>
          </w:p>
        </w:tc>
        <w:tc>
          <w:tcPr>
            <w:tcW w:w="1996" w:type="pct"/>
            <w:tcBorders>
              <w:top w:val="single" w:sz="4" w:space="0" w:color="auto"/>
              <w:left w:val="single" w:sz="4" w:space="0" w:color="auto"/>
              <w:bottom w:val="single" w:sz="4" w:space="0" w:color="auto"/>
              <w:right w:val="single" w:sz="4" w:space="0" w:color="auto"/>
            </w:tcBorders>
            <w:vAlign w:val="bottom"/>
          </w:tcPr>
          <w:p w14:paraId="2750179B" w14:textId="77777777" w:rsidR="00C052F3" w:rsidRPr="00C052F3" w:rsidRDefault="00C052F3" w:rsidP="00717966">
            <w:pPr>
              <w:jc w:val="center"/>
              <w:rPr>
                <w:i/>
                <w:iCs/>
                <w:color w:val="000000"/>
              </w:rPr>
            </w:pPr>
            <w:r w:rsidRPr="00C052F3">
              <w:rPr>
                <w:i/>
                <w:iCs/>
                <w:color w:val="000000"/>
              </w:rPr>
              <w:t>4,7619%</w:t>
            </w:r>
          </w:p>
        </w:tc>
      </w:tr>
      <w:tr w:rsidR="00C052F3" w:rsidRPr="00C052F3" w:rsidDel="000D0B5A" w14:paraId="6651FD43"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78C0E4F5" w14:textId="77777777" w:rsidR="00C052F3" w:rsidRPr="00C052F3" w:rsidRDefault="00C052F3" w:rsidP="00717966">
            <w:pPr>
              <w:widowControl w:val="0"/>
              <w:jc w:val="center"/>
              <w:rPr>
                <w:i/>
                <w:iCs/>
              </w:rPr>
            </w:pPr>
            <w:r w:rsidRPr="00C052F3">
              <w:rPr>
                <w:i/>
                <w:iCs/>
              </w:rPr>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C8BF5" w14:textId="77777777" w:rsidR="00C052F3" w:rsidRPr="00C052F3" w:rsidRDefault="00C052F3" w:rsidP="00717966">
            <w:pPr>
              <w:jc w:val="center"/>
              <w:rPr>
                <w:i/>
                <w:iCs/>
              </w:rPr>
            </w:pPr>
            <w:r w:rsidRPr="00C052F3">
              <w:rPr>
                <w:i/>
                <w:iCs/>
              </w:rPr>
              <w:t>12 de agosto de 2023</w:t>
            </w:r>
          </w:p>
        </w:tc>
        <w:tc>
          <w:tcPr>
            <w:tcW w:w="1996" w:type="pct"/>
            <w:tcBorders>
              <w:top w:val="single" w:sz="4" w:space="0" w:color="auto"/>
              <w:left w:val="single" w:sz="4" w:space="0" w:color="auto"/>
              <w:bottom w:val="single" w:sz="4" w:space="0" w:color="auto"/>
              <w:right w:val="single" w:sz="4" w:space="0" w:color="auto"/>
            </w:tcBorders>
            <w:vAlign w:val="bottom"/>
          </w:tcPr>
          <w:p w14:paraId="313200B5" w14:textId="77777777" w:rsidR="00C052F3" w:rsidRPr="00C052F3" w:rsidRDefault="00C052F3" w:rsidP="00717966">
            <w:pPr>
              <w:jc w:val="center"/>
              <w:rPr>
                <w:i/>
                <w:iCs/>
                <w:color w:val="000000"/>
              </w:rPr>
            </w:pPr>
            <w:r w:rsidRPr="00C052F3">
              <w:rPr>
                <w:i/>
                <w:iCs/>
                <w:color w:val="000000"/>
              </w:rPr>
              <w:t>5,0000%</w:t>
            </w:r>
          </w:p>
        </w:tc>
      </w:tr>
      <w:tr w:rsidR="00C052F3" w:rsidRPr="00C052F3" w:rsidDel="000D0B5A" w14:paraId="287C34B1"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726DE78D" w14:textId="77777777" w:rsidR="00C052F3" w:rsidRPr="00C052F3" w:rsidRDefault="00C052F3" w:rsidP="00717966">
            <w:pPr>
              <w:widowControl w:val="0"/>
              <w:jc w:val="center"/>
              <w:rPr>
                <w:i/>
                <w:iCs/>
              </w:rPr>
            </w:pPr>
            <w:r w:rsidRPr="00C052F3">
              <w:rPr>
                <w:i/>
                <w:iCs/>
              </w:rPr>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901DB" w14:textId="77777777" w:rsidR="00C052F3" w:rsidRPr="00C052F3" w:rsidRDefault="00C052F3" w:rsidP="00717966">
            <w:pPr>
              <w:jc w:val="center"/>
              <w:rPr>
                <w:i/>
                <w:iCs/>
              </w:rPr>
            </w:pPr>
            <w:r w:rsidRPr="00C052F3">
              <w:rPr>
                <w:i/>
                <w:iCs/>
              </w:rPr>
              <w:t>12 de setembro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5AA935A7" w14:textId="77777777" w:rsidR="00C052F3" w:rsidRPr="00C052F3" w:rsidRDefault="00C052F3" w:rsidP="00717966">
            <w:pPr>
              <w:jc w:val="center"/>
              <w:rPr>
                <w:i/>
                <w:iCs/>
                <w:color w:val="000000"/>
              </w:rPr>
            </w:pPr>
            <w:r w:rsidRPr="00C052F3">
              <w:rPr>
                <w:i/>
                <w:iCs/>
                <w:color w:val="000000"/>
              </w:rPr>
              <w:t>5,2632%</w:t>
            </w:r>
          </w:p>
        </w:tc>
      </w:tr>
      <w:tr w:rsidR="00C052F3" w:rsidRPr="00C052F3" w:rsidDel="000D0B5A" w14:paraId="613E564B"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FFE28CB" w14:textId="77777777" w:rsidR="00C052F3" w:rsidRPr="00C052F3" w:rsidRDefault="00C052F3" w:rsidP="00717966">
            <w:pPr>
              <w:widowControl w:val="0"/>
              <w:jc w:val="center"/>
              <w:rPr>
                <w:i/>
                <w:iCs/>
              </w:rPr>
            </w:pPr>
            <w:r w:rsidRPr="00C052F3">
              <w:rPr>
                <w:i/>
                <w:iCs/>
              </w:rPr>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6FB9F5" w14:textId="77777777" w:rsidR="00C052F3" w:rsidRPr="00C052F3" w:rsidRDefault="00C052F3" w:rsidP="00717966">
            <w:pPr>
              <w:jc w:val="center"/>
              <w:rPr>
                <w:i/>
                <w:iCs/>
              </w:rPr>
            </w:pPr>
            <w:r w:rsidRPr="00C052F3">
              <w:rPr>
                <w:i/>
                <w:iCs/>
              </w:rPr>
              <w:t>12 de outubro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3DA70D" w14:textId="77777777" w:rsidR="00C052F3" w:rsidRPr="00C052F3" w:rsidRDefault="00C052F3" w:rsidP="00717966">
            <w:pPr>
              <w:jc w:val="center"/>
              <w:rPr>
                <w:i/>
                <w:iCs/>
                <w:color w:val="000000"/>
              </w:rPr>
            </w:pPr>
            <w:r w:rsidRPr="00C052F3">
              <w:rPr>
                <w:i/>
                <w:iCs/>
                <w:color w:val="000000"/>
              </w:rPr>
              <w:t>5,5556%</w:t>
            </w:r>
          </w:p>
        </w:tc>
      </w:tr>
      <w:tr w:rsidR="00C052F3" w:rsidRPr="00C052F3" w:rsidDel="000D0B5A" w14:paraId="6179536D"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2F815A68" w14:textId="77777777" w:rsidR="00C052F3" w:rsidRPr="00C052F3" w:rsidRDefault="00C052F3" w:rsidP="00717966">
            <w:pPr>
              <w:widowControl w:val="0"/>
              <w:jc w:val="center"/>
              <w:rPr>
                <w:i/>
                <w:iCs/>
              </w:rPr>
            </w:pPr>
            <w:r w:rsidRPr="00C052F3">
              <w:rPr>
                <w:i/>
                <w:iCs/>
              </w:rPr>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76157C" w14:textId="77777777" w:rsidR="00C052F3" w:rsidRPr="00C052F3" w:rsidRDefault="00C052F3" w:rsidP="00717966">
            <w:pPr>
              <w:jc w:val="center"/>
              <w:rPr>
                <w:i/>
                <w:iCs/>
              </w:rPr>
            </w:pPr>
            <w:r w:rsidRPr="00C052F3">
              <w:rPr>
                <w:i/>
                <w:iCs/>
              </w:rPr>
              <w:t>12 de novembro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1D22F763" w14:textId="77777777" w:rsidR="00C052F3" w:rsidRPr="00C052F3" w:rsidRDefault="00C052F3" w:rsidP="00717966">
            <w:pPr>
              <w:jc w:val="center"/>
              <w:rPr>
                <w:i/>
                <w:iCs/>
                <w:color w:val="000000"/>
              </w:rPr>
            </w:pPr>
            <w:r w:rsidRPr="00C052F3">
              <w:rPr>
                <w:i/>
                <w:iCs/>
                <w:color w:val="000000"/>
              </w:rPr>
              <w:t>5,8824%</w:t>
            </w:r>
          </w:p>
        </w:tc>
      </w:tr>
      <w:tr w:rsidR="00C052F3" w:rsidRPr="00C052F3" w:rsidDel="000D0B5A" w14:paraId="0B26E7C1"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6825ADC" w14:textId="77777777" w:rsidR="00C052F3" w:rsidRPr="00C052F3" w:rsidRDefault="00C052F3" w:rsidP="00717966">
            <w:pPr>
              <w:widowControl w:val="0"/>
              <w:jc w:val="center"/>
              <w:rPr>
                <w:i/>
                <w:iCs/>
              </w:rPr>
            </w:pPr>
            <w:r w:rsidRPr="00C052F3">
              <w:rPr>
                <w:i/>
                <w:iCs/>
              </w:rPr>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E470BA" w14:textId="77777777" w:rsidR="00C052F3" w:rsidRPr="00C052F3" w:rsidRDefault="00C052F3" w:rsidP="00717966">
            <w:pPr>
              <w:jc w:val="center"/>
              <w:rPr>
                <w:i/>
                <w:iCs/>
              </w:rPr>
            </w:pPr>
            <w:r w:rsidRPr="00C052F3">
              <w:rPr>
                <w:i/>
                <w:iCs/>
              </w:rPr>
              <w:t>12 de dezembro de 2023</w:t>
            </w:r>
          </w:p>
        </w:tc>
        <w:tc>
          <w:tcPr>
            <w:tcW w:w="1996" w:type="pct"/>
            <w:tcBorders>
              <w:top w:val="single" w:sz="4" w:space="0" w:color="auto"/>
              <w:left w:val="single" w:sz="4" w:space="0" w:color="auto"/>
              <w:bottom w:val="single" w:sz="4" w:space="0" w:color="auto"/>
              <w:right w:val="single" w:sz="4" w:space="0" w:color="auto"/>
            </w:tcBorders>
            <w:vAlign w:val="bottom"/>
          </w:tcPr>
          <w:p w14:paraId="43C5825C" w14:textId="77777777" w:rsidR="00C052F3" w:rsidRPr="00C052F3" w:rsidRDefault="00C052F3" w:rsidP="00717966">
            <w:pPr>
              <w:jc w:val="center"/>
              <w:rPr>
                <w:i/>
                <w:iCs/>
                <w:color w:val="000000"/>
              </w:rPr>
            </w:pPr>
            <w:r w:rsidRPr="00C052F3">
              <w:rPr>
                <w:i/>
                <w:iCs/>
                <w:color w:val="000000"/>
              </w:rPr>
              <w:t>6,2500%</w:t>
            </w:r>
          </w:p>
        </w:tc>
      </w:tr>
      <w:tr w:rsidR="00C052F3" w:rsidRPr="00C052F3" w:rsidDel="000D0B5A" w14:paraId="0FED8F01"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E9592E7" w14:textId="77777777" w:rsidR="00C052F3" w:rsidRPr="00C052F3" w:rsidRDefault="00C052F3" w:rsidP="00717966">
            <w:pPr>
              <w:widowControl w:val="0"/>
              <w:jc w:val="center"/>
              <w:rPr>
                <w:i/>
                <w:iCs/>
              </w:rPr>
            </w:pPr>
            <w:r w:rsidRPr="00C052F3">
              <w:rPr>
                <w:i/>
                <w:iCs/>
              </w:rPr>
              <w:lastRenderedPageBreak/>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31A62B" w14:textId="77777777" w:rsidR="00C052F3" w:rsidRPr="00C052F3" w:rsidRDefault="00C052F3" w:rsidP="00717966">
            <w:pPr>
              <w:jc w:val="center"/>
              <w:rPr>
                <w:i/>
                <w:iCs/>
              </w:rPr>
            </w:pPr>
            <w:r w:rsidRPr="00C052F3">
              <w:rPr>
                <w:i/>
                <w:iCs/>
              </w:rPr>
              <w:t>12 de janeiro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AC0C25F" w14:textId="77777777" w:rsidR="00C052F3" w:rsidRPr="00C052F3" w:rsidRDefault="00C052F3" w:rsidP="00717966">
            <w:pPr>
              <w:jc w:val="center"/>
              <w:rPr>
                <w:i/>
                <w:iCs/>
                <w:color w:val="000000"/>
              </w:rPr>
            </w:pPr>
            <w:r w:rsidRPr="00C052F3">
              <w:rPr>
                <w:i/>
                <w:iCs/>
                <w:color w:val="000000"/>
              </w:rPr>
              <w:t>6,6667%</w:t>
            </w:r>
          </w:p>
        </w:tc>
      </w:tr>
      <w:tr w:rsidR="00C052F3" w:rsidRPr="00C052F3" w:rsidDel="000D0B5A" w14:paraId="674C39AE"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2793E0B2" w14:textId="77777777" w:rsidR="00C052F3" w:rsidRPr="00C052F3" w:rsidRDefault="00C052F3" w:rsidP="00717966">
            <w:pPr>
              <w:widowControl w:val="0"/>
              <w:jc w:val="center"/>
              <w:rPr>
                <w:i/>
                <w:iCs/>
              </w:rPr>
            </w:pPr>
            <w:r w:rsidRPr="00C052F3">
              <w:rPr>
                <w:i/>
                <w:iCs/>
              </w:rPr>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F1FE381" w14:textId="77777777" w:rsidR="00C052F3" w:rsidRPr="00C052F3" w:rsidRDefault="00C052F3" w:rsidP="00717966">
            <w:pPr>
              <w:jc w:val="center"/>
              <w:rPr>
                <w:i/>
                <w:iCs/>
              </w:rPr>
            </w:pPr>
            <w:r w:rsidRPr="00C052F3">
              <w:rPr>
                <w:i/>
                <w:iCs/>
              </w:rPr>
              <w:t>12 de fevereiro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567B9B6" w14:textId="77777777" w:rsidR="00C052F3" w:rsidRPr="00C052F3" w:rsidRDefault="00C052F3" w:rsidP="00717966">
            <w:pPr>
              <w:jc w:val="center"/>
              <w:rPr>
                <w:i/>
                <w:iCs/>
                <w:color w:val="000000"/>
              </w:rPr>
            </w:pPr>
            <w:r w:rsidRPr="00C052F3">
              <w:rPr>
                <w:i/>
                <w:iCs/>
                <w:color w:val="000000"/>
              </w:rPr>
              <w:t>7,1429%</w:t>
            </w:r>
          </w:p>
        </w:tc>
      </w:tr>
      <w:tr w:rsidR="00C052F3" w:rsidRPr="00C052F3" w:rsidDel="000D0B5A" w14:paraId="5044E346"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724DBBBF" w14:textId="77777777" w:rsidR="00C052F3" w:rsidRPr="00C052F3" w:rsidRDefault="00C052F3" w:rsidP="00717966">
            <w:pPr>
              <w:widowControl w:val="0"/>
              <w:jc w:val="center"/>
              <w:rPr>
                <w:i/>
                <w:iCs/>
              </w:rPr>
            </w:pPr>
            <w:r w:rsidRPr="00C052F3">
              <w:rPr>
                <w:i/>
                <w:iCs/>
              </w:rPr>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B28920A" w14:textId="77777777" w:rsidR="00C052F3" w:rsidRPr="00C052F3" w:rsidRDefault="00C052F3" w:rsidP="00717966">
            <w:pPr>
              <w:jc w:val="center"/>
              <w:rPr>
                <w:i/>
                <w:iCs/>
              </w:rPr>
            </w:pPr>
            <w:r w:rsidRPr="00C052F3">
              <w:rPr>
                <w:i/>
                <w:iCs/>
              </w:rPr>
              <w:t>12 de março de 2024</w:t>
            </w:r>
          </w:p>
        </w:tc>
        <w:tc>
          <w:tcPr>
            <w:tcW w:w="1996" w:type="pct"/>
            <w:tcBorders>
              <w:top w:val="single" w:sz="4" w:space="0" w:color="auto"/>
              <w:left w:val="single" w:sz="4" w:space="0" w:color="auto"/>
              <w:bottom w:val="single" w:sz="4" w:space="0" w:color="auto"/>
              <w:right w:val="single" w:sz="4" w:space="0" w:color="auto"/>
            </w:tcBorders>
            <w:vAlign w:val="bottom"/>
          </w:tcPr>
          <w:p w14:paraId="4E7742A7" w14:textId="77777777" w:rsidR="00C052F3" w:rsidRPr="00C052F3" w:rsidRDefault="00C052F3" w:rsidP="00717966">
            <w:pPr>
              <w:jc w:val="center"/>
              <w:rPr>
                <w:i/>
                <w:iCs/>
                <w:color w:val="000000"/>
              </w:rPr>
            </w:pPr>
            <w:r w:rsidRPr="00C052F3">
              <w:rPr>
                <w:i/>
                <w:iCs/>
                <w:color w:val="000000"/>
              </w:rPr>
              <w:t>7,6923%</w:t>
            </w:r>
          </w:p>
        </w:tc>
      </w:tr>
      <w:tr w:rsidR="00C052F3" w:rsidRPr="00C052F3" w:rsidDel="000D0B5A" w14:paraId="253D2EBF"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7DCFCFC4" w14:textId="77777777" w:rsidR="00C052F3" w:rsidRPr="00C052F3" w:rsidRDefault="00C052F3" w:rsidP="00717966">
            <w:pPr>
              <w:widowControl w:val="0"/>
              <w:jc w:val="center"/>
              <w:rPr>
                <w:i/>
                <w:iCs/>
              </w:rPr>
            </w:pPr>
            <w:r w:rsidRPr="00C052F3">
              <w:rPr>
                <w:i/>
                <w:iCs/>
              </w:rPr>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627C27" w14:textId="77777777" w:rsidR="00C052F3" w:rsidRPr="00C052F3" w:rsidRDefault="00C052F3" w:rsidP="00717966">
            <w:pPr>
              <w:jc w:val="center"/>
              <w:rPr>
                <w:i/>
                <w:iCs/>
              </w:rPr>
            </w:pPr>
            <w:r w:rsidRPr="00C052F3">
              <w:rPr>
                <w:i/>
                <w:iCs/>
              </w:rPr>
              <w:t>12 de abril de 2024</w:t>
            </w:r>
          </w:p>
        </w:tc>
        <w:tc>
          <w:tcPr>
            <w:tcW w:w="1996" w:type="pct"/>
            <w:tcBorders>
              <w:top w:val="single" w:sz="4" w:space="0" w:color="auto"/>
              <w:left w:val="single" w:sz="4" w:space="0" w:color="auto"/>
              <w:bottom w:val="single" w:sz="4" w:space="0" w:color="auto"/>
              <w:right w:val="single" w:sz="4" w:space="0" w:color="auto"/>
            </w:tcBorders>
            <w:vAlign w:val="bottom"/>
          </w:tcPr>
          <w:p w14:paraId="6541B803" w14:textId="77777777" w:rsidR="00C052F3" w:rsidRPr="00C052F3" w:rsidRDefault="00C052F3" w:rsidP="00717966">
            <w:pPr>
              <w:jc w:val="center"/>
              <w:rPr>
                <w:i/>
                <w:iCs/>
                <w:color w:val="000000"/>
              </w:rPr>
            </w:pPr>
            <w:r w:rsidRPr="00C052F3">
              <w:rPr>
                <w:i/>
                <w:iCs/>
                <w:color w:val="000000"/>
              </w:rPr>
              <w:t>8,3333%</w:t>
            </w:r>
          </w:p>
        </w:tc>
      </w:tr>
      <w:tr w:rsidR="00C052F3" w:rsidRPr="00C052F3" w:rsidDel="000D0B5A" w14:paraId="6A296C57"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37371F31" w14:textId="77777777" w:rsidR="00C052F3" w:rsidRPr="00C052F3" w:rsidRDefault="00C052F3" w:rsidP="00717966">
            <w:pPr>
              <w:widowControl w:val="0"/>
              <w:jc w:val="center"/>
              <w:rPr>
                <w:i/>
                <w:iCs/>
              </w:rPr>
            </w:pPr>
            <w:r w:rsidRPr="00C052F3">
              <w:rPr>
                <w:i/>
                <w:iCs/>
              </w:rPr>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8B4716B" w14:textId="77777777" w:rsidR="00C052F3" w:rsidRPr="00C052F3" w:rsidRDefault="00C052F3" w:rsidP="00717966">
            <w:pPr>
              <w:jc w:val="center"/>
              <w:rPr>
                <w:i/>
                <w:iCs/>
              </w:rPr>
            </w:pPr>
            <w:r w:rsidRPr="00C052F3">
              <w:rPr>
                <w:i/>
                <w:iCs/>
              </w:rPr>
              <w:t>12 de maio de 2024</w:t>
            </w:r>
          </w:p>
        </w:tc>
        <w:tc>
          <w:tcPr>
            <w:tcW w:w="1996" w:type="pct"/>
            <w:tcBorders>
              <w:top w:val="single" w:sz="4" w:space="0" w:color="auto"/>
              <w:left w:val="single" w:sz="4" w:space="0" w:color="auto"/>
              <w:bottom w:val="single" w:sz="4" w:space="0" w:color="auto"/>
              <w:right w:val="single" w:sz="4" w:space="0" w:color="auto"/>
            </w:tcBorders>
            <w:vAlign w:val="bottom"/>
          </w:tcPr>
          <w:p w14:paraId="1D6FEED0" w14:textId="77777777" w:rsidR="00C052F3" w:rsidRPr="00C052F3" w:rsidRDefault="00C052F3" w:rsidP="00717966">
            <w:pPr>
              <w:jc w:val="center"/>
              <w:rPr>
                <w:i/>
                <w:iCs/>
                <w:color w:val="000000"/>
              </w:rPr>
            </w:pPr>
            <w:r w:rsidRPr="00C052F3">
              <w:rPr>
                <w:i/>
                <w:iCs/>
                <w:color w:val="000000"/>
              </w:rPr>
              <w:t>9,0909%</w:t>
            </w:r>
          </w:p>
        </w:tc>
      </w:tr>
      <w:tr w:rsidR="00C052F3" w:rsidRPr="00C052F3" w:rsidDel="000D0B5A" w14:paraId="10EF659F"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522E2A15" w14:textId="77777777" w:rsidR="00C052F3" w:rsidRPr="00C052F3" w:rsidRDefault="00C052F3" w:rsidP="00717966">
            <w:pPr>
              <w:widowControl w:val="0"/>
              <w:jc w:val="center"/>
              <w:rPr>
                <w:i/>
                <w:iCs/>
              </w:rPr>
            </w:pPr>
            <w:r w:rsidRPr="00C052F3">
              <w:rPr>
                <w:i/>
                <w:iCs/>
              </w:rPr>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1157B9" w14:textId="77777777" w:rsidR="00C052F3" w:rsidRPr="00C052F3" w:rsidRDefault="00C052F3" w:rsidP="00717966">
            <w:pPr>
              <w:jc w:val="center"/>
              <w:rPr>
                <w:i/>
                <w:iCs/>
              </w:rPr>
            </w:pPr>
            <w:r w:rsidRPr="00C052F3">
              <w:rPr>
                <w:i/>
                <w:iCs/>
              </w:rPr>
              <w:t>12 de junho de 2024</w:t>
            </w:r>
          </w:p>
        </w:tc>
        <w:tc>
          <w:tcPr>
            <w:tcW w:w="1996" w:type="pct"/>
            <w:tcBorders>
              <w:top w:val="single" w:sz="4" w:space="0" w:color="auto"/>
              <w:left w:val="single" w:sz="4" w:space="0" w:color="auto"/>
              <w:bottom w:val="single" w:sz="4" w:space="0" w:color="auto"/>
              <w:right w:val="single" w:sz="4" w:space="0" w:color="auto"/>
            </w:tcBorders>
            <w:vAlign w:val="bottom"/>
          </w:tcPr>
          <w:p w14:paraId="445F23DB" w14:textId="77777777" w:rsidR="00C052F3" w:rsidRPr="00C052F3" w:rsidRDefault="00C052F3" w:rsidP="00717966">
            <w:pPr>
              <w:jc w:val="center"/>
              <w:rPr>
                <w:i/>
                <w:iCs/>
                <w:color w:val="000000"/>
              </w:rPr>
            </w:pPr>
            <w:r w:rsidRPr="00C052F3">
              <w:rPr>
                <w:i/>
                <w:iCs/>
                <w:color w:val="000000"/>
              </w:rPr>
              <w:t>10,0000%</w:t>
            </w:r>
          </w:p>
        </w:tc>
      </w:tr>
      <w:tr w:rsidR="00C052F3" w:rsidRPr="00C052F3" w:rsidDel="000D0B5A" w14:paraId="711EDAD6"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B1A4F2A" w14:textId="77777777" w:rsidR="00C052F3" w:rsidRPr="00C052F3" w:rsidRDefault="00C052F3" w:rsidP="00717966">
            <w:pPr>
              <w:widowControl w:val="0"/>
              <w:jc w:val="center"/>
              <w:rPr>
                <w:i/>
                <w:iCs/>
              </w:rPr>
            </w:pPr>
            <w:r w:rsidRPr="00C052F3">
              <w:rPr>
                <w:i/>
                <w:iCs/>
              </w:rPr>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5BE642" w14:textId="77777777" w:rsidR="00C052F3" w:rsidRPr="00C052F3" w:rsidRDefault="00C052F3" w:rsidP="00717966">
            <w:pPr>
              <w:jc w:val="center"/>
              <w:rPr>
                <w:i/>
                <w:iCs/>
              </w:rPr>
            </w:pPr>
            <w:r w:rsidRPr="00C052F3">
              <w:rPr>
                <w:i/>
                <w:iCs/>
              </w:rPr>
              <w:t>12 de julho de 2024</w:t>
            </w:r>
          </w:p>
        </w:tc>
        <w:tc>
          <w:tcPr>
            <w:tcW w:w="1996" w:type="pct"/>
            <w:tcBorders>
              <w:top w:val="single" w:sz="4" w:space="0" w:color="auto"/>
              <w:left w:val="single" w:sz="4" w:space="0" w:color="auto"/>
              <w:bottom w:val="single" w:sz="4" w:space="0" w:color="auto"/>
              <w:right w:val="single" w:sz="4" w:space="0" w:color="auto"/>
            </w:tcBorders>
            <w:vAlign w:val="bottom"/>
          </w:tcPr>
          <w:p w14:paraId="1F9D5050" w14:textId="77777777" w:rsidR="00C052F3" w:rsidRPr="00C052F3" w:rsidRDefault="00C052F3" w:rsidP="00717966">
            <w:pPr>
              <w:jc w:val="center"/>
              <w:rPr>
                <w:i/>
                <w:iCs/>
                <w:color w:val="000000"/>
              </w:rPr>
            </w:pPr>
            <w:r w:rsidRPr="00C052F3">
              <w:rPr>
                <w:i/>
                <w:iCs/>
                <w:color w:val="000000"/>
              </w:rPr>
              <w:t>11,1111%</w:t>
            </w:r>
          </w:p>
        </w:tc>
      </w:tr>
      <w:tr w:rsidR="00C052F3" w:rsidRPr="00C052F3" w:rsidDel="000D0B5A" w14:paraId="24F4B9C6"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47BE3269" w14:textId="77777777" w:rsidR="00C052F3" w:rsidRPr="00C052F3" w:rsidRDefault="00C052F3" w:rsidP="00717966">
            <w:pPr>
              <w:widowControl w:val="0"/>
              <w:jc w:val="center"/>
              <w:rPr>
                <w:i/>
                <w:iCs/>
              </w:rPr>
            </w:pPr>
            <w:r w:rsidRPr="00C052F3">
              <w:rPr>
                <w:i/>
                <w:iCs/>
              </w:rPr>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6A0CAEC" w14:textId="77777777" w:rsidR="00C052F3" w:rsidRPr="00C052F3" w:rsidRDefault="00C052F3" w:rsidP="00717966">
            <w:pPr>
              <w:jc w:val="center"/>
              <w:rPr>
                <w:i/>
                <w:iCs/>
              </w:rPr>
            </w:pPr>
            <w:r w:rsidRPr="00C052F3">
              <w:rPr>
                <w:i/>
                <w:iCs/>
              </w:rPr>
              <w:t>12 de agosto de 2024</w:t>
            </w:r>
          </w:p>
        </w:tc>
        <w:tc>
          <w:tcPr>
            <w:tcW w:w="1996" w:type="pct"/>
            <w:tcBorders>
              <w:top w:val="single" w:sz="4" w:space="0" w:color="auto"/>
              <w:left w:val="single" w:sz="4" w:space="0" w:color="auto"/>
              <w:bottom w:val="single" w:sz="4" w:space="0" w:color="auto"/>
              <w:right w:val="single" w:sz="4" w:space="0" w:color="auto"/>
            </w:tcBorders>
            <w:vAlign w:val="bottom"/>
          </w:tcPr>
          <w:p w14:paraId="4195A556" w14:textId="77777777" w:rsidR="00C052F3" w:rsidRPr="00C052F3" w:rsidRDefault="00C052F3" w:rsidP="00717966">
            <w:pPr>
              <w:jc w:val="center"/>
              <w:rPr>
                <w:i/>
                <w:iCs/>
                <w:color w:val="000000"/>
              </w:rPr>
            </w:pPr>
            <w:r w:rsidRPr="00C052F3">
              <w:rPr>
                <w:i/>
                <w:iCs/>
                <w:color w:val="000000"/>
              </w:rPr>
              <w:t>12,5000%</w:t>
            </w:r>
          </w:p>
        </w:tc>
      </w:tr>
      <w:tr w:rsidR="00C052F3" w:rsidRPr="00C052F3" w:rsidDel="000D0B5A" w14:paraId="0D441E69"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5B879920" w14:textId="77777777" w:rsidR="00C052F3" w:rsidRPr="00C052F3" w:rsidRDefault="00C052F3" w:rsidP="00717966">
            <w:pPr>
              <w:widowControl w:val="0"/>
              <w:jc w:val="center"/>
              <w:rPr>
                <w:i/>
                <w:iCs/>
              </w:rPr>
            </w:pPr>
            <w:r w:rsidRPr="00C052F3">
              <w:rPr>
                <w:i/>
                <w:iCs/>
              </w:rPr>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0A434D" w14:textId="77777777" w:rsidR="00C052F3" w:rsidRPr="00C052F3" w:rsidRDefault="00C052F3" w:rsidP="00717966">
            <w:pPr>
              <w:jc w:val="center"/>
              <w:rPr>
                <w:i/>
                <w:iCs/>
              </w:rPr>
            </w:pPr>
            <w:r w:rsidRPr="00C052F3">
              <w:rPr>
                <w:i/>
                <w:iCs/>
              </w:rPr>
              <w:t>12 de setembro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0C4E9A5" w14:textId="77777777" w:rsidR="00C052F3" w:rsidRPr="00C052F3" w:rsidRDefault="00C052F3" w:rsidP="00717966">
            <w:pPr>
              <w:jc w:val="center"/>
              <w:rPr>
                <w:i/>
                <w:iCs/>
                <w:color w:val="000000"/>
              </w:rPr>
            </w:pPr>
            <w:r w:rsidRPr="00C052F3">
              <w:rPr>
                <w:i/>
                <w:iCs/>
                <w:color w:val="000000"/>
              </w:rPr>
              <w:t>14,2857%</w:t>
            </w:r>
          </w:p>
        </w:tc>
      </w:tr>
      <w:tr w:rsidR="00C052F3" w:rsidRPr="00C052F3" w:rsidDel="000D0B5A" w14:paraId="07B70019"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094F4FDB" w14:textId="77777777" w:rsidR="00C052F3" w:rsidRPr="00C052F3" w:rsidRDefault="00C052F3" w:rsidP="00717966">
            <w:pPr>
              <w:widowControl w:val="0"/>
              <w:jc w:val="center"/>
              <w:rPr>
                <w:i/>
                <w:iCs/>
              </w:rPr>
            </w:pPr>
            <w:r w:rsidRPr="00C052F3">
              <w:rPr>
                <w:i/>
                <w:iCs/>
              </w:rPr>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B73064" w14:textId="77777777" w:rsidR="00C052F3" w:rsidRPr="00C052F3" w:rsidRDefault="00C052F3" w:rsidP="00717966">
            <w:pPr>
              <w:jc w:val="center"/>
              <w:rPr>
                <w:i/>
                <w:iCs/>
              </w:rPr>
            </w:pPr>
            <w:r w:rsidRPr="00C052F3">
              <w:rPr>
                <w:i/>
                <w:iCs/>
              </w:rPr>
              <w:t>12 de outubro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08C85023" w14:textId="77777777" w:rsidR="00C052F3" w:rsidRPr="00C052F3" w:rsidRDefault="00C052F3" w:rsidP="00717966">
            <w:pPr>
              <w:jc w:val="center"/>
              <w:rPr>
                <w:i/>
                <w:iCs/>
                <w:color w:val="000000"/>
              </w:rPr>
            </w:pPr>
            <w:r w:rsidRPr="00C052F3">
              <w:rPr>
                <w:i/>
                <w:iCs/>
                <w:color w:val="000000"/>
              </w:rPr>
              <w:t>16,6667%</w:t>
            </w:r>
          </w:p>
        </w:tc>
      </w:tr>
      <w:tr w:rsidR="00C052F3" w:rsidRPr="00C052F3" w:rsidDel="000D0B5A" w14:paraId="4BA7415F"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128B6719" w14:textId="77777777" w:rsidR="00C052F3" w:rsidRPr="00C052F3" w:rsidRDefault="00C052F3" w:rsidP="00717966">
            <w:pPr>
              <w:widowControl w:val="0"/>
              <w:jc w:val="center"/>
              <w:rPr>
                <w:i/>
                <w:iCs/>
              </w:rPr>
            </w:pPr>
            <w:r w:rsidRPr="00C052F3">
              <w:rPr>
                <w:i/>
                <w:iCs/>
              </w:rPr>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FEDD69" w14:textId="77777777" w:rsidR="00C052F3" w:rsidRPr="00C052F3" w:rsidRDefault="00C052F3" w:rsidP="00717966">
            <w:pPr>
              <w:jc w:val="center"/>
              <w:rPr>
                <w:i/>
                <w:iCs/>
              </w:rPr>
            </w:pPr>
            <w:r w:rsidRPr="00C052F3">
              <w:rPr>
                <w:i/>
                <w:iCs/>
              </w:rPr>
              <w:t>12 de novembro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480C8E1" w14:textId="77777777" w:rsidR="00C052F3" w:rsidRPr="00C052F3" w:rsidRDefault="00C052F3" w:rsidP="00717966">
            <w:pPr>
              <w:jc w:val="center"/>
              <w:rPr>
                <w:i/>
                <w:iCs/>
                <w:color w:val="000000"/>
              </w:rPr>
            </w:pPr>
            <w:r w:rsidRPr="00C052F3">
              <w:rPr>
                <w:i/>
                <w:iCs/>
                <w:color w:val="000000"/>
              </w:rPr>
              <w:t>20,0000%</w:t>
            </w:r>
          </w:p>
        </w:tc>
      </w:tr>
      <w:tr w:rsidR="00C052F3" w:rsidRPr="00C052F3" w:rsidDel="000D0B5A" w14:paraId="39DC5AE7"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A83A6FC" w14:textId="77777777" w:rsidR="00C052F3" w:rsidRPr="00C052F3" w:rsidRDefault="00C052F3" w:rsidP="00717966">
            <w:pPr>
              <w:widowControl w:val="0"/>
              <w:jc w:val="center"/>
              <w:rPr>
                <w:i/>
                <w:iCs/>
              </w:rPr>
            </w:pPr>
            <w:r w:rsidRPr="00C052F3">
              <w:rPr>
                <w:i/>
                <w:iCs/>
              </w:rPr>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AA0AB4" w14:textId="77777777" w:rsidR="00C052F3" w:rsidRPr="00C052F3" w:rsidRDefault="00C052F3" w:rsidP="00717966">
            <w:pPr>
              <w:jc w:val="center"/>
              <w:rPr>
                <w:i/>
                <w:iCs/>
              </w:rPr>
            </w:pPr>
            <w:r w:rsidRPr="00C052F3">
              <w:rPr>
                <w:i/>
                <w:iCs/>
              </w:rPr>
              <w:t>12 de dezembro de 2024</w:t>
            </w:r>
          </w:p>
        </w:tc>
        <w:tc>
          <w:tcPr>
            <w:tcW w:w="1996" w:type="pct"/>
            <w:tcBorders>
              <w:top w:val="single" w:sz="4" w:space="0" w:color="auto"/>
              <w:left w:val="single" w:sz="4" w:space="0" w:color="auto"/>
              <w:bottom w:val="single" w:sz="4" w:space="0" w:color="auto"/>
              <w:right w:val="single" w:sz="4" w:space="0" w:color="auto"/>
            </w:tcBorders>
            <w:vAlign w:val="bottom"/>
          </w:tcPr>
          <w:p w14:paraId="31699094" w14:textId="77777777" w:rsidR="00C052F3" w:rsidRPr="00C052F3" w:rsidRDefault="00C052F3" w:rsidP="00717966">
            <w:pPr>
              <w:jc w:val="center"/>
              <w:rPr>
                <w:i/>
                <w:iCs/>
                <w:color w:val="000000"/>
              </w:rPr>
            </w:pPr>
            <w:r w:rsidRPr="00C052F3">
              <w:rPr>
                <w:i/>
                <w:iCs/>
                <w:color w:val="000000"/>
              </w:rPr>
              <w:t>25,0000%</w:t>
            </w:r>
          </w:p>
        </w:tc>
      </w:tr>
      <w:tr w:rsidR="00C052F3" w:rsidRPr="00C052F3" w:rsidDel="000D0B5A" w14:paraId="70FC3579"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5598214A" w14:textId="77777777" w:rsidR="00C052F3" w:rsidRPr="00C052F3" w:rsidRDefault="00C052F3" w:rsidP="00717966">
            <w:pPr>
              <w:widowControl w:val="0"/>
              <w:jc w:val="center"/>
              <w:rPr>
                <w:i/>
                <w:iCs/>
              </w:rPr>
            </w:pPr>
            <w:r w:rsidRPr="00C052F3">
              <w:rPr>
                <w:i/>
                <w:iCs/>
              </w:rPr>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41F7C3" w14:textId="77777777" w:rsidR="00C052F3" w:rsidRPr="00C052F3" w:rsidRDefault="00C052F3" w:rsidP="00717966">
            <w:pPr>
              <w:jc w:val="center"/>
              <w:rPr>
                <w:i/>
                <w:iCs/>
              </w:rPr>
            </w:pPr>
            <w:r w:rsidRPr="00C052F3">
              <w:rPr>
                <w:i/>
                <w:iCs/>
              </w:rPr>
              <w:t>12 de janeiro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25CAD28D" w14:textId="77777777" w:rsidR="00C052F3" w:rsidRPr="00C052F3" w:rsidRDefault="00C052F3" w:rsidP="00717966">
            <w:pPr>
              <w:jc w:val="center"/>
              <w:rPr>
                <w:i/>
                <w:iCs/>
                <w:color w:val="000000"/>
              </w:rPr>
            </w:pPr>
            <w:r w:rsidRPr="00C052F3">
              <w:rPr>
                <w:i/>
                <w:iCs/>
                <w:color w:val="000000"/>
              </w:rPr>
              <w:t>33,3333%</w:t>
            </w:r>
          </w:p>
        </w:tc>
      </w:tr>
      <w:tr w:rsidR="00C052F3" w:rsidRPr="00C052F3" w:rsidDel="000D0B5A" w14:paraId="01EFF7CB"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169C6363" w14:textId="77777777" w:rsidR="00C052F3" w:rsidRPr="00C052F3" w:rsidRDefault="00C052F3" w:rsidP="00717966">
            <w:pPr>
              <w:widowControl w:val="0"/>
              <w:jc w:val="center"/>
              <w:rPr>
                <w:i/>
                <w:iCs/>
              </w:rPr>
            </w:pPr>
            <w:r w:rsidRPr="00C052F3">
              <w:rPr>
                <w:i/>
                <w:iCs/>
              </w:rPr>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9D8D55" w14:textId="77777777" w:rsidR="00C052F3" w:rsidRPr="00C052F3" w:rsidRDefault="00C052F3" w:rsidP="00717966">
            <w:pPr>
              <w:jc w:val="center"/>
              <w:rPr>
                <w:i/>
                <w:iCs/>
              </w:rPr>
            </w:pPr>
            <w:r w:rsidRPr="00C052F3">
              <w:rPr>
                <w:i/>
                <w:iCs/>
              </w:rPr>
              <w:t>12 de fevereiro de 2025</w:t>
            </w:r>
          </w:p>
        </w:tc>
        <w:tc>
          <w:tcPr>
            <w:tcW w:w="1996" w:type="pct"/>
            <w:tcBorders>
              <w:top w:val="single" w:sz="4" w:space="0" w:color="auto"/>
              <w:left w:val="single" w:sz="4" w:space="0" w:color="auto"/>
              <w:bottom w:val="single" w:sz="4" w:space="0" w:color="auto"/>
              <w:right w:val="single" w:sz="4" w:space="0" w:color="auto"/>
            </w:tcBorders>
            <w:vAlign w:val="bottom"/>
          </w:tcPr>
          <w:p w14:paraId="1F43AA7B" w14:textId="77777777" w:rsidR="00C052F3" w:rsidRPr="00C052F3" w:rsidRDefault="00C052F3" w:rsidP="00717966">
            <w:pPr>
              <w:jc w:val="center"/>
              <w:rPr>
                <w:i/>
                <w:iCs/>
                <w:color w:val="000000"/>
              </w:rPr>
            </w:pPr>
            <w:r w:rsidRPr="00C052F3">
              <w:rPr>
                <w:i/>
                <w:iCs/>
                <w:color w:val="000000"/>
              </w:rPr>
              <w:t>50,0000%</w:t>
            </w:r>
          </w:p>
        </w:tc>
      </w:tr>
      <w:tr w:rsidR="00C052F3" w:rsidRPr="00C052F3" w:rsidDel="000D0B5A" w14:paraId="77A8F624" w14:textId="77777777" w:rsidTr="00717966">
        <w:trPr>
          <w:trHeight w:val="20"/>
        </w:trPr>
        <w:tc>
          <w:tcPr>
            <w:tcW w:w="1101" w:type="pct"/>
            <w:tcBorders>
              <w:top w:val="single" w:sz="4" w:space="0" w:color="auto"/>
              <w:left w:val="single" w:sz="4" w:space="0" w:color="auto"/>
              <w:bottom w:val="single" w:sz="4" w:space="0" w:color="auto"/>
              <w:right w:val="single" w:sz="4" w:space="0" w:color="auto"/>
            </w:tcBorders>
          </w:tcPr>
          <w:p w14:paraId="6E01E8AE" w14:textId="77777777" w:rsidR="00C052F3" w:rsidRPr="00C052F3" w:rsidRDefault="00C052F3" w:rsidP="00717966">
            <w:pPr>
              <w:widowControl w:val="0"/>
              <w:jc w:val="center"/>
              <w:rPr>
                <w:i/>
                <w:iCs/>
              </w:rPr>
            </w:pPr>
            <w:r w:rsidRPr="00C052F3">
              <w:rPr>
                <w:i/>
                <w:iCs/>
              </w:rPr>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A48556C" w14:textId="77777777" w:rsidR="00C052F3" w:rsidRPr="00C052F3" w:rsidRDefault="00C052F3" w:rsidP="00717966">
            <w:pPr>
              <w:jc w:val="center"/>
              <w:rPr>
                <w:i/>
                <w:iCs/>
              </w:rPr>
            </w:pPr>
            <w:r w:rsidRPr="00C052F3">
              <w:rPr>
                <w:i/>
                <w:iCs/>
              </w:rP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401E488" w14:textId="77777777" w:rsidR="00C052F3" w:rsidRPr="00C052F3" w:rsidRDefault="00C052F3" w:rsidP="00717966">
            <w:pPr>
              <w:jc w:val="center"/>
              <w:rPr>
                <w:i/>
                <w:iCs/>
                <w:color w:val="000000"/>
              </w:rPr>
            </w:pPr>
            <w:r w:rsidRPr="00C052F3">
              <w:rPr>
                <w:i/>
                <w:iCs/>
                <w:color w:val="000000"/>
              </w:rPr>
              <w:t>100,0000%</w:t>
            </w:r>
          </w:p>
        </w:tc>
      </w:tr>
    </w:tbl>
    <w:p w14:paraId="27F7C0E2" w14:textId="77777777" w:rsidR="00C052F3" w:rsidRPr="00C052F3" w:rsidRDefault="00C052F3" w:rsidP="00C052F3">
      <w:pPr>
        <w:tabs>
          <w:tab w:val="left" w:pos="567"/>
        </w:tabs>
        <w:spacing w:after="240" w:line="320" w:lineRule="exact"/>
        <w:ind w:left="567"/>
        <w:jc w:val="both"/>
        <w:rPr>
          <w:rFonts w:ascii="Tahoma" w:hAnsi="Tahoma" w:cs="Tahoma"/>
          <w:bCs/>
          <w:i/>
          <w:iCs/>
          <w:sz w:val="22"/>
          <w:szCs w:val="22"/>
        </w:rPr>
      </w:pPr>
    </w:p>
    <w:p w14:paraId="66AF770A" w14:textId="77777777" w:rsidR="00C052F3" w:rsidRPr="00C052F3" w:rsidRDefault="00C052F3" w:rsidP="00C052F3">
      <w:pPr>
        <w:numPr>
          <w:ilvl w:val="0"/>
          <w:numId w:val="19"/>
        </w:numPr>
        <w:spacing w:after="240" w:line="320" w:lineRule="exact"/>
        <w:ind w:left="567" w:hanging="567"/>
        <w:jc w:val="both"/>
        <w:rPr>
          <w:rFonts w:ascii="Tahoma" w:hAnsi="Tahoma" w:cs="Tahoma"/>
          <w:i/>
          <w:iCs/>
          <w:color w:val="000000"/>
          <w:sz w:val="22"/>
          <w:szCs w:val="22"/>
        </w:rPr>
      </w:pPr>
      <w:r w:rsidRPr="00C052F3">
        <w:rPr>
          <w:rFonts w:ascii="Tahoma" w:hAnsi="Tahoma" w:cs="Tahoma"/>
          <w:bCs/>
          <w:i/>
          <w:iCs/>
          <w:sz w:val="22"/>
          <w:szCs w:val="22"/>
          <w:u w:val="single"/>
        </w:rPr>
        <w:t xml:space="preserve">Resgate Antecipado Facultativo. </w:t>
      </w:r>
      <w:r w:rsidRPr="00C052F3">
        <w:rPr>
          <w:rFonts w:ascii="Tahoma" w:hAnsi="Tahoma" w:cs="Tahoma"/>
          <w:bCs/>
          <w:i/>
          <w:iCs/>
          <w:sz w:val="22"/>
          <w:szCs w:val="22"/>
        </w:rPr>
        <w:t>As Debêntures poderão ser facultativamente resgatadas, a qualquer tempo, em sua totalidade (mas não parcialmente), em moeda corrente nacional (“</w:t>
      </w:r>
      <w:r w:rsidRPr="00C052F3">
        <w:rPr>
          <w:rFonts w:ascii="Tahoma" w:hAnsi="Tahoma" w:cs="Tahoma"/>
          <w:bCs/>
          <w:i/>
          <w:iCs/>
          <w:sz w:val="22"/>
          <w:szCs w:val="22"/>
          <w:u w:val="single"/>
        </w:rPr>
        <w:t>Resgate Antecipado Facultativo</w:t>
      </w:r>
      <w:r w:rsidRPr="00C052F3">
        <w:rPr>
          <w:rFonts w:ascii="Tahoma" w:hAnsi="Tahoma" w:cs="Tahoma"/>
          <w:bCs/>
          <w:i/>
          <w:i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C052F3">
        <w:rPr>
          <w:rFonts w:ascii="Tahoma" w:hAnsi="Tahoma" w:cs="Tahoma"/>
          <w:bCs/>
          <w:i/>
          <w:i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C052F3">
        <w:rPr>
          <w:rFonts w:ascii="Tahoma" w:hAnsi="Tahoma" w:cs="Tahoma"/>
          <w:bCs/>
          <w:i/>
          <w:iCs/>
          <w:sz w:val="22"/>
          <w:szCs w:val="22"/>
        </w:rPr>
        <w:t>, acrescido dos demais encargos devidos e não pagos pela Emissora, calculado de acordo com a fórmula prevista na Escritura de Emissão (“</w:t>
      </w:r>
      <w:r w:rsidRPr="00C052F3">
        <w:rPr>
          <w:rFonts w:ascii="Tahoma" w:hAnsi="Tahoma" w:cs="Tahoma"/>
          <w:bCs/>
          <w:i/>
          <w:iCs/>
          <w:sz w:val="22"/>
          <w:szCs w:val="22"/>
          <w:u w:val="single"/>
        </w:rPr>
        <w:t>Valor de Resgate Antecipado das Debêntures</w:t>
      </w:r>
      <w:r w:rsidRPr="00C052F3">
        <w:rPr>
          <w:rFonts w:ascii="Tahoma" w:hAnsi="Tahoma" w:cs="Tahoma"/>
          <w:bCs/>
          <w:i/>
          <w:iCs/>
          <w:sz w:val="22"/>
          <w:szCs w:val="22"/>
        </w:rPr>
        <w:t>”).</w:t>
      </w:r>
    </w:p>
    <w:p w14:paraId="7476ABC6" w14:textId="77777777" w:rsidR="00C052F3" w:rsidRPr="00C052F3" w:rsidRDefault="00C052F3" w:rsidP="00C052F3">
      <w:pPr>
        <w:numPr>
          <w:ilvl w:val="0"/>
          <w:numId w:val="19"/>
        </w:numPr>
        <w:spacing w:after="240" w:line="320" w:lineRule="exact"/>
        <w:ind w:left="567" w:hanging="567"/>
        <w:jc w:val="both"/>
        <w:rPr>
          <w:rFonts w:ascii="Tahoma" w:hAnsi="Tahoma" w:cs="Tahoma"/>
          <w:bCs/>
          <w:i/>
          <w:iCs/>
          <w:sz w:val="22"/>
          <w:szCs w:val="22"/>
          <w:lang w:val="pt-PT"/>
        </w:rPr>
      </w:pPr>
      <w:r w:rsidRPr="00C052F3">
        <w:rPr>
          <w:rFonts w:ascii="Tahoma" w:hAnsi="Tahoma" w:cs="Tahoma"/>
          <w:bCs/>
          <w:i/>
          <w:iCs/>
          <w:sz w:val="22"/>
          <w:szCs w:val="22"/>
          <w:u w:val="single"/>
          <w:lang w:val="pt-PT"/>
        </w:rPr>
        <w:t xml:space="preserve">Amortização Extraordinária. </w:t>
      </w:r>
      <w:r w:rsidRPr="00C052F3">
        <w:rPr>
          <w:rFonts w:ascii="Tahoma" w:hAnsi="Tahoma" w:cs="Tahoma"/>
          <w:bCs/>
          <w:i/>
          <w:iCs/>
          <w:sz w:val="22"/>
          <w:szCs w:val="22"/>
        </w:rPr>
        <w:t>As Debêntures não serão objeto de amortização extraordinária.</w:t>
      </w:r>
      <w:r w:rsidRPr="00C052F3">
        <w:rPr>
          <w:rFonts w:ascii="Tahoma" w:hAnsi="Tahoma" w:cs="Tahoma"/>
          <w:bCs/>
          <w:i/>
          <w:iCs/>
          <w:sz w:val="22"/>
          <w:szCs w:val="22"/>
          <w:lang w:val="pt-PT"/>
        </w:rPr>
        <w:t xml:space="preserve"> </w:t>
      </w:r>
    </w:p>
    <w:p w14:paraId="07A8AF6A"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u w:val="single"/>
        </w:rPr>
      </w:pPr>
      <w:r w:rsidRPr="00C052F3">
        <w:rPr>
          <w:rFonts w:ascii="Tahoma" w:hAnsi="Tahoma" w:cs="Tahoma"/>
          <w:i/>
          <w:iCs/>
          <w:sz w:val="22"/>
          <w:szCs w:val="22"/>
          <w:u w:val="single"/>
        </w:rPr>
        <w:t>Repactuação Programada</w:t>
      </w:r>
      <w:r w:rsidRPr="00C052F3">
        <w:rPr>
          <w:rFonts w:ascii="Tahoma" w:hAnsi="Tahoma" w:cs="Tahoma"/>
          <w:i/>
          <w:iCs/>
          <w:sz w:val="22"/>
          <w:szCs w:val="22"/>
        </w:rPr>
        <w:t>: As Debêntures não serão objeto de repactuação programada;</w:t>
      </w:r>
    </w:p>
    <w:p w14:paraId="6D5E18F2" w14:textId="77777777"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t>Vencimento Antecipado</w:t>
      </w:r>
      <w:r w:rsidRPr="00C052F3">
        <w:rPr>
          <w:rFonts w:ascii="Tahoma" w:hAnsi="Tahoma" w:cs="Tahoma"/>
          <w:i/>
          <w:iCs/>
          <w:sz w:val="22"/>
          <w:szCs w:val="22"/>
        </w:rPr>
        <w:t xml:space="preserve">: </w:t>
      </w:r>
      <w:r w:rsidRPr="00C052F3">
        <w:rPr>
          <w:rStyle w:val="DeltaViewInsertion"/>
          <w:rFonts w:ascii="Tahoma" w:hAnsi="Tahoma" w:cs="Tahoma"/>
          <w:i/>
          <w:iCs/>
          <w:color w:val="auto"/>
          <w:sz w:val="22"/>
          <w:szCs w:val="22"/>
          <w:u w:val="none"/>
        </w:rPr>
        <w:t xml:space="preserve">Observado o disposto na Escritura de Emissão, </w:t>
      </w:r>
      <w:r w:rsidRPr="00C052F3">
        <w:rPr>
          <w:rFonts w:ascii="Tahoma" w:hAnsi="Tahoma" w:cs="Tahoma"/>
          <w:i/>
          <w:iCs/>
          <w:sz w:val="22"/>
          <w:szCs w:val="22"/>
        </w:rPr>
        <w:t>as obrigações constantes da Escritura de Emissão serão consideradas antecipadamente vencidas, tornando-se imediatamente exigível da Cedente o pagamento do Valor Unitário de Resgate Antecipado,</w:t>
      </w:r>
      <w:r w:rsidRPr="00C052F3">
        <w:rPr>
          <w:rStyle w:val="DeltaViewInsertion"/>
          <w:rFonts w:ascii="Tahoma" w:hAnsi="Tahoma" w:cs="Tahoma"/>
          <w:i/>
          <w:iCs/>
          <w:color w:val="auto"/>
          <w:sz w:val="22"/>
          <w:szCs w:val="22"/>
          <w:u w:val="none"/>
        </w:rPr>
        <w:t xml:space="preserve"> a partir da data em que for verificada pelo Agente Fiduciário a ocorrência das hipóteses de vencimento antecipado previstas na Escritura de Emissão</w:t>
      </w:r>
      <w:r w:rsidRPr="00C052F3">
        <w:rPr>
          <w:rFonts w:ascii="Tahoma" w:hAnsi="Tahoma" w:cs="Tahoma"/>
          <w:i/>
          <w:iCs/>
          <w:sz w:val="22"/>
          <w:szCs w:val="22"/>
        </w:rPr>
        <w:t>; e</w:t>
      </w:r>
    </w:p>
    <w:p w14:paraId="4DEFF8E5" w14:textId="7B05B640" w:rsidR="00C052F3" w:rsidRPr="00C052F3" w:rsidRDefault="00C052F3" w:rsidP="00C052F3">
      <w:pPr>
        <w:numPr>
          <w:ilvl w:val="0"/>
          <w:numId w:val="19"/>
        </w:numPr>
        <w:spacing w:after="240" w:line="320" w:lineRule="exact"/>
        <w:ind w:left="567" w:hanging="567"/>
        <w:jc w:val="both"/>
        <w:rPr>
          <w:rFonts w:ascii="Tahoma" w:hAnsi="Tahoma" w:cs="Tahoma"/>
          <w:i/>
          <w:iCs/>
          <w:sz w:val="22"/>
          <w:szCs w:val="22"/>
        </w:rPr>
      </w:pPr>
      <w:r w:rsidRPr="00C052F3">
        <w:rPr>
          <w:rFonts w:ascii="Tahoma" w:hAnsi="Tahoma" w:cs="Tahoma"/>
          <w:i/>
          <w:iCs/>
          <w:sz w:val="22"/>
          <w:szCs w:val="22"/>
          <w:u w:val="single"/>
        </w:rPr>
        <w:lastRenderedPageBreak/>
        <w:t>Demais Características</w:t>
      </w:r>
      <w:r w:rsidRPr="00C052F3">
        <w:rPr>
          <w:rFonts w:ascii="Tahoma" w:hAnsi="Tahoma" w:cs="Tahoma"/>
          <w:i/>
          <w:iCs/>
          <w:sz w:val="22"/>
          <w:szCs w:val="22"/>
        </w:rPr>
        <w:t>: as demais características das Debêntures encontram-se descritas na Escritura de Emissão.</w:t>
      </w:r>
      <w:r>
        <w:rPr>
          <w:rFonts w:ascii="Tahoma" w:hAnsi="Tahoma" w:cs="Tahoma"/>
          <w:i/>
          <w:iCs/>
          <w:sz w:val="22"/>
          <w:szCs w:val="22"/>
        </w:rPr>
        <w:t>”</w:t>
      </w:r>
    </w:p>
    <w:p w14:paraId="0CE2D24A" w14:textId="7216635C" w:rsidR="00BA0B26" w:rsidRDefault="00BA0B26" w:rsidP="00BA0B26">
      <w:pPr>
        <w:autoSpaceDE w:val="0"/>
        <w:autoSpaceDN w:val="0"/>
        <w:adjustRightInd w:val="0"/>
        <w:spacing w:line="300" w:lineRule="exact"/>
        <w:jc w:val="both"/>
        <w:rPr>
          <w:rFonts w:ascii="Tahoma" w:eastAsia="Batang" w:hAnsi="Tahoma" w:cs="Tahoma"/>
          <w:sz w:val="22"/>
          <w:szCs w:val="22"/>
        </w:rPr>
      </w:pPr>
    </w:p>
    <w:p w14:paraId="5FEEB8FB" w14:textId="77777777" w:rsidR="00C052F3" w:rsidRPr="00FF2444" w:rsidRDefault="00C052F3" w:rsidP="00BA0B26">
      <w:pPr>
        <w:autoSpaceDE w:val="0"/>
        <w:autoSpaceDN w:val="0"/>
        <w:adjustRightInd w:val="0"/>
        <w:spacing w:line="300" w:lineRule="exact"/>
        <w:jc w:val="both"/>
        <w:rPr>
          <w:rFonts w:ascii="Tahoma" w:eastAsia="Batang" w:hAnsi="Tahoma" w:cs="Tahoma"/>
          <w:sz w:val="22"/>
          <w:szCs w:val="22"/>
        </w:rPr>
      </w:pPr>
    </w:p>
    <w:p w14:paraId="130257FD" w14:textId="40EDCC2E" w:rsidR="00FF2444" w:rsidRPr="009A523B" w:rsidRDefault="00FF2444" w:rsidP="009A523B">
      <w:pPr>
        <w:pStyle w:val="PargrafodaLista"/>
        <w:numPr>
          <w:ilvl w:val="2"/>
          <w:numId w:val="48"/>
        </w:numPr>
        <w:tabs>
          <w:tab w:val="num" w:pos="0"/>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Consolidar as alterações descritas nos itens acima na forma do Anexo A ao presente </w:t>
      </w:r>
      <w:r w:rsidR="009D13AE">
        <w:rPr>
          <w:rFonts w:ascii="Tahoma" w:hAnsi="Tahoma" w:cs="Tahoma"/>
          <w:sz w:val="22"/>
          <w:szCs w:val="22"/>
        </w:rPr>
        <w:t>Segundo</w:t>
      </w:r>
      <w:r w:rsidRPr="009A523B">
        <w:rPr>
          <w:rFonts w:ascii="Tahoma" w:hAnsi="Tahoma" w:cs="Tahoma"/>
          <w:sz w:val="22"/>
          <w:szCs w:val="22"/>
        </w:rPr>
        <w:t xml:space="preserve"> Aditamento.</w:t>
      </w:r>
    </w:p>
    <w:p w14:paraId="11341040" w14:textId="77777777" w:rsidR="00FF2444" w:rsidRPr="009A523B" w:rsidRDefault="00FF2444" w:rsidP="00BA0B26">
      <w:pPr>
        <w:autoSpaceDE w:val="0"/>
        <w:autoSpaceDN w:val="0"/>
        <w:adjustRightInd w:val="0"/>
        <w:spacing w:line="300" w:lineRule="exact"/>
        <w:jc w:val="both"/>
        <w:rPr>
          <w:rFonts w:ascii="Tahoma" w:eastAsia="Batang"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54C84928"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9A523B">
        <w:rPr>
          <w:rFonts w:ascii="Tahoma" w:hAnsi="Tahoma" w:cs="Tahoma"/>
          <w:sz w:val="22"/>
          <w:szCs w:val="22"/>
        </w:rPr>
        <w:t>Segundo</w:t>
      </w:r>
      <w:r w:rsidRPr="009A523B">
        <w:rPr>
          <w:rFonts w:ascii="Tahoma" w:hAnsi="Tahoma" w:cs="Tahoma"/>
          <w:sz w:val="22"/>
          <w:szCs w:val="22"/>
        </w:rPr>
        <w:t xml:space="preserve"> Aditamento.</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0BB265F9"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9A523B">
        <w:rPr>
          <w:rFonts w:ascii="Tahoma" w:hAnsi="Tahoma" w:cs="Tahoma"/>
          <w:sz w:val="22"/>
          <w:szCs w:val="22"/>
        </w:rPr>
        <w:t>Segundo</w:t>
      </w:r>
      <w:r w:rsidRPr="009A523B">
        <w:rPr>
          <w:rFonts w:ascii="Tahoma" w:hAnsi="Tahoma" w:cs="Tahoma"/>
          <w:sz w:val="22"/>
          <w:szCs w:val="22"/>
        </w:rPr>
        <w:t xml:space="preserve"> Aditamento será regido e interpretado de acordo com as leis da República Federativa do Brasil.</w:t>
      </w:r>
    </w:p>
    <w:p w14:paraId="1CE73102"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6C4FE434" w14:textId="1ACBE9EF"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C052F3">
        <w:rPr>
          <w:rFonts w:ascii="Tahoma" w:hAnsi="Tahoma" w:cs="Tahoma"/>
          <w:sz w:val="22"/>
          <w:szCs w:val="22"/>
        </w:rPr>
        <w:t>Segundo</w:t>
      </w:r>
      <w:r w:rsidRPr="009A523B">
        <w:rPr>
          <w:rFonts w:ascii="Tahoma" w:hAnsi="Tahoma" w:cs="Tahoma"/>
          <w:sz w:val="22"/>
          <w:szCs w:val="22"/>
        </w:rPr>
        <w:t xml:space="preserve"> Aditamento.</w:t>
      </w:r>
    </w:p>
    <w:p w14:paraId="51AB3B4D" w14:textId="77777777" w:rsidR="00FF2444" w:rsidRDefault="00FF2444" w:rsidP="00FF2444">
      <w:pPr>
        <w:spacing w:after="240" w:line="320" w:lineRule="exact"/>
        <w:jc w:val="both"/>
        <w:rPr>
          <w:rFonts w:ascii="Tahoma" w:hAnsi="Tahoma" w:cs="Tahoma"/>
          <w:sz w:val="22"/>
          <w:szCs w:val="22"/>
        </w:rPr>
      </w:pPr>
    </w:p>
    <w:p w14:paraId="3E0154DC" w14:textId="4078E886"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C052F3">
        <w:rPr>
          <w:rFonts w:ascii="Tahoma" w:hAnsi="Tahoma" w:cs="Tahoma"/>
          <w:sz w:val="22"/>
          <w:szCs w:val="22"/>
        </w:rPr>
        <w:t>Segundo</w:t>
      </w:r>
      <w:r>
        <w:rPr>
          <w:rFonts w:ascii="Tahoma" w:hAnsi="Tahoma" w:cs="Tahoma"/>
          <w:sz w:val="22"/>
          <w:szCs w:val="22"/>
        </w:rPr>
        <w:t xml:space="preserve"> Aditamento</w:t>
      </w:r>
      <w:r w:rsidRPr="002C31A2">
        <w:rPr>
          <w:rFonts w:ascii="Tahoma" w:hAnsi="Tahoma" w:cs="Tahoma"/>
          <w:sz w:val="22"/>
          <w:szCs w:val="22"/>
        </w:rPr>
        <w:t xml:space="preserve">, em caráter irrevogável e irretratável, em </w:t>
      </w:r>
      <w:r>
        <w:rPr>
          <w:rFonts w:ascii="Tahoma" w:hAnsi="Tahoma" w:cs="Tahoma"/>
          <w:sz w:val="22"/>
          <w:szCs w:val="22"/>
        </w:rPr>
        <w:t>6</w:t>
      </w:r>
      <w:r w:rsidRPr="002C31A2">
        <w:rPr>
          <w:rFonts w:ascii="Tahoma" w:hAnsi="Tahoma" w:cs="Tahoma"/>
          <w:sz w:val="22"/>
          <w:szCs w:val="22"/>
        </w:rPr>
        <w:t xml:space="preserve"> (</w:t>
      </w:r>
      <w:r>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54214B6B" w14:textId="66113CC0"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94200">
        <w:rPr>
          <w:rFonts w:ascii="Tahoma" w:hAnsi="Tahoma" w:cs="Tahoma"/>
          <w:sz w:val="22"/>
          <w:szCs w:val="22"/>
        </w:rPr>
        <w:t>11</w:t>
      </w:r>
      <w:r w:rsidR="009A523B">
        <w:rPr>
          <w:rFonts w:ascii="Tahoma" w:hAnsi="Tahoma" w:cs="Tahoma"/>
          <w:sz w:val="22"/>
          <w:szCs w:val="22"/>
        </w:rPr>
        <w:t xml:space="preserve"> de setembro</w:t>
      </w:r>
      <w:r>
        <w:rPr>
          <w:rFonts w:ascii="Tahoma" w:hAnsi="Tahoma" w:cs="Tahoma"/>
          <w:sz w:val="22"/>
          <w:szCs w:val="22"/>
        </w:rPr>
        <w:t xml:space="preserve"> de 20</w:t>
      </w:r>
      <w:r w:rsidR="009A523B">
        <w:rPr>
          <w:rFonts w:ascii="Tahoma" w:hAnsi="Tahoma" w:cs="Tahoma"/>
          <w:sz w:val="22"/>
          <w:szCs w:val="22"/>
        </w:rPr>
        <w:t>20</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3CBC5BF5"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282D1866"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Página de assinaturas do</w:t>
      </w:r>
      <w:r>
        <w:rPr>
          <w:rFonts w:ascii="Tahoma" w:hAnsi="Tahoma" w:cs="Tahoma"/>
          <w:i/>
          <w:sz w:val="22"/>
          <w:szCs w:val="22"/>
        </w:rPr>
        <w:t xml:space="preserve"> </w:t>
      </w:r>
      <w:r w:rsidR="00C052F3">
        <w:rPr>
          <w:rFonts w:ascii="Tahoma" w:hAnsi="Tahoma" w:cs="Tahoma"/>
          <w:i/>
          <w:sz w:val="22"/>
          <w:szCs w:val="22"/>
        </w:rPr>
        <w:t>Segundo</w:t>
      </w:r>
      <w:r>
        <w:rPr>
          <w:rFonts w:ascii="Tahoma" w:hAnsi="Tahoma" w:cs="Tahoma"/>
          <w:i/>
          <w:sz w:val="22"/>
          <w:szCs w:val="22"/>
        </w:rPr>
        <w:t xml:space="preserve"> Aditamento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213CBF3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4A7D523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668385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C052F3">
        <w:rPr>
          <w:rFonts w:ascii="Tahoma" w:hAnsi="Tahoma" w:cs="Tahoma"/>
          <w:i/>
          <w:sz w:val="22"/>
          <w:szCs w:val="22"/>
        </w:rPr>
        <w:t>Segundo</w:t>
      </w:r>
      <w:r>
        <w:rPr>
          <w:rFonts w:ascii="Tahoma" w:hAnsi="Tahoma" w:cs="Tahoma"/>
          <w:i/>
          <w:sz w:val="22"/>
          <w:szCs w:val="22"/>
        </w:rPr>
        <w:t xml:space="preserve"> Aditamento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Pr>
          <w:rFonts w:ascii="Tahoma" w:hAnsi="Tahoma" w:cs="Tahoma"/>
          <w:sz w:val="22"/>
          <w:szCs w:val="22"/>
        </w:rPr>
        <w:t>7667-1</w:t>
      </w:r>
      <w:r>
        <w:rPr>
          <w:rFonts w:ascii="Tahoma" w:hAnsi="Tahoma" w:cs="Tahoma"/>
          <w:color w:val="000000"/>
          <w:sz w:val="22"/>
          <w:szCs w:val="22"/>
        </w:rPr>
        <w:t xml:space="preserve">, mantida no Agente Centralizador na agência </w:t>
      </w:r>
      <w:r>
        <w:rPr>
          <w:rFonts w:ascii="Tahoma" w:hAnsi="Tahoma" w:cs="Tahoma"/>
          <w:sz w:val="22"/>
          <w:szCs w:val="22"/>
        </w:rPr>
        <w:t>408-1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p>
    <w:p w14:paraId="342E3F48"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(H)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0" w:name="_DV_M29"/>
      <w:bookmarkStart w:id="1" w:name="_DV_M57"/>
      <w:bookmarkEnd w:id="0"/>
      <w:bookmarkEnd w:id="1"/>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2" w:name="_DV_M58"/>
      <w:bookmarkEnd w:id="2"/>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3" w:name="_DV_M128"/>
      <w:bookmarkStart w:id="4" w:name="_DV_C69"/>
      <w:bookmarkEnd w:id="3"/>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5" w:name="_DV_M130"/>
      <w:bookmarkEnd w:id="4"/>
      <w:bookmarkEnd w:id="5"/>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6" w:name="_DV_M141"/>
      <w:bookmarkEnd w:id="6"/>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7" w:name="_DV_M142"/>
      <w:bookmarkEnd w:id="7"/>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8" w:name="_DV_M143"/>
      <w:bookmarkEnd w:id="8"/>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9" w:name="_DV_M131"/>
      <w:bookmarkEnd w:id="9"/>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0" w:name="_DV_M59"/>
      <w:bookmarkStart w:id="11" w:name="_DV_M62"/>
      <w:bookmarkEnd w:id="10"/>
      <w:bookmarkEnd w:id="11"/>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2" w:name="_DV_M226"/>
      <w:bookmarkEnd w:id="12"/>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3" w:name="_DV_M228"/>
      <w:bookmarkEnd w:id="13"/>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4" w:name="_DV_C110"/>
      <w:r w:rsidR="007C4592" w:rsidRPr="002C31A2">
        <w:rPr>
          <w:rStyle w:val="DeltaViewInsertion"/>
          <w:rFonts w:ascii="Tahoma" w:eastAsia="Arial Unicode MS" w:hAnsi="Tahoma" w:cs="Tahoma"/>
          <w:color w:val="auto"/>
          <w:sz w:val="22"/>
          <w:szCs w:val="22"/>
          <w:u w:val="none"/>
        </w:rPr>
        <w:t xml:space="preserve">das outras </w:t>
      </w:r>
      <w:bookmarkStart w:id="15" w:name="_DV_M231"/>
      <w:bookmarkEnd w:id="14"/>
      <w:bookmarkEnd w:id="15"/>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lastRenderedPageBreak/>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6" w:name="_DV_M255"/>
      <w:bookmarkStart w:id="17" w:name="_DV_M257"/>
      <w:bookmarkEnd w:id="16"/>
      <w:bookmarkEnd w:id="17"/>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18" w:name="_DV_M48"/>
      <w:bookmarkEnd w:id="18"/>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5B56F191" w:rsidR="007C4592" w:rsidRPr="006E730C" w:rsidRDefault="00663E4D" w:rsidP="007C4592">
      <w:pPr>
        <w:numPr>
          <w:ilvl w:val="0"/>
          <w:numId w:val="19"/>
        </w:numPr>
        <w:spacing w:after="240" w:line="320" w:lineRule="exact"/>
        <w:ind w:left="567" w:hanging="567"/>
        <w:jc w:val="both"/>
        <w:rPr>
          <w:rFonts w:ascii="Tahoma" w:hAnsi="Tahoma" w:cs="Tahoma"/>
          <w:sz w:val="22"/>
          <w:szCs w:val="22"/>
        </w:rPr>
      </w:pPr>
      <w:bookmarkStart w:id="19" w:name="_Ref382146345"/>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Pr>
          <w:rFonts w:ascii="Tahoma" w:hAnsi="Tahoma" w:cs="Tahoma"/>
          <w:sz w:val="22"/>
          <w:szCs w:val="22"/>
        </w:rPr>
        <w:t>72</w:t>
      </w:r>
      <w:r w:rsidRPr="00C3556B">
        <w:rPr>
          <w:rFonts w:ascii="Tahoma" w:hAnsi="Tahoma" w:cs="Tahoma"/>
          <w:sz w:val="22"/>
          <w:szCs w:val="22"/>
        </w:rPr>
        <w:t xml:space="preserve"> (</w:t>
      </w:r>
      <w:r>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F34142">
        <w:rPr>
          <w:rFonts w:ascii="Tahoma" w:hAnsi="Tahoma" w:cs="Tahoma"/>
          <w:sz w:val="22"/>
          <w:szCs w:val="22"/>
        </w:rPr>
        <w:t>;</w:t>
      </w:r>
      <w:bookmarkEnd w:id="19"/>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358DFF2C"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C052F3" w:rsidRPr="00C3556B">
        <w:rPr>
          <w:rFonts w:ascii="Tahoma" w:hAnsi="Tahoma" w:cs="Tahoma"/>
          <w:sz w:val="22"/>
          <w:szCs w:val="22"/>
        </w:rPr>
        <w:t xml:space="preserve">O Valor Nominal Unitário ou o Saldo do Valor Nominal Unitário das Debêntures, conforme o caso, será amortizado em parcelas mensais e consecutivas, a partir do </w:t>
      </w:r>
      <w:r w:rsidR="00C052F3">
        <w:rPr>
          <w:rFonts w:ascii="Tahoma" w:hAnsi="Tahoma" w:cs="Tahoma"/>
          <w:sz w:val="22"/>
          <w:szCs w:val="22"/>
        </w:rPr>
        <w:t>30</w:t>
      </w:r>
      <w:r w:rsidR="00C052F3" w:rsidRPr="00CC2712">
        <w:rPr>
          <w:szCs w:val="22"/>
        </w:rPr>
        <w:t xml:space="preserve"> </w:t>
      </w:r>
      <w:r w:rsidR="00C052F3" w:rsidRPr="001F665D">
        <w:rPr>
          <w:szCs w:val="22"/>
        </w:rPr>
        <w:t>º</w:t>
      </w:r>
      <w:r w:rsidR="00C052F3" w:rsidRPr="00C3556B">
        <w:rPr>
          <w:rFonts w:ascii="Tahoma" w:hAnsi="Tahoma" w:cs="Tahoma"/>
          <w:sz w:val="22"/>
          <w:szCs w:val="22"/>
        </w:rPr>
        <w:t xml:space="preserve"> </w:t>
      </w:r>
      <w:r w:rsidR="00C052F3">
        <w:rPr>
          <w:rFonts w:ascii="Tahoma" w:hAnsi="Tahoma" w:cs="Tahoma"/>
          <w:sz w:val="22"/>
          <w:szCs w:val="22"/>
        </w:rPr>
        <w:t>(trigésimo</w:t>
      </w:r>
      <w:r w:rsidR="00C052F3" w:rsidRPr="00C3556B">
        <w:rPr>
          <w:rFonts w:ascii="Tahoma" w:hAnsi="Tahoma" w:cs="Tahoma"/>
          <w:sz w:val="22"/>
          <w:szCs w:val="22"/>
        </w:rPr>
        <w:t xml:space="preserve">) mês a contar da Data de Emissão, inclusive, sendo a primeira parcela devida em </w:t>
      </w:r>
      <w:r w:rsidR="00C052F3">
        <w:rPr>
          <w:rFonts w:ascii="Tahoma" w:hAnsi="Tahoma" w:cs="Tahoma"/>
          <w:sz w:val="22"/>
          <w:szCs w:val="22"/>
        </w:rPr>
        <w:t>12 de setembro de 2021</w:t>
      </w:r>
      <w:r w:rsidR="00C052F3" w:rsidRPr="00C3556B">
        <w:rPr>
          <w:rFonts w:ascii="Tahoma" w:hAnsi="Tahoma" w:cs="Tahoma"/>
          <w:sz w:val="22"/>
          <w:szCs w:val="22"/>
        </w:rPr>
        <w:t xml:space="preserve">, e a última parcela correspondente ao Saldo do Valor Nominal Unitário das Debêntures devida na Data de Vencimento, conforme tabela abaixo </w:t>
      </w:r>
      <w:r w:rsidR="00A35BAF" w:rsidRPr="00A35BAF">
        <w:rPr>
          <w:rFonts w:ascii="Tahoma" w:hAnsi="Tahoma" w:cs="Tahoma"/>
          <w:sz w:val="22"/>
          <w:szCs w:val="22"/>
        </w:rPr>
        <w:t>(cada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931"/>
        <w:gridCol w:w="3075"/>
      </w:tblGrid>
      <w:tr w:rsidR="00C052F3" w:rsidRPr="001F665D" w14:paraId="3E63B6EF" w14:textId="77777777" w:rsidTr="00C052F3">
        <w:trPr>
          <w:trHeight w:val="858"/>
        </w:trPr>
        <w:tc>
          <w:tcPr>
            <w:tcW w:w="1101" w:type="pct"/>
            <w:shd w:val="clear" w:color="000000" w:fill="D8D8D8"/>
          </w:tcPr>
          <w:p w14:paraId="53FF0770" w14:textId="77777777" w:rsidR="00C052F3" w:rsidRPr="006552A0" w:rsidRDefault="00C052F3" w:rsidP="00717966">
            <w:pPr>
              <w:widowControl w:val="0"/>
              <w:jc w:val="center"/>
              <w:rPr>
                <w:b/>
                <w:smallCaps/>
                <w:color w:val="000000"/>
              </w:rPr>
            </w:pPr>
            <w:r w:rsidRPr="006552A0">
              <w:rPr>
                <w:b/>
                <w:smallCaps/>
                <w:color w:val="000000"/>
              </w:rPr>
              <w:lastRenderedPageBreak/>
              <w:t>Parcela de Amortização</w:t>
            </w:r>
          </w:p>
        </w:tc>
        <w:tc>
          <w:tcPr>
            <w:tcW w:w="1902" w:type="pct"/>
            <w:shd w:val="clear" w:color="000000" w:fill="D8D8D8"/>
            <w:noWrap/>
            <w:vAlign w:val="center"/>
            <w:hideMark/>
          </w:tcPr>
          <w:p w14:paraId="79CD31A5" w14:textId="77777777" w:rsidR="00C052F3" w:rsidRPr="006552A0" w:rsidRDefault="00C052F3" w:rsidP="00717966">
            <w:pPr>
              <w:widowControl w:val="0"/>
              <w:jc w:val="center"/>
              <w:rPr>
                <w:b/>
                <w:smallCaps/>
                <w:color w:val="000000"/>
              </w:rPr>
            </w:pPr>
            <w:r w:rsidRPr="006552A0">
              <w:rPr>
                <w:b/>
                <w:smallCaps/>
                <w:color w:val="000000"/>
              </w:rPr>
              <w:t>Data de Amortização</w:t>
            </w:r>
          </w:p>
        </w:tc>
        <w:tc>
          <w:tcPr>
            <w:tcW w:w="1996" w:type="pct"/>
            <w:shd w:val="clear" w:color="000000" w:fill="D8D8D8"/>
          </w:tcPr>
          <w:p w14:paraId="4FF67E9A" w14:textId="77777777" w:rsidR="00C052F3" w:rsidRPr="006552A0" w:rsidRDefault="00C052F3" w:rsidP="00717966">
            <w:pPr>
              <w:widowControl w:val="0"/>
              <w:jc w:val="center"/>
              <w:rPr>
                <w:b/>
                <w:smallCaps/>
                <w:color w:val="000000"/>
              </w:rPr>
            </w:pPr>
            <w:r w:rsidRPr="006552A0">
              <w:rPr>
                <w:b/>
                <w:smallCaps/>
                <w:color w:val="000000"/>
              </w:rPr>
              <w:t xml:space="preserve">Percentual do Saldo do Valor Nominal Unitário das Debentures a Ser Amortizado </w:t>
            </w:r>
          </w:p>
        </w:tc>
      </w:tr>
      <w:tr w:rsidR="00C052F3" w:rsidRPr="001F665D" w:rsidDel="000D0B5A" w14:paraId="79134A4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6DB243" w14:textId="77777777" w:rsidR="00C052F3" w:rsidRPr="001F665D" w:rsidRDefault="00C052F3" w:rsidP="00717966">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5C7A1A" w14:textId="77777777" w:rsidR="00C052F3" w:rsidRPr="001F665D" w:rsidRDefault="00C052F3" w:rsidP="00717966">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7C4EF0B" w14:textId="77777777" w:rsidR="00C052F3" w:rsidRPr="00FE4EEA" w:rsidRDefault="00C052F3" w:rsidP="00717966">
            <w:pPr>
              <w:jc w:val="center"/>
              <w:rPr>
                <w:color w:val="000000"/>
              </w:rPr>
            </w:pPr>
            <w:r w:rsidRPr="00FE4EEA">
              <w:rPr>
                <w:color w:val="000000"/>
              </w:rPr>
              <w:t>2,3256%</w:t>
            </w:r>
          </w:p>
        </w:tc>
      </w:tr>
      <w:tr w:rsidR="00C052F3" w:rsidRPr="001F665D" w:rsidDel="000D0B5A" w14:paraId="21920137"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415FC28" w14:textId="77777777" w:rsidR="00C052F3" w:rsidRPr="001F665D" w:rsidRDefault="00C052F3" w:rsidP="00717966">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776D5E" w14:textId="77777777" w:rsidR="00C052F3" w:rsidRPr="001F665D" w:rsidRDefault="00C052F3" w:rsidP="00717966">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2AB52BE" w14:textId="77777777" w:rsidR="00C052F3" w:rsidRPr="00FE4EEA" w:rsidRDefault="00C052F3" w:rsidP="00717966">
            <w:pPr>
              <w:jc w:val="center"/>
              <w:rPr>
                <w:color w:val="000000"/>
              </w:rPr>
            </w:pPr>
            <w:r w:rsidRPr="00FE4EEA">
              <w:rPr>
                <w:color w:val="000000"/>
              </w:rPr>
              <w:t>2,3810%</w:t>
            </w:r>
          </w:p>
        </w:tc>
      </w:tr>
      <w:tr w:rsidR="00C052F3" w:rsidRPr="001F665D" w:rsidDel="000D0B5A" w14:paraId="06845B0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9456BAD" w14:textId="77777777" w:rsidR="00C052F3" w:rsidRPr="001F665D" w:rsidRDefault="00C052F3" w:rsidP="00717966">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40BDBC" w14:textId="77777777" w:rsidR="00C052F3" w:rsidRPr="001F665D" w:rsidRDefault="00C052F3" w:rsidP="00717966">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9BBD919" w14:textId="77777777" w:rsidR="00C052F3" w:rsidRPr="00FE4EEA" w:rsidRDefault="00C052F3" w:rsidP="00717966">
            <w:pPr>
              <w:jc w:val="center"/>
              <w:rPr>
                <w:color w:val="000000"/>
              </w:rPr>
            </w:pPr>
            <w:r w:rsidRPr="00FE4EEA">
              <w:rPr>
                <w:color w:val="000000"/>
              </w:rPr>
              <w:t>2,4390%</w:t>
            </w:r>
          </w:p>
        </w:tc>
      </w:tr>
      <w:tr w:rsidR="00C052F3" w:rsidRPr="001F665D" w:rsidDel="000D0B5A" w14:paraId="07D7FF6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EA56900" w14:textId="77777777" w:rsidR="00C052F3" w:rsidRPr="001F665D" w:rsidRDefault="00C052F3" w:rsidP="00717966">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B9DAB9" w14:textId="77777777" w:rsidR="00C052F3" w:rsidRPr="001F665D" w:rsidRDefault="00C052F3" w:rsidP="00717966">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708CE1C" w14:textId="77777777" w:rsidR="00C052F3" w:rsidRPr="00FE4EEA" w:rsidRDefault="00C052F3" w:rsidP="00717966">
            <w:pPr>
              <w:jc w:val="center"/>
              <w:rPr>
                <w:color w:val="000000"/>
              </w:rPr>
            </w:pPr>
            <w:r w:rsidRPr="00FE4EEA">
              <w:rPr>
                <w:color w:val="000000"/>
              </w:rPr>
              <w:t>2,5000%</w:t>
            </w:r>
          </w:p>
        </w:tc>
      </w:tr>
      <w:tr w:rsidR="00C052F3" w:rsidRPr="001F665D" w:rsidDel="000D0B5A" w14:paraId="13ACD0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46D2C12" w14:textId="77777777" w:rsidR="00C052F3" w:rsidRPr="001F665D" w:rsidRDefault="00C052F3" w:rsidP="00717966">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405D5E" w14:textId="77777777" w:rsidR="00C052F3" w:rsidRPr="001F665D" w:rsidRDefault="00C052F3" w:rsidP="00717966">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4ACD25" w14:textId="77777777" w:rsidR="00C052F3" w:rsidRPr="00FE4EEA" w:rsidRDefault="00C052F3" w:rsidP="00717966">
            <w:pPr>
              <w:jc w:val="center"/>
              <w:rPr>
                <w:color w:val="000000"/>
              </w:rPr>
            </w:pPr>
            <w:r w:rsidRPr="00FE4EEA">
              <w:rPr>
                <w:color w:val="000000"/>
              </w:rPr>
              <w:t>2,5641%</w:t>
            </w:r>
          </w:p>
        </w:tc>
      </w:tr>
      <w:tr w:rsidR="00C052F3" w:rsidRPr="001F665D" w:rsidDel="000D0B5A" w14:paraId="41CD510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7D2D91B" w14:textId="77777777" w:rsidR="00C052F3" w:rsidRPr="001F665D" w:rsidRDefault="00C052F3" w:rsidP="00717966">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DFC717" w14:textId="77777777" w:rsidR="00C052F3" w:rsidRPr="001F665D" w:rsidRDefault="00C052F3" w:rsidP="00717966">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9E56E83" w14:textId="77777777" w:rsidR="00C052F3" w:rsidRPr="00FE4EEA" w:rsidRDefault="00C052F3" w:rsidP="00717966">
            <w:pPr>
              <w:jc w:val="center"/>
              <w:rPr>
                <w:color w:val="000000"/>
              </w:rPr>
            </w:pPr>
            <w:r w:rsidRPr="00FE4EEA">
              <w:rPr>
                <w:color w:val="000000"/>
              </w:rPr>
              <w:t>2,6316%</w:t>
            </w:r>
          </w:p>
        </w:tc>
      </w:tr>
      <w:tr w:rsidR="00C052F3" w:rsidRPr="001F665D" w:rsidDel="000D0B5A" w14:paraId="07089BF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AB9280" w14:textId="77777777" w:rsidR="00C052F3" w:rsidRPr="001F665D" w:rsidRDefault="00C052F3" w:rsidP="00717966">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D202179" w14:textId="77777777" w:rsidR="00C052F3" w:rsidRPr="001F665D" w:rsidRDefault="00C052F3" w:rsidP="00717966">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4B10B3B" w14:textId="77777777" w:rsidR="00C052F3" w:rsidRPr="00FE4EEA" w:rsidRDefault="00C052F3" w:rsidP="00717966">
            <w:pPr>
              <w:jc w:val="center"/>
              <w:rPr>
                <w:color w:val="000000"/>
              </w:rPr>
            </w:pPr>
            <w:r w:rsidRPr="00FE4EEA">
              <w:rPr>
                <w:color w:val="000000"/>
              </w:rPr>
              <w:t>2,7027%</w:t>
            </w:r>
          </w:p>
        </w:tc>
      </w:tr>
      <w:tr w:rsidR="00C052F3" w:rsidRPr="001F665D" w:rsidDel="000D0B5A" w14:paraId="14DA24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0544225" w14:textId="77777777" w:rsidR="00C052F3" w:rsidRPr="001F665D" w:rsidRDefault="00C052F3" w:rsidP="00717966">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B7A8976" w14:textId="77777777" w:rsidR="00C052F3" w:rsidRPr="001F665D" w:rsidRDefault="00C052F3" w:rsidP="00717966">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6F8762B" w14:textId="77777777" w:rsidR="00C052F3" w:rsidRPr="00FE4EEA" w:rsidRDefault="00C052F3" w:rsidP="00717966">
            <w:pPr>
              <w:jc w:val="center"/>
              <w:rPr>
                <w:color w:val="000000"/>
              </w:rPr>
            </w:pPr>
            <w:r w:rsidRPr="00FE4EEA">
              <w:rPr>
                <w:color w:val="000000"/>
              </w:rPr>
              <w:t>2,7778%</w:t>
            </w:r>
          </w:p>
        </w:tc>
      </w:tr>
      <w:tr w:rsidR="00C052F3" w:rsidRPr="001F665D" w:rsidDel="000D0B5A" w14:paraId="3EA8CA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FBD6DD2" w14:textId="77777777" w:rsidR="00C052F3" w:rsidRPr="001F665D" w:rsidRDefault="00C052F3" w:rsidP="00717966">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12ABF84" w14:textId="77777777" w:rsidR="00C052F3" w:rsidRPr="001F665D" w:rsidRDefault="00C052F3" w:rsidP="00717966">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0022DEE" w14:textId="77777777" w:rsidR="00C052F3" w:rsidRPr="00FE4EEA" w:rsidRDefault="00C052F3" w:rsidP="00717966">
            <w:pPr>
              <w:jc w:val="center"/>
              <w:rPr>
                <w:color w:val="000000"/>
              </w:rPr>
            </w:pPr>
            <w:r w:rsidRPr="00FE4EEA">
              <w:rPr>
                <w:color w:val="000000"/>
              </w:rPr>
              <w:t>2,8571%</w:t>
            </w:r>
          </w:p>
        </w:tc>
      </w:tr>
      <w:tr w:rsidR="00C052F3" w:rsidRPr="001F665D" w:rsidDel="000D0B5A" w14:paraId="3B09D47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C6A453B" w14:textId="77777777" w:rsidR="00C052F3" w:rsidRPr="001F665D" w:rsidRDefault="00C052F3" w:rsidP="00717966">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EEAE2" w14:textId="77777777" w:rsidR="00C052F3" w:rsidRPr="001F665D" w:rsidRDefault="00C052F3" w:rsidP="00717966">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B5C315" w14:textId="77777777" w:rsidR="00C052F3" w:rsidRPr="00FE4EEA" w:rsidRDefault="00C052F3" w:rsidP="00717966">
            <w:pPr>
              <w:jc w:val="center"/>
              <w:rPr>
                <w:color w:val="000000"/>
              </w:rPr>
            </w:pPr>
            <w:r w:rsidRPr="00FE4EEA">
              <w:rPr>
                <w:color w:val="000000"/>
              </w:rPr>
              <w:t>2,9412%</w:t>
            </w:r>
          </w:p>
        </w:tc>
      </w:tr>
      <w:tr w:rsidR="00C052F3" w:rsidRPr="001F665D" w:rsidDel="000D0B5A" w14:paraId="60B00EB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327EEC3" w14:textId="77777777" w:rsidR="00C052F3" w:rsidRPr="001F665D" w:rsidRDefault="00C052F3" w:rsidP="00717966">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FF5E0C" w14:textId="77777777" w:rsidR="00C052F3" w:rsidRPr="001F665D" w:rsidRDefault="00C052F3" w:rsidP="00717966">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7B679" w14:textId="77777777" w:rsidR="00C052F3" w:rsidRPr="00FE4EEA" w:rsidRDefault="00C052F3" w:rsidP="00717966">
            <w:pPr>
              <w:jc w:val="center"/>
              <w:rPr>
                <w:color w:val="000000"/>
              </w:rPr>
            </w:pPr>
            <w:r w:rsidRPr="00FE4EEA">
              <w:rPr>
                <w:color w:val="000000"/>
              </w:rPr>
              <w:t>3,0303%</w:t>
            </w:r>
          </w:p>
        </w:tc>
      </w:tr>
      <w:tr w:rsidR="00C052F3" w:rsidRPr="001F665D" w:rsidDel="000D0B5A" w14:paraId="54FDEFA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D310BEC" w14:textId="77777777" w:rsidR="00C052F3" w:rsidRPr="001F665D" w:rsidRDefault="00C052F3" w:rsidP="00717966">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A3323A" w14:textId="77777777" w:rsidR="00C052F3" w:rsidRPr="001F665D" w:rsidRDefault="00C052F3" w:rsidP="00717966">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8CABE93" w14:textId="77777777" w:rsidR="00C052F3" w:rsidRPr="00FE4EEA" w:rsidRDefault="00C052F3" w:rsidP="00717966">
            <w:pPr>
              <w:jc w:val="center"/>
              <w:rPr>
                <w:color w:val="000000"/>
              </w:rPr>
            </w:pPr>
            <w:r w:rsidRPr="00FE4EEA">
              <w:rPr>
                <w:color w:val="000000"/>
              </w:rPr>
              <w:t>3,1250%</w:t>
            </w:r>
          </w:p>
        </w:tc>
      </w:tr>
      <w:tr w:rsidR="00C052F3" w:rsidRPr="001F665D" w:rsidDel="000D0B5A" w14:paraId="68C643A4" w14:textId="77777777" w:rsidTr="00C052F3">
        <w:trPr>
          <w:trHeight w:val="244"/>
        </w:trPr>
        <w:tc>
          <w:tcPr>
            <w:tcW w:w="1101" w:type="pct"/>
            <w:tcBorders>
              <w:top w:val="single" w:sz="4" w:space="0" w:color="auto"/>
              <w:left w:val="single" w:sz="4" w:space="0" w:color="auto"/>
              <w:bottom w:val="single" w:sz="4" w:space="0" w:color="auto"/>
              <w:right w:val="single" w:sz="4" w:space="0" w:color="auto"/>
            </w:tcBorders>
          </w:tcPr>
          <w:p w14:paraId="2CDEF8B6" w14:textId="77777777" w:rsidR="00C052F3" w:rsidRPr="006552A0" w:rsidRDefault="00C052F3" w:rsidP="00717966">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0F83650" w14:textId="77777777" w:rsidR="00C052F3" w:rsidRPr="001F665D" w:rsidRDefault="00C052F3" w:rsidP="00717966">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D484685" w14:textId="77777777" w:rsidR="00C052F3" w:rsidRPr="00CC2712" w:rsidRDefault="00C052F3" w:rsidP="00717966">
            <w:pPr>
              <w:jc w:val="center"/>
            </w:pPr>
            <w:r w:rsidRPr="00CC2712">
              <w:t>3,2258%</w:t>
            </w:r>
          </w:p>
        </w:tc>
      </w:tr>
      <w:tr w:rsidR="00C052F3" w:rsidRPr="001F665D" w:rsidDel="000D0B5A" w14:paraId="24A3FACC"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91DE264" w14:textId="77777777" w:rsidR="00C052F3" w:rsidRPr="001F665D" w:rsidRDefault="00C052F3" w:rsidP="00717966">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82DAD0" w14:textId="77777777" w:rsidR="00C052F3" w:rsidRPr="001F665D" w:rsidRDefault="00C052F3" w:rsidP="00717966">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9113826" w14:textId="77777777" w:rsidR="00C052F3" w:rsidRPr="00FE4EEA" w:rsidRDefault="00C052F3" w:rsidP="00717966">
            <w:pPr>
              <w:jc w:val="center"/>
              <w:rPr>
                <w:color w:val="000000"/>
              </w:rPr>
            </w:pPr>
            <w:r w:rsidRPr="00FE4EEA">
              <w:rPr>
                <w:color w:val="000000"/>
              </w:rPr>
              <w:t>3,3333%</w:t>
            </w:r>
          </w:p>
        </w:tc>
      </w:tr>
      <w:tr w:rsidR="00C052F3" w:rsidRPr="001F665D" w:rsidDel="000D0B5A" w14:paraId="39FC806D"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1D93AA7" w14:textId="77777777" w:rsidR="00C052F3" w:rsidRPr="001F665D" w:rsidRDefault="00C052F3" w:rsidP="00717966">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5ABEAA4" w14:textId="77777777" w:rsidR="00C052F3" w:rsidRPr="001F665D" w:rsidRDefault="00C052F3" w:rsidP="00717966">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F55647A" w14:textId="77777777" w:rsidR="00C052F3" w:rsidRPr="00FE4EEA" w:rsidRDefault="00C052F3" w:rsidP="00717966">
            <w:pPr>
              <w:jc w:val="center"/>
              <w:rPr>
                <w:color w:val="000000"/>
              </w:rPr>
            </w:pPr>
            <w:r w:rsidRPr="00FE4EEA">
              <w:rPr>
                <w:color w:val="000000"/>
              </w:rPr>
              <w:t>3,4483%</w:t>
            </w:r>
          </w:p>
        </w:tc>
      </w:tr>
      <w:tr w:rsidR="00C052F3" w:rsidRPr="001F665D" w:rsidDel="000D0B5A" w14:paraId="48AE86B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D7A2DA" w14:textId="77777777" w:rsidR="00C052F3" w:rsidRPr="001F665D" w:rsidRDefault="00C052F3" w:rsidP="00717966">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98F4316" w14:textId="77777777" w:rsidR="00C052F3" w:rsidRPr="001F665D" w:rsidRDefault="00C052F3" w:rsidP="00717966">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80D7E2E" w14:textId="77777777" w:rsidR="00C052F3" w:rsidRPr="00FE4EEA" w:rsidRDefault="00C052F3" w:rsidP="00717966">
            <w:pPr>
              <w:jc w:val="center"/>
              <w:rPr>
                <w:color w:val="000000"/>
              </w:rPr>
            </w:pPr>
            <w:r w:rsidRPr="00FE4EEA">
              <w:rPr>
                <w:color w:val="000000"/>
              </w:rPr>
              <w:t>3,5714%</w:t>
            </w:r>
          </w:p>
        </w:tc>
      </w:tr>
      <w:tr w:rsidR="00C052F3" w:rsidRPr="001F665D" w:rsidDel="000D0B5A" w14:paraId="7E7BA68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734324" w14:textId="77777777" w:rsidR="00C052F3" w:rsidRPr="001F665D" w:rsidRDefault="00C052F3" w:rsidP="00717966">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E3B769" w14:textId="77777777" w:rsidR="00C052F3" w:rsidRPr="001F665D" w:rsidRDefault="00C052F3" w:rsidP="00717966">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500103C" w14:textId="77777777" w:rsidR="00C052F3" w:rsidRPr="00FE4EEA" w:rsidRDefault="00C052F3" w:rsidP="00717966">
            <w:pPr>
              <w:jc w:val="center"/>
              <w:rPr>
                <w:color w:val="000000"/>
              </w:rPr>
            </w:pPr>
            <w:r w:rsidRPr="00FE4EEA">
              <w:rPr>
                <w:color w:val="000000"/>
              </w:rPr>
              <w:t>3,7037%</w:t>
            </w:r>
          </w:p>
        </w:tc>
      </w:tr>
      <w:tr w:rsidR="00C052F3" w:rsidRPr="001F665D" w:rsidDel="000D0B5A" w14:paraId="3C748B2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8AFCBD3" w14:textId="77777777" w:rsidR="00C052F3" w:rsidRPr="001F665D" w:rsidRDefault="00C052F3" w:rsidP="00717966">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2B4E92" w14:textId="77777777" w:rsidR="00C052F3" w:rsidRPr="001F665D" w:rsidRDefault="00C052F3" w:rsidP="00717966">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772069E" w14:textId="77777777" w:rsidR="00C052F3" w:rsidRPr="00FE4EEA" w:rsidRDefault="00C052F3" w:rsidP="00717966">
            <w:pPr>
              <w:jc w:val="center"/>
              <w:rPr>
                <w:color w:val="000000"/>
              </w:rPr>
            </w:pPr>
            <w:r w:rsidRPr="00FE4EEA">
              <w:rPr>
                <w:color w:val="000000"/>
              </w:rPr>
              <w:t>3,8462%</w:t>
            </w:r>
          </w:p>
        </w:tc>
      </w:tr>
      <w:tr w:rsidR="00C052F3" w:rsidRPr="001F665D" w:rsidDel="000D0B5A" w14:paraId="618F031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E0A3F83" w14:textId="77777777" w:rsidR="00C052F3" w:rsidRPr="001F665D" w:rsidRDefault="00C052F3" w:rsidP="00717966">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336C37" w14:textId="77777777" w:rsidR="00C052F3" w:rsidRPr="001F665D" w:rsidRDefault="00C052F3" w:rsidP="00717966">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1CB5BD7" w14:textId="77777777" w:rsidR="00C052F3" w:rsidRPr="00FE4EEA" w:rsidRDefault="00C052F3" w:rsidP="00717966">
            <w:pPr>
              <w:jc w:val="center"/>
              <w:rPr>
                <w:color w:val="000000"/>
              </w:rPr>
            </w:pPr>
            <w:r w:rsidRPr="00FE4EEA">
              <w:rPr>
                <w:color w:val="000000"/>
              </w:rPr>
              <w:t>4,0000%</w:t>
            </w:r>
          </w:p>
        </w:tc>
      </w:tr>
      <w:tr w:rsidR="00C052F3" w:rsidRPr="001F665D" w:rsidDel="000D0B5A" w14:paraId="55A0BD8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677A90F" w14:textId="77777777" w:rsidR="00C052F3" w:rsidRPr="001F665D" w:rsidRDefault="00C052F3" w:rsidP="00717966">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9D7465" w14:textId="77777777" w:rsidR="00C052F3" w:rsidRPr="001F665D" w:rsidRDefault="00C052F3" w:rsidP="00717966">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E873FA0" w14:textId="77777777" w:rsidR="00C052F3" w:rsidRPr="00FE4EEA" w:rsidRDefault="00C052F3" w:rsidP="00717966">
            <w:pPr>
              <w:jc w:val="center"/>
              <w:rPr>
                <w:color w:val="000000"/>
              </w:rPr>
            </w:pPr>
            <w:r w:rsidRPr="00FE4EEA">
              <w:rPr>
                <w:color w:val="000000"/>
              </w:rPr>
              <w:t>4,1667%</w:t>
            </w:r>
          </w:p>
        </w:tc>
      </w:tr>
      <w:tr w:rsidR="00C052F3" w:rsidRPr="001F665D" w:rsidDel="000D0B5A" w14:paraId="7F1D681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294E81A" w14:textId="77777777" w:rsidR="00C052F3" w:rsidRPr="001F665D" w:rsidRDefault="00C052F3" w:rsidP="00717966">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98D60E" w14:textId="77777777" w:rsidR="00C052F3" w:rsidRPr="001F665D" w:rsidRDefault="00C052F3" w:rsidP="00717966">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58C22A" w14:textId="77777777" w:rsidR="00C052F3" w:rsidRPr="00FE4EEA" w:rsidRDefault="00C052F3" w:rsidP="00717966">
            <w:pPr>
              <w:jc w:val="center"/>
              <w:rPr>
                <w:color w:val="000000"/>
              </w:rPr>
            </w:pPr>
            <w:r w:rsidRPr="00FE4EEA">
              <w:rPr>
                <w:color w:val="000000"/>
              </w:rPr>
              <w:t>4,3478%</w:t>
            </w:r>
          </w:p>
        </w:tc>
      </w:tr>
      <w:tr w:rsidR="00C052F3" w:rsidRPr="001F665D" w:rsidDel="000D0B5A" w14:paraId="18FCC04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62F72AE" w14:textId="77777777" w:rsidR="00C052F3" w:rsidRPr="001F665D" w:rsidRDefault="00C052F3" w:rsidP="00717966">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F50C3" w14:textId="77777777" w:rsidR="00C052F3" w:rsidRPr="001F665D" w:rsidRDefault="00C052F3" w:rsidP="00717966">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ED9EA42" w14:textId="77777777" w:rsidR="00C052F3" w:rsidRPr="00FE4EEA" w:rsidRDefault="00C052F3" w:rsidP="00717966">
            <w:pPr>
              <w:jc w:val="center"/>
              <w:rPr>
                <w:color w:val="000000"/>
              </w:rPr>
            </w:pPr>
            <w:r w:rsidRPr="00FE4EEA">
              <w:rPr>
                <w:color w:val="000000"/>
              </w:rPr>
              <w:t>4,5455%</w:t>
            </w:r>
          </w:p>
        </w:tc>
      </w:tr>
      <w:tr w:rsidR="00C052F3" w:rsidRPr="001F665D" w:rsidDel="000D0B5A" w14:paraId="5A3F0B8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368C5D3" w14:textId="77777777" w:rsidR="00C052F3" w:rsidRPr="001F665D" w:rsidRDefault="00C052F3" w:rsidP="00717966">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79F051" w14:textId="77777777" w:rsidR="00C052F3" w:rsidRPr="001F665D" w:rsidRDefault="00C052F3" w:rsidP="00717966">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20523E6" w14:textId="77777777" w:rsidR="00C052F3" w:rsidRPr="00FE4EEA" w:rsidRDefault="00C052F3" w:rsidP="00717966">
            <w:pPr>
              <w:jc w:val="center"/>
              <w:rPr>
                <w:color w:val="000000"/>
              </w:rPr>
            </w:pPr>
            <w:r w:rsidRPr="00FE4EEA">
              <w:rPr>
                <w:color w:val="000000"/>
              </w:rPr>
              <w:t>4,7619%</w:t>
            </w:r>
          </w:p>
        </w:tc>
      </w:tr>
      <w:tr w:rsidR="00C052F3" w:rsidRPr="001F665D" w:rsidDel="000D0B5A" w14:paraId="77AE21A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FAA96EF" w14:textId="77777777" w:rsidR="00C052F3" w:rsidRPr="001F665D" w:rsidRDefault="00C052F3" w:rsidP="00717966">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6D1496" w14:textId="77777777" w:rsidR="00C052F3" w:rsidRPr="001F665D" w:rsidRDefault="00C052F3" w:rsidP="00717966">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BB7618" w14:textId="77777777" w:rsidR="00C052F3" w:rsidRPr="00FE4EEA" w:rsidRDefault="00C052F3" w:rsidP="00717966">
            <w:pPr>
              <w:jc w:val="center"/>
              <w:rPr>
                <w:color w:val="000000"/>
              </w:rPr>
            </w:pPr>
            <w:r w:rsidRPr="00FE4EEA">
              <w:rPr>
                <w:color w:val="000000"/>
              </w:rPr>
              <w:t>5,0000%</w:t>
            </w:r>
          </w:p>
        </w:tc>
      </w:tr>
      <w:tr w:rsidR="00C052F3" w:rsidRPr="001F665D" w:rsidDel="000D0B5A" w14:paraId="0421D754"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E4DE094" w14:textId="77777777" w:rsidR="00C052F3" w:rsidRPr="001F665D" w:rsidRDefault="00C052F3" w:rsidP="00717966">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AD7099" w14:textId="77777777" w:rsidR="00C052F3" w:rsidRPr="001F665D" w:rsidRDefault="00C052F3" w:rsidP="00717966">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4C56789" w14:textId="77777777" w:rsidR="00C052F3" w:rsidRPr="00FE4EEA" w:rsidRDefault="00C052F3" w:rsidP="00717966">
            <w:pPr>
              <w:jc w:val="center"/>
              <w:rPr>
                <w:color w:val="000000"/>
              </w:rPr>
            </w:pPr>
            <w:r w:rsidRPr="00FE4EEA">
              <w:rPr>
                <w:color w:val="000000"/>
              </w:rPr>
              <w:t>5,2632%</w:t>
            </w:r>
          </w:p>
        </w:tc>
      </w:tr>
      <w:tr w:rsidR="00C052F3" w:rsidRPr="001F665D" w:rsidDel="000D0B5A" w14:paraId="4E976BD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4E5BDA" w14:textId="77777777" w:rsidR="00C052F3" w:rsidRPr="001F665D" w:rsidRDefault="00C052F3" w:rsidP="00717966">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62685B9" w14:textId="77777777" w:rsidR="00C052F3" w:rsidRPr="001F665D" w:rsidRDefault="00C052F3" w:rsidP="00717966">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EE4E7A5" w14:textId="77777777" w:rsidR="00C052F3" w:rsidRPr="00FE4EEA" w:rsidRDefault="00C052F3" w:rsidP="00717966">
            <w:pPr>
              <w:jc w:val="center"/>
              <w:rPr>
                <w:color w:val="000000"/>
              </w:rPr>
            </w:pPr>
            <w:r w:rsidRPr="00FE4EEA">
              <w:rPr>
                <w:color w:val="000000"/>
              </w:rPr>
              <w:t>5,5556%</w:t>
            </w:r>
          </w:p>
        </w:tc>
      </w:tr>
      <w:tr w:rsidR="00C052F3" w:rsidRPr="001F665D" w:rsidDel="000D0B5A" w14:paraId="2E106FA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210510D" w14:textId="77777777" w:rsidR="00C052F3" w:rsidRPr="001F665D" w:rsidRDefault="00C052F3" w:rsidP="00717966">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021991" w14:textId="77777777" w:rsidR="00C052F3" w:rsidRPr="001F665D" w:rsidRDefault="00C052F3" w:rsidP="00717966">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9BB235" w14:textId="77777777" w:rsidR="00C052F3" w:rsidRPr="00FE4EEA" w:rsidRDefault="00C052F3" w:rsidP="00717966">
            <w:pPr>
              <w:jc w:val="center"/>
              <w:rPr>
                <w:color w:val="000000"/>
              </w:rPr>
            </w:pPr>
            <w:r w:rsidRPr="00FE4EEA">
              <w:rPr>
                <w:color w:val="000000"/>
              </w:rPr>
              <w:t>5,8824%</w:t>
            </w:r>
          </w:p>
        </w:tc>
      </w:tr>
      <w:tr w:rsidR="00C052F3" w:rsidRPr="001F665D" w:rsidDel="000D0B5A" w14:paraId="6603255A"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79714D5" w14:textId="77777777" w:rsidR="00C052F3" w:rsidRPr="001F665D" w:rsidRDefault="00C052F3" w:rsidP="00717966">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0702B4" w14:textId="77777777" w:rsidR="00C052F3" w:rsidRPr="001F665D" w:rsidRDefault="00C052F3" w:rsidP="00717966">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FF6644" w14:textId="77777777" w:rsidR="00C052F3" w:rsidRPr="00FE4EEA" w:rsidRDefault="00C052F3" w:rsidP="00717966">
            <w:pPr>
              <w:jc w:val="center"/>
              <w:rPr>
                <w:color w:val="000000"/>
              </w:rPr>
            </w:pPr>
            <w:r w:rsidRPr="00FE4EEA">
              <w:rPr>
                <w:color w:val="000000"/>
              </w:rPr>
              <w:t>6,2500%</w:t>
            </w:r>
          </w:p>
        </w:tc>
      </w:tr>
      <w:tr w:rsidR="00C052F3" w:rsidRPr="001F665D" w:rsidDel="000D0B5A" w14:paraId="740B2146"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1BCE80E" w14:textId="77777777" w:rsidR="00C052F3" w:rsidRPr="001F665D" w:rsidRDefault="00C052F3" w:rsidP="00717966">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1F2C50" w14:textId="77777777" w:rsidR="00C052F3" w:rsidRPr="001F665D" w:rsidRDefault="00C052F3" w:rsidP="00717966">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1F3E0FD" w14:textId="77777777" w:rsidR="00C052F3" w:rsidRPr="00FE4EEA" w:rsidRDefault="00C052F3" w:rsidP="00717966">
            <w:pPr>
              <w:jc w:val="center"/>
              <w:rPr>
                <w:color w:val="000000"/>
              </w:rPr>
            </w:pPr>
            <w:r w:rsidRPr="00FE4EEA">
              <w:rPr>
                <w:color w:val="000000"/>
              </w:rPr>
              <w:t>6,6667%</w:t>
            </w:r>
          </w:p>
        </w:tc>
      </w:tr>
      <w:tr w:rsidR="00C052F3" w:rsidRPr="001F665D" w:rsidDel="000D0B5A" w14:paraId="4459652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6A0872B0" w14:textId="77777777" w:rsidR="00C052F3" w:rsidRPr="001F665D" w:rsidRDefault="00C052F3" w:rsidP="00717966">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24B84E" w14:textId="77777777" w:rsidR="00C052F3" w:rsidRPr="001F665D" w:rsidRDefault="00C052F3" w:rsidP="00717966">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8BF7787" w14:textId="77777777" w:rsidR="00C052F3" w:rsidRPr="00FE4EEA" w:rsidRDefault="00C052F3" w:rsidP="00717966">
            <w:pPr>
              <w:jc w:val="center"/>
              <w:rPr>
                <w:color w:val="000000"/>
              </w:rPr>
            </w:pPr>
            <w:r w:rsidRPr="00FE4EEA">
              <w:rPr>
                <w:color w:val="000000"/>
              </w:rPr>
              <w:t>7,1429%</w:t>
            </w:r>
          </w:p>
        </w:tc>
      </w:tr>
      <w:tr w:rsidR="00C052F3" w:rsidRPr="001F665D" w:rsidDel="000D0B5A" w14:paraId="54116100"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48ABE0C" w14:textId="77777777" w:rsidR="00C052F3" w:rsidRPr="001F665D" w:rsidRDefault="00C052F3" w:rsidP="00717966">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A99844" w14:textId="77777777" w:rsidR="00C052F3" w:rsidRPr="001F665D" w:rsidRDefault="00C052F3" w:rsidP="00717966">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A43549A" w14:textId="77777777" w:rsidR="00C052F3" w:rsidRPr="00FE4EEA" w:rsidRDefault="00C052F3" w:rsidP="00717966">
            <w:pPr>
              <w:jc w:val="center"/>
              <w:rPr>
                <w:color w:val="000000"/>
              </w:rPr>
            </w:pPr>
            <w:r w:rsidRPr="00FE4EEA">
              <w:rPr>
                <w:color w:val="000000"/>
              </w:rPr>
              <w:t>7,6923%</w:t>
            </w:r>
          </w:p>
        </w:tc>
      </w:tr>
      <w:tr w:rsidR="00C052F3" w:rsidRPr="001F665D" w:rsidDel="000D0B5A" w14:paraId="703DA02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9C31AA9" w14:textId="77777777" w:rsidR="00C052F3" w:rsidRPr="001F665D" w:rsidRDefault="00C052F3" w:rsidP="00717966">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CE2A12F" w14:textId="77777777" w:rsidR="00C052F3" w:rsidRPr="001F665D" w:rsidRDefault="00C052F3" w:rsidP="00717966">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4E4F1B" w14:textId="77777777" w:rsidR="00C052F3" w:rsidRPr="00FE4EEA" w:rsidRDefault="00C052F3" w:rsidP="00717966">
            <w:pPr>
              <w:jc w:val="center"/>
              <w:rPr>
                <w:color w:val="000000"/>
              </w:rPr>
            </w:pPr>
            <w:r w:rsidRPr="00FE4EEA">
              <w:rPr>
                <w:color w:val="000000"/>
              </w:rPr>
              <w:t>8,3333%</w:t>
            </w:r>
          </w:p>
        </w:tc>
      </w:tr>
      <w:tr w:rsidR="00C052F3" w:rsidRPr="001F665D" w:rsidDel="000D0B5A" w14:paraId="0B2F9338"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7355D1F" w14:textId="77777777" w:rsidR="00C052F3" w:rsidRPr="001F665D" w:rsidRDefault="00C052F3" w:rsidP="00717966">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23239" w14:textId="77777777" w:rsidR="00C052F3" w:rsidRPr="001F665D" w:rsidRDefault="00C052F3" w:rsidP="00717966">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78D84E1" w14:textId="77777777" w:rsidR="00C052F3" w:rsidRPr="00FE4EEA" w:rsidRDefault="00C052F3" w:rsidP="00717966">
            <w:pPr>
              <w:jc w:val="center"/>
              <w:rPr>
                <w:color w:val="000000"/>
              </w:rPr>
            </w:pPr>
            <w:r w:rsidRPr="00FE4EEA">
              <w:rPr>
                <w:color w:val="000000"/>
              </w:rPr>
              <w:t>9,0909%</w:t>
            </w:r>
          </w:p>
        </w:tc>
      </w:tr>
      <w:tr w:rsidR="00C052F3" w:rsidRPr="001F665D" w:rsidDel="000D0B5A" w14:paraId="770455E2"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B2F78FA" w14:textId="77777777" w:rsidR="00C052F3" w:rsidRPr="001F665D" w:rsidRDefault="00C052F3" w:rsidP="00717966">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740DA0D" w14:textId="77777777" w:rsidR="00C052F3" w:rsidRPr="001F665D" w:rsidRDefault="00C052F3" w:rsidP="00717966">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F9E648" w14:textId="77777777" w:rsidR="00C052F3" w:rsidRPr="00FE4EEA" w:rsidRDefault="00C052F3" w:rsidP="00717966">
            <w:pPr>
              <w:jc w:val="center"/>
              <w:rPr>
                <w:color w:val="000000"/>
              </w:rPr>
            </w:pPr>
            <w:r w:rsidRPr="00FE4EEA">
              <w:rPr>
                <w:color w:val="000000"/>
              </w:rPr>
              <w:t>10,0000%</w:t>
            </w:r>
          </w:p>
        </w:tc>
      </w:tr>
      <w:tr w:rsidR="00C052F3" w:rsidRPr="001F665D" w:rsidDel="000D0B5A" w14:paraId="7E139CDE"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7C5FB782" w14:textId="77777777" w:rsidR="00C052F3" w:rsidRPr="001F665D" w:rsidRDefault="00C052F3" w:rsidP="00717966">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0FF287" w14:textId="77777777" w:rsidR="00C052F3" w:rsidRPr="001F665D" w:rsidRDefault="00C052F3" w:rsidP="00717966">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1D8326F" w14:textId="77777777" w:rsidR="00C052F3" w:rsidRPr="00FE4EEA" w:rsidRDefault="00C052F3" w:rsidP="00717966">
            <w:pPr>
              <w:jc w:val="center"/>
              <w:rPr>
                <w:color w:val="000000"/>
              </w:rPr>
            </w:pPr>
            <w:r w:rsidRPr="00FE4EEA">
              <w:rPr>
                <w:color w:val="000000"/>
              </w:rPr>
              <w:t>11,1111%</w:t>
            </w:r>
          </w:p>
        </w:tc>
      </w:tr>
      <w:tr w:rsidR="00C052F3" w:rsidRPr="001F665D" w:rsidDel="000D0B5A" w14:paraId="671E5F03"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5175FAF7" w14:textId="77777777" w:rsidR="00C052F3" w:rsidRPr="001F665D" w:rsidRDefault="00C052F3" w:rsidP="00717966">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629BB8F" w14:textId="77777777" w:rsidR="00C052F3" w:rsidRPr="001F665D" w:rsidRDefault="00C052F3" w:rsidP="00717966">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A0D3104" w14:textId="77777777" w:rsidR="00C052F3" w:rsidRPr="00FE4EEA" w:rsidRDefault="00C052F3" w:rsidP="00717966">
            <w:pPr>
              <w:jc w:val="center"/>
              <w:rPr>
                <w:color w:val="000000"/>
              </w:rPr>
            </w:pPr>
            <w:r w:rsidRPr="00FE4EEA">
              <w:rPr>
                <w:color w:val="000000"/>
              </w:rPr>
              <w:t>12,5000%</w:t>
            </w:r>
          </w:p>
        </w:tc>
      </w:tr>
      <w:tr w:rsidR="00C052F3" w:rsidRPr="001F665D" w:rsidDel="000D0B5A" w14:paraId="53AA366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132FD9F9" w14:textId="77777777" w:rsidR="00C052F3" w:rsidRPr="001F665D" w:rsidRDefault="00C052F3" w:rsidP="00717966">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C9DDCE" w14:textId="77777777" w:rsidR="00C052F3" w:rsidRPr="001F665D" w:rsidRDefault="00C052F3" w:rsidP="00717966">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44EF217" w14:textId="77777777" w:rsidR="00C052F3" w:rsidRPr="00FE4EEA" w:rsidRDefault="00C052F3" w:rsidP="00717966">
            <w:pPr>
              <w:jc w:val="center"/>
              <w:rPr>
                <w:color w:val="000000"/>
              </w:rPr>
            </w:pPr>
            <w:r w:rsidRPr="00FE4EEA">
              <w:rPr>
                <w:color w:val="000000"/>
              </w:rPr>
              <w:t>14,2857%</w:t>
            </w:r>
          </w:p>
        </w:tc>
      </w:tr>
      <w:tr w:rsidR="00C052F3" w:rsidRPr="001F665D" w:rsidDel="000D0B5A" w14:paraId="0D3B31A1"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43F68D73" w14:textId="77777777" w:rsidR="00C052F3" w:rsidRPr="001F665D" w:rsidRDefault="00C052F3" w:rsidP="00717966">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9D41CD" w14:textId="77777777" w:rsidR="00C052F3" w:rsidRPr="001F665D" w:rsidRDefault="00C052F3" w:rsidP="00717966">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FF24B2E" w14:textId="77777777" w:rsidR="00C052F3" w:rsidRPr="00FE4EEA" w:rsidRDefault="00C052F3" w:rsidP="00717966">
            <w:pPr>
              <w:jc w:val="center"/>
              <w:rPr>
                <w:color w:val="000000"/>
              </w:rPr>
            </w:pPr>
            <w:r w:rsidRPr="00FE4EEA">
              <w:rPr>
                <w:color w:val="000000"/>
              </w:rPr>
              <w:t>16,6667%</w:t>
            </w:r>
          </w:p>
        </w:tc>
      </w:tr>
      <w:tr w:rsidR="00C052F3" w:rsidRPr="001F665D" w:rsidDel="000D0B5A" w14:paraId="5EE25BAB"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32EBA22A" w14:textId="77777777" w:rsidR="00C052F3" w:rsidRPr="001F665D" w:rsidRDefault="00C052F3" w:rsidP="00717966">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B8F356" w14:textId="77777777" w:rsidR="00C052F3" w:rsidRPr="001F665D" w:rsidRDefault="00C052F3" w:rsidP="00717966">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165BE810" w14:textId="77777777" w:rsidR="00C052F3" w:rsidRPr="00FE4EEA" w:rsidRDefault="00C052F3" w:rsidP="00717966">
            <w:pPr>
              <w:jc w:val="center"/>
              <w:rPr>
                <w:color w:val="000000"/>
              </w:rPr>
            </w:pPr>
            <w:r w:rsidRPr="00FE4EEA">
              <w:rPr>
                <w:color w:val="000000"/>
              </w:rPr>
              <w:t>20,0000%</w:t>
            </w:r>
          </w:p>
        </w:tc>
      </w:tr>
      <w:tr w:rsidR="00C052F3" w:rsidRPr="001F665D" w:rsidDel="000D0B5A" w14:paraId="796B696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E38F41" w14:textId="77777777" w:rsidR="00C052F3" w:rsidRPr="001F665D" w:rsidRDefault="00C052F3" w:rsidP="00717966">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0FB8C2D" w14:textId="77777777" w:rsidR="00C052F3" w:rsidRPr="001F665D" w:rsidRDefault="00C052F3" w:rsidP="00717966">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D3D72D7" w14:textId="77777777" w:rsidR="00C052F3" w:rsidRPr="00FE4EEA" w:rsidRDefault="00C052F3" w:rsidP="00717966">
            <w:pPr>
              <w:jc w:val="center"/>
              <w:rPr>
                <w:color w:val="000000"/>
              </w:rPr>
            </w:pPr>
            <w:r w:rsidRPr="00FE4EEA">
              <w:rPr>
                <w:color w:val="000000"/>
              </w:rPr>
              <w:t>25,0000%</w:t>
            </w:r>
          </w:p>
        </w:tc>
      </w:tr>
      <w:tr w:rsidR="00C052F3" w:rsidRPr="001F665D" w:rsidDel="000D0B5A" w14:paraId="30497B05"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8B8C488" w14:textId="77777777" w:rsidR="00C052F3" w:rsidRPr="001F665D" w:rsidRDefault="00C052F3" w:rsidP="00717966">
            <w:pPr>
              <w:widowControl w:val="0"/>
              <w:jc w:val="center"/>
            </w:pPr>
            <w:r w:rsidRPr="001F665D">
              <w:lastRenderedPageBreak/>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585CF6" w14:textId="77777777" w:rsidR="00C052F3" w:rsidRPr="001F665D" w:rsidRDefault="00C052F3" w:rsidP="00717966">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351C" w14:textId="77777777" w:rsidR="00C052F3" w:rsidRPr="00FE4EEA" w:rsidRDefault="00C052F3" w:rsidP="00717966">
            <w:pPr>
              <w:jc w:val="center"/>
              <w:rPr>
                <w:color w:val="000000"/>
              </w:rPr>
            </w:pPr>
            <w:r w:rsidRPr="00FE4EEA">
              <w:rPr>
                <w:color w:val="000000"/>
              </w:rPr>
              <w:t>33,3333%</w:t>
            </w:r>
          </w:p>
        </w:tc>
      </w:tr>
      <w:tr w:rsidR="00C052F3" w:rsidRPr="001F665D" w:rsidDel="000D0B5A" w14:paraId="5D193FE9"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0E012E6F" w14:textId="77777777" w:rsidR="00C052F3" w:rsidRPr="001F665D" w:rsidRDefault="00C052F3" w:rsidP="00717966">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E5F13F7" w14:textId="77777777" w:rsidR="00C052F3" w:rsidRPr="001F665D" w:rsidRDefault="00C052F3" w:rsidP="00717966">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008DDB0D" w14:textId="77777777" w:rsidR="00C052F3" w:rsidRPr="00FE4EEA" w:rsidRDefault="00C052F3" w:rsidP="00717966">
            <w:pPr>
              <w:jc w:val="center"/>
              <w:rPr>
                <w:color w:val="000000"/>
              </w:rPr>
            </w:pPr>
            <w:r w:rsidRPr="00FE4EEA">
              <w:rPr>
                <w:color w:val="000000"/>
              </w:rPr>
              <w:t>50,0000%</w:t>
            </w:r>
          </w:p>
        </w:tc>
      </w:tr>
      <w:tr w:rsidR="00C052F3" w:rsidRPr="001F665D" w:rsidDel="000D0B5A" w14:paraId="6A1DD95F" w14:textId="77777777" w:rsidTr="00C052F3">
        <w:trPr>
          <w:trHeight w:val="20"/>
        </w:trPr>
        <w:tc>
          <w:tcPr>
            <w:tcW w:w="1101" w:type="pct"/>
            <w:tcBorders>
              <w:top w:val="single" w:sz="4" w:space="0" w:color="auto"/>
              <w:left w:val="single" w:sz="4" w:space="0" w:color="auto"/>
              <w:bottom w:val="single" w:sz="4" w:space="0" w:color="auto"/>
              <w:right w:val="single" w:sz="4" w:space="0" w:color="auto"/>
            </w:tcBorders>
          </w:tcPr>
          <w:p w14:paraId="2CB5C4B5" w14:textId="77777777" w:rsidR="00C052F3" w:rsidRPr="001F665D" w:rsidRDefault="00C052F3" w:rsidP="00717966">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4482ABF" w14:textId="77777777" w:rsidR="00C052F3" w:rsidRPr="001F665D" w:rsidRDefault="00C052F3" w:rsidP="00717966">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6F9CB6CD" w14:textId="77777777" w:rsidR="00C052F3" w:rsidRPr="00FE4EEA" w:rsidRDefault="00C052F3" w:rsidP="00717966">
            <w:pPr>
              <w:jc w:val="center"/>
              <w:rPr>
                <w:color w:val="000000"/>
              </w:rPr>
            </w:pPr>
            <w:r w:rsidRPr="00FE4EEA">
              <w:rPr>
                <w:color w:val="000000"/>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0BA7A" w14:textId="77777777" w:rsidR="00663E4D" w:rsidRDefault="00663E4D">
      <w:r>
        <w:separator/>
      </w:r>
    </w:p>
  </w:endnote>
  <w:endnote w:type="continuationSeparator" w:id="0">
    <w:p w14:paraId="4FAD6E39" w14:textId="77777777" w:rsidR="00663E4D" w:rsidRDefault="006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7C15" w14:textId="77777777" w:rsidR="00663E4D" w:rsidRDefault="00663E4D" w:rsidP="0043404B">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34AF750" w:rsidR="00663E4D" w:rsidRPr="0085663B" w:rsidRDefault="00663E4D" w:rsidP="007514D3">
    <w:pPr>
      <w:pStyle w:val="Rodap"/>
      <w:rPr>
        <w:rFonts w:ascii="Tahoma" w:hAnsi="Tahoma" w:cs="Tahoma"/>
        <w:sz w:val="18"/>
        <w:szCs w:val="18"/>
      </w:rPr>
    </w:pPr>
    <w:r>
      <w:rPr>
        <w:rFonts w:ascii="Verdana" w:hAnsi="Verdana" w:cs="Tahoma"/>
        <w:sz w:val="14"/>
        <w:szCs w:val="18"/>
      </w:rPr>
      <w:fldChar w:fldCharType="end"/>
    </w: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Pr>
        <w:rFonts w:ascii="Tahoma" w:hAnsi="Tahoma" w:cs="Tahoma"/>
        <w:noProof/>
        <w:sz w:val="18"/>
        <w:szCs w:val="18"/>
      </w:rPr>
      <w:t>21</w:t>
    </w:r>
    <w:r w:rsidRPr="0085663B">
      <w:rPr>
        <w:rFonts w:ascii="Tahoma" w:hAnsi="Tahoma" w:cs="Tahoma"/>
        <w:sz w:val="18"/>
        <w:szCs w:val="18"/>
      </w:rPr>
      <w:fldChar w:fldCharType="end"/>
    </w:r>
  </w:p>
  <w:p w14:paraId="2F498734" w14:textId="30B18E80" w:rsidR="00663E4D" w:rsidRPr="0043404B" w:rsidRDefault="00663E4D" w:rsidP="0043404B">
    <w:pPr>
      <w:pStyle w:val="Rodap"/>
      <w:rPr>
        <w:color w:val="FFFFF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663E4D" w:rsidRPr="00302B52" w:rsidRDefault="00663E4D"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663E4D" w:rsidRPr="0043404B" w:rsidRDefault="00663E4D"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CD2A" w14:textId="77777777" w:rsidR="00663E4D" w:rsidRDefault="00663E4D">
      <w:r>
        <w:separator/>
      </w:r>
    </w:p>
  </w:footnote>
  <w:footnote w:type="continuationSeparator" w:id="0">
    <w:p w14:paraId="2166A0B7" w14:textId="77777777" w:rsidR="00663E4D" w:rsidRDefault="0066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8C4F" w14:textId="4CD92ADD" w:rsidR="00663E4D" w:rsidRDefault="00663E4D"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8"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4"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6"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7"/>
  </w:num>
  <w:num w:numId="3">
    <w:abstractNumId w:val="0"/>
  </w:num>
  <w:num w:numId="4">
    <w:abstractNumId w:val="47"/>
  </w:num>
  <w:num w:numId="5">
    <w:abstractNumId w:val="29"/>
  </w:num>
  <w:num w:numId="6">
    <w:abstractNumId w:val="40"/>
  </w:num>
  <w:num w:numId="7">
    <w:abstractNumId w:val="34"/>
  </w:num>
  <w:num w:numId="8">
    <w:abstractNumId w:val="6"/>
  </w:num>
  <w:num w:numId="9">
    <w:abstractNumId w:val="46"/>
  </w:num>
  <w:num w:numId="10">
    <w:abstractNumId w:val="1"/>
  </w:num>
  <w:num w:numId="11">
    <w:abstractNumId w:val="27"/>
  </w:num>
  <w:num w:numId="12">
    <w:abstractNumId w:val="44"/>
  </w:num>
  <w:num w:numId="13">
    <w:abstractNumId w:val="21"/>
    <w:lvlOverride w:ilvl="0">
      <w:startOverride w:val="1"/>
    </w:lvlOverride>
  </w:num>
  <w:num w:numId="14">
    <w:abstractNumId w:val="35"/>
  </w:num>
  <w:num w:numId="15">
    <w:abstractNumId w:val="14"/>
  </w:num>
  <w:num w:numId="16">
    <w:abstractNumId w:val="8"/>
  </w:num>
  <w:num w:numId="17">
    <w:abstractNumId w:val="33"/>
  </w:num>
  <w:num w:numId="18">
    <w:abstractNumId w:val="32"/>
  </w:num>
  <w:num w:numId="19">
    <w:abstractNumId w:val="43"/>
  </w:num>
  <w:num w:numId="20">
    <w:abstractNumId w:val="3"/>
  </w:num>
  <w:num w:numId="21">
    <w:abstractNumId w:val="5"/>
  </w:num>
  <w:num w:numId="22">
    <w:abstractNumId w:val="11"/>
  </w:num>
  <w:num w:numId="23">
    <w:abstractNumId w:val="19"/>
  </w:num>
  <w:num w:numId="24">
    <w:abstractNumId w:val="24"/>
  </w:num>
  <w:num w:numId="25">
    <w:abstractNumId w:val="15"/>
  </w:num>
  <w:num w:numId="26">
    <w:abstractNumId w:val="23"/>
  </w:num>
  <w:num w:numId="27">
    <w:abstractNumId w:val="41"/>
  </w:num>
  <w:num w:numId="28">
    <w:abstractNumId w:val="2"/>
  </w:num>
  <w:num w:numId="29">
    <w:abstractNumId w:val="39"/>
  </w:num>
  <w:num w:numId="30">
    <w:abstractNumId w:val="31"/>
  </w:num>
  <w:num w:numId="31">
    <w:abstractNumId w:val="12"/>
  </w:num>
  <w:num w:numId="32">
    <w:abstractNumId w:val="42"/>
  </w:num>
  <w:num w:numId="33">
    <w:abstractNumId w:val="22"/>
  </w:num>
  <w:num w:numId="34">
    <w:abstractNumId w:val="28"/>
  </w:num>
  <w:num w:numId="35">
    <w:abstractNumId w:val="26"/>
  </w:num>
  <w:num w:numId="36">
    <w:abstractNumId w:val="30"/>
  </w:num>
  <w:num w:numId="37">
    <w:abstractNumId w:val="38"/>
  </w:num>
  <w:num w:numId="38">
    <w:abstractNumId w:val="10"/>
  </w:num>
  <w:num w:numId="39">
    <w:abstractNumId w:val="17"/>
  </w:num>
  <w:num w:numId="40">
    <w:abstractNumId w:val="7"/>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
  </w:num>
  <w:num w:numId="45">
    <w:abstractNumId w:val="18"/>
  </w:num>
  <w:num w:numId="46">
    <w:abstractNumId w:val="36"/>
  </w:num>
  <w:num w:numId="47">
    <w:abstractNumId w:val="25"/>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63E4D"/>
    <w:rsid w:val="0067172F"/>
    <w:rsid w:val="006730F6"/>
    <w:rsid w:val="006770FC"/>
    <w:rsid w:val="00680B90"/>
    <w:rsid w:val="0068227D"/>
    <w:rsid w:val="00682B88"/>
    <w:rsid w:val="00684D02"/>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23B"/>
    <w:rsid w:val="009A5B39"/>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B5D03"/>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72FB7-3EDD-475D-8905-13208D67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24355</Words>
  <Characters>131520</Characters>
  <Application>Microsoft Office Word</Application>
  <DocSecurity>0</DocSecurity>
  <Lines>1096</Lines>
  <Paragraphs>311</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Giselle Gomes</cp:lastModifiedBy>
  <cp:revision>7</cp:revision>
  <cp:lastPrinted>2015-08-11T20:14:00Z</cp:lastPrinted>
  <dcterms:created xsi:type="dcterms:W3CDTF">2020-09-04T13:27:00Z</dcterms:created>
  <dcterms:modified xsi:type="dcterms:W3CDTF">2020-09-11T21:10:00Z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