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71465A8F" w:rsidR="002160D8" w:rsidRPr="00711CC0" w:rsidRDefault="00591152" w:rsidP="00EA7FB3">
      <w:pPr>
        <w:pStyle w:val="Body"/>
        <w:spacing w:after="0" w:line="276" w:lineRule="auto"/>
        <w:jc w:val="center"/>
        <w:rPr>
          <w:rFonts w:ascii="Verdana" w:hAnsi="Verdana" w:cs="Calibri Light"/>
          <w:b/>
          <w:szCs w:val="20"/>
        </w:rPr>
      </w:pPr>
      <w:r w:rsidRPr="00711CC0">
        <w:rPr>
          <w:rFonts w:ascii="Verdana" w:hAnsi="Verdana" w:cs="Calibri Light"/>
          <w:b/>
          <w:szCs w:val="20"/>
        </w:rPr>
        <w:t>COMPANHIA SECURITIZADORA DE CRÉDITOS F</w:t>
      </w:r>
      <w:r w:rsidR="00FB1AA8">
        <w:rPr>
          <w:rFonts w:ascii="Verdana" w:hAnsi="Verdana" w:cs="Calibri Light"/>
          <w:b/>
          <w:szCs w:val="20"/>
        </w:rPr>
        <w:t>INANCEIROS CARTÕES CONSIGNADOS II</w:t>
      </w:r>
    </w:p>
    <w:p w14:paraId="38545F50" w14:textId="4E27D57C" w:rsidR="004201B8" w:rsidRPr="00711CC0" w:rsidRDefault="002160D8" w:rsidP="00EA7FB3">
      <w:pPr>
        <w:pStyle w:val="Body"/>
        <w:spacing w:after="0" w:line="276" w:lineRule="auto"/>
        <w:jc w:val="center"/>
        <w:rPr>
          <w:rFonts w:ascii="Verdana" w:hAnsi="Verdana" w:cs="Calibri Light"/>
          <w:szCs w:val="20"/>
        </w:rPr>
      </w:pPr>
      <w:r w:rsidRPr="00711CC0">
        <w:rPr>
          <w:rFonts w:ascii="Verdana" w:hAnsi="Verdana" w:cs="Calibri Light"/>
          <w:szCs w:val="20"/>
        </w:rPr>
        <w:t xml:space="preserve">CNPJ/MF nº </w:t>
      </w:r>
      <w:r w:rsidR="00FB1AA8">
        <w:rPr>
          <w:rFonts w:ascii="Verdana" w:hAnsi="Verdana" w:cs="Calibri Light"/>
          <w:szCs w:val="20"/>
        </w:rPr>
        <w:t>35.522.178/0001-87</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FB1AA8" w:rsidRPr="00FB1AA8">
        <w:rPr>
          <w:rFonts w:ascii="Verdana" w:hAnsi="Verdana" w:cs="Calibri Light"/>
          <w:szCs w:val="20"/>
        </w:rPr>
        <w:t>35</w:t>
      </w:r>
      <w:r w:rsidR="00FB1AA8">
        <w:rPr>
          <w:rFonts w:ascii="Verdana" w:hAnsi="Verdana" w:cs="Calibri Light"/>
          <w:szCs w:val="20"/>
        </w:rPr>
        <w:t>.</w:t>
      </w:r>
      <w:r w:rsidR="00FB1AA8" w:rsidRPr="00FB1AA8">
        <w:rPr>
          <w:rFonts w:ascii="Verdana" w:hAnsi="Verdana" w:cs="Calibri Light"/>
          <w:szCs w:val="20"/>
        </w:rPr>
        <w:t>300</w:t>
      </w:r>
      <w:r w:rsidR="00FB1AA8">
        <w:rPr>
          <w:rFonts w:ascii="Verdana" w:hAnsi="Verdana" w:cs="Calibri Light"/>
          <w:szCs w:val="20"/>
        </w:rPr>
        <w:t>.</w:t>
      </w:r>
      <w:r w:rsidR="00FB1AA8" w:rsidRPr="00FB1AA8">
        <w:rPr>
          <w:rFonts w:ascii="Verdana" w:hAnsi="Verdana" w:cs="Calibri Light"/>
          <w:szCs w:val="20"/>
        </w:rPr>
        <w:t>544</w:t>
      </w:r>
      <w:r w:rsidR="00FB1AA8">
        <w:rPr>
          <w:rFonts w:ascii="Verdana" w:hAnsi="Verdana" w:cs="Calibri Light"/>
          <w:szCs w:val="20"/>
        </w:rPr>
        <w:t>.</w:t>
      </w:r>
      <w:r w:rsidR="00FB1AA8" w:rsidRPr="00FB1AA8">
        <w:rPr>
          <w:rFonts w:ascii="Verdana" w:hAnsi="Verdana" w:cs="Calibri Light"/>
          <w:szCs w:val="20"/>
        </w:rPr>
        <w:t>676</w:t>
      </w:r>
    </w:p>
    <w:p w14:paraId="6D40C1D9" w14:textId="77777777" w:rsidR="004201B8" w:rsidRPr="00711CC0" w:rsidRDefault="004201B8" w:rsidP="00EA7FB3">
      <w:pPr>
        <w:pStyle w:val="Body"/>
        <w:spacing w:after="0" w:line="276" w:lineRule="auto"/>
        <w:jc w:val="center"/>
        <w:rPr>
          <w:rFonts w:ascii="Verdana" w:hAnsi="Verdana" w:cs="Calibri Light"/>
          <w:b/>
          <w:szCs w:val="20"/>
        </w:rPr>
      </w:pPr>
    </w:p>
    <w:p w14:paraId="5E0DB9BB" w14:textId="33DD8A91" w:rsidR="00550A4B" w:rsidRPr="00711CC0" w:rsidRDefault="00550A4B" w:rsidP="00EA7FB3">
      <w:pPr>
        <w:spacing w:after="0"/>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EXTRAORDINÁRIA </w:t>
      </w:r>
      <w:bookmarkStart w:id="1" w:name="_Hlk524421322"/>
      <w:r w:rsidR="00FA4079" w:rsidRPr="00711CC0">
        <w:rPr>
          <w:rFonts w:ascii="Verdana" w:hAnsi="Verdana" w:cs="Calibri Light"/>
          <w:b/>
          <w:sz w:val="20"/>
          <w:szCs w:val="20"/>
        </w:rPr>
        <w:t xml:space="preserve">DOS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DA</w:t>
      </w:r>
      <w:r w:rsidR="005B7E8E" w:rsidRPr="00711CC0">
        <w:rPr>
          <w:rFonts w:ascii="Verdana" w:hAnsi="Verdana" w:cs="Calibri Light"/>
          <w:b/>
          <w:sz w:val="20"/>
          <w:szCs w:val="20"/>
        </w:rPr>
        <w:t xml:space="preserve"> </w:t>
      </w:r>
      <w:r w:rsidR="00CE3FF0">
        <w:rPr>
          <w:rFonts w:ascii="Verdana" w:hAnsi="Verdana" w:cs="Calibri Light"/>
          <w:b/>
          <w:sz w:val="20"/>
          <w:szCs w:val="20"/>
        </w:rPr>
        <w:t>1</w:t>
      </w:r>
      <w:r w:rsidR="00AD7BC2">
        <w:rPr>
          <w:rFonts w:ascii="Verdana" w:hAnsi="Verdana" w:cs="Calibri Light"/>
          <w:b/>
          <w:sz w:val="20"/>
          <w:szCs w:val="20"/>
        </w:rPr>
        <w:t xml:space="preserve">ª SÉRIE DA </w:t>
      </w:r>
      <w:r w:rsidR="00FA4079" w:rsidRPr="00711CC0">
        <w:rPr>
          <w:rFonts w:ascii="Verdana" w:hAnsi="Verdana" w:cs="Calibri Light"/>
          <w:b/>
          <w:sz w:val="20"/>
          <w:szCs w:val="20"/>
        </w:rPr>
        <w:t xml:space="preserve">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DA ESPÉCIE </w:t>
      </w:r>
      <w:r w:rsidR="00C24B96">
        <w:rPr>
          <w:rFonts w:ascii="Verdana" w:hAnsi="Verdana" w:cs="Calibri Light"/>
          <w:b/>
          <w:sz w:val="20"/>
          <w:szCs w:val="20"/>
        </w:rPr>
        <w:t>COM GARANTIA REAL</w:t>
      </w:r>
      <w:r w:rsidR="00D940AE">
        <w:rPr>
          <w:rFonts w:ascii="Verdana" w:hAnsi="Verdana" w:cs="Calibri Light"/>
          <w:b/>
          <w:sz w:val="20"/>
          <w:szCs w:val="20"/>
        </w:rPr>
        <w:t>, EM SÉRIE</w:t>
      </w:r>
      <w:r w:rsidR="00C24B96">
        <w:rPr>
          <w:rFonts w:ascii="Verdana" w:hAnsi="Verdana" w:cs="Calibri Light"/>
          <w:b/>
          <w:sz w:val="20"/>
          <w:szCs w:val="20"/>
        </w:rPr>
        <w:t xml:space="preserve"> ÚNICA</w:t>
      </w:r>
      <w:r w:rsidR="00D940AE">
        <w:rPr>
          <w:rFonts w:ascii="Verdana" w:hAnsi="Verdana" w:cs="Calibri Light"/>
          <w:b/>
          <w:sz w:val="20"/>
          <w:szCs w:val="20"/>
        </w:rPr>
        <w:t>, PARA DISTRIBUIÇÃO PÚBLICA COM ESFORÇOS RESTRITOS,</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w:t>
      </w:r>
      <w:r w:rsidR="00C24B96">
        <w:rPr>
          <w:rFonts w:ascii="Verdana" w:hAnsi="Verdana" w:cs="Calibri Light"/>
          <w:b/>
          <w:sz w:val="20"/>
          <w:szCs w:val="20"/>
        </w:rPr>
        <w:t>CARTÕES CONSIGNADOS II</w:t>
      </w:r>
      <w:r w:rsidR="004201B8" w:rsidRPr="00711CC0">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C24B96">
        <w:rPr>
          <w:rFonts w:ascii="Verdana" w:hAnsi="Verdana" w:cs="Calibri Light"/>
          <w:b/>
          <w:sz w:val="20"/>
          <w:szCs w:val="20"/>
        </w:rPr>
        <w:t>26</w:t>
      </w:r>
      <w:r w:rsidR="00B945B5">
        <w:rPr>
          <w:rFonts w:ascii="Verdana" w:hAnsi="Verdana" w:cs="Calibri Light"/>
          <w:b/>
          <w:sz w:val="20"/>
          <w:szCs w:val="20"/>
        </w:rPr>
        <w:t xml:space="preserve"> DE </w:t>
      </w:r>
      <w:r w:rsidR="00C24B96">
        <w:rPr>
          <w:rFonts w:ascii="Verdana" w:hAnsi="Verdana" w:cs="Calibri Light"/>
          <w:b/>
          <w:sz w:val="20"/>
          <w:szCs w:val="20"/>
        </w:rPr>
        <w:t>JANEIRO</w:t>
      </w:r>
      <w:r w:rsidR="00CE3FF0">
        <w:rPr>
          <w:rFonts w:ascii="Verdana" w:hAnsi="Verdana" w:cs="Calibri Light"/>
          <w:b/>
          <w:sz w:val="20"/>
          <w:szCs w:val="20"/>
        </w:rPr>
        <w:t xml:space="preserve"> </w:t>
      </w:r>
      <w:r w:rsidR="00B945B5">
        <w:rPr>
          <w:rFonts w:ascii="Verdana" w:hAnsi="Verdana" w:cs="Calibri Light"/>
          <w:b/>
          <w:sz w:val="20"/>
          <w:szCs w:val="20"/>
        </w:rPr>
        <w:t>DE 202</w:t>
      </w:r>
      <w:r w:rsidR="00C24B96">
        <w:rPr>
          <w:rFonts w:ascii="Verdana" w:hAnsi="Verdana" w:cs="Calibri Light"/>
          <w:b/>
          <w:sz w:val="20"/>
          <w:szCs w:val="20"/>
        </w:rPr>
        <w:t>2</w:t>
      </w:r>
    </w:p>
    <w:bookmarkEnd w:id="0"/>
    <w:bookmarkEnd w:id="1"/>
    <w:p w14:paraId="0C7B75F7" w14:textId="77777777" w:rsidR="00550A4B" w:rsidRPr="00711CC0" w:rsidRDefault="00550A4B" w:rsidP="00EA7FB3">
      <w:pPr>
        <w:spacing w:after="0"/>
        <w:jc w:val="both"/>
        <w:rPr>
          <w:rFonts w:ascii="Verdana" w:hAnsi="Verdana" w:cs="Calibri Light"/>
          <w:sz w:val="20"/>
          <w:szCs w:val="20"/>
        </w:rPr>
      </w:pPr>
    </w:p>
    <w:p w14:paraId="7769447E" w14:textId="22375E54"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A67F44">
        <w:rPr>
          <w:rFonts w:ascii="Verdana" w:hAnsi="Verdana" w:cs="Calibri Light"/>
          <w:sz w:val="20"/>
          <w:szCs w:val="20"/>
        </w:rPr>
        <w:t xml:space="preserve"> </w:t>
      </w:r>
      <w:r w:rsidR="00C24B96">
        <w:rPr>
          <w:rFonts w:ascii="Verdana" w:hAnsi="Verdana" w:cs="Calibri Light"/>
          <w:sz w:val="20"/>
          <w:szCs w:val="20"/>
        </w:rPr>
        <w:t>26</w:t>
      </w:r>
      <w:r w:rsidR="00B945B5">
        <w:rPr>
          <w:rFonts w:ascii="Verdana" w:hAnsi="Verdana" w:cs="Calibri Light"/>
          <w:sz w:val="20"/>
          <w:szCs w:val="20"/>
        </w:rPr>
        <w:t xml:space="preserve"> de </w:t>
      </w:r>
      <w:r w:rsidR="00C24B96">
        <w:rPr>
          <w:rFonts w:ascii="Verdana" w:hAnsi="Verdana" w:cs="Calibri Light"/>
          <w:sz w:val="20"/>
          <w:szCs w:val="20"/>
        </w:rPr>
        <w:t>janeiro</w:t>
      </w:r>
      <w:r w:rsidR="003F7255">
        <w:rPr>
          <w:rFonts w:ascii="Verdana" w:hAnsi="Verdana" w:cs="Calibri Light"/>
          <w:sz w:val="20"/>
          <w:szCs w:val="20"/>
        </w:rPr>
        <w:t xml:space="preserve"> </w:t>
      </w:r>
      <w:r w:rsidR="00B945B5">
        <w:rPr>
          <w:rFonts w:ascii="Verdana" w:hAnsi="Verdana" w:cs="Calibri Light"/>
          <w:sz w:val="20"/>
          <w:szCs w:val="20"/>
        </w:rPr>
        <w:t>de 202</w:t>
      </w:r>
      <w:r w:rsidR="00C24B96">
        <w:rPr>
          <w:rFonts w:ascii="Verdana" w:hAnsi="Verdana" w:cs="Calibri Light"/>
          <w:sz w:val="20"/>
          <w:szCs w:val="20"/>
        </w:rPr>
        <w:t>2</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20201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xml:space="preserve">”), </w:t>
      </w:r>
      <w:r w:rsidR="00A67F44" w:rsidRPr="00A67F44">
        <w:rPr>
          <w:rFonts w:ascii="Verdana" w:hAnsi="Verdana" w:cs="Calibri Light"/>
          <w:sz w:val="20"/>
          <w:szCs w:val="20"/>
        </w:rPr>
        <w:t xml:space="preserve">através da plataforma </w:t>
      </w:r>
      <w:r w:rsidR="00A67F44">
        <w:rPr>
          <w:rFonts w:ascii="Verdana" w:hAnsi="Verdana" w:cs="Calibri Light"/>
          <w:sz w:val="20"/>
          <w:szCs w:val="20"/>
        </w:rPr>
        <w:t>“</w:t>
      </w:r>
      <w:r w:rsidR="00A67F44" w:rsidRPr="00A67F44">
        <w:rPr>
          <w:rFonts w:ascii="Verdana" w:hAnsi="Verdana" w:cs="Calibri Light"/>
          <w:i/>
          <w:iCs/>
          <w:sz w:val="20"/>
          <w:szCs w:val="20"/>
        </w:rPr>
        <w:t>Zoom</w:t>
      </w:r>
      <w:r w:rsidR="00A67F44">
        <w:rPr>
          <w:rFonts w:ascii="Verdana" w:hAnsi="Verdana" w:cs="Calibri Light"/>
          <w:sz w:val="20"/>
          <w:szCs w:val="20"/>
        </w:rPr>
        <w:t>”</w:t>
      </w:r>
      <w:r w:rsidR="00A67F44" w:rsidRPr="00A67F44">
        <w:rPr>
          <w:rFonts w:ascii="Verdana" w:hAnsi="Verdana" w:cs="Calibri Light"/>
          <w:sz w:val="20"/>
          <w:szCs w:val="20"/>
        </w:rPr>
        <w:t xml:space="preserve"> </w:t>
      </w:r>
      <w:r w:rsidR="003F7255">
        <w:rPr>
          <w:rFonts w:ascii="Verdana" w:hAnsi="Verdana" w:cs="Calibri Light"/>
          <w:sz w:val="20"/>
          <w:szCs w:val="20"/>
        </w:rPr>
        <w:t xml:space="preserve">coordenada pela Companhia Securitizadora de Créditos Financeiros </w:t>
      </w:r>
      <w:r w:rsidR="00F8084B">
        <w:rPr>
          <w:rFonts w:ascii="Verdana" w:hAnsi="Verdana" w:cs="Calibri Light"/>
          <w:sz w:val="20"/>
          <w:szCs w:val="20"/>
        </w:rPr>
        <w:t>Cartões Consignados II</w:t>
      </w:r>
      <w:r w:rsidR="003F7255">
        <w:rPr>
          <w:rFonts w:ascii="Verdana" w:hAnsi="Verdana" w:cs="Calibri Light"/>
          <w:sz w:val="20"/>
          <w:szCs w:val="20"/>
        </w:rPr>
        <w:t>,</w:t>
      </w:r>
      <w:r w:rsidR="00C24B96">
        <w:rPr>
          <w:rFonts w:ascii="Verdana" w:hAnsi="Verdana" w:cs="Calibri Light"/>
          <w:sz w:val="20"/>
          <w:szCs w:val="20"/>
        </w:rPr>
        <w:t xml:space="preserve"> </w:t>
      </w:r>
      <w:r w:rsidR="003F7255">
        <w:rPr>
          <w:rFonts w:ascii="Verdana" w:hAnsi="Verdana" w:cs="Calibri Light"/>
          <w:sz w:val="20"/>
          <w:szCs w:val="20"/>
        </w:rPr>
        <w:t xml:space="preserve">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r w:rsidR="000B69F6" w:rsidRPr="00711CC0">
        <w:rPr>
          <w:rFonts w:ascii="Verdana" w:hAnsi="Verdana" w:cs="Calibri Light"/>
          <w:sz w:val="20"/>
          <w:szCs w:val="20"/>
          <w:u w:val="single"/>
        </w:rPr>
        <w:t>Securitizadora</w:t>
      </w:r>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EA7FB3">
      <w:pPr>
        <w:spacing w:after="0"/>
        <w:jc w:val="both"/>
        <w:rPr>
          <w:rFonts w:ascii="Verdana" w:hAnsi="Verdana" w:cs="Calibri Light"/>
          <w:b/>
          <w:sz w:val="20"/>
          <w:szCs w:val="20"/>
        </w:rPr>
      </w:pPr>
    </w:p>
    <w:p w14:paraId="6397A5B4" w14:textId="268D4E12"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Sr.</w:t>
      </w:r>
      <w:r w:rsidR="00A67F44">
        <w:rPr>
          <w:rFonts w:ascii="Verdana" w:hAnsi="Verdana" w:cs="Calibri Light"/>
          <w:sz w:val="20"/>
          <w:szCs w:val="20"/>
        </w:rPr>
        <w:t xml:space="preserve"> </w:t>
      </w:r>
      <w:r w:rsidR="00D0484F">
        <w:rPr>
          <w:rFonts w:ascii="Verdana" w:hAnsi="Verdana" w:cs="Calibri Light"/>
          <w:sz w:val="20"/>
          <w:szCs w:val="20"/>
        </w:rPr>
        <w:t>[Debenturista Eleito]</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A67F44" w:rsidRPr="00A67F44">
        <w:t xml:space="preserve"> </w:t>
      </w:r>
      <w:r w:rsidR="00F8084B">
        <w:rPr>
          <w:rFonts w:ascii="Verdana" w:hAnsi="Verdana" w:cs="Calibri Light"/>
          <w:sz w:val="20"/>
          <w:szCs w:val="20"/>
        </w:rPr>
        <w:t>Carlos Bacha</w:t>
      </w:r>
      <w:r w:rsidR="00A67F44">
        <w:rPr>
          <w:rFonts w:ascii="Verdana" w:hAnsi="Verdana" w:cs="Calibri Light"/>
          <w:sz w:val="20"/>
          <w:szCs w:val="20"/>
        </w:rPr>
        <w:t>.</w:t>
      </w:r>
    </w:p>
    <w:p w14:paraId="4BBCDDA1" w14:textId="77777777" w:rsidR="00550A4B" w:rsidRPr="00711CC0" w:rsidRDefault="00550A4B" w:rsidP="00EA7FB3">
      <w:pPr>
        <w:spacing w:after="0"/>
        <w:jc w:val="both"/>
        <w:rPr>
          <w:rFonts w:ascii="Verdana" w:hAnsi="Verdana" w:cs="Calibri Light"/>
          <w:sz w:val="20"/>
          <w:szCs w:val="20"/>
        </w:rPr>
      </w:pPr>
    </w:p>
    <w:p w14:paraId="278F5144" w14:textId="6A351FF1"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Cláusula </w:t>
      </w:r>
      <w:r w:rsidR="00F8084B">
        <w:rPr>
          <w:rFonts w:ascii="Verdana" w:hAnsi="Verdana" w:cs="Calibri Light"/>
          <w:sz w:val="20"/>
          <w:szCs w:val="20"/>
        </w:rPr>
        <w:t>12</w:t>
      </w:r>
      <w:r w:rsidR="00591152" w:rsidRPr="00711CC0">
        <w:rPr>
          <w:rFonts w:ascii="Verdana" w:hAnsi="Verdana" w:cs="Calibri Light"/>
          <w:sz w:val="20"/>
          <w:szCs w:val="20"/>
        </w:rPr>
        <w:t xml:space="preserve"> do </w:t>
      </w:r>
      <w:r w:rsidR="00F8084B" w:rsidRPr="00F8084B">
        <w:rPr>
          <w:rFonts w:ascii="Verdana" w:hAnsi="Verdana" w:cs="Calibri Light"/>
          <w:sz w:val="20"/>
          <w:szCs w:val="20"/>
        </w:rPr>
        <w:t>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w:t>
      </w:r>
      <w:r w:rsidR="00F8084B" w:rsidRPr="00F8084B">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r w:rsidR="00AD7BC2">
        <w:rPr>
          <w:rFonts w:ascii="Verdana" w:hAnsi="Verdana" w:cs="Calibri Light"/>
          <w:sz w:val="20"/>
          <w:szCs w:val="20"/>
        </w:rPr>
        <w:t xml:space="preserve"> da </w:t>
      </w:r>
      <w:r w:rsidR="001F7B33" w:rsidRPr="00711CC0">
        <w:rPr>
          <w:rFonts w:ascii="Verdana" w:hAnsi="Verdana" w:cs="Calibri Light"/>
          <w:sz w:val="20"/>
          <w:szCs w:val="20"/>
        </w:rPr>
        <w:t>Emissão.</w:t>
      </w:r>
    </w:p>
    <w:p w14:paraId="402D6722" w14:textId="77777777" w:rsidR="00550A4B" w:rsidRPr="00711CC0" w:rsidRDefault="00550A4B" w:rsidP="00EA7FB3">
      <w:pPr>
        <w:spacing w:after="0"/>
        <w:jc w:val="both"/>
        <w:rPr>
          <w:rFonts w:ascii="Verdana" w:hAnsi="Verdana" w:cs="Calibri Light"/>
          <w:sz w:val="20"/>
          <w:szCs w:val="20"/>
        </w:rPr>
      </w:pPr>
    </w:p>
    <w:p w14:paraId="28DA5D7E" w14:textId="5395A623"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das Debêntures</w:t>
      </w:r>
      <w:r w:rsidR="00AD7BC2">
        <w:rPr>
          <w:rFonts w:ascii="Verdana" w:hAnsi="Verdana" w:cs="Calibri Light"/>
          <w:sz w:val="20"/>
          <w:szCs w:val="20"/>
        </w:rPr>
        <w:t xml:space="preserve"> </w:t>
      </w:r>
      <w:r w:rsidRPr="00711CC0">
        <w:rPr>
          <w:rFonts w:ascii="Verdana" w:hAnsi="Verdana" w:cs="Calibri Light"/>
          <w:sz w:val="20"/>
          <w:szCs w:val="20"/>
        </w:rPr>
        <w:t xml:space="preserve">em </w:t>
      </w:r>
      <w:r w:rsidR="00FA6E6A">
        <w:rPr>
          <w:rFonts w:ascii="Verdana" w:hAnsi="Verdana" w:cs="Calibri Light"/>
          <w:sz w:val="20"/>
          <w:szCs w:val="20"/>
        </w:rPr>
        <w:t>C</w:t>
      </w:r>
      <w:r w:rsidRPr="00711CC0">
        <w:rPr>
          <w:rFonts w:ascii="Verdana" w:hAnsi="Verdana" w:cs="Calibri Light"/>
          <w:sz w:val="20"/>
          <w:szCs w:val="20"/>
        </w:rPr>
        <w:t>irculação</w:t>
      </w:r>
      <w:r w:rsidR="00FA6E6A">
        <w:rPr>
          <w:rFonts w:ascii="Verdana" w:hAnsi="Verdana" w:cs="Calibri Light"/>
          <w:sz w:val="20"/>
          <w:szCs w:val="20"/>
        </w:rPr>
        <w:t xml:space="preserve"> para Fins de Apuração de Quórum</w:t>
      </w:r>
      <w:r w:rsidRPr="00711CC0">
        <w:rPr>
          <w:rFonts w:ascii="Verdana" w:hAnsi="Verdana" w:cs="Calibri Light"/>
          <w:sz w:val="20"/>
          <w:szCs w:val="20"/>
        </w:rPr>
        <w:t>, conforme</w:t>
      </w:r>
      <w:r w:rsidR="00FA6E6A">
        <w:rPr>
          <w:rFonts w:ascii="Verdana" w:hAnsi="Verdana" w:cs="Calibri Light"/>
          <w:sz w:val="20"/>
          <w:szCs w:val="20"/>
        </w:rPr>
        <w:t xml:space="preserve"> definição constante na Escritura de Emissão e</w:t>
      </w:r>
      <w:r w:rsidRPr="00711CC0">
        <w:rPr>
          <w:rFonts w:ascii="Verdana" w:hAnsi="Verdana" w:cs="Calibri Light"/>
          <w:sz w:val="20"/>
          <w:szCs w:val="20"/>
        </w:rPr>
        <w:t xml:space="preserve"> lista de presença</w:t>
      </w:r>
      <w:r w:rsidR="00FA6E6A">
        <w:rPr>
          <w:rFonts w:ascii="Verdana" w:hAnsi="Verdana" w:cs="Calibri Light"/>
          <w:sz w:val="20"/>
          <w:szCs w:val="20"/>
        </w:rPr>
        <w:t xml:space="preserve"> do</w:t>
      </w:r>
      <w:r w:rsidRPr="00711CC0">
        <w:rPr>
          <w:rFonts w:ascii="Verdana" w:hAnsi="Verdana" w:cs="Calibri Light"/>
          <w:sz w:val="20"/>
          <w:szCs w:val="20"/>
        </w:rPr>
        <w:t xml:space="preserve">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ta</w:t>
      </w:r>
      <w:r w:rsidR="00FA6E6A">
        <w:rPr>
          <w:rFonts w:ascii="Verdana" w:hAnsi="Verdana" w:cs="Calibri Light"/>
          <w:sz w:val="20"/>
          <w:szCs w:val="20"/>
        </w:rPr>
        <w:t>.</w:t>
      </w:r>
      <w:r w:rsidR="00FA46A3"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EA7FB3">
      <w:pPr>
        <w:spacing w:after="0"/>
        <w:jc w:val="both"/>
        <w:rPr>
          <w:rFonts w:ascii="Verdana" w:hAnsi="Verdana" w:cs="Calibri Light"/>
          <w:sz w:val="20"/>
          <w:szCs w:val="20"/>
        </w:rPr>
      </w:pPr>
    </w:p>
    <w:p w14:paraId="55BD8CE8" w14:textId="582FE386"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(ii)</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EA7FB3">
      <w:pPr>
        <w:spacing w:after="0"/>
        <w:jc w:val="both"/>
        <w:rPr>
          <w:rFonts w:ascii="Verdana" w:hAnsi="Verdana" w:cs="Calibri Light"/>
          <w:sz w:val="20"/>
          <w:szCs w:val="20"/>
        </w:rPr>
      </w:pPr>
    </w:p>
    <w:p w14:paraId="75DB42FE" w14:textId="1F108888" w:rsidR="00215E78" w:rsidRPr="00711CC0" w:rsidRDefault="00550A4B" w:rsidP="00EA7FB3">
      <w:pPr>
        <w:autoSpaceDE w:val="0"/>
        <w:autoSpaceDN w:val="0"/>
        <w:adjustRightInd w:val="0"/>
        <w:spacing w:after="0"/>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2"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2"/>
      <w:r w:rsidR="003F7255">
        <w:rPr>
          <w:rFonts w:ascii="Verdana" w:hAnsi="Verdana" w:cs="Calibri Light"/>
          <w:sz w:val="20"/>
          <w:szCs w:val="20"/>
        </w:rPr>
        <w:t xml:space="preserve">a </w:t>
      </w:r>
      <w:r w:rsidR="00FA6E6A">
        <w:rPr>
          <w:rFonts w:ascii="Verdana" w:hAnsi="Verdana" w:cs="Calibri Light"/>
          <w:sz w:val="20"/>
          <w:szCs w:val="20"/>
        </w:rPr>
        <w:t>não mudança do regime de amortização, considerando</w:t>
      </w:r>
      <w:r w:rsidR="00422D76">
        <w:rPr>
          <w:rFonts w:ascii="Verdana" w:hAnsi="Verdana" w:cs="Calibri Light"/>
          <w:sz w:val="20"/>
          <w:szCs w:val="20"/>
        </w:rPr>
        <w:t xml:space="preserve"> a ocorrência do Evento de Desalavancagem “</w:t>
      </w:r>
      <w:r w:rsidR="00422D76">
        <w:rPr>
          <w:rFonts w:ascii="Verdana" w:hAnsi="Verdana" w:cs="Calibri Light"/>
          <w:b/>
          <w:bCs/>
          <w:sz w:val="20"/>
          <w:szCs w:val="20"/>
        </w:rPr>
        <w:t>(a)</w:t>
      </w:r>
      <w:r w:rsidR="00422D76">
        <w:rPr>
          <w:rFonts w:ascii="Verdana" w:hAnsi="Verdana" w:cs="Calibri Light"/>
          <w:sz w:val="20"/>
          <w:szCs w:val="20"/>
        </w:rPr>
        <w:t>”, qual seja o desenquadramento do Índice de Cobertura em setembro de 2021</w:t>
      </w:r>
      <w:r w:rsidR="00EE5AE8">
        <w:rPr>
          <w:rFonts w:ascii="Verdana" w:hAnsi="Verdana" w:cs="Calibri Light"/>
          <w:sz w:val="20"/>
          <w:szCs w:val="20"/>
        </w:rPr>
        <w:t>;</w:t>
      </w:r>
      <w:r w:rsidR="00422D76">
        <w:rPr>
          <w:rFonts w:ascii="Verdana" w:hAnsi="Verdana" w:cs="Calibri Light"/>
          <w:sz w:val="20"/>
          <w:szCs w:val="20"/>
        </w:rPr>
        <w:t xml:space="preserve"> </w:t>
      </w:r>
      <w:r w:rsidR="00422D76">
        <w:rPr>
          <w:rFonts w:ascii="Verdana" w:hAnsi="Verdana" w:cs="Calibri Light"/>
          <w:b/>
          <w:bCs/>
          <w:sz w:val="20"/>
          <w:szCs w:val="20"/>
        </w:rPr>
        <w:t xml:space="preserve">(ii) </w:t>
      </w:r>
      <w:r w:rsidR="00422D76">
        <w:rPr>
          <w:rFonts w:ascii="Verdana" w:hAnsi="Verdana" w:cs="Calibri Light"/>
          <w:sz w:val="20"/>
          <w:szCs w:val="20"/>
        </w:rPr>
        <w:t xml:space="preserve">a alteração da definição de </w:t>
      </w:r>
      <w:r w:rsidR="006074A6">
        <w:rPr>
          <w:rFonts w:ascii="Verdana" w:hAnsi="Verdana" w:cs="Calibri Light"/>
          <w:sz w:val="20"/>
          <w:szCs w:val="20"/>
        </w:rPr>
        <w:t>Data de Verificação; e</w:t>
      </w:r>
      <w:r w:rsidR="00457073">
        <w:rPr>
          <w:rFonts w:ascii="Verdana" w:hAnsi="Verdana" w:cs="Calibri Light"/>
          <w:sz w:val="20"/>
          <w:szCs w:val="20"/>
        </w:rPr>
        <w:t xml:space="preserve"> </w:t>
      </w:r>
      <w:r w:rsidR="0040682F">
        <w:rPr>
          <w:rFonts w:ascii="Verdana" w:hAnsi="Verdana" w:cs="Calibri Light"/>
          <w:b/>
          <w:bCs/>
          <w:sz w:val="20"/>
          <w:szCs w:val="20"/>
        </w:rPr>
        <w:t>(i</w:t>
      </w:r>
      <w:r w:rsidR="00422D76">
        <w:rPr>
          <w:rFonts w:ascii="Verdana" w:hAnsi="Verdana" w:cs="Calibri Light"/>
          <w:b/>
          <w:bCs/>
          <w:sz w:val="20"/>
          <w:szCs w:val="20"/>
        </w:rPr>
        <w:t>i</w:t>
      </w:r>
      <w:r w:rsidR="0040682F">
        <w:rPr>
          <w:rFonts w:ascii="Verdana" w:hAnsi="Verdana" w:cs="Calibri Light"/>
          <w:b/>
          <w:bCs/>
          <w:sz w:val="20"/>
          <w:szCs w:val="20"/>
        </w:rPr>
        <w:t>i)</w:t>
      </w:r>
      <w:r w:rsidR="0040682F">
        <w:rPr>
          <w:rFonts w:ascii="Verdana" w:hAnsi="Verdana" w:cs="Calibri Light"/>
          <w:sz w:val="20"/>
          <w:szCs w:val="20"/>
        </w:rPr>
        <w:t xml:space="preserve"> autorização a</w:t>
      </w:r>
      <w:r w:rsidR="0040682F" w:rsidRPr="0040682F">
        <w:rPr>
          <w:rFonts w:ascii="Verdana" w:hAnsi="Verdana" w:cs="Calibri Light"/>
          <w:sz w:val="20"/>
          <w:szCs w:val="20"/>
        </w:rPr>
        <w:t>o Agente Fiduciário</w:t>
      </w:r>
      <w:r w:rsidR="0040682F">
        <w:rPr>
          <w:rFonts w:ascii="Verdana" w:hAnsi="Verdana" w:cs="Calibri Light"/>
          <w:sz w:val="20"/>
          <w:szCs w:val="20"/>
        </w:rPr>
        <w:t xml:space="preserve"> e</w:t>
      </w:r>
      <w:r w:rsidR="0040682F" w:rsidRPr="0040682F">
        <w:rPr>
          <w:rFonts w:ascii="Verdana" w:hAnsi="Verdana" w:cs="Calibri Light"/>
          <w:sz w:val="20"/>
          <w:szCs w:val="20"/>
        </w:rPr>
        <w:t xml:space="preserve"> a Emissora a tomar todos os atos necessários para refletir as deliberações da presente assembleia nos documentos da operação.</w:t>
      </w:r>
    </w:p>
    <w:p w14:paraId="2E6BFBDC" w14:textId="77777777" w:rsidR="00C8224F" w:rsidRPr="00711CC0" w:rsidRDefault="00C8224F" w:rsidP="00EA7FB3">
      <w:pPr>
        <w:autoSpaceDE w:val="0"/>
        <w:autoSpaceDN w:val="0"/>
        <w:adjustRightInd w:val="0"/>
        <w:spacing w:after="0"/>
        <w:jc w:val="both"/>
        <w:rPr>
          <w:rFonts w:ascii="Verdana" w:hAnsi="Verdana" w:cs="Calibri Light"/>
          <w:sz w:val="20"/>
          <w:szCs w:val="20"/>
        </w:rPr>
      </w:pPr>
    </w:p>
    <w:p w14:paraId="7BC018E0" w14:textId="13874157" w:rsidR="00EE5AE8" w:rsidRDefault="00550A4B" w:rsidP="00EA7FB3">
      <w:pPr>
        <w:spacing w:after="0"/>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r w:rsidR="00153701">
        <w:rPr>
          <w:rFonts w:ascii="Verdana" w:hAnsi="Verdana" w:cs="Calibri Light"/>
          <w:sz w:val="20"/>
          <w:szCs w:val="20"/>
        </w:rPr>
        <w:t xml:space="preserve"> </w:t>
      </w:r>
    </w:p>
    <w:p w14:paraId="46E252BD" w14:textId="77777777" w:rsidR="00EE5AE8" w:rsidRDefault="00EE5AE8" w:rsidP="00EA7FB3">
      <w:pPr>
        <w:spacing w:after="0"/>
        <w:jc w:val="both"/>
        <w:rPr>
          <w:rFonts w:ascii="Verdana" w:hAnsi="Verdana" w:cs="Calibri Light"/>
          <w:sz w:val="20"/>
          <w:szCs w:val="20"/>
        </w:rPr>
      </w:pPr>
    </w:p>
    <w:p w14:paraId="039FFC5F" w14:textId="77777777" w:rsidR="00A60ADD" w:rsidRDefault="00EE5AE8" w:rsidP="008D5F0A">
      <w:pPr>
        <w:spacing w:after="0"/>
        <w:jc w:val="both"/>
        <w:rPr>
          <w:rFonts w:ascii="Verdana" w:hAnsi="Verdana" w:cs="Calibri Light"/>
          <w:sz w:val="20"/>
          <w:szCs w:val="20"/>
        </w:rPr>
      </w:pPr>
      <w:r w:rsidRPr="00EE5AE8">
        <w:rPr>
          <w:rFonts w:ascii="Verdana" w:hAnsi="Verdana" w:cs="Calibri Light"/>
          <w:b/>
          <w:bCs/>
          <w:sz w:val="20"/>
          <w:szCs w:val="20"/>
        </w:rPr>
        <w:lastRenderedPageBreak/>
        <w:t>(i)</w:t>
      </w:r>
      <w:r>
        <w:rPr>
          <w:rFonts w:ascii="Verdana" w:hAnsi="Verdana" w:cs="Calibri Light"/>
          <w:sz w:val="20"/>
          <w:szCs w:val="20"/>
        </w:rPr>
        <w:t xml:space="preserve"> </w:t>
      </w:r>
      <w:r w:rsidR="00191881">
        <w:rPr>
          <w:rFonts w:ascii="Verdana" w:hAnsi="Verdana" w:cs="Calibri Light"/>
          <w:sz w:val="20"/>
          <w:szCs w:val="20"/>
        </w:rPr>
        <w:tab/>
      </w:r>
      <w:r w:rsidR="006074A6">
        <w:rPr>
          <w:rFonts w:ascii="Verdana" w:hAnsi="Verdana" w:cs="Calibri Light"/>
          <w:sz w:val="20"/>
          <w:szCs w:val="20"/>
        </w:rPr>
        <w:t>a não mudança do regime de amortização, considerando a ocorrência do Evento de Desalavancagem “</w:t>
      </w:r>
      <w:r w:rsidR="006074A6">
        <w:rPr>
          <w:rFonts w:ascii="Verdana" w:hAnsi="Verdana" w:cs="Calibri Light"/>
          <w:b/>
          <w:bCs/>
          <w:sz w:val="20"/>
          <w:szCs w:val="20"/>
        </w:rPr>
        <w:t>(a)</w:t>
      </w:r>
      <w:r w:rsidR="006074A6">
        <w:rPr>
          <w:rFonts w:ascii="Verdana" w:hAnsi="Verdana" w:cs="Calibri Light"/>
          <w:sz w:val="20"/>
          <w:szCs w:val="20"/>
        </w:rPr>
        <w:t>”, qual seja o desenquadramento do Índice de Cobertura em setembro de 2021</w:t>
      </w:r>
      <w:r w:rsidR="006F41A3">
        <w:rPr>
          <w:rFonts w:ascii="Verdana" w:hAnsi="Verdana" w:cs="Calibri Light"/>
          <w:sz w:val="20"/>
          <w:szCs w:val="20"/>
        </w:rPr>
        <w:t>.</w:t>
      </w:r>
      <w:r w:rsidR="00154C1D">
        <w:rPr>
          <w:rFonts w:ascii="Verdana" w:hAnsi="Verdana" w:cs="Calibri Light"/>
          <w:sz w:val="20"/>
          <w:szCs w:val="20"/>
        </w:rPr>
        <w:t xml:space="preserve"> </w:t>
      </w:r>
    </w:p>
    <w:p w14:paraId="6C18D659" w14:textId="77777777" w:rsidR="00A60ADD" w:rsidRDefault="00A60ADD" w:rsidP="008D5F0A">
      <w:pPr>
        <w:spacing w:after="0"/>
        <w:jc w:val="both"/>
        <w:rPr>
          <w:rFonts w:ascii="Verdana" w:hAnsi="Verdana" w:cs="Calibri Light"/>
          <w:sz w:val="20"/>
          <w:szCs w:val="20"/>
        </w:rPr>
      </w:pPr>
    </w:p>
    <w:p w14:paraId="250CD0BC" w14:textId="6DE3DF51" w:rsidR="00463DB2" w:rsidRDefault="00154C1D" w:rsidP="008D5F0A">
      <w:pPr>
        <w:spacing w:after="0"/>
        <w:jc w:val="both"/>
        <w:rPr>
          <w:rFonts w:ascii="Verdana" w:hAnsi="Verdana" w:cs="Calibri Light"/>
          <w:sz w:val="20"/>
          <w:szCs w:val="20"/>
        </w:rPr>
      </w:pPr>
      <w:r>
        <w:rPr>
          <w:rFonts w:ascii="Verdana" w:hAnsi="Verdana" w:cs="Calibri Light"/>
          <w:sz w:val="20"/>
          <w:szCs w:val="20"/>
        </w:rPr>
        <w:t>Em referência a</w:t>
      </w:r>
      <w:r w:rsidR="00A60ADD">
        <w:rPr>
          <w:rFonts w:ascii="Verdana" w:hAnsi="Verdana" w:cs="Calibri Light"/>
          <w:sz w:val="20"/>
          <w:szCs w:val="20"/>
        </w:rPr>
        <w:t>o item “(i)” supracitado</w:t>
      </w:r>
      <w:r>
        <w:rPr>
          <w:rFonts w:ascii="Verdana" w:hAnsi="Verdana" w:cs="Calibri Light"/>
          <w:sz w:val="20"/>
          <w:szCs w:val="20"/>
        </w:rPr>
        <w:t>, a Emissora informou os Debenturistas que o desenquadramento foi sanado com a entrada de novos Direitos Creditórios, mediante a celebração do Termo de Cessão nº 2</w:t>
      </w:r>
      <w:r w:rsidR="00A60ADD">
        <w:rPr>
          <w:rFonts w:ascii="Verdana" w:hAnsi="Verdana" w:cs="Calibri Light"/>
          <w:sz w:val="20"/>
          <w:szCs w:val="20"/>
        </w:rPr>
        <w:t xml:space="preserve"> em 01 de dezembro de 2021, entre a Emissora e a Cedente.</w:t>
      </w:r>
    </w:p>
    <w:p w14:paraId="7E6A18C5" w14:textId="77777777" w:rsidR="006074A6" w:rsidRDefault="006074A6" w:rsidP="008D5F0A">
      <w:pPr>
        <w:spacing w:after="0"/>
        <w:jc w:val="both"/>
        <w:rPr>
          <w:rFonts w:ascii="Verdana" w:hAnsi="Verdana" w:cs="Calibri Light"/>
          <w:sz w:val="20"/>
          <w:szCs w:val="20"/>
        </w:rPr>
      </w:pPr>
    </w:p>
    <w:p w14:paraId="247970AA" w14:textId="6FC53823" w:rsidR="00AD7BC2" w:rsidRDefault="006074A6" w:rsidP="006074A6">
      <w:pPr>
        <w:spacing w:after="0"/>
        <w:jc w:val="both"/>
        <w:rPr>
          <w:rFonts w:ascii="Verdana" w:hAnsi="Verdana" w:cs="Calibri Light"/>
          <w:sz w:val="20"/>
          <w:szCs w:val="20"/>
        </w:rPr>
      </w:pPr>
      <w:r>
        <w:rPr>
          <w:rFonts w:ascii="Verdana" w:hAnsi="Verdana"/>
          <w:b/>
          <w:bCs/>
          <w:sz w:val="20"/>
          <w:szCs w:val="20"/>
        </w:rPr>
        <w:t>(ii)</w:t>
      </w:r>
      <w:r>
        <w:rPr>
          <w:rFonts w:ascii="Verdana" w:hAnsi="Verdana"/>
          <w:b/>
          <w:bCs/>
          <w:sz w:val="20"/>
          <w:szCs w:val="20"/>
        </w:rPr>
        <w:tab/>
      </w:r>
      <w:r>
        <w:rPr>
          <w:rFonts w:ascii="Verdana" w:hAnsi="Verdana" w:cs="Calibri Light"/>
          <w:sz w:val="20"/>
          <w:szCs w:val="20"/>
        </w:rPr>
        <w:t>a alteração da definição de Data de Verificação</w:t>
      </w:r>
      <w:r>
        <w:rPr>
          <w:rFonts w:ascii="Verdana" w:hAnsi="Verdana" w:cs="Calibri Light"/>
          <w:sz w:val="20"/>
          <w:szCs w:val="20"/>
        </w:rPr>
        <w:t>, de modo que a definição passa a viger com a seguinte e nova redação:</w:t>
      </w:r>
    </w:p>
    <w:p w14:paraId="7C07780B" w14:textId="45953C66" w:rsidR="006074A6" w:rsidRDefault="006074A6" w:rsidP="006074A6">
      <w:pPr>
        <w:spacing w:after="0"/>
        <w:jc w:val="both"/>
        <w:rPr>
          <w:rFonts w:ascii="Verdana" w:hAnsi="Verdana" w:cs="Calibri Light"/>
          <w:sz w:val="20"/>
          <w:szCs w:val="20"/>
        </w:rPr>
      </w:pPr>
    </w:p>
    <w:tbl>
      <w:tblPr>
        <w:tblStyle w:val="Tabelacomgrade1"/>
        <w:tblW w:w="0" w:type="auto"/>
        <w:jc w:val="center"/>
        <w:tblLook w:val="04A0" w:firstRow="1" w:lastRow="0" w:firstColumn="1" w:lastColumn="0" w:noHBand="0" w:noVBand="1"/>
      </w:tblPr>
      <w:tblGrid>
        <w:gridCol w:w="4248"/>
        <w:gridCol w:w="4246"/>
      </w:tblGrid>
      <w:tr w:rsidR="006074A6" w:rsidRPr="002F5DDC" w14:paraId="340FC29E" w14:textId="77777777" w:rsidTr="0098300B">
        <w:trPr>
          <w:jc w:val="center"/>
        </w:trPr>
        <w:tc>
          <w:tcPr>
            <w:tcW w:w="4414" w:type="dxa"/>
            <w:tcBorders>
              <w:top w:val="single" w:sz="4" w:space="0" w:color="auto"/>
              <w:left w:val="single" w:sz="4" w:space="0" w:color="auto"/>
              <w:bottom w:val="single" w:sz="4" w:space="0" w:color="auto"/>
              <w:right w:val="single" w:sz="4" w:space="0" w:color="auto"/>
            </w:tcBorders>
            <w:hideMark/>
          </w:tcPr>
          <w:p w14:paraId="2E2195D7" w14:textId="77777777" w:rsidR="006074A6" w:rsidRPr="006074A6" w:rsidRDefault="006074A6" w:rsidP="0098300B">
            <w:pPr>
              <w:spacing w:line="288" w:lineRule="auto"/>
              <w:rPr>
                <w:rFonts w:ascii="Verdana" w:eastAsia="Arial Unicode MS" w:hAnsi="Verdana"/>
                <w:b/>
                <w:i/>
                <w:iCs/>
                <w:sz w:val="20"/>
                <w:szCs w:val="20"/>
              </w:rPr>
            </w:pPr>
            <w:r w:rsidRPr="006074A6">
              <w:rPr>
                <w:rFonts w:ascii="Verdana" w:eastAsia="Arial Unicode MS" w:hAnsi="Verdana"/>
                <w:i/>
                <w:iCs/>
                <w:sz w:val="20"/>
                <w:szCs w:val="20"/>
              </w:rPr>
              <w:t>“</w:t>
            </w:r>
            <w:r w:rsidRPr="006074A6">
              <w:rPr>
                <w:rFonts w:ascii="Verdana" w:eastAsia="Arial Unicode MS" w:hAnsi="Verdana"/>
                <w:b/>
                <w:i/>
                <w:iCs/>
                <w:sz w:val="20"/>
                <w:szCs w:val="20"/>
              </w:rPr>
              <w:t>Data de Verificação</w:t>
            </w:r>
            <w:r w:rsidRPr="006074A6">
              <w:rPr>
                <w:rFonts w:ascii="Verdana" w:eastAsia="Arial Unicode MS" w:hAnsi="Verdana"/>
                <w:i/>
                <w:iCs/>
                <w:sz w:val="20"/>
                <w:szCs w:val="20"/>
              </w:rPr>
              <w:t>”</w:t>
            </w:r>
          </w:p>
        </w:tc>
        <w:tc>
          <w:tcPr>
            <w:tcW w:w="4414" w:type="dxa"/>
            <w:tcBorders>
              <w:top w:val="single" w:sz="4" w:space="0" w:color="auto"/>
              <w:left w:val="single" w:sz="4" w:space="0" w:color="auto"/>
              <w:bottom w:val="single" w:sz="4" w:space="0" w:color="auto"/>
              <w:right w:val="single" w:sz="4" w:space="0" w:color="auto"/>
            </w:tcBorders>
          </w:tcPr>
          <w:p w14:paraId="597E14F9" w14:textId="77777777" w:rsidR="006074A6" w:rsidRPr="006074A6" w:rsidRDefault="006074A6" w:rsidP="0098300B">
            <w:pPr>
              <w:spacing w:line="288" w:lineRule="auto"/>
              <w:rPr>
                <w:rFonts w:ascii="Verdana" w:hAnsi="Verdana"/>
                <w:i/>
                <w:iCs/>
                <w:sz w:val="20"/>
                <w:szCs w:val="20"/>
              </w:rPr>
            </w:pPr>
            <w:r w:rsidRPr="006074A6">
              <w:rPr>
                <w:rFonts w:ascii="Verdana" w:hAnsi="Verdana"/>
                <w:i/>
                <w:iCs/>
                <w:sz w:val="20"/>
                <w:szCs w:val="20"/>
              </w:rPr>
              <w:t xml:space="preserve">4ª (quarta) Data de Cálculo de cada mês-calendário, sendo certo que, em caso de alteração da Data de Recebimento do INSS, por qualquer motivo, a Data de Verificação deverá ser também alterada. </w:t>
            </w:r>
            <w:r w:rsidRPr="006074A6">
              <w:rPr>
                <w:rFonts w:ascii="Verdana" w:hAnsi="Verdana"/>
                <w:i/>
                <w:iCs/>
                <w:sz w:val="20"/>
                <w:szCs w:val="20"/>
                <w:highlight w:val="yellow"/>
              </w:rPr>
              <w:t>Caso a Data de Verificação coincida com o período de reunião do Comitê de Política Monetária - Copom, esta deverá ser considerada como o 3º (terceiro) dia útil após o último dia da reunião do Copom supracitada.</w:t>
            </w:r>
          </w:p>
          <w:p w14:paraId="54F77351" w14:textId="77777777" w:rsidR="006074A6" w:rsidRPr="006074A6" w:rsidRDefault="006074A6" w:rsidP="0098300B">
            <w:pPr>
              <w:spacing w:line="288" w:lineRule="auto"/>
              <w:rPr>
                <w:rFonts w:ascii="Verdana" w:hAnsi="Verdana"/>
                <w:i/>
                <w:iCs/>
                <w:sz w:val="20"/>
                <w:szCs w:val="20"/>
              </w:rPr>
            </w:pPr>
          </w:p>
        </w:tc>
      </w:tr>
    </w:tbl>
    <w:p w14:paraId="093AFF62" w14:textId="77777777" w:rsidR="006074A6" w:rsidRDefault="006074A6" w:rsidP="006074A6">
      <w:pPr>
        <w:spacing w:after="0"/>
        <w:jc w:val="both"/>
        <w:rPr>
          <w:rFonts w:ascii="Verdana" w:hAnsi="Verdana"/>
          <w:b/>
          <w:bCs/>
          <w:sz w:val="20"/>
          <w:szCs w:val="20"/>
        </w:rPr>
      </w:pPr>
    </w:p>
    <w:p w14:paraId="4614C3AD" w14:textId="77777777" w:rsidR="006074A6" w:rsidRPr="006074A6" w:rsidRDefault="006074A6" w:rsidP="006074A6">
      <w:pPr>
        <w:spacing w:after="0"/>
        <w:jc w:val="both"/>
        <w:rPr>
          <w:rFonts w:ascii="Verdana" w:hAnsi="Verdana"/>
          <w:b/>
          <w:bCs/>
          <w:sz w:val="20"/>
          <w:szCs w:val="20"/>
        </w:rPr>
      </w:pPr>
    </w:p>
    <w:p w14:paraId="3F3CE30A" w14:textId="2939AB9D" w:rsidR="0040682F" w:rsidRPr="00EE5AE8" w:rsidRDefault="0040682F" w:rsidP="00EA7FB3">
      <w:pPr>
        <w:autoSpaceDE w:val="0"/>
        <w:autoSpaceDN w:val="0"/>
        <w:adjustRightInd w:val="0"/>
        <w:spacing w:after="240"/>
        <w:jc w:val="both"/>
        <w:rPr>
          <w:rFonts w:ascii="Verdana" w:hAnsi="Verdana"/>
          <w:b/>
          <w:bCs/>
          <w:sz w:val="20"/>
          <w:szCs w:val="20"/>
        </w:rPr>
      </w:pPr>
      <w:r w:rsidRPr="00EE5AE8">
        <w:rPr>
          <w:rFonts w:ascii="Verdana" w:hAnsi="Verdana"/>
          <w:b/>
          <w:bCs/>
          <w:sz w:val="20"/>
          <w:szCs w:val="20"/>
        </w:rPr>
        <w:t>(i</w:t>
      </w:r>
      <w:r>
        <w:rPr>
          <w:rFonts w:ascii="Verdana" w:hAnsi="Verdana"/>
          <w:b/>
          <w:bCs/>
          <w:sz w:val="20"/>
          <w:szCs w:val="20"/>
        </w:rPr>
        <w:t>i</w:t>
      </w:r>
      <w:r w:rsidRPr="00EE5AE8">
        <w:rPr>
          <w:rFonts w:ascii="Verdana" w:hAnsi="Verdana"/>
          <w:b/>
          <w:bCs/>
          <w:sz w:val="20"/>
          <w:szCs w:val="20"/>
        </w:rPr>
        <w:t>)</w:t>
      </w:r>
      <w:r>
        <w:rPr>
          <w:rFonts w:ascii="Verdana" w:hAnsi="Verdana"/>
          <w:b/>
          <w:bCs/>
          <w:sz w:val="20"/>
          <w:szCs w:val="20"/>
        </w:rPr>
        <w:t xml:space="preserve"> </w:t>
      </w:r>
      <w:r>
        <w:rPr>
          <w:rFonts w:ascii="Verdana" w:hAnsi="Verdana"/>
          <w:b/>
          <w:bCs/>
          <w:sz w:val="20"/>
          <w:szCs w:val="20"/>
        </w:rPr>
        <w:tab/>
      </w:r>
      <w:r w:rsidRPr="0028652C">
        <w:rPr>
          <w:rFonts w:ascii="Verdana" w:hAnsi="Verdana"/>
          <w:sz w:val="20"/>
          <w:szCs w:val="20"/>
        </w:rPr>
        <w:t>a</w:t>
      </w:r>
      <w:r w:rsidRPr="0040682F">
        <w:rPr>
          <w:rFonts w:ascii="Verdana" w:hAnsi="Verdana" w:cs="Calibri Light"/>
          <w:sz w:val="20"/>
          <w:szCs w:val="20"/>
        </w:rPr>
        <w:t>utorizar o Agente Fiduciário</w:t>
      </w:r>
      <w:r>
        <w:rPr>
          <w:rFonts w:ascii="Verdana" w:hAnsi="Verdana" w:cs="Calibri Light"/>
          <w:sz w:val="20"/>
          <w:szCs w:val="20"/>
        </w:rPr>
        <w:t xml:space="preserve"> e</w:t>
      </w:r>
      <w:r w:rsidRPr="0040682F">
        <w:rPr>
          <w:rFonts w:ascii="Verdana" w:hAnsi="Verdana" w:cs="Calibri Light"/>
          <w:sz w:val="20"/>
          <w:szCs w:val="20"/>
        </w:rPr>
        <w:t xml:space="preserve"> a Emissora a tomar todos os atos necessários para refletir as deliberações da presente assembleia nos documentos da operação</w:t>
      </w:r>
      <w:r>
        <w:rPr>
          <w:rFonts w:ascii="Verdana" w:hAnsi="Verdana" w:cs="Calibri Light"/>
          <w:sz w:val="20"/>
          <w:szCs w:val="20"/>
        </w:rPr>
        <w:t>.</w:t>
      </w:r>
    </w:p>
    <w:p w14:paraId="582F9751" w14:textId="19366636" w:rsidR="006863F1" w:rsidRPr="00711CC0" w:rsidRDefault="006863F1" w:rsidP="00EA7FB3">
      <w:pPr>
        <w:spacing w:after="0"/>
        <w:jc w:val="both"/>
        <w:rPr>
          <w:rFonts w:ascii="Verdana" w:hAnsi="Verdana" w:cs="Calibri Light"/>
          <w:sz w:val="20"/>
          <w:szCs w:val="20"/>
        </w:rPr>
      </w:pPr>
      <w:r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Pr="00711CC0">
        <w:rPr>
          <w:rFonts w:ascii="Verdana" w:hAnsi="Verdana" w:cs="Calibri Light"/>
          <w:sz w:val="20"/>
          <w:szCs w:val="20"/>
        </w:rPr>
        <w:t xml:space="preserve"> e nos demais documentos vinculados à Emissão.</w:t>
      </w:r>
    </w:p>
    <w:p w14:paraId="34CCE4EE" w14:textId="77777777" w:rsidR="00550A4B" w:rsidRPr="00711CC0" w:rsidRDefault="00550A4B" w:rsidP="00EA7FB3">
      <w:pPr>
        <w:spacing w:after="0"/>
        <w:jc w:val="both"/>
        <w:rPr>
          <w:rFonts w:ascii="Verdana" w:hAnsi="Verdana" w:cs="Calibri Light"/>
          <w:sz w:val="20"/>
          <w:szCs w:val="20"/>
        </w:rPr>
      </w:pPr>
    </w:p>
    <w:p w14:paraId="5F6C9F74" w14:textId="77777777" w:rsidR="006F41A3" w:rsidRPr="006F41A3" w:rsidRDefault="00550A4B" w:rsidP="006F41A3">
      <w:pPr>
        <w:spacing w:after="0"/>
        <w:jc w:val="both"/>
        <w:rPr>
          <w:rFonts w:ascii="Verdana" w:hAnsi="Verdana" w:cs="Calibri Light"/>
          <w:sz w:val="20"/>
          <w:szCs w:val="20"/>
        </w:rPr>
      </w:pPr>
      <w:r w:rsidRPr="00711CC0">
        <w:rPr>
          <w:rFonts w:ascii="Verdana" w:hAnsi="Verdana" w:cs="Calibri Light"/>
          <w:b/>
          <w:sz w:val="20"/>
          <w:szCs w:val="20"/>
        </w:rPr>
        <w:t>8.</w:t>
      </w:r>
      <w:r w:rsidRPr="00711CC0">
        <w:rPr>
          <w:rFonts w:ascii="Verdana" w:hAnsi="Verdana" w:cs="Calibri Light"/>
          <w:b/>
          <w:sz w:val="20"/>
          <w:szCs w:val="20"/>
        </w:rPr>
        <w:tab/>
        <w:t>Encerramento:</w:t>
      </w:r>
      <w:r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Pr="00711CC0">
        <w:rPr>
          <w:rFonts w:ascii="Verdana" w:hAnsi="Verdana" w:cs="Calibri Light"/>
          <w:sz w:val="20"/>
          <w:szCs w:val="20"/>
        </w:rPr>
        <w:t xml:space="preserve">Presidente: </w:t>
      </w:r>
      <w:r w:rsidR="00D0484F">
        <w:rPr>
          <w:rFonts w:ascii="Verdana" w:hAnsi="Verdana" w:cs="Calibri Light"/>
          <w:sz w:val="20"/>
          <w:szCs w:val="20"/>
        </w:rPr>
        <w:t>[Debenturista Eleito]</w:t>
      </w:r>
      <w:r w:rsidR="00D0484F">
        <w:rPr>
          <w:rFonts w:ascii="Verdana" w:hAnsi="Verdana" w:cs="Calibri Light"/>
          <w:sz w:val="20"/>
          <w:szCs w:val="20"/>
        </w:rPr>
        <w:t xml:space="preserve"> </w:t>
      </w:r>
      <w:r w:rsidRPr="00711CC0">
        <w:rPr>
          <w:rFonts w:ascii="Verdana" w:hAnsi="Verdana" w:cs="Calibri Light"/>
          <w:sz w:val="20"/>
          <w:szCs w:val="20"/>
        </w:rPr>
        <w:t>e Secretári</w:t>
      </w:r>
      <w:r w:rsidR="00BB778C">
        <w:rPr>
          <w:rFonts w:ascii="Verdana" w:hAnsi="Verdana" w:cs="Calibri Light"/>
          <w:sz w:val="20"/>
          <w:szCs w:val="20"/>
        </w:rPr>
        <w:t>o</w:t>
      </w:r>
      <w:r w:rsidRPr="00711CC0">
        <w:rPr>
          <w:rFonts w:ascii="Verdana" w:hAnsi="Verdana" w:cs="Calibri Light"/>
          <w:sz w:val="20"/>
          <w:szCs w:val="20"/>
        </w:rPr>
        <w:t xml:space="preserve">: </w:t>
      </w:r>
      <w:r w:rsidR="007B3393">
        <w:rPr>
          <w:rFonts w:ascii="Verdana" w:hAnsi="Verdana" w:cs="Calibri Light"/>
          <w:sz w:val="20"/>
          <w:szCs w:val="20"/>
        </w:rPr>
        <w:t>Carlos Bacha</w:t>
      </w:r>
      <w:r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Pr="00711CC0">
        <w:rPr>
          <w:rFonts w:ascii="Verdana" w:hAnsi="Verdana" w:cs="Calibri Light"/>
          <w:sz w:val="20"/>
          <w:szCs w:val="20"/>
        </w:rPr>
        <w:t xml:space="preserve">; </w:t>
      </w:r>
      <w:r w:rsidR="00E5604A">
        <w:rPr>
          <w:rFonts w:ascii="Verdana" w:hAnsi="Verdana" w:cs="Calibri Light"/>
          <w:sz w:val="20"/>
          <w:szCs w:val="20"/>
        </w:rPr>
        <w:t xml:space="preserve">e </w:t>
      </w:r>
      <w:r w:rsidRPr="00711CC0">
        <w:rPr>
          <w:rFonts w:ascii="Verdana" w:hAnsi="Verdana" w:cs="Calibri Light"/>
          <w:sz w:val="20"/>
          <w:szCs w:val="20"/>
        </w:rPr>
        <w:t>Agente Fiduciário</w:t>
      </w:r>
      <w:r w:rsidR="00E5604A">
        <w:rPr>
          <w:rFonts w:ascii="Verdana" w:hAnsi="Verdana" w:cs="Calibri Light"/>
          <w:sz w:val="20"/>
          <w:szCs w:val="20"/>
        </w:rPr>
        <w:t xml:space="preserve">. </w:t>
      </w:r>
      <w:r w:rsidR="006F41A3" w:rsidRPr="006F41A3">
        <w:rPr>
          <w:rFonts w:ascii="Verdana" w:hAnsi="Verdana" w:cs="Calibri Light"/>
          <w:sz w:val="20"/>
          <w:szCs w:val="20"/>
        </w:rPr>
        <w:t>O Presidente da mesa, nos termos do artigo 8º, parágrafo 2º da IN CVM 625, registra a presença dos Debenturistas presentes, de forma que serão dispensadas suas respectivas assinaturas ao final desta ata.</w:t>
      </w:r>
    </w:p>
    <w:p w14:paraId="11426794" w14:textId="652E06EC" w:rsidR="00C66B31" w:rsidRDefault="00C66B31" w:rsidP="00EA7FB3">
      <w:pPr>
        <w:spacing w:after="0"/>
        <w:jc w:val="both"/>
        <w:rPr>
          <w:rFonts w:ascii="Verdana" w:hAnsi="Verdana" w:cs="Calibri Light"/>
          <w:sz w:val="20"/>
          <w:szCs w:val="20"/>
        </w:rPr>
      </w:pPr>
    </w:p>
    <w:p w14:paraId="53929F42" w14:textId="3AF49233" w:rsidR="00EA7FB3" w:rsidRDefault="00EA7FB3" w:rsidP="00EA7FB3">
      <w:pPr>
        <w:spacing w:after="0"/>
        <w:jc w:val="both"/>
        <w:rPr>
          <w:rFonts w:ascii="Verdana" w:hAnsi="Verdana" w:cs="Calibri Light"/>
          <w:sz w:val="20"/>
          <w:szCs w:val="20"/>
        </w:rPr>
      </w:pPr>
    </w:p>
    <w:p w14:paraId="53998598" w14:textId="77777777" w:rsidR="00EA7FB3" w:rsidRPr="00711CC0" w:rsidRDefault="00EA7FB3" w:rsidP="00EA7FB3">
      <w:pPr>
        <w:spacing w:after="0"/>
        <w:jc w:val="both"/>
        <w:rPr>
          <w:rFonts w:ascii="Verdana" w:hAnsi="Verdana" w:cs="Calibri Light"/>
          <w:sz w:val="20"/>
          <w:szCs w:val="20"/>
        </w:rPr>
      </w:pPr>
    </w:p>
    <w:p w14:paraId="3B8C52A5" w14:textId="2A829B50" w:rsidR="005F1531" w:rsidRDefault="00550A4B" w:rsidP="00EA7FB3">
      <w:pPr>
        <w:spacing w:after="0"/>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7B3393">
        <w:rPr>
          <w:rFonts w:ascii="Verdana" w:hAnsi="Verdana" w:cs="Calibri Light"/>
          <w:sz w:val="20"/>
          <w:szCs w:val="20"/>
        </w:rPr>
        <w:t>26</w:t>
      </w:r>
      <w:r w:rsidR="008D5F0A">
        <w:rPr>
          <w:rFonts w:ascii="Verdana" w:hAnsi="Verdana" w:cs="Calibri Light"/>
          <w:sz w:val="20"/>
          <w:szCs w:val="20"/>
        </w:rPr>
        <w:t xml:space="preserve"> de</w:t>
      </w:r>
      <w:r w:rsidR="00A67F44">
        <w:rPr>
          <w:rFonts w:ascii="Verdana" w:hAnsi="Verdana" w:cs="Calibri Light"/>
          <w:sz w:val="20"/>
          <w:szCs w:val="20"/>
        </w:rPr>
        <w:t xml:space="preserve"> </w:t>
      </w:r>
      <w:r w:rsidR="007B3393">
        <w:rPr>
          <w:rFonts w:ascii="Verdana" w:hAnsi="Verdana" w:cs="Calibri Light"/>
          <w:sz w:val="20"/>
          <w:szCs w:val="20"/>
        </w:rPr>
        <w:t>janeiro</w:t>
      </w:r>
      <w:r w:rsidR="00CE3FF0">
        <w:rPr>
          <w:rFonts w:ascii="Verdana" w:hAnsi="Verdana" w:cs="Calibri Light"/>
          <w:sz w:val="20"/>
          <w:szCs w:val="20"/>
        </w:rPr>
        <w:t xml:space="preserve"> </w:t>
      </w:r>
      <w:r w:rsidR="008D5F0A">
        <w:rPr>
          <w:rFonts w:ascii="Verdana" w:hAnsi="Verdana" w:cs="Calibri Light"/>
          <w:sz w:val="20"/>
          <w:szCs w:val="20"/>
        </w:rPr>
        <w:t>de 202</w:t>
      </w:r>
      <w:r w:rsidR="007B3393">
        <w:rPr>
          <w:rFonts w:ascii="Verdana" w:hAnsi="Verdana" w:cs="Calibri Light"/>
          <w:sz w:val="20"/>
          <w:szCs w:val="20"/>
        </w:rPr>
        <w:t>2</w:t>
      </w:r>
      <w:r w:rsidRPr="00711CC0">
        <w:rPr>
          <w:rFonts w:ascii="Verdana" w:hAnsi="Verdana" w:cs="Calibri Light"/>
          <w:sz w:val="20"/>
          <w:szCs w:val="20"/>
        </w:rPr>
        <w:t>.</w:t>
      </w:r>
    </w:p>
    <w:p w14:paraId="3A46FEE9" w14:textId="77777777" w:rsidR="00D41282" w:rsidRDefault="00D41282" w:rsidP="00EA7FB3">
      <w:pPr>
        <w:spacing w:after="0"/>
        <w:jc w:val="center"/>
        <w:rPr>
          <w:rFonts w:ascii="Verdana" w:hAnsi="Verdana" w:cs="Calibri Light"/>
          <w:sz w:val="20"/>
          <w:szCs w:val="20"/>
        </w:rPr>
      </w:pPr>
    </w:p>
    <w:p w14:paraId="6C17898F" w14:textId="34F3CE6E" w:rsidR="00F55DDA" w:rsidRDefault="00F55DDA" w:rsidP="00EA7FB3">
      <w:pPr>
        <w:spacing w:after="0"/>
        <w:jc w:val="center"/>
        <w:rPr>
          <w:rFonts w:ascii="Verdana" w:hAnsi="Verdana" w:cs="Calibri Light"/>
          <w:i/>
          <w:sz w:val="20"/>
          <w:szCs w:val="20"/>
        </w:rPr>
      </w:pPr>
      <w:r>
        <w:rPr>
          <w:rFonts w:ascii="Verdana" w:hAnsi="Verdana" w:cs="Calibri Light"/>
          <w:i/>
          <w:sz w:val="20"/>
          <w:szCs w:val="20"/>
        </w:rPr>
        <w:t>[</w:t>
      </w:r>
      <w:r w:rsidR="00D41282" w:rsidRPr="001E0A6A">
        <w:rPr>
          <w:rFonts w:ascii="Verdana" w:hAnsi="Verdana" w:cs="Calibri Light"/>
          <w:i/>
          <w:sz w:val="20"/>
          <w:szCs w:val="20"/>
        </w:rPr>
        <w:t>O restante da página foi intencionalmente deixado em branco.</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4738C761" w:rsidR="00D41282" w:rsidRPr="00711CC0" w:rsidRDefault="00F55DDA" w:rsidP="00EA7FB3">
      <w:pPr>
        <w:spacing w:after="0"/>
        <w:jc w:val="both"/>
        <w:rPr>
          <w:rFonts w:ascii="Verdana" w:hAnsi="Verdana" w:cs="Calibri Light"/>
          <w:sz w:val="20"/>
          <w:szCs w:val="20"/>
        </w:rPr>
      </w:pPr>
      <w:r>
        <w:rPr>
          <w:rFonts w:ascii="Verdana" w:hAnsi="Verdana" w:cs="Calibri Light"/>
          <w:sz w:val="20"/>
          <w:szCs w:val="20"/>
        </w:rPr>
        <w:lastRenderedPageBreak/>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da </w:t>
      </w:r>
      <w:r w:rsidR="00CE3FF0">
        <w:rPr>
          <w:rFonts w:ascii="Verdana" w:hAnsi="Verdana" w:cs="Calibri Light"/>
          <w:i/>
          <w:iCs/>
          <w:sz w:val="20"/>
          <w:szCs w:val="20"/>
        </w:rPr>
        <w:t>1</w:t>
      </w:r>
      <w:r w:rsidR="00AD7BC2">
        <w:rPr>
          <w:rFonts w:ascii="Verdana" w:hAnsi="Verdana" w:cs="Calibri Light"/>
          <w:i/>
          <w:iCs/>
          <w:sz w:val="20"/>
          <w:szCs w:val="20"/>
        </w:rPr>
        <w:t>ª (</w:t>
      </w:r>
      <w:r w:rsidR="00CE3FF0">
        <w:rPr>
          <w:rFonts w:ascii="Verdana" w:hAnsi="Verdana" w:cs="Calibri Light"/>
          <w:i/>
          <w:iCs/>
          <w:sz w:val="20"/>
          <w:szCs w:val="20"/>
        </w:rPr>
        <w:t>Primeira</w:t>
      </w:r>
      <w:r w:rsidR="00AD7BC2">
        <w:rPr>
          <w:rFonts w:ascii="Verdana" w:hAnsi="Verdana" w:cs="Calibri Light"/>
          <w:i/>
          <w:iCs/>
          <w:sz w:val="20"/>
          <w:szCs w:val="20"/>
        </w:rPr>
        <w:t xml:space="preserve">) Série da </w:t>
      </w:r>
      <w:r w:rsidR="00321750" w:rsidRPr="00321750">
        <w:rPr>
          <w:rFonts w:ascii="Verdana" w:hAnsi="Verdana" w:cs="Calibri Light"/>
          <w:i/>
          <w:iCs/>
          <w:sz w:val="20"/>
          <w:szCs w:val="20"/>
        </w:rPr>
        <w:t xml:space="preserve">1ª (Primeira) Emissão de Debêntures Simples, Não Conversíveis em Ações, da </w:t>
      </w:r>
      <w:r w:rsidR="00D0484F">
        <w:rPr>
          <w:rFonts w:ascii="Verdana" w:hAnsi="Verdana" w:cs="Calibri Light"/>
          <w:i/>
          <w:iCs/>
          <w:sz w:val="20"/>
          <w:szCs w:val="20"/>
        </w:rPr>
        <w:t>Com Garantia Real</w:t>
      </w:r>
      <w:r w:rsidR="00321750" w:rsidRPr="00321750">
        <w:rPr>
          <w:rFonts w:ascii="Verdana" w:hAnsi="Verdana" w:cs="Calibri Light"/>
          <w:i/>
          <w:iCs/>
          <w:sz w:val="20"/>
          <w:szCs w:val="20"/>
        </w:rPr>
        <w:t>, em Série</w:t>
      </w:r>
      <w:r w:rsidR="00D0484F">
        <w:rPr>
          <w:rFonts w:ascii="Verdana" w:hAnsi="Verdana" w:cs="Calibri Light"/>
          <w:i/>
          <w:iCs/>
          <w:sz w:val="20"/>
          <w:szCs w:val="20"/>
        </w:rPr>
        <w:t xml:space="preserve"> Única</w:t>
      </w:r>
      <w:r w:rsidR="00321750" w:rsidRPr="00321750">
        <w:rPr>
          <w:rFonts w:ascii="Verdana" w:hAnsi="Verdana" w:cs="Calibri Light"/>
          <w:i/>
          <w:iCs/>
          <w:sz w:val="20"/>
          <w:szCs w:val="20"/>
        </w:rPr>
        <w:t xml:space="preserve">, para Distribuição Pública com Esforços Restritos </w:t>
      </w:r>
      <w:r w:rsidR="00D41282" w:rsidRPr="00F55DDA">
        <w:rPr>
          <w:rFonts w:ascii="Verdana" w:hAnsi="Verdana" w:cs="Calibri Light"/>
          <w:i/>
          <w:iCs/>
          <w:sz w:val="20"/>
          <w:szCs w:val="20"/>
        </w:rPr>
        <w:t xml:space="preserve">da Companhia Securitizadora de Créditos Financeiros </w:t>
      </w:r>
      <w:r w:rsidR="00D0484F">
        <w:rPr>
          <w:rFonts w:ascii="Verdana" w:hAnsi="Verdana" w:cs="Calibri Light"/>
          <w:i/>
          <w:iCs/>
          <w:sz w:val="20"/>
          <w:szCs w:val="20"/>
        </w:rPr>
        <w:t xml:space="preserve">Cartões Consignados II, </w:t>
      </w:r>
      <w:r w:rsidR="00D41282" w:rsidRPr="00F55DDA">
        <w:rPr>
          <w:rFonts w:ascii="Verdana" w:hAnsi="Verdana" w:cs="Calibri Light"/>
          <w:i/>
          <w:iCs/>
          <w:sz w:val="20"/>
          <w:szCs w:val="20"/>
        </w:rPr>
        <w:t>realizada em</w:t>
      </w:r>
      <w:r w:rsidR="00A67F44">
        <w:rPr>
          <w:rFonts w:ascii="Verdana" w:hAnsi="Verdana" w:cs="Calibri Light"/>
          <w:i/>
          <w:iCs/>
          <w:sz w:val="20"/>
          <w:szCs w:val="20"/>
        </w:rPr>
        <w:t xml:space="preserve"> </w:t>
      </w:r>
      <w:r w:rsidR="00D0484F">
        <w:rPr>
          <w:rFonts w:ascii="Verdana" w:hAnsi="Verdana" w:cs="Calibri Light"/>
          <w:i/>
          <w:iCs/>
          <w:sz w:val="20"/>
          <w:szCs w:val="20"/>
        </w:rPr>
        <w:t>26</w:t>
      </w:r>
      <w:r w:rsidR="00A67F44">
        <w:rPr>
          <w:rFonts w:ascii="Verdana" w:hAnsi="Verdana" w:cs="Calibri Light"/>
          <w:i/>
          <w:iCs/>
          <w:sz w:val="20"/>
          <w:szCs w:val="20"/>
        </w:rPr>
        <w:t xml:space="preserve"> </w:t>
      </w:r>
      <w:r w:rsidR="008D5F0A">
        <w:rPr>
          <w:rFonts w:ascii="Verdana" w:hAnsi="Verdana" w:cs="Calibri Light"/>
          <w:i/>
          <w:iCs/>
          <w:sz w:val="20"/>
          <w:szCs w:val="20"/>
        </w:rPr>
        <w:t xml:space="preserve">de </w:t>
      </w:r>
      <w:r w:rsidR="00D0484F">
        <w:rPr>
          <w:rFonts w:ascii="Verdana" w:hAnsi="Verdana" w:cs="Calibri Light"/>
          <w:i/>
          <w:iCs/>
          <w:sz w:val="20"/>
          <w:szCs w:val="20"/>
        </w:rPr>
        <w:t>janeiro</w:t>
      </w:r>
      <w:r w:rsidR="00A67F44">
        <w:rPr>
          <w:rFonts w:ascii="Verdana" w:hAnsi="Verdana" w:cs="Calibri Light"/>
          <w:i/>
          <w:iCs/>
          <w:sz w:val="20"/>
          <w:szCs w:val="20"/>
        </w:rPr>
        <w:t xml:space="preserve"> </w:t>
      </w:r>
      <w:r w:rsidR="008D5F0A">
        <w:rPr>
          <w:rFonts w:ascii="Verdana" w:hAnsi="Verdana" w:cs="Calibri Light"/>
          <w:i/>
          <w:iCs/>
          <w:sz w:val="20"/>
          <w:szCs w:val="20"/>
        </w:rPr>
        <w:t>de 202</w:t>
      </w:r>
      <w:r w:rsidR="00D0484F">
        <w:rPr>
          <w:rFonts w:ascii="Verdana" w:hAnsi="Verdana" w:cs="Calibri Light"/>
          <w:i/>
          <w:iCs/>
          <w:sz w:val="20"/>
          <w:szCs w:val="20"/>
        </w:rPr>
        <w:t>2</w:t>
      </w:r>
      <w:r w:rsidR="006E6DD1" w:rsidRPr="00F55DDA">
        <w:rPr>
          <w:rFonts w:ascii="Verdana" w:hAnsi="Verdana" w:cs="Calibri Light"/>
          <w:i/>
          <w:iCs/>
          <w:sz w:val="20"/>
          <w:szCs w:val="20"/>
        </w:rPr>
        <w:t>.</w:t>
      </w:r>
      <w:r>
        <w:rPr>
          <w:rFonts w:ascii="Verdana" w:hAnsi="Verdana" w:cs="Calibri Light"/>
          <w:sz w:val="20"/>
          <w:szCs w:val="20"/>
        </w:rPr>
        <w:t>]</w:t>
      </w:r>
    </w:p>
    <w:p w14:paraId="43E2915A" w14:textId="65EEF6DF" w:rsidR="00D41282" w:rsidRDefault="00D41282" w:rsidP="00EA7FB3">
      <w:pPr>
        <w:spacing w:after="0"/>
        <w:jc w:val="center"/>
        <w:rPr>
          <w:rFonts w:ascii="Verdana" w:hAnsi="Verdana" w:cs="Calibri Light"/>
          <w:i/>
          <w:sz w:val="20"/>
          <w:szCs w:val="20"/>
        </w:rPr>
      </w:pPr>
    </w:p>
    <w:p w14:paraId="6FC8AF7F" w14:textId="77777777" w:rsidR="00D41282" w:rsidRPr="00711CC0" w:rsidRDefault="00D41282" w:rsidP="00EA7FB3">
      <w:pPr>
        <w:spacing w:after="0"/>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EA7FB3">
            <w:pPr>
              <w:spacing w:line="276" w:lineRule="auto"/>
              <w:jc w:val="center"/>
              <w:rPr>
                <w:rFonts w:ascii="Verdana" w:hAnsi="Verdana" w:cs="Calibri Light"/>
                <w:sz w:val="20"/>
                <w:szCs w:val="20"/>
              </w:rPr>
            </w:pPr>
          </w:p>
          <w:p w14:paraId="02CDA916" w14:textId="3C1B1A55"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_______________________________</w:t>
            </w:r>
          </w:p>
          <w:p w14:paraId="7099D8D4" w14:textId="3EB820DF" w:rsidR="00A67F44" w:rsidRDefault="00D0484F" w:rsidP="00EA7FB3">
            <w:pPr>
              <w:spacing w:line="276" w:lineRule="auto"/>
              <w:jc w:val="center"/>
              <w:rPr>
                <w:rFonts w:ascii="Verdana" w:hAnsi="Verdana" w:cs="Calibri Light"/>
                <w:sz w:val="20"/>
                <w:szCs w:val="20"/>
              </w:rPr>
            </w:pPr>
            <w:r>
              <w:rPr>
                <w:rFonts w:ascii="Verdana" w:hAnsi="Verdana" w:cs="Calibri Light"/>
                <w:sz w:val="20"/>
                <w:szCs w:val="20"/>
              </w:rPr>
              <w:t>[Debenturista Eleito]</w:t>
            </w:r>
          </w:p>
          <w:p w14:paraId="7143530A" w14:textId="5E0B3FC2"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EA7FB3">
            <w:pPr>
              <w:spacing w:line="276" w:lineRule="auto"/>
              <w:jc w:val="center"/>
              <w:rPr>
                <w:rFonts w:ascii="Verdana" w:hAnsi="Verdana" w:cs="Calibri Light"/>
                <w:sz w:val="20"/>
                <w:szCs w:val="20"/>
              </w:rPr>
            </w:pPr>
          </w:p>
          <w:p w14:paraId="5FBED9D6" w14:textId="60B155AE"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________________________________</w:t>
            </w:r>
          </w:p>
          <w:p w14:paraId="0E98F893" w14:textId="30924DE9" w:rsidR="006546BE" w:rsidRDefault="00D0484F" w:rsidP="00EA7FB3">
            <w:pPr>
              <w:spacing w:line="276" w:lineRule="auto"/>
              <w:jc w:val="center"/>
              <w:rPr>
                <w:rFonts w:ascii="Verdana" w:hAnsi="Verdana" w:cs="Calibri Light"/>
                <w:sz w:val="20"/>
                <w:szCs w:val="20"/>
              </w:rPr>
            </w:pPr>
            <w:r>
              <w:rPr>
                <w:rFonts w:ascii="Verdana" w:hAnsi="Verdana" w:cs="Calibri Light"/>
                <w:sz w:val="20"/>
                <w:szCs w:val="20"/>
              </w:rPr>
              <w:t>Carlos Bacha</w:t>
            </w:r>
          </w:p>
          <w:p w14:paraId="21A5ABCF" w14:textId="422A8FE8"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EA7FB3">
            <w:pPr>
              <w:spacing w:line="276" w:lineRule="auto"/>
              <w:jc w:val="center"/>
              <w:rPr>
                <w:rFonts w:ascii="Verdana" w:hAnsi="Verdana" w:cs="Calibri Light"/>
                <w:sz w:val="20"/>
                <w:szCs w:val="20"/>
              </w:rPr>
            </w:pPr>
          </w:p>
          <w:p w14:paraId="5D3B253B" w14:textId="77777777" w:rsidR="00EA7FB3" w:rsidRDefault="00EA7FB3" w:rsidP="00EA7FB3">
            <w:pPr>
              <w:spacing w:line="276" w:lineRule="auto"/>
              <w:jc w:val="center"/>
              <w:rPr>
                <w:rFonts w:ascii="Verdana" w:hAnsi="Verdana" w:cs="Calibri Light"/>
                <w:sz w:val="20"/>
                <w:szCs w:val="20"/>
              </w:rPr>
            </w:pPr>
          </w:p>
          <w:p w14:paraId="272E734F" w14:textId="77777777" w:rsidR="00D41282" w:rsidRPr="00711CC0" w:rsidRDefault="00D41282" w:rsidP="00EA7FB3">
            <w:pPr>
              <w:spacing w:line="276" w:lineRule="auto"/>
              <w:jc w:val="center"/>
              <w:rPr>
                <w:rFonts w:ascii="Verdana" w:hAnsi="Verdana" w:cs="Calibri Light"/>
                <w:sz w:val="20"/>
                <w:szCs w:val="20"/>
              </w:rPr>
            </w:pPr>
          </w:p>
          <w:p w14:paraId="07242D38" w14:textId="26D1CBC6" w:rsidR="00163091" w:rsidRPr="00711CC0" w:rsidRDefault="00163091" w:rsidP="00EA7FB3">
            <w:pPr>
              <w:spacing w:line="276" w:lineRule="auto"/>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7A85724A" w:rsidR="00517149" w:rsidRPr="00711CC0" w:rsidRDefault="00517149" w:rsidP="00EA7FB3">
            <w:pPr>
              <w:pStyle w:val="Body"/>
              <w:spacing w:after="0" w:line="276" w:lineRule="auto"/>
              <w:jc w:val="center"/>
              <w:rPr>
                <w:rFonts w:ascii="Verdana" w:hAnsi="Verdana" w:cs="Calibri Light"/>
                <w:b/>
                <w:szCs w:val="20"/>
              </w:rPr>
            </w:pPr>
            <w:r w:rsidRPr="00711CC0">
              <w:rPr>
                <w:rFonts w:ascii="Verdana" w:hAnsi="Verdana" w:cs="Calibri Light"/>
                <w:b/>
                <w:szCs w:val="20"/>
              </w:rPr>
              <w:t>COMPANHIA SECURITIZADORA DE CRÉDITOS FINANCEIROS</w:t>
            </w:r>
            <w:r w:rsidR="00D0484F">
              <w:rPr>
                <w:rFonts w:ascii="Verdana" w:hAnsi="Verdana" w:cs="Calibri Light"/>
                <w:b/>
                <w:szCs w:val="20"/>
              </w:rPr>
              <w:t xml:space="preserve"> CARTÕES CONSIGNADOS II</w:t>
            </w:r>
          </w:p>
          <w:p w14:paraId="7616C303" w14:textId="1B9C1841" w:rsidR="00163091" w:rsidRPr="00711CC0" w:rsidRDefault="004201B8" w:rsidP="00EA7FB3">
            <w:pPr>
              <w:spacing w:line="276" w:lineRule="auto"/>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EA7FB3">
            <w:pPr>
              <w:spacing w:line="276" w:lineRule="auto"/>
              <w:jc w:val="both"/>
              <w:rPr>
                <w:rFonts w:ascii="Verdana" w:hAnsi="Verdana" w:cs="Calibri Light"/>
                <w:sz w:val="20"/>
                <w:szCs w:val="20"/>
              </w:rPr>
            </w:pPr>
          </w:p>
          <w:p w14:paraId="24D43406" w14:textId="77777777" w:rsidR="00EA7FB3" w:rsidRPr="00711CC0" w:rsidRDefault="00EA7FB3" w:rsidP="00EA7FB3">
            <w:pPr>
              <w:spacing w:line="276" w:lineRule="auto"/>
              <w:jc w:val="both"/>
              <w:rPr>
                <w:rFonts w:ascii="Verdana" w:hAnsi="Verdana" w:cs="Calibri Light"/>
                <w:sz w:val="20"/>
                <w:szCs w:val="20"/>
              </w:rPr>
            </w:pPr>
          </w:p>
          <w:p w14:paraId="0A85BE03" w14:textId="77777777" w:rsidR="00032A34" w:rsidRPr="00711CC0" w:rsidRDefault="00032A34" w:rsidP="00EA7FB3">
            <w:pPr>
              <w:spacing w:line="276" w:lineRule="auto"/>
              <w:jc w:val="both"/>
              <w:rPr>
                <w:rFonts w:ascii="Verdana" w:hAnsi="Verdana" w:cs="Calibri Light"/>
                <w:sz w:val="20"/>
                <w:szCs w:val="20"/>
              </w:rPr>
            </w:pPr>
          </w:p>
          <w:p w14:paraId="47D731E3" w14:textId="59831F3A" w:rsidR="00163091" w:rsidRPr="00711CC0" w:rsidRDefault="00163091" w:rsidP="00EA7FB3">
            <w:pPr>
              <w:spacing w:line="276" w:lineRule="auto"/>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EA7FB3">
            <w:pPr>
              <w:spacing w:line="276" w:lineRule="auto"/>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EA7FB3">
            <w:pPr>
              <w:spacing w:line="276" w:lineRule="auto"/>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EA7FB3">
      <w:pPr>
        <w:spacing w:after="0"/>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lastRenderedPageBreak/>
        <w:t>ANEXO I</w:t>
      </w:r>
    </w:p>
    <w:p w14:paraId="11B1AC9A" w14:textId="59427E3E" w:rsidR="00550A4B" w:rsidRDefault="00550A4B" w:rsidP="00EA7FB3">
      <w:pPr>
        <w:spacing w:after="0"/>
        <w:jc w:val="both"/>
        <w:rPr>
          <w:rFonts w:ascii="Verdana" w:hAnsi="Verdana" w:cs="Calibri Light"/>
          <w:sz w:val="20"/>
          <w:szCs w:val="20"/>
        </w:rPr>
      </w:pPr>
      <w:r w:rsidRPr="00711CC0">
        <w:rPr>
          <w:rFonts w:ascii="Verdana" w:hAnsi="Verdana" w:cs="Calibri Light"/>
          <w:sz w:val="20"/>
          <w:szCs w:val="20"/>
        </w:rPr>
        <w:t>Lista de Presença</w:t>
      </w:r>
      <w:r w:rsidR="00B96780" w:rsidRPr="00711CC0">
        <w:rPr>
          <w:rFonts w:ascii="Verdana" w:hAnsi="Verdana" w:cs="Calibri Light"/>
          <w:sz w:val="20"/>
          <w:szCs w:val="20"/>
        </w:rPr>
        <w:t xml:space="preserve"> </w:t>
      </w:r>
      <w:r w:rsidR="005B7E8E" w:rsidRPr="00711CC0">
        <w:rPr>
          <w:rFonts w:ascii="Verdana" w:hAnsi="Verdana" w:cs="Calibri Light"/>
          <w:sz w:val="20"/>
          <w:szCs w:val="20"/>
        </w:rPr>
        <w:t>da</w:t>
      </w:r>
      <w:r w:rsidR="00A72C1F" w:rsidRPr="00711CC0">
        <w:rPr>
          <w:rFonts w:ascii="Verdana" w:hAnsi="Verdana"/>
          <w:sz w:val="20"/>
          <w:szCs w:val="20"/>
        </w:rPr>
        <w:t xml:space="preserve"> </w:t>
      </w:r>
      <w:r w:rsidR="00D0484F" w:rsidRPr="00D0484F">
        <w:rPr>
          <w:rFonts w:ascii="Verdana" w:hAnsi="Verdana"/>
          <w:sz w:val="20"/>
          <w:szCs w:val="20"/>
        </w:rPr>
        <w:t>A</w:t>
      </w:r>
      <w:r w:rsidR="00D0484F" w:rsidRPr="00D0484F">
        <w:rPr>
          <w:rFonts w:ascii="Verdana" w:hAnsi="Verdana" w:cs="Calibri Light"/>
          <w:sz w:val="20"/>
          <w:szCs w:val="20"/>
        </w:rPr>
        <w:t>ssembleia Geral Extraordinária dos Debenturistas da 1ª (Primeira) Série da 1ª (Primeira) Emissão de Debêntures Simples, Não Conversíveis em Ações, da Com Garantia Real, em Série Única, para Distribuição Pública com Esforços Restritos da Companhia Securitizadora de Créditos Financeiros Cartões Consignados II, realizada em 26 de janeiro de 2022</w:t>
      </w:r>
      <w:r w:rsidR="006F41A3">
        <w:rPr>
          <w:rFonts w:ascii="Verdana" w:hAnsi="Verdana" w:cs="Calibri Light"/>
          <w:sz w:val="20"/>
          <w:szCs w:val="20"/>
        </w:rPr>
        <w:t>.</w:t>
      </w:r>
    </w:p>
    <w:p w14:paraId="66F1FD04" w14:textId="77777777" w:rsidR="006F41A3" w:rsidRDefault="006F41A3" w:rsidP="00EA7FB3">
      <w:pPr>
        <w:spacing w:after="0"/>
        <w:jc w:val="both"/>
        <w:rPr>
          <w:rFonts w:ascii="Verdana" w:hAnsi="Verdana" w:cs="Calibri Light"/>
          <w:sz w:val="20"/>
          <w:szCs w:val="20"/>
        </w:rPr>
      </w:pPr>
    </w:p>
    <w:p w14:paraId="21AA0D59" w14:textId="77777777" w:rsidR="00D0484F" w:rsidRPr="00711CC0" w:rsidRDefault="00D0484F" w:rsidP="00EA7FB3">
      <w:pPr>
        <w:spacing w:after="0"/>
        <w:jc w:val="both"/>
        <w:rPr>
          <w:rFonts w:ascii="Verdana" w:hAnsi="Verdana" w:cs="Calibri Light"/>
          <w:sz w:val="20"/>
          <w:szCs w:val="20"/>
        </w:rPr>
      </w:pPr>
    </w:p>
    <w:tbl>
      <w:tblPr>
        <w:tblW w:w="0" w:type="auto"/>
        <w:tblInd w:w="732" w:type="dxa"/>
        <w:tblCellMar>
          <w:left w:w="0" w:type="dxa"/>
          <w:right w:w="0" w:type="dxa"/>
        </w:tblCellMar>
        <w:tblLook w:val="04A0" w:firstRow="1" w:lastRow="0" w:firstColumn="1" w:lastColumn="0" w:noHBand="0" w:noVBand="1"/>
      </w:tblPr>
      <w:tblGrid>
        <w:gridCol w:w="4966"/>
        <w:gridCol w:w="2058"/>
      </w:tblGrid>
      <w:tr w:rsidR="006F41A3" w:rsidRPr="006F41A3" w14:paraId="3CA8321B" w14:textId="77777777" w:rsidTr="006F41A3">
        <w:trPr>
          <w:trHeight w:val="300"/>
        </w:trPr>
        <w:tc>
          <w:tcPr>
            <w:tcW w:w="0" w:type="auto"/>
            <w:tcBorders>
              <w:top w:val="single" w:sz="8" w:space="0" w:color="BFBFBF"/>
              <w:left w:val="single" w:sz="8" w:space="0" w:color="BFBFBF"/>
              <w:bottom w:val="single" w:sz="8" w:space="0" w:color="BFBFBF"/>
              <w:right w:val="single" w:sz="8" w:space="0" w:color="BFBFBF"/>
            </w:tcBorders>
            <w:noWrap/>
            <w:tcMar>
              <w:top w:w="0" w:type="dxa"/>
              <w:left w:w="108" w:type="dxa"/>
              <w:bottom w:w="0" w:type="dxa"/>
              <w:right w:w="108" w:type="dxa"/>
            </w:tcMar>
            <w:hideMark/>
          </w:tcPr>
          <w:p w14:paraId="434B24D3" w14:textId="77777777" w:rsidR="006F41A3" w:rsidRPr="006F41A3" w:rsidRDefault="006F41A3" w:rsidP="006F41A3">
            <w:pPr>
              <w:spacing w:after="0"/>
              <w:jc w:val="center"/>
              <w:rPr>
                <w:rFonts w:ascii="Verdana" w:hAnsi="Verdana" w:cs="Calibri Light"/>
                <w:b/>
                <w:bCs/>
                <w:sz w:val="20"/>
                <w:szCs w:val="20"/>
              </w:rPr>
            </w:pPr>
            <w:r w:rsidRPr="006F41A3">
              <w:rPr>
                <w:rFonts w:ascii="Verdana" w:hAnsi="Verdana" w:cs="Calibri Light"/>
                <w:b/>
                <w:bCs/>
                <w:sz w:val="20"/>
                <w:szCs w:val="20"/>
              </w:rPr>
              <w:t>DEBENTURISTAS</w:t>
            </w:r>
          </w:p>
        </w:tc>
        <w:tc>
          <w:tcPr>
            <w:tcW w:w="0" w:type="auto"/>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34D07869" w14:textId="77777777" w:rsidR="006F41A3" w:rsidRPr="006F41A3" w:rsidRDefault="006F41A3" w:rsidP="006F41A3">
            <w:pPr>
              <w:spacing w:after="0"/>
              <w:jc w:val="center"/>
              <w:rPr>
                <w:rFonts w:ascii="Verdana" w:hAnsi="Verdana" w:cs="Calibri Light"/>
                <w:b/>
                <w:bCs/>
                <w:sz w:val="20"/>
                <w:szCs w:val="20"/>
              </w:rPr>
            </w:pPr>
            <w:r w:rsidRPr="006F41A3">
              <w:rPr>
                <w:rFonts w:ascii="Verdana" w:hAnsi="Verdana" w:cs="Calibri Light"/>
                <w:b/>
                <w:bCs/>
                <w:sz w:val="20"/>
                <w:szCs w:val="20"/>
              </w:rPr>
              <w:t>CNPJ / CPF</w:t>
            </w:r>
          </w:p>
        </w:tc>
      </w:tr>
      <w:tr w:rsidR="006F41A3" w:rsidRPr="006F41A3" w14:paraId="557C3CAC" w14:textId="77777777" w:rsidTr="006F41A3">
        <w:trPr>
          <w:trHeight w:val="300"/>
        </w:trPr>
        <w:tc>
          <w:tcPr>
            <w:tcW w:w="0" w:type="auto"/>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B97071C" w14:textId="6B718A18" w:rsidR="006F41A3" w:rsidRPr="006F41A3" w:rsidRDefault="006F41A3" w:rsidP="006F41A3">
            <w:pPr>
              <w:spacing w:after="0"/>
              <w:jc w:val="center"/>
              <w:rPr>
                <w:rFonts w:ascii="Verdana" w:hAnsi="Verdana" w:cs="Calibri Light"/>
                <w:sz w:val="20"/>
                <w:szCs w:val="20"/>
              </w:rPr>
            </w:pPr>
            <w:r w:rsidRPr="006F41A3">
              <w:rPr>
                <w:rFonts w:ascii="Verdana" w:hAnsi="Verdana" w:cs="Calibri Light"/>
                <w:sz w:val="20"/>
                <w:szCs w:val="20"/>
              </w:rPr>
              <w:t>Quasar Advantage FI RF CP LP</w:t>
            </w:r>
          </w:p>
        </w:tc>
        <w:tc>
          <w:tcPr>
            <w:tcW w:w="0" w:type="auto"/>
            <w:tcBorders>
              <w:top w:val="nil"/>
              <w:left w:val="nil"/>
              <w:bottom w:val="single" w:sz="8" w:space="0" w:color="BFBFBF"/>
              <w:right w:val="single" w:sz="8" w:space="0" w:color="BFBFBF"/>
            </w:tcBorders>
            <w:noWrap/>
            <w:tcMar>
              <w:top w:w="0" w:type="dxa"/>
              <w:left w:w="108" w:type="dxa"/>
              <w:bottom w:w="0" w:type="dxa"/>
              <w:right w:w="108" w:type="dxa"/>
            </w:tcMar>
            <w:hideMark/>
          </w:tcPr>
          <w:p w14:paraId="0BF873B9" w14:textId="5B391C04"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29.206.196/0001-57</w:t>
            </w:r>
          </w:p>
        </w:tc>
      </w:tr>
      <w:tr w:rsidR="006F41A3" w:rsidRPr="006F41A3" w14:paraId="62FD8E59" w14:textId="77777777" w:rsidTr="006F41A3">
        <w:trPr>
          <w:trHeight w:val="300"/>
        </w:trPr>
        <w:tc>
          <w:tcPr>
            <w:tcW w:w="0" w:type="auto"/>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A3082BB" w14:textId="68D7BB80"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Quasar Advantage Plus FI RF CP LP</w:t>
            </w:r>
          </w:p>
        </w:tc>
        <w:tc>
          <w:tcPr>
            <w:tcW w:w="0" w:type="auto"/>
            <w:tcBorders>
              <w:top w:val="nil"/>
              <w:left w:val="nil"/>
              <w:bottom w:val="single" w:sz="8" w:space="0" w:color="BFBFBF"/>
              <w:right w:val="single" w:sz="8" w:space="0" w:color="BFBFBF"/>
            </w:tcBorders>
            <w:noWrap/>
            <w:tcMar>
              <w:top w:w="0" w:type="dxa"/>
              <w:left w:w="108" w:type="dxa"/>
              <w:bottom w:w="0" w:type="dxa"/>
              <w:right w:w="108" w:type="dxa"/>
            </w:tcMar>
            <w:hideMark/>
          </w:tcPr>
          <w:p w14:paraId="5213F728" w14:textId="4CE952FD"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29.196.922/0001-06</w:t>
            </w:r>
          </w:p>
        </w:tc>
      </w:tr>
      <w:tr w:rsidR="006F41A3" w:rsidRPr="006F41A3" w14:paraId="6E9756DE" w14:textId="77777777" w:rsidTr="006F41A3">
        <w:trPr>
          <w:trHeight w:val="300"/>
        </w:trPr>
        <w:tc>
          <w:tcPr>
            <w:tcW w:w="0" w:type="auto"/>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44ADDD9" w14:textId="54FFBEFE"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Quasar Advantage Previdência XP Seg Adv FI RF CP</w:t>
            </w:r>
          </w:p>
        </w:tc>
        <w:tc>
          <w:tcPr>
            <w:tcW w:w="0" w:type="auto"/>
            <w:tcBorders>
              <w:top w:val="nil"/>
              <w:left w:val="nil"/>
              <w:bottom w:val="single" w:sz="8" w:space="0" w:color="BFBFBF"/>
              <w:right w:val="single" w:sz="8" w:space="0" w:color="BFBFBF"/>
            </w:tcBorders>
            <w:noWrap/>
            <w:tcMar>
              <w:top w:w="0" w:type="dxa"/>
              <w:left w:w="108" w:type="dxa"/>
              <w:bottom w:w="0" w:type="dxa"/>
              <w:right w:w="108" w:type="dxa"/>
            </w:tcMar>
            <w:hideMark/>
          </w:tcPr>
          <w:p w14:paraId="372DAECA" w14:textId="4671DD9F"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31.506.529/0001-05</w:t>
            </w:r>
          </w:p>
        </w:tc>
      </w:tr>
      <w:tr w:rsidR="006F41A3" w:rsidRPr="006F41A3" w14:paraId="6C40522C" w14:textId="77777777" w:rsidTr="006F41A3">
        <w:trPr>
          <w:trHeight w:val="300"/>
        </w:trPr>
        <w:tc>
          <w:tcPr>
            <w:tcW w:w="0" w:type="auto"/>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EEC7A89" w14:textId="528F56CF"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Quasar Advantage Previdenciário RF FI CP</w:t>
            </w:r>
          </w:p>
        </w:tc>
        <w:tc>
          <w:tcPr>
            <w:tcW w:w="0" w:type="auto"/>
            <w:tcBorders>
              <w:top w:val="nil"/>
              <w:left w:val="nil"/>
              <w:bottom w:val="single" w:sz="8" w:space="0" w:color="BFBFBF"/>
              <w:right w:val="single" w:sz="8" w:space="0" w:color="BFBFBF"/>
            </w:tcBorders>
            <w:noWrap/>
            <w:tcMar>
              <w:top w:w="0" w:type="dxa"/>
              <w:left w:w="108" w:type="dxa"/>
              <w:bottom w:w="0" w:type="dxa"/>
              <w:right w:w="108" w:type="dxa"/>
            </w:tcMar>
            <w:hideMark/>
          </w:tcPr>
          <w:p w14:paraId="1125A53A" w14:textId="122E0FCE" w:rsidR="006F41A3" w:rsidRPr="006F41A3" w:rsidRDefault="006F41A3" w:rsidP="006F41A3">
            <w:pPr>
              <w:spacing w:after="0"/>
              <w:jc w:val="center"/>
              <w:rPr>
                <w:rFonts w:ascii="Verdana" w:hAnsi="Verdana" w:cs="Calibri Light"/>
                <w:sz w:val="20"/>
                <w:szCs w:val="20"/>
              </w:rPr>
            </w:pPr>
            <w:r>
              <w:rPr>
                <w:rFonts w:ascii="Segoe UI" w:hAnsi="Segoe UI" w:cs="Segoe UI"/>
                <w:color w:val="242424"/>
                <w:sz w:val="21"/>
                <w:szCs w:val="21"/>
                <w:shd w:val="clear" w:color="auto" w:fill="FFFFFF"/>
              </w:rPr>
              <w:t>32.905.287/0001-95</w:t>
            </w:r>
          </w:p>
        </w:tc>
      </w:tr>
    </w:tbl>
    <w:p w14:paraId="36A565CB" w14:textId="77777777" w:rsidR="001B3113" w:rsidRDefault="001B3113" w:rsidP="00CE3FF0">
      <w:pPr>
        <w:spacing w:after="0"/>
        <w:jc w:val="center"/>
        <w:rPr>
          <w:rFonts w:ascii="Verdana" w:hAnsi="Verdana" w:cs="Calibri Light"/>
          <w:sz w:val="20"/>
          <w:szCs w:val="20"/>
        </w:rPr>
      </w:pPr>
    </w:p>
    <w:p w14:paraId="458F1E44" w14:textId="77777777" w:rsidR="001B3113" w:rsidRDefault="001B3113" w:rsidP="00CE3FF0">
      <w:pPr>
        <w:spacing w:after="0"/>
        <w:jc w:val="center"/>
        <w:rPr>
          <w:rFonts w:ascii="Verdana" w:hAnsi="Verdana" w:cs="Calibri Light"/>
          <w:sz w:val="20"/>
          <w:szCs w:val="20"/>
        </w:rPr>
      </w:pPr>
    </w:p>
    <w:p w14:paraId="742A2F6B" w14:textId="116A20B9" w:rsidR="00A02909" w:rsidRDefault="00A02909" w:rsidP="00CE3FF0">
      <w:pPr>
        <w:spacing w:after="0"/>
        <w:jc w:val="center"/>
        <w:rPr>
          <w:rFonts w:ascii="Verdana" w:hAnsi="Verdana" w:cs="Calibri Light"/>
          <w:sz w:val="20"/>
          <w:szCs w:val="20"/>
        </w:rPr>
      </w:pPr>
    </w:p>
    <w:p w14:paraId="2F760EA2" w14:textId="5F1C23E2" w:rsidR="00A02909" w:rsidRDefault="00A02909" w:rsidP="00CE3FF0">
      <w:pPr>
        <w:spacing w:after="0"/>
        <w:jc w:val="center"/>
        <w:rPr>
          <w:rFonts w:ascii="Verdana" w:hAnsi="Verdana" w:cs="Calibri Light"/>
          <w:sz w:val="20"/>
          <w:szCs w:val="20"/>
        </w:rPr>
      </w:pPr>
    </w:p>
    <w:p w14:paraId="5599766F" w14:textId="25A046A9" w:rsidR="00A02909" w:rsidRDefault="00A02909" w:rsidP="00CE3FF0">
      <w:pPr>
        <w:spacing w:after="0"/>
        <w:jc w:val="center"/>
        <w:rPr>
          <w:rFonts w:ascii="Verdana" w:hAnsi="Verdana" w:cs="Calibri Light"/>
          <w:sz w:val="20"/>
          <w:szCs w:val="20"/>
        </w:rPr>
      </w:pPr>
    </w:p>
    <w:p w14:paraId="6084F229" w14:textId="674B02A8" w:rsidR="00A02909" w:rsidRDefault="00A02909" w:rsidP="00CE3FF0">
      <w:pPr>
        <w:spacing w:after="0"/>
        <w:jc w:val="center"/>
        <w:rPr>
          <w:rFonts w:ascii="Verdana" w:hAnsi="Verdana" w:cs="Calibri Light"/>
          <w:sz w:val="20"/>
          <w:szCs w:val="20"/>
        </w:rPr>
      </w:pPr>
    </w:p>
    <w:p w14:paraId="43B1D939" w14:textId="18E732A8" w:rsidR="00A02909" w:rsidRDefault="00A02909" w:rsidP="00CE3FF0">
      <w:pPr>
        <w:spacing w:after="0"/>
        <w:jc w:val="center"/>
        <w:rPr>
          <w:rFonts w:ascii="Verdana" w:hAnsi="Verdana" w:cs="Calibri Light"/>
          <w:sz w:val="20"/>
          <w:szCs w:val="20"/>
        </w:rPr>
      </w:pPr>
    </w:p>
    <w:p w14:paraId="788F0D6D" w14:textId="230309DB" w:rsidR="00A02909" w:rsidRDefault="00A02909" w:rsidP="00CE3FF0">
      <w:pPr>
        <w:spacing w:after="0"/>
        <w:jc w:val="center"/>
        <w:rPr>
          <w:rFonts w:ascii="Verdana" w:hAnsi="Verdana" w:cs="Calibri Light"/>
          <w:sz w:val="20"/>
          <w:szCs w:val="20"/>
        </w:rPr>
      </w:pPr>
    </w:p>
    <w:p w14:paraId="469DE8C1" w14:textId="32F717EB" w:rsidR="00A02909" w:rsidRDefault="00A02909" w:rsidP="00CE3FF0">
      <w:pPr>
        <w:spacing w:after="0"/>
        <w:jc w:val="center"/>
        <w:rPr>
          <w:rFonts w:ascii="Verdana" w:hAnsi="Verdana" w:cs="Calibri Light"/>
          <w:sz w:val="20"/>
          <w:szCs w:val="20"/>
        </w:rPr>
      </w:pPr>
    </w:p>
    <w:p w14:paraId="4C5D6A1D" w14:textId="36BCA8E9" w:rsidR="00A02909" w:rsidRDefault="00A02909" w:rsidP="00CE3FF0">
      <w:pPr>
        <w:spacing w:after="0"/>
        <w:jc w:val="center"/>
        <w:rPr>
          <w:rFonts w:ascii="Verdana" w:hAnsi="Verdana" w:cs="Calibri Light"/>
          <w:sz w:val="20"/>
          <w:szCs w:val="20"/>
        </w:rPr>
      </w:pPr>
    </w:p>
    <w:p w14:paraId="7EA8CC55" w14:textId="2CB3C2FB" w:rsidR="00A02909" w:rsidRDefault="00A02909" w:rsidP="00CE3FF0">
      <w:pPr>
        <w:spacing w:after="0"/>
        <w:jc w:val="center"/>
        <w:rPr>
          <w:rFonts w:ascii="Verdana" w:hAnsi="Verdana" w:cs="Calibri Light"/>
          <w:sz w:val="20"/>
          <w:szCs w:val="20"/>
        </w:rPr>
      </w:pPr>
    </w:p>
    <w:p w14:paraId="074BD275" w14:textId="02D5799F" w:rsidR="00A02909" w:rsidRDefault="00A02909" w:rsidP="00CE3FF0">
      <w:pPr>
        <w:spacing w:after="0"/>
        <w:jc w:val="center"/>
        <w:rPr>
          <w:rFonts w:ascii="Verdana" w:hAnsi="Verdana" w:cs="Calibri Light"/>
          <w:sz w:val="20"/>
          <w:szCs w:val="20"/>
        </w:rPr>
      </w:pPr>
    </w:p>
    <w:p w14:paraId="52A77532" w14:textId="7D47CDFD" w:rsidR="00A02909" w:rsidRDefault="00A02909" w:rsidP="00CE3FF0">
      <w:pPr>
        <w:spacing w:after="0"/>
        <w:jc w:val="center"/>
        <w:rPr>
          <w:rFonts w:ascii="Verdana" w:hAnsi="Verdana" w:cs="Calibri Light"/>
          <w:sz w:val="20"/>
          <w:szCs w:val="20"/>
        </w:rPr>
      </w:pPr>
    </w:p>
    <w:p w14:paraId="46B6570D" w14:textId="5C36562D" w:rsidR="00A02909" w:rsidRDefault="00A02909" w:rsidP="00CE3FF0">
      <w:pPr>
        <w:spacing w:after="0"/>
        <w:jc w:val="center"/>
        <w:rPr>
          <w:rFonts w:ascii="Verdana" w:hAnsi="Verdana" w:cs="Calibri Light"/>
          <w:sz w:val="20"/>
          <w:szCs w:val="20"/>
        </w:rPr>
      </w:pPr>
    </w:p>
    <w:p w14:paraId="2B94EEFD" w14:textId="0BA1364E" w:rsidR="00A02909" w:rsidRDefault="00A02909" w:rsidP="00CE3FF0">
      <w:pPr>
        <w:spacing w:after="0"/>
        <w:jc w:val="center"/>
        <w:rPr>
          <w:rFonts w:ascii="Verdana" w:hAnsi="Verdana" w:cs="Calibri Light"/>
          <w:sz w:val="20"/>
          <w:szCs w:val="20"/>
        </w:rPr>
      </w:pPr>
    </w:p>
    <w:p w14:paraId="42AD125F" w14:textId="04A69DA8" w:rsidR="00A02909" w:rsidRDefault="00A02909" w:rsidP="00CE3FF0">
      <w:pPr>
        <w:spacing w:after="0"/>
        <w:jc w:val="center"/>
        <w:rPr>
          <w:rFonts w:ascii="Verdana" w:hAnsi="Verdana" w:cs="Calibri Light"/>
          <w:sz w:val="20"/>
          <w:szCs w:val="20"/>
        </w:rPr>
      </w:pPr>
    </w:p>
    <w:p w14:paraId="06FAF307" w14:textId="644A0179" w:rsidR="00A02909" w:rsidRDefault="00A02909" w:rsidP="00CE3FF0">
      <w:pPr>
        <w:spacing w:after="0"/>
        <w:jc w:val="center"/>
        <w:rPr>
          <w:rFonts w:ascii="Verdana" w:hAnsi="Verdana" w:cs="Calibri Light"/>
          <w:sz w:val="20"/>
          <w:szCs w:val="20"/>
        </w:rPr>
      </w:pPr>
    </w:p>
    <w:p w14:paraId="06276610" w14:textId="308324E4" w:rsidR="00A02909" w:rsidRDefault="00A02909" w:rsidP="00CE3FF0">
      <w:pPr>
        <w:spacing w:after="0"/>
        <w:jc w:val="center"/>
        <w:rPr>
          <w:rFonts w:ascii="Verdana" w:hAnsi="Verdana" w:cs="Calibri Light"/>
          <w:sz w:val="20"/>
          <w:szCs w:val="20"/>
        </w:rPr>
      </w:pPr>
    </w:p>
    <w:p w14:paraId="322B17B2" w14:textId="3A38CB7A" w:rsidR="00A02909" w:rsidRDefault="00A02909" w:rsidP="00CE3FF0">
      <w:pPr>
        <w:spacing w:after="0"/>
        <w:jc w:val="center"/>
        <w:rPr>
          <w:rFonts w:ascii="Verdana" w:hAnsi="Verdana" w:cs="Calibri Light"/>
          <w:sz w:val="20"/>
          <w:szCs w:val="20"/>
        </w:rPr>
      </w:pPr>
    </w:p>
    <w:p w14:paraId="2FE2C98F" w14:textId="2A5B3C4E" w:rsidR="00A02909" w:rsidRDefault="00A02909" w:rsidP="00CE3FF0">
      <w:pPr>
        <w:spacing w:after="0"/>
        <w:jc w:val="center"/>
        <w:rPr>
          <w:rFonts w:ascii="Verdana" w:hAnsi="Verdana" w:cs="Calibri Light"/>
          <w:sz w:val="20"/>
          <w:szCs w:val="20"/>
        </w:rPr>
      </w:pPr>
    </w:p>
    <w:p w14:paraId="09254F83" w14:textId="7767F987" w:rsidR="00A02909" w:rsidRDefault="00A02909" w:rsidP="00CE3FF0">
      <w:pPr>
        <w:spacing w:after="0"/>
        <w:jc w:val="center"/>
        <w:rPr>
          <w:rFonts w:ascii="Verdana" w:hAnsi="Verdana" w:cs="Calibri Light"/>
          <w:sz w:val="20"/>
          <w:szCs w:val="20"/>
        </w:rPr>
      </w:pPr>
    </w:p>
    <w:p w14:paraId="6ADC9EEF" w14:textId="2CCA306F" w:rsidR="00A02909" w:rsidRDefault="00A02909" w:rsidP="00CE3FF0">
      <w:pPr>
        <w:spacing w:after="0"/>
        <w:jc w:val="center"/>
        <w:rPr>
          <w:rFonts w:ascii="Verdana" w:hAnsi="Verdana" w:cs="Calibri Light"/>
          <w:sz w:val="20"/>
          <w:szCs w:val="20"/>
        </w:rPr>
      </w:pPr>
    </w:p>
    <w:p w14:paraId="63B0E4AB" w14:textId="144165DD" w:rsidR="00A02909" w:rsidRDefault="00A02909" w:rsidP="00CE3FF0">
      <w:pPr>
        <w:spacing w:after="0"/>
        <w:jc w:val="center"/>
        <w:rPr>
          <w:rFonts w:ascii="Verdana" w:hAnsi="Verdana" w:cs="Calibri Light"/>
          <w:sz w:val="20"/>
          <w:szCs w:val="20"/>
        </w:rPr>
      </w:pPr>
    </w:p>
    <w:p w14:paraId="2BED9EC9" w14:textId="55F15425" w:rsidR="00A02909" w:rsidRDefault="00A02909" w:rsidP="00CE3FF0">
      <w:pPr>
        <w:spacing w:after="0"/>
        <w:jc w:val="center"/>
        <w:rPr>
          <w:rFonts w:ascii="Verdana" w:hAnsi="Verdana" w:cs="Calibri Light"/>
          <w:sz w:val="20"/>
          <w:szCs w:val="20"/>
        </w:rPr>
      </w:pPr>
    </w:p>
    <w:p w14:paraId="2635E217" w14:textId="7C2F4D3D" w:rsidR="00A02909" w:rsidRDefault="00A02909" w:rsidP="00CE3FF0">
      <w:pPr>
        <w:spacing w:after="0"/>
        <w:jc w:val="center"/>
        <w:rPr>
          <w:rFonts w:ascii="Verdana" w:hAnsi="Verdana" w:cs="Calibri Light"/>
          <w:sz w:val="20"/>
          <w:szCs w:val="20"/>
        </w:rPr>
      </w:pPr>
    </w:p>
    <w:p w14:paraId="3DB328E7" w14:textId="1D34F69E" w:rsidR="00A02909" w:rsidRDefault="00A02909" w:rsidP="00CE3FF0">
      <w:pPr>
        <w:spacing w:after="0"/>
        <w:jc w:val="center"/>
        <w:rPr>
          <w:rFonts w:ascii="Verdana" w:hAnsi="Verdana" w:cs="Calibri Light"/>
          <w:sz w:val="20"/>
          <w:szCs w:val="20"/>
        </w:rPr>
      </w:pPr>
    </w:p>
    <w:p w14:paraId="13E5D6EE" w14:textId="73731F88" w:rsidR="00A02909" w:rsidRDefault="00A02909" w:rsidP="00CE3FF0">
      <w:pPr>
        <w:spacing w:after="0"/>
        <w:jc w:val="center"/>
        <w:rPr>
          <w:rFonts w:ascii="Verdana" w:hAnsi="Verdana" w:cs="Calibri Light"/>
          <w:sz w:val="20"/>
          <w:szCs w:val="20"/>
        </w:rPr>
      </w:pPr>
    </w:p>
    <w:p w14:paraId="228D91A7" w14:textId="2C198737" w:rsidR="00A02909" w:rsidRDefault="00A02909" w:rsidP="00CE3FF0">
      <w:pPr>
        <w:spacing w:after="0"/>
        <w:jc w:val="center"/>
        <w:rPr>
          <w:rFonts w:ascii="Verdana" w:hAnsi="Verdana" w:cs="Calibri Light"/>
          <w:sz w:val="20"/>
          <w:szCs w:val="20"/>
        </w:rPr>
      </w:pPr>
    </w:p>
    <w:p w14:paraId="6A6510C2" w14:textId="4240E321" w:rsidR="00A02909" w:rsidRDefault="00A02909" w:rsidP="00CE3FF0">
      <w:pPr>
        <w:spacing w:after="0"/>
        <w:jc w:val="center"/>
        <w:rPr>
          <w:rFonts w:ascii="Verdana" w:hAnsi="Verdana" w:cs="Calibri Light"/>
          <w:sz w:val="20"/>
          <w:szCs w:val="20"/>
        </w:rPr>
      </w:pPr>
    </w:p>
    <w:sectPr w:rsidR="00A02909"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03C6" w14:textId="77777777" w:rsidR="00D623CE" w:rsidRDefault="00D623CE" w:rsidP="00591152">
      <w:pPr>
        <w:spacing w:after="0" w:line="240" w:lineRule="auto"/>
      </w:pPr>
      <w:r>
        <w:separator/>
      </w:r>
    </w:p>
  </w:endnote>
  <w:endnote w:type="continuationSeparator" w:id="0">
    <w:p w14:paraId="675F5F9E" w14:textId="77777777" w:rsidR="00D623CE" w:rsidRDefault="00D623C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283D" w14:textId="77777777" w:rsidR="00D623CE" w:rsidRDefault="00D623CE" w:rsidP="00591152">
      <w:pPr>
        <w:spacing w:after="0" w:line="240" w:lineRule="auto"/>
      </w:pPr>
      <w:r>
        <w:separator/>
      </w:r>
    </w:p>
  </w:footnote>
  <w:footnote w:type="continuationSeparator" w:id="0">
    <w:p w14:paraId="4C3064C6" w14:textId="77777777" w:rsidR="00D623CE" w:rsidRDefault="00D623C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6"/>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4"/>
  </w:num>
  <w:num w:numId="15">
    <w:abstractNumId w:val="1"/>
  </w:num>
  <w:num w:numId="16">
    <w:abstractNumId w:val="17"/>
  </w:num>
  <w:num w:numId="17">
    <w:abstractNumId w:val="2"/>
  </w:num>
  <w:num w:numId="18">
    <w:abstractNumId w:val="15"/>
  </w:num>
  <w:num w:numId="19">
    <w:abstractNumId w:val="1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3706C"/>
    <w:rsid w:val="00040DC2"/>
    <w:rsid w:val="00050655"/>
    <w:rsid w:val="000552E9"/>
    <w:rsid w:val="00062CC5"/>
    <w:rsid w:val="00063DC7"/>
    <w:rsid w:val="00072567"/>
    <w:rsid w:val="0007577F"/>
    <w:rsid w:val="00094154"/>
    <w:rsid w:val="00094510"/>
    <w:rsid w:val="000B69F6"/>
    <w:rsid w:val="000C5E40"/>
    <w:rsid w:val="000D1C22"/>
    <w:rsid w:val="000D3328"/>
    <w:rsid w:val="000E1319"/>
    <w:rsid w:val="000E2D31"/>
    <w:rsid w:val="000E3494"/>
    <w:rsid w:val="000E39F2"/>
    <w:rsid w:val="000F06E8"/>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3701"/>
    <w:rsid w:val="00154C1D"/>
    <w:rsid w:val="001617AA"/>
    <w:rsid w:val="00163091"/>
    <w:rsid w:val="001673E9"/>
    <w:rsid w:val="001827FD"/>
    <w:rsid w:val="00184885"/>
    <w:rsid w:val="00187346"/>
    <w:rsid w:val="00191881"/>
    <w:rsid w:val="00192385"/>
    <w:rsid w:val="001924ED"/>
    <w:rsid w:val="001955D0"/>
    <w:rsid w:val="001A36E5"/>
    <w:rsid w:val="001A7AAB"/>
    <w:rsid w:val="001B185A"/>
    <w:rsid w:val="001B3113"/>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674F7"/>
    <w:rsid w:val="00271C84"/>
    <w:rsid w:val="002828DE"/>
    <w:rsid w:val="0028652C"/>
    <w:rsid w:val="002A3471"/>
    <w:rsid w:val="002A4B12"/>
    <w:rsid w:val="002A7721"/>
    <w:rsid w:val="002C0FD1"/>
    <w:rsid w:val="002C55E1"/>
    <w:rsid w:val="002C750F"/>
    <w:rsid w:val="002D6FD6"/>
    <w:rsid w:val="002D7F58"/>
    <w:rsid w:val="002E054F"/>
    <w:rsid w:val="0030010C"/>
    <w:rsid w:val="00300B1F"/>
    <w:rsid w:val="003022C6"/>
    <w:rsid w:val="0030324C"/>
    <w:rsid w:val="00321750"/>
    <w:rsid w:val="003239AC"/>
    <w:rsid w:val="0032453F"/>
    <w:rsid w:val="00325BF1"/>
    <w:rsid w:val="00330562"/>
    <w:rsid w:val="00330D78"/>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2D76"/>
    <w:rsid w:val="00425204"/>
    <w:rsid w:val="0042749B"/>
    <w:rsid w:val="00433FC4"/>
    <w:rsid w:val="00444DC0"/>
    <w:rsid w:val="00457073"/>
    <w:rsid w:val="0046304A"/>
    <w:rsid w:val="00463DB2"/>
    <w:rsid w:val="00465EF4"/>
    <w:rsid w:val="00465F59"/>
    <w:rsid w:val="00481C5A"/>
    <w:rsid w:val="004866C4"/>
    <w:rsid w:val="00487BA4"/>
    <w:rsid w:val="00492B07"/>
    <w:rsid w:val="0049770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696D"/>
    <w:rsid w:val="005600CF"/>
    <w:rsid w:val="0056450C"/>
    <w:rsid w:val="00573D28"/>
    <w:rsid w:val="00582EB0"/>
    <w:rsid w:val="00591152"/>
    <w:rsid w:val="005A164C"/>
    <w:rsid w:val="005B7E8E"/>
    <w:rsid w:val="005C10A4"/>
    <w:rsid w:val="005C3A57"/>
    <w:rsid w:val="005D1927"/>
    <w:rsid w:val="005D272F"/>
    <w:rsid w:val="005E1FE4"/>
    <w:rsid w:val="005F1531"/>
    <w:rsid w:val="005F3B09"/>
    <w:rsid w:val="00604527"/>
    <w:rsid w:val="00605AC9"/>
    <w:rsid w:val="006072E6"/>
    <w:rsid w:val="006074A6"/>
    <w:rsid w:val="00607896"/>
    <w:rsid w:val="00613CB7"/>
    <w:rsid w:val="00624A97"/>
    <w:rsid w:val="00627F03"/>
    <w:rsid w:val="006314D1"/>
    <w:rsid w:val="00647C57"/>
    <w:rsid w:val="006546BE"/>
    <w:rsid w:val="006720F9"/>
    <w:rsid w:val="006863F1"/>
    <w:rsid w:val="006A152B"/>
    <w:rsid w:val="006A26C2"/>
    <w:rsid w:val="006A28D1"/>
    <w:rsid w:val="006C353E"/>
    <w:rsid w:val="006D49A6"/>
    <w:rsid w:val="006D6962"/>
    <w:rsid w:val="006E6DD1"/>
    <w:rsid w:val="006F0D4A"/>
    <w:rsid w:val="006F41A3"/>
    <w:rsid w:val="007037A7"/>
    <w:rsid w:val="00707ECA"/>
    <w:rsid w:val="00711CC0"/>
    <w:rsid w:val="007122DE"/>
    <w:rsid w:val="0071332A"/>
    <w:rsid w:val="00733E63"/>
    <w:rsid w:val="0074182E"/>
    <w:rsid w:val="00742D71"/>
    <w:rsid w:val="007454C6"/>
    <w:rsid w:val="007536F1"/>
    <w:rsid w:val="00753DBA"/>
    <w:rsid w:val="00767819"/>
    <w:rsid w:val="00777B7B"/>
    <w:rsid w:val="00785AF6"/>
    <w:rsid w:val="007A0B2D"/>
    <w:rsid w:val="007B3393"/>
    <w:rsid w:val="007B7A03"/>
    <w:rsid w:val="007D7CDE"/>
    <w:rsid w:val="007E1FBC"/>
    <w:rsid w:val="007E2E79"/>
    <w:rsid w:val="007F45F0"/>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3401"/>
    <w:rsid w:val="008B4CB9"/>
    <w:rsid w:val="008B7633"/>
    <w:rsid w:val="008C3DD7"/>
    <w:rsid w:val="008C5B8B"/>
    <w:rsid w:val="008D5018"/>
    <w:rsid w:val="008D5F0A"/>
    <w:rsid w:val="008F2118"/>
    <w:rsid w:val="008F7504"/>
    <w:rsid w:val="008F7D4E"/>
    <w:rsid w:val="009019C7"/>
    <w:rsid w:val="00913733"/>
    <w:rsid w:val="00917707"/>
    <w:rsid w:val="00921449"/>
    <w:rsid w:val="009252CE"/>
    <w:rsid w:val="00934CF1"/>
    <w:rsid w:val="009449F6"/>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6141"/>
    <w:rsid w:val="009E709B"/>
    <w:rsid w:val="00A01440"/>
    <w:rsid w:val="00A02909"/>
    <w:rsid w:val="00A03BF0"/>
    <w:rsid w:val="00A051E4"/>
    <w:rsid w:val="00A206F6"/>
    <w:rsid w:val="00A3363C"/>
    <w:rsid w:val="00A342E2"/>
    <w:rsid w:val="00A448FB"/>
    <w:rsid w:val="00A46B7B"/>
    <w:rsid w:val="00A52FD4"/>
    <w:rsid w:val="00A55437"/>
    <w:rsid w:val="00A60ADD"/>
    <w:rsid w:val="00A67F44"/>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7096"/>
    <w:rsid w:val="00B404CF"/>
    <w:rsid w:val="00B529B2"/>
    <w:rsid w:val="00B57584"/>
    <w:rsid w:val="00B609C8"/>
    <w:rsid w:val="00B62606"/>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F51A6"/>
    <w:rsid w:val="00C01BB8"/>
    <w:rsid w:val="00C06167"/>
    <w:rsid w:val="00C24053"/>
    <w:rsid w:val="00C24B96"/>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3FF0"/>
    <w:rsid w:val="00CE7AA3"/>
    <w:rsid w:val="00D03B8E"/>
    <w:rsid w:val="00D0484F"/>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623CE"/>
    <w:rsid w:val="00D744D9"/>
    <w:rsid w:val="00D84005"/>
    <w:rsid w:val="00D859B9"/>
    <w:rsid w:val="00D87168"/>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5AE8"/>
    <w:rsid w:val="00EE64CE"/>
    <w:rsid w:val="00F03594"/>
    <w:rsid w:val="00F100AC"/>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084B"/>
    <w:rsid w:val="00F865D1"/>
    <w:rsid w:val="00FA113B"/>
    <w:rsid w:val="00FA4079"/>
    <w:rsid w:val="00FA46A3"/>
    <w:rsid w:val="00FA622D"/>
    <w:rsid w:val="00FA6974"/>
    <w:rsid w:val="00FA6E6A"/>
    <w:rsid w:val="00FB1AA8"/>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5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Reviso">
    <w:name w:val="Revision"/>
    <w:hidden/>
    <w:uiPriority w:val="99"/>
    <w:semiHidden/>
    <w:rsid w:val="00FB1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499350453">
      <w:bodyDiv w:val="1"/>
      <w:marLeft w:val="0"/>
      <w:marRight w:val="0"/>
      <w:marTop w:val="0"/>
      <w:marBottom w:val="0"/>
      <w:divBdr>
        <w:top w:val="none" w:sz="0" w:space="0" w:color="auto"/>
        <w:left w:val="none" w:sz="0" w:space="0" w:color="auto"/>
        <w:bottom w:val="none" w:sz="0" w:space="0" w:color="auto"/>
        <w:right w:val="none" w:sz="0" w:space="0" w:color="auto"/>
      </w:divBdr>
    </w:div>
    <w:div w:id="604728726">
      <w:bodyDiv w:val="1"/>
      <w:marLeft w:val="0"/>
      <w:marRight w:val="0"/>
      <w:marTop w:val="0"/>
      <w:marBottom w:val="0"/>
      <w:divBdr>
        <w:top w:val="none" w:sz="0" w:space="0" w:color="auto"/>
        <w:left w:val="none" w:sz="0" w:space="0" w:color="auto"/>
        <w:bottom w:val="none" w:sz="0" w:space="0" w:color="auto"/>
        <w:right w:val="none" w:sz="0" w:space="0" w:color="auto"/>
      </w:divBdr>
    </w:div>
    <w:div w:id="995300288">
      <w:bodyDiv w:val="1"/>
      <w:marLeft w:val="0"/>
      <w:marRight w:val="0"/>
      <w:marTop w:val="0"/>
      <w:marBottom w:val="0"/>
      <w:divBdr>
        <w:top w:val="none" w:sz="0" w:space="0" w:color="auto"/>
        <w:left w:val="none" w:sz="0" w:space="0" w:color="auto"/>
        <w:bottom w:val="none" w:sz="0" w:space="0" w:color="auto"/>
        <w:right w:val="none" w:sz="0" w:space="0" w:color="auto"/>
      </w:divBdr>
    </w:div>
    <w:div w:id="1083337587">
      <w:bodyDiv w:val="1"/>
      <w:marLeft w:val="0"/>
      <w:marRight w:val="0"/>
      <w:marTop w:val="0"/>
      <w:marBottom w:val="0"/>
      <w:divBdr>
        <w:top w:val="none" w:sz="0" w:space="0" w:color="auto"/>
        <w:left w:val="none" w:sz="0" w:space="0" w:color="auto"/>
        <w:bottom w:val="none" w:sz="0" w:space="0" w:color="auto"/>
        <w:right w:val="none" w:sz="0" w:space="0" w:color="auto"/>
      </w:divBdr>
      <w:divsChild>
        <w:div w:id="1000696688">
          <w:marLeft w:val="0"/>
          <w:marRight w:val="0"/>
          <w:marTop w:val="0"/>
          <w:marBottom w:val="0"/>
          <w:divBdr>
            <w:top w:val="none" w:sz="0" w:space="0" w:color="auto"/>
            <w:left w:val="none" w:sz="0" w:space="0" w:color="auto"/>
            <w:bottom w:val="none" w:sz="0" w:space="0" w:color="auto"/>
            <w:right w:val="none" w:sz="0" w:space="0" w:color="auto"/>
          </w:divBdr>
        </w:div>
      </w:divsChild>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837921">
      <w:bodyDiv w:val="1"/>
      <w:marLeft w:val="0"/>
      <w:marRight w:val="0"/>
      <w:marTop w:val="0"/>
      <w:marBottom w:val="0"/>
      <w:divBdr>
        <w:top w:val="none" w:sz="0" w:space="0" w:color="auto"/>
        <w:left w:val="none" w:sz="0" w:space="0" w:color="auto"/>
        <w:bottom w:val="none" w:sz="0" w:space="0" w:color="auto"/>
        <w:right w:val="none" w:sz="0" w:space="0" w:color="auto"/>
      </w:divBdr>
      <w:divsChild>
        <w:div w:id="1284187007">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6747675">
      <w:bodyDiv w:val="1"/>
      <w:marLeft w:val="0"/>
      <w:marRight w:val="0"/>
      <w:marTop w:val="0"/>
      <w:marBottom w:val="0"/>
      <w:divBdr>
        <w:top w:val="none" w:sz="0" w:space="0" w:color="auto"/>
        <w:left w:val="none" w:sz="0" w:space="0" w:color="auto"/>
        <w:bottom w:val="none" w:sz="0" w:space="0" w:color="auto"/>
        <w:right w:val="none" w:sz="0" w:space="0" w:color="auto"/>
      </w:divBdr>
      <w:divsChild>
        <w:div w:id="301352594">
          <w:marLeft w:val="0"/>
          <w:marRight w:val="0"/>
          <w:marTop w:val="0"/>
          <w:marBottom w:val="0"/>
          <w:divBdr>
            <w:top w:val="none" w:sz="0" w:space="0" w:color="auto"/>
            <w:left w:val="none" w:sz="0" w:space="0" w:color="auto"/>
            <w:bottom w:val="none" w:sz="0" w:space="0" w:color="auto"/>
            <w:right w:val="none" w:sz="0" w:space="0" w:color="auto"/>
          </w:divBdr>
        </w:div>
      </w:divsChild>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7561664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970</Words>
  <Characters>5242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Caio Cortez</cp:lastModifiedBy>
  <cp:revision>3</cp:revision>
  <cp:lastPrinted>2021-10-15T18:02:00Z</cp:lastPrinted>
  <dcterms:created xsi:type="dcterms:W3CDTF">2022-01-26T23:11:00Z</dcterms:created>
  <dcterms:modified xsi:type="dcterms:W3CDTF">2022-01-26T23:25:00Z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f3732d58-8c18-4bab-8f62-1159a69060e9_Enabled">
    <vt:lpwstr>True</vt:lpwstr>
  </property>
  <property fmtid="{D5CDD505-2E9C-101B-9397-08002B2CF9AE}" pid="4" name="MSIP_Label_f3732d58-8c18-4bab-8f62-1159a69060e9_SiteId">
    <vt:lpwstr>d0df3d96-c065-41c3-8c0b-5dcaa460ec33</vt:lpwstr>
  </property>
  <property fmtid="{D5CDD505-2E9C-101B-9397-08002B2CF9AE}" pid="5" name="MSIP_Label_f3732d58-8c18-4bab-8f62-1159a69060e9_Owner">
    <vt:lpwstr>joao.losreis@credit-suisse.com</vt:lpwstr>
  </property>
  <property fmtid="{D5CDD505-2E9C-101B-9397-08002B2CF9AE}" pid="6" name="MSIP_Label_f3732d58-8c18-4bab-8f62-1159a69060e9_SetDate">
    <vt:lpwstr>2021-08-16T20:05:02.2107842Z</vt:lpwstr>
  </property>
  <property fmtid="{D5CDD505-2E9C-101B-9397-08002B2CF9AE}" pid="7" name="MSIP_Label_f3732d58-8c18-4bab-8f62-1159a69060e9_Name">
    <vt:lpwstr>Unrestricted</vt:lpwstr>
  </property>
  <property fmtid="{D5CDD505-2E9C-101B-9397-08002B2CF9AE}" pid="8" name="MSIP_Label_f3732d58-8c18-4bab-8f62-1159a69060e9_Application">
    <vt:lpwstr>Microsoft Azure Information Protection</vt:lpwstr>
  </property>
  <property fmtid="{D5CDD505-2E9C-101B-9397-08002B2CF9AE}" pid="9" name="MSIP_Label_f3732d58-8c18-4bab-8f62-1159a69060e9_ActionId">
    <vt:lpwstr>98ce5829-7010-474f-82cb-5cf79791524a</vt:lpwstr>
  </property>
  <property fmtid="{D5CDD505-2E9C-101B-9397-08002B2CF9AE}" pid="10" name="MSIP_Label_f3732d58-8c18-4bab-8f62-1159a69060e9_Extended_MSFT_Method">
    <vt:lpwstr>Manual</vt:lpwstr>
  </property>
  <property fmtid="{D5CDD505-2E9C-101B-9397-08002B2CF9AE}" pid="11" name="MSIP_Label_32b1616c-cf2a-4802-8439-7c44bba93692_Enabled">
    <vt:lpwstr>True</vt:lpwstr>
  </property>
  <property fmtid="{D5CDD505-2E9C-101B-9397-08002B2CF9AE}" pid="12" name="MSIP_Label_32b1616c-cf2a-4802-8439-7c44bba93692_SiteId">
    <vt:lpwstr>cf56e405-d2b0-4266-b210-aa04636b6161</vt:lpwstr>
  </property>
  <property fmtid="{D5CDD505-2E9C-101B-9397-08002B2CF9AE}" pid="13" name="MSIP_Label_32b1616c-cf2a-4802-8439-7c44bba93692_Owner">
    <vt:lpwstr>marcelo.ferraz@xpi.com.br</vt:lpwstr>
  </property>
  <property fmtid="{D5CDD505-2E9C-101B-9397-08002B2CF9AE}" pid="14" name="MSIP_Label_32b1616c-cf2a-4802-8439-7c44bba93692_SetDate">
    <vt:lpwstr>2019-01-09T16:04:10.0888661-02:00</vt:lpwstr>
  </property>
  <property fmtid="{D5CDD505-2E9C-101B-9397-08002B2CF9AE}" pid="15" name="MSIP_Label_32b1616c-cf2a-4802-8439-7c44bba93692_Name">
    <vt:lpwstr>Pública</vt:lpwstr>
  </property>
  <property fmtid="{D5CDD505-2E9C-101B-9397-08002B2CF9AE}" pid="16" name="MSIP_Label_32b1616c-cf2a-4802-8439-7c44bba93692_Application">
    <vt:lpwstr>Microsoft Azure Information Protection</vt:lpwstr>
  </property>
  <property fmtid="{D5CDD505-2E9C-101B-9397-08002B2CF9AE}" pid="17" name="MSIP_Label_32b1616c-cf2a-4802-8439-7c44bba93692_Extended_MSFT_Method">
    <vt:lpwstr>Manual</vt:lpwstr>
  </property>
  <property fmtid="{D5CDD505-2E9C-101B-9397-08002B2CF9AE}" pid="18" name="Sensitivity">
    <vt:lpwstr>Unrestricted Pública</vt:lpwstr>
  </property>
</Properties>
</file>