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7CBA" w14:textId="505DCB25" w:rsidR="002160D8" w:rsidRPr="00711CC0" w:rsidRDefault="00591152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1955D0">
        <w:rPr>
          <w:rFonts w:ascii="Verdana" w:hAnsi="Verdana" w:cs="Calibri Light"/>
          <w:b/>
          <w:szCs w:val="20"/>
        </w:rPr>
        <w:t>GYRA</w:t>
      </w:r>
    </w:p>
    <w:p w14:paraId="38545F50" w14:textId="66A14605" w:rsidR="004201B8" w:rsidRPr="00711CC0" w:rsidRDefault="002160D8" w:rsidP="005B7E8E">
      <w:pPr>
        <w:pStyle w:val="Body"/>
        <w:spacing w:after="0" w:line="360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 xml:space="preserve">CNPJ/MF nº </w:t>
      </w:r>
      <w:r w:rsidR="001955D0">
        <w:rPr>
          <w:rFonts w:ascii="Verdana" w:hAnsi="Verdana" w:cs="Calibri Light"/>
          <w:szCs w:val="20"/>
        </w:rPr>
        <w:t>32.770.457/0001-71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1955D0">
        <w:rPr>
          <w:rFonts w:ascii="Verdana" w:hAnsi="Verdana" w:cs="Calibri Light"/>
          <w:szCs w:val="20"/>
        </w:rPr>
        <w:t>35.300.531.485</w:t>
      </w:r>
    </w:p>
    <w:p w14:paraId="6D40C1D9" w14:textId="77777777" w:rsidR="004201B8" w:rsidRPr="00711CC0" w:rsidRDefault="004201B8" w:rsidP="005B7E8E">
      <w:pPr>
        <w:pStyle w:val="Body"/>
        <w:spacing w:after="0" w:line="360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7654858D" w:rsidR="00550A4B" w:rsidRPr="00711CC0" w:rsidRDefault="00550A4B" w:rsidP="00541502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EMISSÃO DE DEBÊNTURES SIMPLES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1955D0">
        <w:rPr>
          <w:rFonts w:ascii="Verdana" w:hAnsi="Verdana" w:cs="Calibri Light"/>
          <w:b/>
          <w:sz w:val="20"/>
          <w:szCs w:val="20"/>
        </w:rPr>
        <w:t>GYRA</w:t>
      </w:r>
      <w:r w:rsidR="004201B8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1955D0">
        <w:rPr>
          <w:rFonts w:ascii="Verdana" w:hAnsi="Verdana" w:cs="Calibri Light"/>
          <w:b/>
          <w:sz w:val="20"/>
          <w:szCs w:val="20"/>
        </w:rPr>
        <w:t>[</w:t>
      </w:r>
      <w:r w:rsidR="001955D0" w:rsidRPr="001955D0">
        <w:rPr>
          <w:rFonts w:ascii="Verdana" w:hAnsi="Verdana" w:cs="Calibri Light"/>
          <w:b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b/>
          <w:sz w:val="20"/>
          <w:szCs w:val="20"/>
        </w:rPr>
        <w:t>]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 w:rsidR="001955D0">
        <w:rPr>
          <w:rFonts w:ascii="Verdana" w:hAnsi="Verdana" w:cs="Calibri Light"/>
          <w:b/>
          <w:sz w:val="20"/>
          <w:szCs w:val="20"/>
        </w:rPr>
        <w:t>[</w:t>
      </w:r>
      <w:r w:rsidR="001955D0" w:rsidRPr="001955D0">
        <w:rPr>
          <w:rFonts w:ascii="Verdana" w:hAnsi="Verdana" w:cs="Calibri Light"/>
          <w:b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b/>
          <w:sz w:val="20"/>
          <w:szCs w:val="20"/>
        </w:rPr>
        <w:t>]</w:t>
      </w:r>
      <w:r w:rsidR="00CE340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20</w:t>
      </w:r>
    </w:p>
    <w:bookmarkEnd w:id="0"/>
    <w:bookmarkEnd w:id="1"/>
    <w:p w14:paraId="0C7B75F7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769447E" w14:textId="483ED67B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r w:rsidR="00A342E2">
        <w:rPr>
          <w:rFonts w:ascii="Verdana" w:hAnsi="Verdana" w:cs="Calibri Light"/>
          <w:sz w:val="20"/>
          <w:szCs w:val="20"/>
        </w:rPr>
        <w:t>outubro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 xml:space="preserve">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proofErr w:type="spellStart"/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3BBECD0D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Sr</w:t>
      </w:r>
      <w:r w:rsidRPr="00E5604A">
        <w:rPr>
          <w:rFonts w:ascii="Verdana" w:hAnsi="Verdana" w:cs="Calibri Light"/>
          <w:sz w:val="20"/>
          <w:szCs w:val="20"/>
        </w:rPr>
        <w:t xml:space="preserve">.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78F5144" w14:textId="487994DA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1955D0">
        <w:rPr>
          <w:rFonts w:ascii="Verdana" w:hAnsi="Verdana" w:cs="Calibri Light"/>
          <w:sz w:val="20"/>
          <w:szCs w:val="20"/>
        </w:rPr>
        <w:t>5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1955D0">
        <w:rPr>
          <w:rFonts w:ascii="Verdana" w:hAnsi="Verdana" w:cs="Calibri Light"/>
          <w:sz w:val="20"/>
          <w:szCs w:val="20"/>
        </w:rPr>
        <w:t>Subordinada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Distribuição Pública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 xml:space="preserve">om Esforços Restritos,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8DA5D7E" w14:textId="69919C38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das Debêntures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lista de presença constante do Anexo I à presente </w:t>
      </w:r>
      <w:r w:rsidR="00FA46A3" w:rsidRPr="00711CC0">
        <w:rPr>
          <w:rFonts w:ascii="Verdana" w:hAnsi="Verdana" w:cs="Calibri Light"/>
          <w:sz w:val="20"/>
          <w:szCs w:val="20"/>
        </w:rPr>
        <w:t xml:space="preserve">Ata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>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5DB42FE" w14:textId="47A96C8D" w:rsidR="00215E78" w:rsidRPr="00711CC0" w:rsidRDefault="00550A4B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EE5AE8">
        <w:rPr>
          <w:rFonts w:ascii="Verdana" w:hAnsi="Verdana" w:cs="Calibri Light"/>
          <w:sz w:val="20"/>
          <w:szCs w:val="20"/>
        </w:rPr>
        <w:t xml:space="preserve">: </w:t>
      </w:r>
      <w:r w:rsidR="00EE5AE8"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1955D0">
        <w:rPr>
          <w:rFonts w:ascii="Verdana" w:hAnsi="Verdana" w:cs="Calibri Light"/>
          <w:sz w:val="20"/>
          <w:szCs w:val="20"/>
        </w:rPr>
        <w:t xml:space="preserve"> </w:t>
      </w:r>
      <w:bookmarkEnd w:id="2"/>
      <w:r w:rsidR="00153701">
        <w:rPr>
          <w:rFonts w:ascii="Verdana" w:hAnsi="Verdana" w:cs="Calibri Light"/>
          <w:sz w:val="20"/>
          <w:szCs w:val="20"/>
        </w:rPr>
        <w:t>o encerramento do Período de Aquisição, previsto e definido n</w:t>
      </w:r>
      <w:r w:rsidR="00463DB2">
        <w:rPr>
          <w:rFonts w:ascii="Verdana" w:hAnsi="Verdana" w:cs="Calibri Light"/>
          <w:sz w:val="20"/>
          <w:szCs w:val="20"/>
        </w:rPr>
        <w:t>o item</w:t>
      </w:r>
      <w:r w:rsidR="00153701">
        <w:rPr>
          <w:rFonts w:ascii="Verdana" w:hAnsi="Verdana" w:cs="Calibri Light"/>
          <w:sz w:val="20"/>
          <w:szCs w:val="20"/>
        </w:rPr>
        <w:t xml:space="preserve"> 3.6.4 da Escritura de Emissão, sem a ocorrência de qualquer Evento de Aceleração de Vencimento</w:t>
      </w:r>
      <w:r w:rsidR="00EE5AE8">
        <w:rPr>
          <w:rFonts w:ascii="Verdana" w:hAnsi="Verdana" w:cs="Calibri Light"/>
          <w:sz w:val="20"/>
          <w:szCs w:val="20"/>
        </w:rPr>
        <w:t xml:space="preserve">; e </w:t>
      </w:r>
      <w:r w:rsidR="00EE5AE8" w:rsidRPr="00EE5AE8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EE5AE8" w:rsidRPr="00EE5AE8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="00EE5AE8" w:rsidRPr="00EE5AE8">
        <w:rPr>
          <w:rFonts w:ascii="Verdana" w:hAnsi="Verdana" w:cs="Calibri Light"/>
          <w:b/>
          <w:bCs/>
          <w:sz w:val="20"/>
          <w:szCs w:val="20"/>
        </w:rPr>
        <w:t>)</w:t>
      </w:r>
      <w:r w:rsidR="00EE5AE8">
        <w:rPr>
          <w:rFonts w:ascii="Verdana" w:hAnsi="Verdana" w:cs="Calibri Light"/>
          <w:sz w:val="20"/>
          <w:szCs w:val="20"/>
        </w:rPr>
        <w:t xml:space="preserve"> </w:t>
      </w:r>
      <w:r w:rsidR="00EE5AE8" w:rsidRPr="00EE5AE8">
        <w:rPr>
          <w:rFonts w:ascii="Verdana" w:hAnsi="Verdana" w:cs="Calibri Light"/>
          <w:sz w:val="20"/>
          <w:szCs w:val="20"/>
        </w:rPr>
        <w:t xml:space="preserve">aditamento,  publicação e o registro de documentos perante os órgãos competentes, incluindo providências junto à JUCESP, B3 S.A. – Brasil, Bolsa, Balcão, Comissão de Valores </w:t>
      </w:r>
      <w:r w:rsidR="00EE5AE8" w:rsidRPr="00EE5AE8">
        <w:rPr>
          <w:rFonts w:ascii="Verdana" w:hAnsi="Verdana" w:cs="Calibri Light"/>
          <w:sz w:val="20"/>
          <w:szCs w:val="20"/>
        </w:rPr>
        <w:lastRenderedPageBreak/>
        <w:t xml:space="preserve">Mobiliários e quaisquer outras autarquias ou órgãos junto aos quais seja necessária a adoção de quaisquer medidas para a implementação e divulgação das alterações nas condições da </w:t>
      </w:r>
      <w:r w:rsidR="00EE5AE8">
        <w:rPr>
          <w:rFonts w:ascii="Verdana" w:hAnsi="Verdana" w:cs="Calibri Light"/>
          <w:sz w:val="20"/>
          <w:szCs w:val="20"/>
        </w:rPr>
        <w:t>Emissão</w:t>
      </w:r>
      <w:r w:rsidR="00EE5AE8" w:rsidRPr="00EE5AE8">
        <w:rPr>
          <w:rFonts w:ascii="Verdana" w:hAnsi="Verdana" w:cs="Calibri Light"/>
          <w:sz w:val="20"/>
          <w:szCs w:val="20"/>
        </w:rPr>
        <w:t xml:space="preserve"> aqui consubstanciadas.</w:t>
      </w:r>
    </w:p>
    <w:p w14:paraId="2E6BFBDC" w14:textId="77777777" w:rsidR="00C8224F" w:rsidRPr="00711CC0" w:rsidRDefault="00C8224F" w:rsidP="005B7E8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8CCE96E" w14:textId="717417B0" w:rsidR="001955D0" w:rsidRDefault="00EE5AE8" w:rsidP="00EB6E78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153701">
        <w:rPr>
          <w:rFonts w:ascii="Verdana" w:hAnsi="Verdana" w:cs="Calibri Light"/>
          <w:sz w:val="20"/>
          <w:szCs w:val="20"/>
        </w:rPr>
        <w:t>o encerramento do Período de Aquisição</w:t>
      </w:r>
      <w:r w:rsidR="00463DB2">
        <w:rPr>
          <w:rFonts w:ascii="Verdana" w:hAnsi="Verdana" w:cs="Calibri Light"/>
          <w:sz w:val="20"/>
          <w:szCs w:val="20"/>
        </w:rPr>
        <w:t xml:space="preserve">, na data de </w:t>
      </w:r>
      <w:r w:rsidR="00191881">
        <w:rPr>
          <w:rFonts w:ascii="Verdana" w:hAnsi="Verdana" w:cs="Calibri Light"/>
          <w:sz w:val="20"/>
          <w:szCs w:val="20"/>
        </w:rPr>
        <w:t>23</w:t>
      </w:r>
      <w:r w:rsidR="00463DB2">
        <w:rPr>
          <w:rFonts w:ascii="Verdana" w:hAnsi="Verdana" w:cs="Calibri Light"/>
          <w:sz w:val="20"/>
          <w:szCs w:val="20"/>
        </w:rPr>
        <w:t xml:space="preserve"> de outubro de 2020</w:t>
      </w:r>
      <w:r w:rsidR="00153701">
        <w:rPr>
          <w:rFonts w:ascii="Verdana" w:hAnsi="Verdana" w:cs="Calibri Light"/>
          <w:sz w:val="20"/>
          <w:szCs w:val="20"/>
        </w:rPr>
        <w:t>, sem a ocorrência de qualquer Evento de Aceleração de Vencimento</w:t>
      </w:r>
      <w:r w:rsidR="00463DB2">
        <w:rPr>
          <w:rFonts w:ascii="Verdana" w:hAnsi="Verdana" w:cs="Calibri Light"/>
          <w:sz w:val="20"/>
          <w:szCs w:val="20"/>
        </w:rPr>
        <w:t>, de forma que o item 3.6.4 da Escritura de Emissão passará a viger com a seguinte e nova redação:</w:t>
      </w:r>
    </w:p>
    <w:p w14:paraId="250CD0BC" w14:textId="36D4DFC9" w:rsidR="00463DB2" w:rsidRDefault="005D1927" w:rsidP="00191881">
      <w:pPr>
        <w:autoSpaceDE w:val="0"/>
        <w:autoSpaceDN w:val="0"/>
        <w:adjustRightInd w:val="0"/>
        <w:spacing w:after="240" w:line="320" w:lineRule="exact"/>
        <w:ind w:left="1416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“</w:t>
      </w:r>
      <w:r w:rsidR="00463DB2">
        <w:rPr>
          <w:rFonts w:ascii="Verdana" w:hAnsi="Verdana"/>
          <w:i/>
          <w:iCs/>
          <w:sz w:val="20"/>
          <w:szCs w:val="20"/>
        </w:rPr>
        <w:t>3.6.</w:t>
      </w:r>
      <w:r w:rsidR="00913733">
        <w:rPr>
          <w:rFonts w:ascii="Verdana" w:hAnsi="Verdana"/>
          <w:i/>
          <w:iCs/>
          <w:sz w:val="20"/>
          <w:szCs w:val="20"/>
        </w:rPr>
        <w:t>4</w:t>
      </w:r>
      <w:r w:rsidR="00463DB2">
        <w:rPr>
          <w:rFonts w:ascii="Verdana" w:hAnsi="Verdana"/>
          <w:i/>
          <w:iCs/>
          <w:sz w:val="20"/>
          <w:szCs w:val="20"/>
        </w:rPr>
        <w:tab/>
      </w:r>
      <w:r w:rsidR="00463DB2" w:rsidRPr="00463DB2">
        <w:rPr>
          <w:rFonts w:ascii="Verdana" w:hAnsi="Verdana"/>
          <w:i/>
          <w:iCs/>
          <w:sz w:val="20"/>
          <w:szCs w:val="20"/>
        </w:rPr>
        <w:t xml:space="preserve">As CCB e/ou os créditos vencidos serão adquiridas pela Emissora exclusivamente até </w:t>
      </w:r>
      <w:r w:rsidR="00191881">
        <w:rPr>
          <w:rFonts w:ascii="Verdana" w:hAnsi="Verdana" w:cs="Calibri Light"/>
          <w:i/>
          <w:iCs/>
          <w:sz w:val="20"/>
          <w:szCs w:val="20"/>
        </w:rPr>
        <w:t>23</w:t>
      </w:r>
      <w:r w:rsidR="001C70E3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463DB2" w:rsidRPr="00463DB2">
        <w:rPr>
          <w:rFonts w:ascii="Verdana" w:hAnsi="Verdana" w:cs="Calibri Light"/>
          <w:i/>
          <w:iCs/>
          <w:sz w:val="20"/>
          <w:szCs w:val="20"/>
        </w:rPr>
        <w:t>de outubro de 2020</w:t>
      </w:r>
      <w:r w:rsidR="00463DB2" w:rsidRPr="00463DB2">
        <w:rPr>
          <w:rFonts w:ascii="Verdana" w:hAnsi="Verdana"/>
          <w:i/>
          <w:iCs/>
          <w:sz w:val="20"/>
          <w:szCs w:val="20"/>
        </w:rPr>
        <w:t xml:space="preserve"> (“</w:t>
      </w:r>
      <w:r w:rsidR="00463DB2" w:rsidRPr="00463DB2">
        <w:rPr>
          <w:rFonts w:ascii="Verdana" w:hAnsi="Verdana"/>
          <w:i/>
          <w:iCs/>
          <w:sz w:val="20"/>
          <w:szCs w:val="20"/>
          <w:u w:val="single"/>
        </w:rPr>
        <w:t>Período de Aquisição</w:t>
      </w:r>
      <w:r w:rsidR="00463DB2" w:rsidRPr="00463DB2">
        <w:rPr>
          <w:rFonts w:ascii="Verdana" w:hAnsi="Verdana"/>
          <w:i/>
          <w:iCs/>
          <w:sz w:val="20"/>
          <w:szCs w:val="20"/>
        </w:rPr>
        <w:t>”), conforme surjam oportunidades de aquisição, ressalvada as hipóteses de recompra, substituição ou permuta das CCB, que poderão ocorrer a qualquer momento.</w:t>
      </w:r>
      <w:r>
        <w:rPr>
          <w:rFonts w:ascii="Verdana" w:hAnsi="Verdana"/>
          <w:i/>
          <w:iCs/>
          <w:sz w:val="20"/>
          <w:szCs w:val="20"/>
        </w:rPr>
        <w:t>”</w:t>
      </w:r>
    </w:p>
    <w:p w14:paraId="7427EBAA" w14:textId="2DB874EA" w:rsidR="00913733" w:rsidRPr="00EE5AE8" w:rsidRDefault="00EE5AE8" w:rsidP="00463DB2">
      <w:pPr>
        <w:autoSpaceDE w:val="0"/>
        <w:autoSpaceDN w:val="0"/>
        <w:adjustRightInd w:val="0"/>
        <w:spacing w:after="240" w:line="320" w:lineRule="exact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EE5AE8">
        <w:rPr>
          <w:rFonts w:ascii="Verdana" w:hAnsi="Verdana"/>
          <w:b/>
          <w:bCs/>
          <w:sz w:val="20"/>
          <w:szCs w:val="20"/>
        </w:rPr>
        <w:t>ii</w:t>
      </w:r>
      <w:proofErr w:type="spellEnd"/>
      <w:r w:rsidRPr="00EE5A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191881">
        <w:rPr>
          <w:rFonts w:ascii="Verdana" w:hAnsi="Verdana"/>
          <w:b/>
          <w:bCs/>
          <w:sz w:val="20"/>
          <w:szCs w:val="20"/>
        </w:rPr>
        <w:tab/>
      </w:r>
      <w:r w:rsidRPr="00EE5AE8">
        <w:rPr>
          <w:rFonts w:ascii="Verdana" w:hAnsi="Verdana"/>
          <w:sz w:val="20"/>
          <w:szCs w:val="20"/>
        </w:rPr>
        <w:t xml:space="preserve">o aditamento de qualquer documento relacionado a Emissão, assim como adoção de qualquer medida necessária para implementar e divulgar as alterações aprovadas nesta </w:t>
      </w:r>
      <w:r w:rsidR="00191881">
        <w:rPr>
          <w:rFonts w:ascii="Verdana" w:hAnsi="Verdana"/>
          <w:sz w:val="20"/>
          <w:szCs w:val="20"/>
        </w:rPr>
        <w:t>A</w:t>
      </w:r>
      <w:r w:rsidRPr="00EE5AE8">
        <w:rPr>
          <w:rFonts w:ascii="Verdana" w:hAnsi="Verdana"/>
          <w:sz w:val="20"/>
          <w:szCs w:val="20"/>
        </w:rPr>
        <w:t>ssembleia</w:t>
      </w:r>
      <w:r w:rsidR="00191881">
        <w:rPr>
          <w:rFonts w:ascii="Verdana" w:hAnsi="Verdana"/>
          <w:sz w:val="20"/>
          <w:szCs w:val="20"/>
        </w:rPr>
        <w:t>.</w:t>
      </w:r>
    </w:p>
    <w:p w14:paraId="582F9751" w14:textId="19366636" w:rsidR="006863F1" w:rsidRPr="00711CC0" w:rsidRDefault="006863F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048F8733" w14:textId="75D8112C" w:rsidR="00C66B31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2A4B1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11426794" w14:textId="77777777" w:rsidR="00C66B31" w:rsidRPr="00711CC0" w:rsidRDefault="00C66B31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3B8C52A5" w14:textId="5D2CEAC3" w:rsidR="005F1531" w:rsidRDefault="00550A4B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1955D0">
        <w:rPr>
          <w:rFonts w:ascii="Verdana" w:hAnsi="Verdana" w:cs="Calibri Light"/>
          <w:sz w:val="20"/>
          <w:szCs w:val="20"/>
        </w:rPr>
        <w:t>[</w:t>
      </w:r>
      <w:r w:rsidR="001955D0" w:rsidRPr="001955D0">
        <w:rPr>
          <w:rFonts w:ascii="Verdana" w:hAnsi="Verdana" w:cs="Calibri Light"/>
          <w:sz w:val="20"/>
          <w:szCs w:val="20"/>
          <w:highlight w:val="yellow"/>
        </w:rPr>
        <w:t>•</w:t>
      </w:r>
      <w:r w:rsidR="001955D0">
        <w:rPr>
          <w:rFonts w:ascii="Verdana" w:hAnsi="Verdana" w:cs="Calibri Light"/>
          <w:sz w:val="20"/>
          <w:szCs w:val="20"/>
        </w:rPr>
        <w:t>]</w:t>
      </w:r>
      <w:r w:rsidR="00A72C1F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20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p w14:paraId="4C0F694A" w14:textId="6CE46C3D" w:rsidR="00D41282" w:rsidRDefault="00F55DDA" w:rsidP="005B7E8E">
      <w:pPr>
        <w:spacing w:after="0" w:line="360" w:lineRule="auto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</w:p>
    <w:p w14:paraId="6C17898F" w14:textId="320FC060" w:rsidR="00F55DDA" w:rsidRDefault="00F55DDA">
      <w:pPr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56068D57" w:rsidR="00D41282" w:rsidRPr="00711CC0" w:rsidRDefault="00F55DDA" w:rsidP="00D41282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F55DDA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1ª (primeira) Emissão de Debêntures Simples da Companhia </w:t>
      </w:r>
      <w:proofErr w:type="spellStart"/>
      <w:r w:rsidR="00D41282"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Gyra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em </w:t>
      </w:r>
      <w:r>
        <w:rPr>
          <w:rFonts w:ascii="Verdana" w:hAnsi="Verdana" w:cs="Calibri Light"/>
          <w:i/>
          <w:iCs/>
          <w:sz w:val="20"/>
          <w:szCs w:val="20"/>
        </w:rPr>
        <w:t>[</w:t>
      </w:r>
      <w:r w:rsidRPr="00F55DDA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>
        <w:rPr>
          <w:rFonts w:ascii="Verdana" w:hAnsi="Verdana" w:cs="Calibri Light"/>
          <w:i/>
          <w:iCs/>
          <w:sz w:val="20"/>
          <w:szCs w:val="20"/>
        </w:rPr>
        <w:t>]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</w:t>
      </w:r>
      <w:r>
        <w:rPr>
          <w:rFonts w:ascii="Verdana" w:hAnsi="Verdana" w:cs="Calibri Light"/>
          <w:i/>
          <w:iCs/>
          <w:sz w:val="20"/>
          <w:szCs w:val="20"/>
        </w:rPr>
        <w:t>[</w:t>
      </w:r>
      <w:r w:rsidRPr="00F55DDA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>
        <w:rPr>
          <w:rFonts w:ascii="Verdana" w:hAnsi="Verdana" w:cs="Calibri Light"/>
          <w:i/>
          <w:iCs/>
          <w:sz w:val="20"/>
          <w:szCs w:val="20"/>
        </w:rPr>
        <w:t>]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20</w:t>
      </w:r>
      <w:r w:rsidR="0007577F">
        <w:rPr>
          <w:rFonts w:ascii="Verdana" w:hAnsi="Verdana" w:cs="Calibri Light"/>
          <w:i/>
          <w:iCs/>
          <w:sz w:val="20"/>
          <w:szCs w:val="20"/>
        </w:rPr>
        <w:t>20</w:t>
      </w:r>
      <w:r w:rsidR="006E6DD1" w:rsidRPr="00F55DDA">
        <w:rPr>
          <w:rFonts w:ascii="Verdana" w:hAnsi="Verdana" w:cs="Calibri Light"/>
          <w:i/>
          <w:iCs/>
          <w:sz w:val="20"/>
          <w:szCs w:val="20"/>
        </w:rPr>
        <w:t>.</w:t>
      </w:r>
      <w:r>
        <w:rPr>
          <w:rFonts w:ascii="Verdana" w:hAnsi="Verdana" w:cs="Calibri Light"/>
          <w:sz w:val="20"/>
          <w:szCs w:val="20"/>
        </w:rPr>
        <w:t>]</w:t>
      </w:r>
    </w:p>
    <w:p w14:paraId="43E2915A" w14:textId="65EEF6DF" w:rsidR="00D41282" w:rsidRDefault="00D41282" w:rsidP="005B7E8E">
      <w:pPr>
        <w:spacing w:after="0" w:line="360" w:lineRule="auto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5B7E8E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3E81A785" w14:textId="07B0FC1B" w:rsidR="00DE7D13" w:rsidRPr="00711CC0" w:rsidRDefault="00F55DDA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F55DDA">
              <w:rPr>
                <w:rFonts w:ascii="Verdana" w:hAnsi="Verdana" w:cs="Calibri Light"/>
                <w:sz w:val="20"/>
                <w:szCs w:val="20"/>
                <w:highlight w:val="yellow"/>
              </w:rPr>
              <w:t>•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7143530A" w14:textId="1A6C0ED4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C3A815D" w14:textId="77777777" w:rsidR="00F55DDA" w:rsidRPr="00711CC0" w:rsidRDefault="00F55DDA" w:rsidP="00F55DDA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F55DDA">
              <w:rPr>
                <w:rFonts w:ascii="Verdana" w:hAnsi="Verdana" w:cs="Calibri Light"/>
                <w:sz w:val="20"/>
                <w:szCs w:val="20"/>
                <w:highlight w:val="yellow"/>
              </w:rPr>
              <w:t>•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21A5ABCF" w14:textId="102CEECC" w:rsidR="00A52FD4" w:rsidRPr="00711CC0" w:rsidRDefault="00A52FD4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71DF8642" w:rsidR="00163091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60D5C0C8" w:rsidR="00517149" w:rsidRPr="00711CC0" w:rsidRDefault="00517149" w:rsidP="00517149">
            <w:pPr>
              <w:pStyle w:val="Body"/>
              <w:spacing w:after="0" w:line="360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COMPANHIA SECURITIZADORA DE CRÉDITOS FINANCEIROS VERT-</w:t>
            </w:r>
            <w:r w:rsidR="00F55DDA">
              <w:rPr>
                <w:rFonts w:ascii="Verdana" w:hAnsi="Verdana" w:cs="Calibri Light"/>
                <w:b/>
                <w:szCs w:val="20"/>
              </w:rPr>
              <w:t>GYRA</w:t>
            </w:r>
          </w:p>
          <w:p w14:paraId="7616C303" w14:textId="1B9C1841" w:rsidR="00163091" w:rsidRPr="00711CC0" w:rsidRDefault="004201B8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77777777" w:rsidR="00163091" w:rsidRPr="00711CC0" w:rsidRDefault="00163091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711CC0" w:rsidRDefault="00163091" w:rsidP="005B7E8E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</w:tc>
      </w:tr>
    </w:tbl>
    <w:p w14:paraId="0F8DA491" w14:textId="08BFD9C4" w:rsidR="00E21B1B" w:rsidRPr="00711CC0" w:rsidRDefault="00E21B1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i/>
          <w:sz w:val="20"/>
          <w:szCs w:val="20"/>
        </w:rPr>
        <w:br w:type="column"/>
      </w:r>
    </w:p>
    <w:p w14:paraId="47EEF87C" w14:textId="77777777" w:rsidR="00550A4B" w:rsidRPr="00711CC0" w:rsidRDefault="00550A4B" w:rsidP="005B7E8E">
      <w:pPr>
        <w:spacing w:after="0" w:line="360" w:lineRule="auto"/>
        <w:jc w:val="center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ANEXO I</w:t>
      </w:r>
    </w:p>
    <w:p w14:paraId="35BF9486" w14:textId="11F604C3" w:rsidR="00550A4B" w:rsidRPr="00711CC0" w:rsidRDefault="00573D28" w:rsidP="00541502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Página de Assinaturas - </w:t>
      </w:r>
      <w:r w:rsidR="00550A4B" w:rsidRPr="00711CC0">
        <w:rPr>
          <w:rFonts w:ascii="Verdana" w:hAnsi="Verdana" w:cs="Calibri Light"/>
          <w:sz w:val="20"/>
          <w:szCs w:val="20"/>
        </w:rPr>
        <w:t>Lista de Presença</w:t>
      </w:r>
      <w:r w:rsidR="00B96780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da</w:t>
      </w:r>
      <w:r w:rsidR="00A72C1F" w:rsidRPr="00711CC0">
        <w:rPr>
          <w:rFonts w:ascii="Verdana" w:hAnsi="Verdana"/>
          <w:sz w:val="20"/>
          <w:szCs w:val="20"/>
        </w:rPr>
        <w:t xml:space="preserve"> A</w:t>
      </w:r>
      <w:r w:rsidR="00A72C1F" w:rsidRPr="00711CC0">
        <w:rPr>
          <w:rFonts w:ascii="Verdana" w:hAnsi="Verdana" w:cs="Calibri Light"/>
          <w:sz w:val="20"/>
          <w:szCs w:val="20"/>
        </w:rPr>
        <w:t xml:space="preserve">ssembleia Geral Extraordinária dos Debenturistas da 1ª (primeira) Emissão de Debêntures Simples da Companhia </w:t>
      </w:r>
      <w:proofErr w:type="spellStart"/>
      <w:r w:rsidR="00A72C1F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A72C1F" w:rsidRPr="00711CC0">
        <w:rPr>
          <w:rFonts w:ascii="Verdana" w:hAnsi="Verdana" w:cs="Calibri Light"/>
          <w:sz w:val="20"/>
          <w:szCs w:val="20"/>
        </w:rPr>
        <w:t xml:space="preserve"> de Créditos Financeiros </w:t>
      </w:r>
      <w:r w:rsidR="00711CC0">
        <w:rPr>
          <w:rFonts w:ascii="Verdana" w:hAnsi="Verdana" w:cs="Calibri Light"/>
          <w:sz w:val="20"/>
          <w:szCs w:val="20"/>
        </w:rPr>
        <w:t>VERT</w:t>
      </w:r>
      <w:r w:rsidR="00A72C1F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F55DDA">
        <w:rPr>
          <w:rFonts w:ascii="Verdana" w:hAnsi="Verdana" w:cs="Calibri Light"/>
          <w:sz w:val="20"/>
          <w:szCs w:val="20"/>
        </w:rPr>
        <w:t>Gyra</w:t>
      </w:r>
      <w:proofErr w:type="spellEnd"/>
      <w:r w:rsidR="00A72C1F" w:rsidRPr="00711CC0">
        <w:rPr>
          <w:rFonts w:ascii="Verdana" w:hAnsi="Verdana" w:cs="Calibri Light"/>
          <w:sz w:val="20"/>
          <w:szCs w:val="20"/>
        </w:rPr>
        <w:t xml:space="preserve"> 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 xml:space="preserve">realizada em </w:t>
      </w:r>
      <w:r w:rsidR="00F55DDA">
        <w:rPr>
          <w:rFonts w:ascii="Verdana" w:hAnsi="Verdana" w:cs="Calibri Light"/>
          <w:i/>
          <w:iCs/>
          <w:sz w:val="20"/>
          <w:szCs w:val="20"/>
        </w:rPr>
        <w:t>[</w:t>
      </w:r>
      <w:r w:rsidR="00F55DDA" w:rsidRPr="00F55DDA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 w:rsidR="00F55DDA">
        <w:rPr>
          <w:rFonts w:ascii="Verdana" w:hAnsi="Verdana" w:cs="Calibri Light"/>
          <w:i/>
          <w:iCs/>
          <w:sz w:val="20"/>
          <w:szCs w:val="20"/>
        </w:rPr>
        <w:t>]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 xml:space="preserve"> de </w:t>
      </w:r>
      <w:r w:rsidR="00F55DDA">
        <w:rPr>
          <w:rFonts w:ascii="Verdana" w:hAnsi="Verdana" w:cs="Calibri Light"/>
          <w:i/>
          <w:iCs/>
          <w:sz w:val="20"/>
          <w:szCs w:val="20"/>
        </w:rPr>
        <w:t>[</w:t>
      </w:r>
      <w:r w:rsidR="00F55DDA" w:rsidRPr="00F55DDA">
        <w:rPr>
          <w:rFonts w:ascii="Verdana" w:hAnsi="Verdana" w:cs="Calibri Light"/>
          <w:i/>
          <w:iCs/>
          <w:sz w:val="20"/>
          <w:szCs w:val="20"/>
          <w:highlight w:val="yellow"/>
        </w:rPr>
        <w:t>•</w:t>
      </w:r>
      <w:r w:rsidR="00F55DDA">
        <w:rPr>
          <w:rFonts w:ascii="Verdana" w:hAnsi="Verdana" w:cs="Calibri Light"/>
          <w:i/>
          <w:iCs/>
          <w:sz w:val="20"/>
          <w:szCs w:val="20"/>
        </w:rPr>
        <w:t>]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 xml:space="preserve"> de 20</w:t>
      </w:r>
      <w:r w:rsidR="0007577F">
        <w:rPr>
          <w:rFonts w:ascii="Verdana" w:hAnsi="Verdana" w:cs="Calibri Light"/>
          <w:i/>
          <w:iCs/>
          <w:sz w:val="20"/>
          <w:szCs w:val="20"/>
        </w:rPr>
        <w:t>20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>.</w:t>
      </w:r>
    </w:p>
    <w:p w14:paraId="11B1AC9A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8876" w:type="dxa"/>
        <w:tblLook w:val="04A0" w:firstRow="1" w:lastRow="0" w:firstColumn="1" w:lastColumn="0" w:noHBand="0" w:noVBand="1"/>
      </w:tblPr>
      <w:tblGrid>
        <w:gridCol w:w="4391"/>
        <w:gridCol w:w="2275"/>
        <w:gridCol w:w="2210"/>
      </w:tblGrid>
      <w:tr w:rsidR="00A72C1F" w:rsidRPr="00711CC0" w14:paraId="5D2FE02E" w14:textId="73C6588A" w:rsidTr="00A72C1F">
        <w:trPr>
          <w:trHeight w:val="822"/>
        </w:trPr>
        <w:tc>
          <w:tcPr>
            <w:tcW w:w="4391" w:type="dxa"/>
            <w:vAlign w:val="center"/>
          </w:tcPr>
          <w:p w14:paraId="68375434" w14:textId="70620E13" w:rsidR="00A72C1F" w:rsidRPr="00711CC0" w:rsidRDefault="00A72C1F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DEBENTURISTA</w:t>
            </w:r>
          </w:p>
        </w:tc>
        <w:tc>
          <w:tcPr>
            <w:tcW w:w="2275" w:type="dxa"/>
            <w:vAlign w:val="center"/>
          </w:tcPr>
          <w:p w14:paraId="2DA63AF0" w14:textId="103C22DC" w:rsidR="00A72C1F" w:rsidRPr="00711CC0" w:rsidRDefault="00A72C1F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CNPJ/CPF</w:t>
            </w:r>
          </w:p>
        </w:tc>
        <w:tc>
          <w:tcPr>
            <w:tcW w:w="2210" w:type="dxa"/>
            <w:vAlign w:val="center"/>
          </w:tcPr>
          <w:p w14:paraId="61B735E6" w14:textId="6B10C114" w:rsidR="00A72C1F" w:rsidRPr="00711CC0" w:rsidRDefault="00A72C1F" w:rsidP="00C36404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 xml:space="preserve">VOTO DELIBERAÇÃO </w:t>
            </w:r>
          </w:p>
        </w:tc>
      </w:tr>
      <w:tr w:rsidR="00A72C1F" w:rsidRPr="00711CC0" w14:paraId="06EB3B09" w14:textId="267648E4" w:rsidTr="00A72C1F">
        <w:trPr>
          <w:trHeight w:val="462"/>
        </w:trPr>
        <w:tc>
          <w:tcPr>
            <w:tcW w:w="4391" w:type="dxa"/>
          </w:tcPr>
          <w:p w14:paraId="10B81A22" w14:textId="088AFC54" w:rsidR="00A72C1F" w:rsidRPr="00711CC0" w:rsidRDefault="00F55DDA" w:rsidP="005B7E8E">
            <w:pPr>
              <w:spacing w:line="360" w:lineRule="auto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F55DDA">
              <w:rPr>
                <w:rFonts w:ascii="Verdana" w:hAnsi="Verdana" w:cs="Calibri Light"/>
                <w:b/>
                <w:sz w:val="20"/>
                <w:szCs w:val="20"/>
              </w:rPr>
              <w:t>[•]</w:t>
            </w:r>
          </w:p>
        </w:tc>
        <w:tc>
          <w:tcPr>
            <w:tcW w:w="2275" w:type="dxa"/>
          </w:tcPr>
          <w:p w14:paraId="01CF4087" w14:textId="00828C31" w:rsidR="00A72C1F" w:rsidRPr="00711CC0" w:rsidRDefault="00F55DDA" w:rsidP="005B7E8E">
            <w:pPr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  <w:r w:rsidRPr="00F55DDA">
              <w:rPr>
                <w:rFonts w:ascii="Verdana" w:hAnsi="Verdana" w:cs="Calibri Light"/>
                <w:sz w:val="20"/>
                <w:szCs w:val="20"/>
              </w:rPr>
              <w:t>[•]</w:t>
            </w:r>
          </w:p>
        </w:tc>
        <w:tc>
          <w:tcPr>
            <w:tcW w:w="2210" w:type="dxa"/>
          </w:tcPr>
          <w:p w14:paraId="007C69CF" w14:textId="5CC0605C" w:rsidR="00A72C1F" w:rsidRPr="00711CC0" w:rsidRDefault="009549EF" w:rsidP="001E0A6A">
            <w:pPr>
              <w:spacing w:line="360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APROVAR</w:t>
            </w:r>
          </w:p>
        </w:tc>
      </w:tr>
    </w:tbl>
    <w:p w14:paraId="09448066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23FE6F09" w14:textId="77777777" w:rsidR="00550A4B" w:rsidRPr="00711CC0" w:rsidRDefault="00550A4B" w:rsidP="005B7E8E">
      <w:pPr>
        <w:spacing w:after="0" w:line="360" w:lineRule="auto"/>
        <w:jc w:val="both"/>
        <w:rPr>
          <w:rFonts w:ascii="Verdana" w:hAnsi="Verdana" w:cs="Calibri Light"/>
          <w:sz w:val="20"/>
          <w:szCs w:val="20"/>
        </w:rPr>
      </w:pPr>
    </w:p>
    <w:p w14:paraId="4E6A00D7" w14:textId="18707C69" w:rsidR="004201B8" w:rsidRPr="00711CC0" w:rsidRDefault="00550A4B" w:rsidP="00F55DDA">
      <w:pPr>
        <w:spacing w:after="0" w:line="360" w:lineRule="auto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___________________________________</w:t>
      </w:r>
      <w:r w:rsidR="00B609C8">
        <w:rPr>
          <w:rFonts w:ascii="Verdana" w:hAnsi="Verdana" w:cs="Calibri Light"/>
          <w:sz w:val="20"/>
          <w:szCs w:val="20"/>
        </w:rPr>
        <w:t>_______________________________</w:t>
      </w:r>
    </w:p>
    <w:sectPr w:rsidR="004201B8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19016" w14:textId="77777777" w:rsidR="00507C09" w:rsidRDefault="00507C09" w:rsidP="00591152">
      <w:pPr>
        <w:spacing w:after="0" w:line="240" w:lineRule="auto"/>
      </w:pPr>
      <w:r>
        <w:separator/>
      </w:r>
    </w:p>
  </w:endnote>
  <w:endnote w:type="continuationSeparator" w:id="0">
    <w:p w14:paraId="403C7215" w14:textId="77777777" w:rsidR="00507C09" w:rsidRDefault="00507C09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5907" w14:textId="77777777" w:rsidR="00507C09" w:rsidRDefault="00507C09" w:rsidP="00591152">
      <w:pPr>
        <w:spacing w:after="0" w:line="240" w:lineRule="auto"/>
      </w:pPr>
      <w:r>
        <w:separator/>
      </w:r>
    </w:p>
  </w:footnote>
  <w:footnote w:type="continuationSeparator" w:id="0">
    <w:p w14:paraId="0B37DEB0" w14:textId="77777777" w:rsidR="00507C09" w:rsidRDefault="00507C09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14DF9"/>
    <w:rsid w:val="004201B8"/>
    <w:rsid w:val="00425204"/>
    <w:rsid w:val="00433FC4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8171C0"/>
    <w:rsid w:val="00822F08"/>
    <w:rsid w:val="00832556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E709B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4053"/>
    <w:rsid w:val="00C25961"/>
    <w:rsid w:val="00C26A1D"/>
    <w:rsid w:val="00C30704"/>
    <w:rsid w:val="00C3439B"/>
    <w:rsid w:val="00C36404"/>
    <w:rsid w:val="00C43315"/>
    <w:rsid w:val="00C509B0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4079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746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Gabriel Soana</cp:lastModifiedBy>
  <cp:revision>3</cp:revision>
  <cp:lastPrinted>2019-06-24T21:49:00Z</cp:lastPrinted>
  <dcterms:created xsi:type="dcterms:W3CDTF">2020-10-13T14:29:00Z</dcterms:created>
  <dcterms:modified xsi:type="dcterms:W3CDTF">2020-10-15T13:32:00Z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