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2F" w:rsidRDefault="00FB6938">
      <w:pPr>
        <w:spacing w:line="340" w:lineRule="exact"/>
        <w:jc w:val="center"/>
        <w:rPr>
          <w:b/>
          <w:smallCaps/>
          <w:sz w:val="20"/>
          <w:szCs w:val="20"/>
        </w:rPr>
      </w:pPr>
      <w:r>
        <w:rPr>
          <w:b/>
          <w:smallCaps/>
          <w:sz w:val="20"/>
          <w:szCs w:val="20"/>
        </w:rPr>
        <w:t>COMPANHIA SECURITIZADORA DE CRÉDITOS FINANCEIROS VERT-</w:t>
      </w:r>
      <w:r w:rsidR="0088587D" w:rsidRPr="002C120F">
        <w:rPr>
          <w:b/>
          <w:smallCaps/>
          <w:sz w:val="24"/>
          <w:szCs w:val="24"/>
        </w:rPr>
        <w:t>gyra</w:t>
      </w:r>
      <w:r w:rsidRPr="002C120F">
        <w:rPr>
          <w:b/>
          <w:smallCaps/>
          <w:sz w:val="24"/>
          <w:szCs w:val="24"/>
        </w:rPr>
        <w:t xml:space="preserve"> </w:t>
      </w:r>
    </w:p>
    <w:p w:rsidR="005F4D2F" w:rsidRPr="00FB6938" w:rsidRDefault="00FB6938">
      <w:pPr>
        <w:spacing w:line="340" w:lineRule="exact"/>
        <w:jc w:val="center"/>
        <w:rPr>
          <w:rStyle w:val="Nmerodepgina"/>
          <w:b/>
          <w:sz w:val="20"/>
          <w:szCs w:val="20"/>
        </w:rPr>
      </w:pPr>
      <w:r w:rsidRPr="00FB6938">
        <w:rPr>
          <w:rStyle w:val="Nmerodepgina"/>
          <w:b/>
          <w:sz w:val="20"/>
          <w:szCs w:val="20"/>
        </w:rPr>
        <w:t xml:space="preserve">CNPJ/MF n° </w:t>
      </w:r>
      <w:r w:rsidR="00E527EF">
        <w:rPr>
          <w:b/>
          <w:sz w:val="20"/>
          <w:szCs w:val="20"/>
        </w:rPr>
        <w:t>32.770.457/0001-71</w:t>
      </w:r>
    </w:p>
    <w:p w:rsidR="005F4D2F" w:rsidRPr="00FB6938" w:rsidRDefault="00FB6938">
      <w:pPr>
        <w:spacing w:line="340" w:lineRule="exact"/>
        <w:jc w:val="center"/>
        <w:rPr>
          <w:rStyle w:val="Nmerodepgina"/>
          <w:b/>
          <w:sz w:val="20"/>
          <w:szCs w:val="20"/>
        </w:rPr>
      </w:pPr>
      <w:r w:rsidRPr="00FB6938">
        <w:rPr>
          <w:rStyle w:val="Nmerodepgina"/>
          <w:b/>
          <w:sz w:val="20"/>
          <w:szCs w:val="20"/>
        </w:rPr>
        <w:t xml:space="preserve">NIRE </w:t>
      </w:r>
      <w:r w:rsidR="00585472">
        <w:rPr>
          <w:b/>
          <w:sz w:val="20"/>
          <w:szCs w:val="20"/>
        </w:rPr>
        <w:t>35</w:t>
      </w:r>
      <w:r w:rsidR="00E527EF">
        <w:rPr>
          <w:b/>
          <w:sz w:val="20"/>
          <w:szCs w:val="20"/>
        </w:rPr>
        <w:t>.</w:t>
      </w:r>
      <w:r w:rsidR="00585472">
        <w:rPr>
          <w:b/>
          <w:sz w:val="20"/>
          <w:szCs w:val="20"/>
        </w:rPr>
        <w:t>300</w:t>
      </w:r>
      <w:r w:rsidR="00E527EF">
        <w:rPr>
          <w:b/>
          <w:sz w:val="20"/>
          <w:szCs w:val="20"/>
        </w:rPr>
        <w:t>.</w:t>
      </w:r>
      <w:r w:rsidR="00585472">
        <w:rPr>
          <w:b/>
          <w:sz w:val="20"/>
          <w:szCs w:val="20"/>
        </w:rPr>
        <w:t>5</w:t>
      </w:r>
      <w:r w:rsidR="00E527EF">
        <w:rPr>
          <w:b/>
          <w:sz w:val="20"/>
          <w:szCs w:val="20"/>
        </w:rPr>
        <w:t>31.4</w:t>
      </w:r>
      <w:r w:rsidR="00585472">
        <w:rPr>
          <w:b/>
          <w:sz w:val="20"/>
          <w:szCs w:val="20"/>
        </w:rPr>
        <w:t>85</w:t>
      </w:r>
    </w:p>
    <w:p w:rsidR="005F4D2F" w:rsidRDefault="005F4D2F">
      <w:pPr>
        <w:spacing w:line="340" w:lineRule="exact"/>
        <w:jc w:val="center"/>
        <w:rPr>
          <w:rStyle w:val="Nmerodepgina"/>
          <w:sz w:val="20"/>
          <w:szCs w:val="20"/>
        </w:rPr>
      </w:pPr>
    </w:p>
    <w:p w:rsidR="005F4D2F" w:rsidRDefault="00FB6938">
      <w:pPr>
        <w:spacing w:line="340" w:lineRule="exact"/>
        <w:jc w:val="center"/>
        <w:rPr>
          <w:rStyle w:val="Nmerodepgina"/>
          <w:b/>
          <w:sz w:val="20"/>
          <w:szCs w:val="20"/>
        </w:rPr>
      </w:pPr>
      <w:r>
        <w:rPr>
          <w:rStyle w:val="Nmerodepgina"/>
          <w:b/>
          <w:sz w:val="20"/>
          <w:szCs w:val="20"/>
        </w:rPr>
        <w:t>ATA DE ASSEMBLEIA GERAL EXTRAORDINÁRIA</w:t>
      </w:r>
      <w:r>
        <w:rPr>
          <w:rStyle w:val="Nmerodepgina"/>
          <w:b/>
          <w:sz w:val="20"/>
          <w:szCs w:val="20"/>
        </w:rPr>
        <w:br/>
        <w:t>REALIZADA EM</w:t>
      </w:r>
      <w:r w:rsidR="0088587D">
        <w:rPr>
          <w:rStyle w:val="Nmerodepgina"/>
          <w:b/>
          <w:sz w:val="20"/>
          <w:szCs w:val="20"/>
        </w:rPr>
        <w:t xml:space="preserve"> </w:t>
      </w:r>
      <w:r w:rsidR="000F6327">
        <w:rPr>
          <w:rStyle w:val="Nmerodepgina"/>
          <w:b/>
          <w:sz w:val="20"/>
          <w:szCs w:val="20"/>
        </w:rPr>
        <w:t>22 DE MAIO</w:t>
      </w:r>
      <w:r>
        <w:rPr>
          <w:rStyle w:val="Nmerodepgina"/>
          <w:b/>
          <w:sz w:val="20"/>
          <w:szCs w:val="20"/>
        </w:rPr>
        <w:t xml:space="preserve"> DE 201</w:t>
      </w:r>
      <w:r w:rsidR="0088587D">
        <w:rPr>
          <w:rStyle w:val="Nmerodepgina"/>
          <w:b/>
          <w:sz w:val="20"/>
          <w:szCs w:val="20"/>
        </w:rPr>
        <w:t>9</w:t>
      </w:r>
    </w:p>
    <w:p w:rsidR="005F4D2F" w:rsidRDefault="005F4D2F" w:rsidP="00027740">
      <w:pPr>
        <w:spacing w:line="340" w:lineRule="exact"/>
        <w:jc w:val="center"/>
        <w:rPr>
          <w:rStyle w:val="Nmerodepgina"/>
          <w:b/>
          <w:sz w:val="20"/>
          <w:szCs w:val="20"/>
        </w:rPr>
      </w:pPr>
    </w:p>
    <w:p w:rsidR="005F4D2F" w:rsidRDefault="00FB6938" w:rsidP="00027740">
      <w:pPr>
        <w:spacing w:line="340" w:lineRule="exact"/>
        <w:rPr>
          <w:sz w:val="20"/>
          <w:szCs w:val="20"/>
        </w:rPr>
      </w:pPr>
      <w:r>
        <w:rPr>
          <w:rStyle w:val="Nmerodepgina"/>
          <w:sz w:val="20"/>
          <w:szCs w:val="20"/>
        </w:rPr>
        <w:t>1.</w:t>
      </w:r>
      <w:r>
        <w:rPr>
          <w:rStyle w:val="Nmerodepgina"/>
          <w:sz w:val="20"/>
          <w:szCs w:val="20"/>
        </w:rPr>
        <w:tab/>
      </w:r>
      <w:r>
        <w:rPr>
          <w:rStyle w:val="Nmerodepgina"/>
          <w:sz w:val="20"/>
          <w:szCs w:val="20"/>
          <w:u w:val="single"/>
        </w:rPr>
        <w:t>Data, Hora e Local</w:t>
      </w:r>
      <w:r>
        <w:rPr>
          <w:rStyle w:val="Nmerodepgina"/>
          <w:sz w:val="20"/>
          <w:szCs w:val="20"/>
        </w:rPr>
        <w:t xml:space="preserve">: </w:t>
      </w:r>
      <w:r>
        <w:rPr>
          <w:sz w:val="20"/>
          <w:szCs w:val="20"/>
        </w:rPr>
        <w:t xml:space="preserve">No dia </w:t>
      </w:r>
      <w:r w:rsidR="00083D5F">
        <w:rPr>
          <w:sz w:val="20"/>
          <w:szCs w:val="20"/>
        </w:rPr>
        <w:t>22</w:t>
      </w:r>
      <w:r w:rsidR="00E527EF">
        <w:rPr>
          <w:sz w:val="20"/>
          <w:szCs w:val="20"/>
        </w:rPr>
        <w:t xml:space="preserve"> </w:t>
      </w:r>
      <w:r>
        <w:rPr>
          <w:sz w:val="20"/>
          <w:szCs w:val="20"/>
        </w:rPr>
        <w:t>de</w:t>
      </w:r>
      <w:r w:rsidR="0088587D">
        <w:rPr>
          <w:sz w:val="20"/>
          <w:szCs w:val="20"/>
        </w:rPr>
        <w:t xml:space="preserve"> </w:t>
      </w:r>
      <w:r w:rsidR="00CA32FD">
        <w:rPr>
          <w:sz w:val="20"/>
          <w:szCs w:val="20"/>
        </w:rPr>
        <w:t>maio</w:t>
      </w:r>
      <w:r>
        <w:rPr>
          <w:sz w:val="20"/>
          <w:szCs w:val="20"/>
        </w:rPr>
        <w:t xml:space="preserve"> </w:t>
      </w:r>
      <w:r>
        <w:rPr>
          <w:sz w:val="20"/>
          <w:szCs w:val="20"/>
          <w:lang w:val="x-none"/>
        </w:rPr>
        <w:t>de 201</w:t>
      </w:r>
      <w:r w:rsidR="0088587D">
        <w:rPr>
          <w:sz w:val="20"/>
          <w:szCs w:val="20"/>
        </w:rPr>
        <w:t>9</w:t>
      </w:r>
      <w:r>
        <w:rPr>
          <w:sz w:val="20"/>
          <w:szCs w:val="20"/>
          <w:lang w:val="x-none"/>
        </w:rPr>
        <w:t xml:space="preserve">, às </w:t>
      </w:r>
      <w:r>
        <w:rPr>
          <w:sz w:val="20"/>
          <w:szCs w:val="20"/>
        </w:rPr>
        <w:t>10 horas</w:t>
      </w:r>
      <w:r>
        <w:rPr>
          <w:sz w:val="20"/>
          <w:szCs w:val="20"/>
          <w:lang w:val="x-none"/>
        </w:rPr>
        <w:t>, na</w:t>
      </w:r>
      <w:r>
        <w:rPr>
          <w:sz w:val="20"/>
          <w:szCs w:val="20"/>
        </w:rPr>
        <w:t xml:space="preserve"> </w:t>
      </w:r>
      <w:r>
        <w:rPr>
          <w:sz w:val="20"/>
          <w:szCs w:val="20"/>
          <w:lang w:val="x-none"/>
        </w:rPr>
        <w:t xml:space="preserve">sede social da </w:t>
      </w:r>
      <w:r>
        <w:rPr>
          <w:sz w:val="20"/>
          <w:szCs w:val="20"/>
        </w:rPr>
        <w:t xml:space="preserve">Companhia Securitizadora de Créditos Financeiros </w:t>
      </w:r>
      <w:r w:rsidR="00E527EF">
        <w:rPr>
          <w:sz w:val="20"/>
          <w:szCs w:val="20"/>
        </w:rPr>
        <w:t>VERT</w:t>
      </w:r>
      <w:r>
        <w:rPr>
          <w:sz w:val="20"/>
          <w:szCs w:val="20"/>
        </w:rPr>
        <w:t>-</w:t>
      </w:r>
      <w:r w:rsidR="0088587D">
        <w:rPr>
          <w:sz w:val="20"/>
          <w:szCs w:val="20"/>
        </w:rPr>
        <w:t>Gyra</w:t>
      </w:r>
      <w:r>
        <w:rPr>
          <w:sz w:val="20"/>
          <w:szCs w:val="20"/>
          <w:lang w:val="x-none"/>
        </w:rPr>
        <w:t>, na Cidade de São Paulo, Estado</w:t>
      </w:r>
      <w:r>
        <w:rPr>
          <w:sz w:val="20"/>
          <w:szCs w:val="20"/>
        </w:rPr>
        <w:t xml:space="preserve"> </w:t>
      </w:r>
      <w:r>
        <w:rPr>
          <w:sz w:val="20"/>
          <w:szCs w:val="20"/>
          <w:lang w:val="x-none"/>
        </w:rPr>
        <w:t xml:space="preserve">de São Paulo, na </w:t>
      </w:r>
      <w:r>
        <w:rPr>
          <w:sz w:val="20"/>
          <w:szCs w:val="20"/>
        </w:rPr>
        <w:t>Rua Cardeal Arcoverde</w:t>
      </w:r>
      <w:r>
        <w:rPr>
          <w:sz w:val="20"/>
          <w:szCs w:val="20"/>
          <w:lang w:val="x-none"/>
        </w:rPr>
        <w:t xml:space="preserve">, </w:t>
      </w:r>
      <w:r>
        <w:rPr>
          <w:sz w:val="20"/>
          <w:szCs w:val="20"/>
        </w:rPr>
        <w:t>nº 2.365</w:t>
      </w:r>
      <w:r>
        <w:rPr>
          <w:sz w:val="20"/>
          <w:szCs w:val="20"/>
          <w:lang w:val="x-none"/>
        </w:rPr>
        <w:t xml:space="preserve">, </w:t>
      </w:r>
      <w:r>
        <w:rPr>
          <w:sz w:val="20"/>
          <w:szCs w:val="20"/>
        </w:rPr>
        <w:t>7º</w:t>
      </w:r>
      <w:r>
        <w:rPr>
          <w:sz w:val="20"/>
          <w:szCs w:val="20"/>
          <w:lang w:val="x-none"/>
        </w:rPr>
        <w:t xml:space="preserve"> andar (</w:t>
      </w:r>
      <w:r>
        <w:rPr>
          <w:sz w:val="20"/>
          <w:szCs w:val="20"/>
        </w:rPr>
        <w:t>“</w:t>
      </w:r>
      <w:r>
        <w:rPr>
          <w:sz w:val="20"/>
          <w:szCs w:val="20"/>
          <w:u w:val="single"/>
        </w:rPr>
        <w:t>Emissora</w:t>
      </w:r>
      <w:r>
        <w:rPr>
          <w:sz w:val="20"/>
          <w:szCs w:val="20"/>
        </w:rPr>
        <w:t>”</w:t>
      </w:r>
      <w:r>
        <w:rPr>
          <w:sz w:val="20"/>
          <w:szCs w:val="20"/>
          <w:lang w:val="x-none"/>
        </w:rPr>
        <w:t>)</w:t>
      </w:r>
      <w:r>
        <w:rPr>
          <w:sz w:val="20"/>
          <w:szCs w:val="20"/>
        </w:rPr>
        <w:t>.</w:t>
      </w:r>
    </w:p>
    <w:p w:rsidR="005F4D2F" w:rsidRDefault="005F4D2F" w:rsidP="00027740">
      <w:pPr>
        <w:spacing w:line="340" w:lineRule="exact"/>
        <w:rPr>
          <w:sz w:val="20"/>
          <w:szCs w:val="20"/>
        </w:rPr>
      </w:pPr>
    </w:p>
    <w:p w:rsidR="005F4D2F" w:rsidRDefault="00FB6938" w:rsidP="00027740">
      <w:pPr>
        <w:spacing w:line="340" w:lineRule="exact"/>
        <w:rPr>
          <w:sz w:val="20"/>
          <w:szCs w:val="20"/>
        </w:rPr>
      </w:pPr>
      <w:r>
        <w:rPr>
          <w:rStyle w:val="Nmerodepgina"/>
          <w:sz w:val="20"/>
          <w:szCs w:val="20"/>
        </w:rPr>
        <w:t>2.</w:t>
      </w:r>
      <w:r>
        <w:rPr>
          <w:rStyle w:val="Nmerodepgina"/>
          <w:sz w:val="20"/>
          <w:szCs w:val="20"/>
        </w:rPr>
        <w:tab/>
      </w:r>
      <w:r>
        <w:rPr>
          <w:sz w:val="20"/>
          <w:szCs w:val="20"/>
          <w:u w:val="single"/>
        </w:rPr>
        <w:t>Composição da Mesa</w:t>
      </w:r>
      <w:r>
        <w:rPr>
          <w:sz w:val="20"/>
          <w:szCs w:val="20"/>
        </w:rPr>
        <w:t xml:space="preserve">: </w:t>
      </w:r>
      <w:r>
        <w:rPr>
          <w:b/>
          <w:sz w:val="20"/>
          <w:szCs w:val="20"/>
        </w:rPr>
        <w:t>Presidente</w:t>
      </w:r>
      <w:r>
        <w:rPr>
          <w:sz w:val="20"/>
          <w:szCs w:val="20"/>
        </w:rPr>
        <w:t xml:space="preserve">: </w:t>
      </w:r>
      <w:r w:rsidR="00CA32FD">
        <w:rPr>
          <w:sz w:val="20"/>
          <w:szCs w:val="20"/>
        </w:rPr>
        <w:t>Sr. Filipe Possa Ferreira</w:t>
      </w:r>
      <w:r w:rsidR="00356C59">
        <w:rPr>
          <w:sz w:val="20"/>
          <w:szCs w:val="20"/>
        </w:rPr>
        <w:t>;</w:t>
      </w:r>
      <w:r>
        <w:rPr>
          <w:sz w:val="20"/>
          <w:szCs w:val="20"/>
        </w:rPr>
        <w:t xml:space="preserve"> </w:t>
      </w:r>
      <w:r>
        <w:rPr>
          <w:b/>
          <w:sz w:val="20"/>
          <w:szCs w:val="20"/>
        </w:rPr>
        <w:t>Secretária</w:t>
      </w:r>
      <w:r>
        <w:rPr>
          <w:sz w:val="20"/>
          <w:szCs w:val="20"/>
        </w:rPr>
        <w:t xml:space="preserve">: Sra. </w:t>
      </w:r>
      <w:r w:rsidR="00CE0D4E" w:rsidRPr="00ED6D22">
        <w:rPr>
          <w:sz w:val="20"/>
          <w:szCs w:val="20"/>
        </w:rPr>
        <w:t>Victoria de Sá</w:t>
      </w:r>
      <w:r>
        <w:rPr>
          <w:sz w:val="20"/>
          <w:szCs w:val="20"/>
        </w:rPr>
        <w:t xml:space="preserve">. </w:t>
      </w:r>
    </w:p>
    <w:p w:rsidR="005F4D2F" w:rsidRDefault="005F4D2F" w:rsidP="00027740">
      <w:pPr>
        <w:spacing w:line="340" w:lineRule="exact"/>
        <w:rPr>
          <w:sz w:val="20"/>
          <w:szCs w:val="20"/>
        </w:rPr>
      </w:pPr>
    </w:p>
    <w:p w:rsidR="005F4D2F" w:rsidRDefault="00FB6938" w:rsidP="00027740">
      <w:pPr>
        <w:autoSpaceDE w:val="0"/>
        <w:autoSpaceDN w:val="0"/>
        <w:adjustRightInd w:val="0"/>
        <w:snapToGrid w:val="0"/>
        <w:spacing w:line="340" w:lineRule="exact"/>
        <w:rPr>
          <w:sz w:val="20"/>
          <w:szCs w:val="20"/>
        </w:rPr>
      </w:pPr>
      <w:r>
        <w:rPr>
          <w:sz w:val="20"/>
          <w:szCs w:val="20"/>
        </w:rPr>
        <w:t>3.</w:t>
      </w:r>
      <w:r>
        <w:rPr>
          <w:sz w:val="20"/>
          <w:szCs w:val="20"/>
        </w:rPr>
        <w:tab/>
      </w:r>
      <w:r>
        <w:rPr>
          <w:rStyle w:val="Nmerodepgina"/>
          <w:sz w:val="20"/>
          <w:szCs w:val="20"/>
          <w:u w:val="single"/>
        </w:rPr>
        <w:t>Convocação e Presença</w:t>
      </w:r>
      <w:r>
        <w:rPr>
          <w:rStyle w:val="Nmerodepgina"/>
          <w:sz w:val="20"/>
          <w:szCs w:val="20"/>
        </w:rPr>
        <w:t xml:space="preserve">: </w:t>
      </w:r>
      <w:r>
        <w:rPr>
          <w:sz w:val="20"/>
          <w:szCs w:val="20"/>
          <w:lang w:val="x-none"/>
        </w:rPr>
        <w:t>Dispensadas as formalidades de convocação, tendo em vista a presença do</w:t>
      </w:r>
      <w:r>
        <w:rPr>
          <w:sz w:val="20"/>
          <w:szCs w:val="20"/>
        </w:rPr>
        <w:t>s</w:t>
      </w:r>
      <w:r>
        <w:rPr>
          <w:sz w:val="20"/>
          <w:szCs w:val="20"/>
          <w:lang w:val="x-none"/>
        </w:rPr>
        <w:t xml:space="preserve"> acionista</w:t>
      </w:r>
      <w:r>
        <w:rPr>
          <w:sz w:val="20"/>
          <w:szCs w:val="20"/>
        </w:rPr>
        <w:t>s</w:t>
      </w:r>
      <w:r>
        <w:rPr>
          <w:sz w:val="20"/>
          <w:szCs w:val="20"/>
          <w:lang w:val="x-none"/>
        </w:rPr>
        <w:t xml:space="preserve"> representante</w:t>
      </w:r>
      <w:r>
        <w:rPr>
          <w:sz w:val="20"/>
          <w:szCs w:val="20"/>
        </w:rPr>
        <w:t>s</w:t>
      </w:r>
      <w:r>
        <w:rPr>
          <w:sz w:val="20"/>
          <w:szCs w:val="20"/>
          <w:lang w:val="x-none"/>
        </w:rPr>
        <w:t xml:space="preserve"> da totalidade do capital social da Emissora, conforme faculta o artigo 124, parágrafo 4º, da Lei 6.404, de 15 de dezembro de 1976, conforme alterada (“</w:t>
      </w:r>
      <w:r>
        <w:rPr>
          <w:sz w:val="20"/>
          <w:szCs w:val="20"/>
          <w:u w:val="single"/>
          <w:lang w:val="x-none"/>
        </w:rPr>
        <w:t xml:space="preserve">Lei </w:t>
      </w:r>
      <w:r>
        <w:rPr>
          <w:sz w:val="20"/>
          <w:szCs w:val="20"/>
          <w:u w:val="single"/>
        </w:rPr>
        <w:t>das Sociedades por Ações</w:t>
      </w:r>
      <w:r>
        <w:rPr>
          <w:sz w:val="20"/>
          <w:szCs w:val="20"/>
          <w:lang w:val="x-none"/>
        </w:rPr>
        <w:t>”).</w:t>
      </w:r>
      <w:r>
        <w:rPr>
          <w:sz w:val="20"/>
          <w:szCs w:val="20"/>
        </w:rPr>
        <w:t xml:space="preserve"> </w:t>
      </w:r>
    </w:p>
    <w:p w:rsidR="005F4D2F" w:rsidRDefault="005F4D2F" w:rsidP="00027740">
      <w:pPr>
        <w:autoSpaceDE w:val="0"/>
        <w:autoSpaceDN w:val="0"/>
        <w:adjustRightInd w:val="0"/>
        <w:snapToGrid w:val="0"/>
        <w:spacing w:line="340" w:lineRule="exact"/>
        <w:rPr>
          <w:sz w:val="20"/>
          <w:szCs w:val="20"/>
          <w:lang w:val="x-none"/>
        </w:rPr>
      </w:pPr>
    </w:p>
    <w:p w:rsidR="005F4D2F" w:rsidRDefault="00FB6938" w:rsidP="00027740">
      <w:pPr>
        <w:autoSpaceDE w:val="0"/>
        <w:autoSpaceDN w:val="0"/>
        <w:adjustRightInd w:val="0"/>
        <w:snapToGrid w:val="0"/>
        <w:spacing w:line="340" w:lineRule="exact"/>
        <w:rPr>
          <w:rFonts w:cs="Helvetica"/>
          <w:color w:val="000000"/>
          <w:sz w:val="20"/>
          <w:szCs w:val="20"/>
        </w:rPr>
      </w:pPr>
      <w:r>
        <w:rPr>
          <w:sz w:val="20"/>
          <w:szCs w:val="20"/>
        </w:rPr>
        <w:t>4.</w:t>
      </w:r>
      <w:r>
        <w:rPr>
          <w:sz w:val="20"/>
          <w:szCs w:val="20"/>
        </w:rPr>
        <w:tab/>
      </w:r>
      <w:r>
        <w:rPr>
          <w:rStyle w:val="Nmerodepgina"/>
          <w:sz w:val="20"/>
          <w:szCs w:val="20"/>
          <w:u w:val="single"/>
        </w:rPr>
        <w:t>Ordem do Dia</w:t>
      </w:r>
      <w:r>
        <w:rPr>
          <w:rStyle w:val="Nmerodepgina"/>
          <w:sz w:val="20"/>
          <w:szCs w:val="20"/>
        </w:rPr>
        <w:t>: Deliberar sobre:</w:t>
      </w:r>
      <w:r>
        <w:rPr>
          <w:rFonts w:cs="Helvetica"/>
          <w:color w:val="000000"/>
          <w:sz w:val="20"/>
          <w:szCs w:val="20"/>
          <w:lang w:val="x-none"/>
        </w:rPr>
        <w:t xml:space="preserve"> </w:t>
      </w:r>
      <w:r>
        <w:rPr>
          <w:rFonts w:cs="Helvetica"/>
          <w:b/>
          <w:color w:val="000000"/>
          <w:sz w:val="20"/>
          <w:szCs w:val="20"/>
        </w:rPr>
        <w:t>(i)</w:t>
      </w:r>
      <w:r>
        <w:rPr>
          <w:rFonts w:cs="Helvetica"/>
          <w:color w:val="000000"/>
          <w:sz w:val="20"/>
          <w:szCs w:val="20"/>
        </w:rPr>
        <w:t xml:space="preserve"> as condições e as características específicas da 1ª</w:t>
      </w:r>
      <w:r>
        <w:rPr>
          <w:rFonts w:cs="Helvetica"/>
          <w:color w:val="000000"/>
          <w:sz w:val="20"/>
          <w:szCs w:val="20"/>
          <w:lang w:val="x-none"/>
        </w:rPr>
        <w:t xml:space="preserve"> (</w:t>
      </w:r>
      <w:r>
        <w:rPr>
          <w:rFonts w:cs="Helvetica"/>
          <w:color w:val="000000"/>
          <w:sz w:val="20"/>
          <w:szCs w:val="20"/>
        </w:rPr>
        <w:t>primeira</w:t>
      </w:r>
      <w:r>
        <w:rPr>
          <w:rFonts w:cs="Helvetica"/>
          <w:color w:val="000000"/>
          <w:sz w:val="20"/>
          <w:szCs w:val="20"/>
          <w:lang w:val="x-none"/>
        </w:rPr>
        <w:t xml:space="preserve">) emissão </w:t>
      </w:r>
      <w:r>
        <w:rPr>
          <w:rFonts w:cs="Helvetica"/>
          <w:color w:val="000000"/>
          <w:sz w:val="20"/>
          <w:szCs w:val="20"/>
        </w:rPr>
        <w:t xml:space="preserve">de debêntures simples da Emissora, não conversíveis em ações, em </w:t>
      </w:r>
      <w:r w:rsidR="008668C7">
        <w:rPr>
          <w:rFonts w:cs="Helvetica"/>
          <w:color w:val="000000"/>
          <w:sz w:val="20"/>
          <w:szCs w:val="20"/>
        </w:rPr>
        <w:t>duas séries</w:t>
      </w:r>
      <w:r>
        <w:rPr>
          <w:rFonts w:cs="Helvetica"/>
          <w:color w:val="000000"/>
          <w:sz w:val="20"/>
          <w:szCs w:val="20"/>
        </w:rPr>
        <w:t xml:space="preserve">, da </w:t>
      </w:r>
      <w:r w:rsidR="00E527EF">
        <w:rPr>
          <w:rFonts w:cs="Helvetica"/>
          <w:color w:val="000000"/>
          <w:sz w:val="20"/>
          <w:szCs w:val="20"/>
        </w:rPr>
        <w:t>espécie</w:t>
      </w:r>
      <w:r w:rsidR="0088587D">
        <w:rPr>
          <w:rFonts w:cs="Helvetica"/>
          <w:color w:val="000000"/>
          <w:sz w:val="20"/>
          <w:szCs w:val="20"/>
        </w:rPr>
        <w:t xml:space="preserve"> subordinada</w:t>
      </w:r>
      <w:r>
        <w:rPr>
          <w:rFonts w:cs="Helvetica"/>
          <w:color w:val="000000"/>
          <w:sz w:val="20"/>
          <w:szCs w:val="20"/>
        </w:rPr>
        <w:t xml:space="preserve">, nos termos do artigo 59 da Lei das Sociedades por Ações, e conforme o disposto no estatuto social da Emissora </w:t>
      </w:r>
      <w:r>
        <w:rPr>
          <w:rFonts w:cs="Helvetica"/>
          <w:color w:val="000000"/>
          <w:sz w:val="20"/>
          <w:szCs w:val="20"/>
          <w:lang w:val="x-none"/>
        </w:rPr>
        <w:t>(</w:t>
      </w:r>
      <w:r>
        <w:rPr>
          <w:rFonts w:cs="Helvetica"/>
          <w:color w:val="000000"/>
          <w:sz w:val="20"/>
          <w:szCs w:val="20"/>
        </w:rPr>
        <w:t>“</w:t>
      </w:r>
      <w:r>
        <w:rPr>
          <w:rFonts w:cs="Helvetica"/>
          <w:color w:val="000000"/>
          <w:sz w:val="20"/>
          <w:szCs w:val="20"/>
          <w:u w:val="single"/>
          <w:lang w:val="x-none"/>
        </w:rPr>
        <w:t>Emissão</w:t>
      </w:r>
      <w:r>
        <w:rPr>
          <w:rFonts w:cs="Helvetica"/>
          <w:color w:val="000000"/>
          <w:sz w:val="20"/>
          <w:szCs w:val="20"/>
        </w:rPr>
        <w:t>” e “</w:t>
      </w:r>
      <w:r>
        <w:rPr>
          <w:rFonts w:cs="Helvetica"/>
          <w:color w:val="000000"/>
          <w:sz w:val="20"/>
          <w:szCs w:val="20"/>
          <w:u w:val="single"/>
        </w:rPr>
        <w:t>Debêntures</w:t>
      </w:r>
      <w:r>
        <w:rPr>
          <w:rFonts w:cs="Helvetica"/>
          <w:color w:val="000000"/>
          <w:sz w:val="20"/>
          <w:szCs w:val="20"/>
        </w:rPr>
        <w:t>”, respectivamente</w:t>
      </w:r>
      <w:r>
        <w:rPr>
          <w:rFonts w:cs="Helvetica"/>
          <w:color w:val="000000"/>
          <w:sz w:val="20"/>
          <w:szCs w:val="20"/>
          <w:lang w:val="x-none"/>
        </w:rPr>
        <w:t>)</w:t>
      </w:r>
      <w:r>
        <w:rPr>
          <w:rFonts w:cs="Helvetica"/>
          <w:color w:val="000000"/>
          <w:sz w:val="20"/>
          <w:szCs w:val="20"/>
        </w:rPr>
        <w:t xml:space="preserve">; </w:t>
      </w:r>
      <w:r>
        <w:rPr>
          <w:rFonts w:cs="Helvetica"/>
          <w:b/>
          <w:color w:val="000000"/>
          <w:sz w:val="20"/>
          <w:szCs w:val="20"/>
        </w:rPr>
        <w:t>(ii)</w:t>
      </w:r>
      <w:r>
        <w:rPr>
          <w:rFonts w:cs="Helvetica"/>
          <w:color w:val="000000"/>
          <w:sz w:val="20"/>
          <w:szCs w:val="20"/>
        </w:rPr>
        <w:t xml:space="preserve"> </w:t>
      </w:r>
      <w:r>
        <w:rPr>
          <w:rFonts w:eastAsia="MS Mincho" w:cs="Tahoma"/>
          <w:sz w:val="20"/>
          <w:szCs w:val="20"/>
        </w:rPr>
        <w:t xml:space="preserve">a realização da oferta pública de distribuição das Debêntures, com esforços restritos de distribuição, nos termos da </w:t>
      </w:r>
      <w:r>
        <w:rPr>
          <w:rFonts w:cs="Tahoma"/>
          <w:sz w:val="20"/>
          <w:szCs w:val="20"/>
        </w:rPr>
        <w:t>Lei nº 6.385, de 7 de dezembro de 1976, conforme alterada (“</w:t>
      </w:r>
      <w:r>
        <w:rPr>
          <w:rFonts w:eastAsia="MS Mincho" w:cs="Tahoma"/>
          <w:sz w:val="20"/>
          <w:szCs w:val="20"/>
          <w:u w:val="single"/>
        </w:rPr>
        <w:t>Lei do Mercado de Capitais</w:t>
      </w:r>
      <w:r>
        <w:rPr>
          <w:rFonts w:eastAsia="MS Mincho" w:cs="Tahoma"/>
          <w:sz w:val="20"/>
          <w:szCs w:val="20"/>
        </w:rPr>
        <w:t xml:space="preserve">”), da </w:t>
      </w:r>
      <w:r>
        <w:rPr>
          <w:spacing w:val="-7"/>
          <w:sz w:val="20"/>
          <w:szCs w:val="20"/>
        </w:rPr>
        <w:t>I</w:t>
      </w:r>
      <w:r>
        <w:rPr>
          <w:sz w:val="20"/>
          <w:szCs w:val="20"/>
        </w:rPr>
        <w:t>nst</w:t>
      </w:r>
      <w:r>
        <w:rPr>
          <w:spacing w:val="-1"/>
          <w:sz w:val="20"/>
          <w:szCs w:val="20"/>
        </w:rPr>
        <w:t>r</w:t>
      </w:r>
      <w:r>
        <w:rPr>
          <w:spacing w:val="2"/>
          <w:sz w:val="20"/>
          <w:szCs w:val="20"/>
        </w:rPr>
        <w:t>u</w:t>
      </w:r>
      <w:r>
        <w:rPr>
          <w:spacing w:val="-1"/>
          <w:sz w:val="20"/>
          <w:szCs w:val="20"/>
        </w:rPr>
        <w:t>çã</w:t>
      </w:r>
      <w:r>
        <w:rPr>
          <w:sz w:val="20"/>
          <w:szCs w:val="20"/>
        </w:rPr>
        <w:t>o</w:t>
      </w:r>
      <w:r>
        <w:rPr>
          <w:spacing w:val="6"/>
          <w:sz w:val="20"/>
          <w:szCs w:val="20"/>
        </w:rPr>
        <w:t xml:space="preserve"> </w:t>
      </w:r>
      <w:r>
        <w:rPr>
          <w:sz w:val="20"/>
          <w:szCs w:val="20"/>
        </w:rPr>
        <w:t>da</w:t>
      </w:r>
      <w:r>
        <w:rPr>
          <w:spacing w:val="6"/>
          <w:sz w:val="20"/>
          <w:szCs w:val="20"/>
        </w:rPr>
        <w:t xml:space="preserve"> </w:t>
      </w:r>
      <w:r>
        <w:rPr>
          <w:sz w:val="20"/>
          <w:szCs w:val="20"/>
        </w:rPr>
        <w:t>Comiss</w:t>
      </w:r>
      <w:r>
        <w:rPr>
          <w:spacing w:val="-1"/>
          <w:sz w:val="20"/>
          <w:szCs w:val="20"/>
        </w:rPr>
        <w:t>ã</w:t>
      </w:r>
      <w:r>
        <w:rPr>
          <w:sz w:val="20"/>
          <w:szCs w:val="20"/>
        </w:rPr>
        <w:t>o</w:t>
      </w:r>
      <w:r>
        <w:rPr>
          <w:spacing w:val="9"/>
          <w:sz w:val="20"/>
          <w:szCs w:val="20"/>
        </w:rPr>
        <w:t xml:space="preserve"> </w:t>
      </w:r>
      <w:r>
        <w:rPr>
          <w:sz w:val="20"/>
          <w:szCs w:val="20"/>
        </w:rPr>
        <w:t>de</w:t>
      </w:r>
      <w:r>
        <w:rPr>
          <w:spacing w:val="5"/>
          <w:sz w:val="20"/>
          <w:szCs w:val="20"/>
        </w:rPr>
        <w:t xml:space="preserve"> </w:t>
      </w:r>
      <w:r>
        <w:rPr>
          <w:spacing w:val="-1"/>
          <w:sz w:val="20"/>
          <w:szCs w:val="20"/>
        </w:rPr>
        <w:t>Va</w:t>
      </w:r>
      <w:r>
        <w:rPr>
          <w:sz w:val="20"/>
          <w:szCs w:val="20"/>
        </w:rPr>
        <w:t>lo</w:t>
      </w:r>
      <w:r>
        <w:rPr>
          <w:spacing w:val="-1"/>
          <w:sz w:val="20"/>
          <w:szCs w:val="20"/>
        </w:rPr>
        <w:t>re</w:t>
      </w:r>
      <w:r>
        <w:rPr>
          <w:sz w:val="20"/>
          <w:szCs w:val="20"/>
        </w:rPr>
        <w:t>s</w:t>
      </w:r>
      <w:r>
        <w:rPr>
          <w:spacing w:val="7"/>
          <w:sz w:val="20"/>
          <w:szCs w:val="20"/>
        </w:rPr>
        <w:t xml:space="preserve"> </w:t>
      </w:r>
      <w:r>
        <w:rPr>
          <w:sz w:val="20"/>
          <w:szCs w:val="20"/>
        </w:rPr>
        <w:t>Mobili</w:t>
      </w:r>
      <w:r>
        <w:rPr>
          <w:spacing w:val="-1"/>
          <w:sz w:val="20"/>
          <w:szCs w:val="20"/>
        </w:rPr>
        <w:t>ár</w:t>
      </w:r>
      <w:r>
        <w:rPr>
          <w:sz w:val="20"/>
          <w:szCs w:val="20"/>
        </w:rPr>
        <w:t>ios,</w:t>
      </w:r>
      <w:r>
        <w:rPr>
          <w:spacing w:val="7"/>
          <w:sz w:val="20"/>
          <w:szCs w:val="20"/>
        </w:rPr>
        <w:t xml:space="preserve"> </w:t>
      </w:r>
      <w:r>
        <w:rPr>
          <w:sz w:val="20"/>
          <w:szCs w:val="20"/>
        </w:rPr>
        <w:t>de</w:t>
      </w:r>
      <w:r>
        <w:rPr>
          <w:spacing w:val="5"/>
          <w:sz w:val="20"/>
          <w:szCs w:val="20"/>
        </w:rPr>
        <w:t xml:space="preserve"> </w:t>
      </w:r>
      <w:r>
        <w:rPr>
          <w:spacing w:val="2"/>
          <w:sz w:val="20"/>
          <w:szCs w:val="20"/>
        </w:rPr>
        <w:t>1</w:t>
      </w:r>
      <w:r>
        <w:rPr>
          <w:sz w:val="20"/>
          <w:szCs w:val="20"/>
        </w:rPr>
        <w:t>6</w:t>
      </w:r>
      <w:r>
        <w:rPr>
          <w:w w:val="99"/>
          <w:sz w:val="20"/>
          <w:szCs w:val="20"/>
        </w:rPr>
        <w:t xml:space="preserve"> </w:t>
      </w:r>
      <w:r>
        <w:rPr>
          <w:sz w:val="20"/>
          <w:szCs w:val="20"/>
        </w:rPr>
        <w:t>de j</w:t>
      </w:r>
      <w:r>
        <w:rPr>
          <w:spacing w:val="-1"/>
          <w:sz w:val="20"/>
          <w:szCs w:val="20"/>
        </w:rPr>
        <w:t>a</w:t>
      </w:r>
      <w:r>
        <w:rPr>
          <w:sz w:val="20"/>
          <w:szCs w:val="20"/>
        </w:rPr>
        <w:t>n</w:t>
      </w:r>
      <w:r>
        <w:rPr>
          <w:spacing w:val="-1"/>
          <w:sz w:val="20"/>
          <w:szCs w:val="20"/>
        </w:rPr>
        <w:t>e</w:t>
      </w:r>
      <w:r>
        <w:rPr>
          <w:spacing w:val="2"/>
          <w:sz w:val="20"/>
          <w:szCs w:val="20"/>
        </w:rPr>
        <w:t>i</w:t>
      </w:r>
      <w:r>
        <w:rPr>
          <w:spacing w:val="-1"/>
          <w:sz w:val="20"/>
          <w:szCs w:val="20"/>
        </w:rPr>
        <w:t>r</w:t>
      </w:r>
      <w:r>
        <w:rPr>
          <w:sz w:val="20"/>
          <w:szCs w:val="20"/>
        </w:rPr>
        <w:t>o de 2009</w:t>
      </w:r>
      <w:r w:rsidR="00E527EF">
        <w:rPr>
          <w:sz w:val="20"/>
          <w:szCs w:val="20"/>
        </w:rPr>
        <w:t xml:space="preserve"> (“</w:t>
      </w:r>
      <w:r w:rsidR="00E527EF">
        <w:rPr>
          <w:spacing w:val="-1"/>
          <w:sz w:val="20"/>
          <w:szCs w:val="20"/>
        </w:rPr>
        <w:t>“</w:t>
      </w:r>
      <w:r w:rsidR="00E527EF">
        <w:rPr>
          <w:sz w:val="20"/>
          <w:szCs w:val="20"/>
          <w:u w:val="single" w:color="000000"/>
        </w:rPr>
        <w:t>C</w:t>
      </w:r>
      <w:r w:rsidR="00E527EF">
        <w:rPr>
          <w:spacing w:val="-1"/>
          <w:sz w:val="20"/>
          <w:szCs w:val="20"/>
          <w:u w:val="single" w:color="000000"/>
        </w:rPr>
        <w:t>V</w:t>
      </w:r>
      <w:r w:rsidR="00E527EF">
        <w:rPr>
          <w:sz w:val="20"/>
          <w:szCs w:val="20"/>
          <w:u w:val="single" w:color="000000"/>
        </w:rPr>
        <w:t>M</w:t>
      </w:r>
      <w:r w:rsidR="00E527EF">
        <w:rPr>
          <w:spacing w:val="-1"/>
          <w:sz w:val="20"/>
          <w:szCs w:val="20"/>
        </w:rPr>
        <w:t>” e “</w:t>
      </w:r>
      <w:r w:rsidR="00E527EF" w:rsidRPr="00E527EF">
        <w:rPr>
          <w:spacing w:val="-1"/>
          <w:sz w:val="20"/>
          <w:szCs w:val="20"/>
          <w:u w:val="single"/>
        </w:rPr>
        <w:t xml:space="preserve">ICVM </w:t>
      </w:r>
      <w:r w:rsidR="00E527EF" w:rsidRPr="00E527EF">
        <w:rPr>
          <w:sz w:val="20"/>
          <w:szCs w:val="20"/>
          <w:u w:val="single"/>
        </w:rPr>
        <w:t>nº</w:t>
      </w:r>
      <w:r w:rsidR="00E527EF" w:rsidRPr="00E527EF">
        <w:rPr>
          <w:spacing w:val="7"/>
          <w:sz w:val="20"/>
          <w:szCs w:val="20"/>
          <w:u w:val="single"/>
        </w:rPr>
        <w:t xml:space="preserve"> </w:t>
      </w:r>
      <w:r w:rsidR="00E527EF" w:rsidRPr="00E527EF">
        <w:rPr>
          <w:sz w:val="20"/>
          <w:szCs w:val="20"/>
          <w:u w:val="single"/>
        </w:rPr>
        <w:t>476</w:t>
      </w:r>
      <w:r w:rsidR="00E527EF" w:rsidRPr="00FA2DF8">
        <w:rPr>
          <w:sz w:val="20"/>
          <w:szCs w:val="20"/>
        </w:rPr>
        <w:t>”</w:t>
      </w:r>
      <w:r w:rsidR="00E527EF">
        <w:rPr>
          <w:sz w:val="20"/>
          <w:szCs w:val="20"/>
        </w:rPr>
        <w:t>, respectivamente”)</w:t>
      </w:r>
      <w:r>
        <w:rPr>
          <w:sz w:val="20"/>
          <w:szCs w:val="20"/>
        </w:rPr>
        <w:t xml:space="preserve">, </w:t>
      </w:r>
      <w:r>
        <w:rPr>
          <w:spacing w:val="-1"/>
          <w:sz w:val="20"/>
          <w:szCs w:val="20"/>
        </w:rPr>
        <w:t>c</w:t>
      </w:r>
      <w:r>
        <w:rPr>
          <w:sz w:val="20"/>
          <w:szCs w:val="20"/>
        </w:rPr>
        <w:t>on</w:t>
      </w:r>
      <w:r>
        <w:rPr>
          <w:spacing w:val="-1"/>
          <w:sz w:val="20"/>
          <w:szCs w:val="20"/>
        </w:rPr>
        <w:t>f</w:t>
      </w:r>
      <w:r>
        <w:rPr>
          <w:sz w:val="20"/>
          <w:szCs w:val="20"/>
        </w:rPr>
        <w:t>o</w:t>
      </w:r>
      <w:r>
        <w:rPr>
          <w:spacing w:val="-1"/>
          <w:sz w:val="20"/>
          <w:szCs w:val="20"/>
        </w:rPr>
        <w:t>r</w:t>
      </w:r>
      <w:r>
        <w:rPr>
          <w:spacing w:val="3"/>
          <w:sz w:val="20"/>
          <w:szCs w:val="20"/>
        </w:rPr>
        <w:t>m</w:t>
      </w:r>
      <w:r>
        <w:rPr>
          <w:sz w:val="20"/>
          <w:szCs w:val="20"/>
        </w:rPr>
        <w:t xml:space="preserve">e </w:t>
      </w:r>
      <w:r>
        <w:rPr>
          <w:spacing w:val="-1"/>
          <w:sz w:val="20"/>
          <w:szCs w:val="20"/>
        </w:rPr>
        <w:t>a</w:t>
      </w:r>
      <w:r>
        <w:rPr>
          <w:sz w:val="20"/>
          <w:szCs w:val="20"/>
        </w:rPr>
        <w:t>lt</w:t>
      </w:r>
      <w:r>
        <w:rPr>
          <w:spacing w:val="-1"/>
          <w:sz w:val="20"/>
          <w:szCs w:val="20"/>
        </w:rPr>
        <w:t>era</w:t>
      </w:r>
      <w:r>
        <w:rPr>
          <w:spacing w:val="2"/>
          <w:sz w:val="20"/>
          <w:szCs w:val="20"/>
        </w:rPr>
        <w:t>d</w:t>
      </w:r>
      <w:r>
        <w:rPr>
          <w:sz w:val="20"/>
          <w:szCs w:val="20"/>
        </w:rPr>
        <w:t>a</w:t>
      </w:r>
      <w:r>
        <w:rPr>
          <w:rFonts w:eastAsia="MS Mincho" w:cs="Tahoma"/>
          <w:sz w:val="20"/>
          <w:szCs w:val="20"/>
        </w:rPr>
        <w:t xml:space="preserve"> e demais leis e regulamentações aplicáveis (“</w:t>
      </w:r>
      <w:r>
        <w:rPr>
          <w:rFonts w:eastAsia="MS Mincho" w:cs="Tahoma"/>
          <w:sz w:val="20"/>
          <w:szCs w:val="20"/>
          <w:u w:val="single"/>
        </w:rPr>
        <w:t>Oferta Restrita</w:t>
      </w:r>
      <w:r>
        <w:rPr>
          <w:rFonts w:eastAsia="MS Mincho" w:cs="Tahoma"/>
          <w:sz w:val="20"/>
          <w:szCs w:val="20"/>
        </w:rPr>
        <w:t xml:space="preserve">”); </w:t>
      </w:r>
      <w:r>
        <w:rPr>
          <w:b/>
          <w:bCs/>
          <w:spacing w:val="-1"/>
          <w:sz w:val="20"/>
          <w:szCs w:val="20"/>
        </w:rPr>
        <w:t>(i</w:t>
      </w:r>
      <w:r w:rsidR="001A26B8">
        <w:rPr>
          <w:b/>
          <w:bCs/>
          <w:spacing w:val="-1"/>
          <w:sz w:val="20"/>
          <w:szCs w:val="20"/>
        </w:rPr>
        <w:t>ii</w:t>
      </w:r>
      <w:r>
        <w:rPr>
          <w:b/>
          <w:bCs/>
          <w:spacing w:val="-1"/>
          <w:sz w:val="20"/>
          <w:szCs w:val="20"/>
        </w:rPr>
        <w:t>)</w:t>
      </w:r>
      <w:r>
        <w:rPr>
          <w:bCs/>
          <w:spacing w:val="-1"/>
          <w:sz w:val="20"/>
          <w:szCs w:val="20"/>
        </w:rPr>
        <w:t xml:space="preserve"> </w:t>
      </w:r>
      <w:r w:rsidR="00CE0D4E">
        <w:rPr>
          <w:bCs/>
          <w:spacing w:val="-1"/>
          <w:sz w:val="20"/>
          <w:szCs w:val="20"/>
        </w:rPr>
        <w:t xml:space="preserve">a </w:t>
      </w:r>
      <w:r>
        <w:rPr>
          <w:spacing w:val="-1"/>
          <w:sz w:val="20"/>
          <w:szCs w:val="20"/>
        </w:rPr>
        <w:t>a</w:t>
      </w:r>
      <w:r>
        <w:rPr>
          <w:sz w:val="20"/>
          <w:szCs w:val="20"/>
        </w:rPr>
        <w:t>uto</w:t>
      </w:r>
      <w:r>
        <w:rPr>
          <w:spacing w:val="-1"/>
          <w:sz w:val="20"/>
          <w:szCs w:val="20"/>
        </w:rPr>
        <w:t>r</w:t>
      </w:r>
      <w:r>
        <w:rPr>
          <w:sz w:val="20"/>
          <w:szCs w:val="20"/>
        </w:rPr>
        <w:t>i</w:t>
      </w:r>
      <w:r>
        <w:rPr>
          <w:spacing w:val="1"/>
          <w:sz w:val="20"/>
          <w:szCs w:val="20"/>
        </w:rPr>
        <w:t>z</w:t>
      </w:r>
      <w:r>
        <w:rPr>
          <w:spacing w:val="-1"/>
          <w:sz w:val="20"/>
          <w:szCs w:val="20"/>
        </w:rPr>
        <w:t>a</w:t>
      </w:r>
      <w:r w:rsidR="00CE0D4E">
        <w:rPr>
          <w:sz w:val="20"/>
          <w:szCs w:val="20"/>
        </w:rPr>
        <w:t>ção</w:t>
      </w:r>
      <w:r>
        <w:rPr>
          <w:spacing w:val="-2"/>
          <w:sz w:val="20"/>
          <w:szCs w:val="20"/>
        </w:rPr>
        <w:t xml:space="preserve"> </w:t>
      </w:r>
      <w:r w:rsidR="00CE0D4E">
        <w:rPr>
          <w:spacing w:val="-2"/>
          <w:sz w:val="20"/>
          <w:szCs w:val="20"/>
        </w:rPr>
        <w:t xml:space="preserve">para </w:t>
      </w:r>
      <w:r>
        <w:rPr>
          <w:sz w:val="20"/>
          <w:szCs w:val="20"/>
        </w:rPr>
        <w:t>a</w:t>
      </w:r>
      <w:r>
        <w:rPr>
          <w:spacing w:val="-3"/>
          <w:sz w:val="20"/>
          <w:szCs w:val="20"/>
        </w:rPr>
        <w:t xml:space="preserve"> </w:t>
      </w:r>
      <w:r>
        <w:rPr>
          <w:sz w:val="20"/>
          <w:szCs w:val="20"/>
        </w:rPr>
        <w:t>di</w:t>
      </w:r>
      <w:r>
        <w:rPr>
          <w:spacing w:val="-1"/>
          <w:sz w:val="20"/>
          <w:szCs w:val="20"/>
        </w:rPr>
        <w:t>re</w:t>
      </w:r>
      <w:r>
        <w:rPr>
          <w:sz w:val="20"/>
          <w:szCs w:val="20"/>
        </w:rPr>
        <w:t>to</w:t>
      </w:r>
      <w:r>
        <w:rPr>
          <w:spacing w:val="-1"/>
          <w:sz w:val="20"/>
          <w:szCs w:val="20"/>
        </w:rPr>
        <w:t>r</w:t>
      </w:r>
      <w:r>
        <w:rPr>
          <w:sz w:val="20"/>
          <w:szCs w:val="20"/>
        </w:rPr>
        <w:t>ia</w:t>
      </w:r>
      <w:r>
        <w:rPr>
          <w:spacing w:val="-3"/>
          <w:sz w:val="20"/>
          <w:szCs w:val="20"/>
        </w:rPr>
        <w:t xml:space="preserve"> </w:t>
      </w:r>
      <w:r>
        <w:rPr>
          <w:sz w:val="20"/>
          <w:szCs w:val="20"/>
        </w:rPr>
        <w:t>da</w:t>
      </w:r>
      <w:r>
        <w:rPr>
          <w:spacing w:val="-2"/>
          <w:sz w:val="20"/>
          <w:szCs w:val="20"/>
        </w:rPr>
        <w:t xml:space="preserve"> </w:t>
      </w:r>
      <w:r>
        <w:rPr>
          <w:sz w:val="20"/>
          <w:szCs w:val="20"/>
        </w:rPr>
        <w:t>Emissora, ou seus procuradores, conforme o caso,</w:t>
      </w:r>
      <w:r>
        <w:rPr>
          <w:spacing w:val="-3"/>
          <w:sz w:val="20"/>
          <w:szCs w:val="20"/>
        </w:rPr>
        <w:t xml:space="preserve"> </w:t>
      </w:r>
      <w:r>
        <w:rPr>
          <w:sz w:val="20"/>
          <w:szCs w:val="20"/>
        </w:rPr>
        <w:t>a</w:t>
      </w:r>
      <w:r>
        <w:rPr>
          <w:spacing w:val="-3"/>
          <w:sz w:val="20"/>
          <w:szCs w:val="20"/>
        </w:rPr>
        <w:t xml:space="preserve"> </w:t>
      </w:r>
      <w:r>
        <w:rPr>
          <w:sz w:val="20"/>
          <w:szCs w:val="20"/>
        </w:rPr>
        <w:t>p</w:t>
      </w:r>
      <w:r>
        <w:rPr>
          <w:spacing w:val="-1"/>
          <w:sz w:val="20"/>
          <w:szCs w:val="20"/>
        </w:rPr>
        <w:t>ra</w:t>
      </w:r>
      <w:r>
        <w:rPr>
          <w:sz w:val="20"/>
          <w:szCs w:val="20"/>
        </w:rPr>
        <w:t>ti</w:t>
      </w:r>
      <w:r>
        <w:rPr>
          <w:spacing w:val="-1"/>
          <w:sz w:val="20"/>
          <w:szCs w:val="20"/>
        </w:rPr>
        <w:t>c</w:t>
      </w:r>
      <w:r>
        <w:rPr>
          <w:spacing w:val="1"/>
          <w:sz w:val="20"/>
          <w:szCs w:val="20"/>
        </w:rPr>
        <w:t>a</w:t>
      </w:r>
      <w:r>
        <w:rPr>
          <w:sz w:val="20"/>
          <w:szCs w:val="20"/>
        </w:rPr>
        <w:t>r</w:t>
      </w:r>
      <w:r>
        <w:rPr>
          <w:spacing w:val="-2"/>
          <w:sz w:val="20"/>
          <w:szCs w:val="20"/>
        </w:rPr>
        <w:t xml:space="preserve"> </w:t>
      </w:r>
      <w:r>
        <w:rPr>
          <w:sz w:val="20"/>
          <w:szCs w:val="20"/>
        </w:rPr>
        <w:t>todos</w:t>
      </w:r>
      <w:r>
        <w:rPr>
          <w:spacing w:val="-1"/>
          <w:sz w:val="20"/>
          <w:szCs w:val="20"/>
        </w:rPr>
        <w:t xml:space="preserve"> </w:t>
      </w:r>
      <w:r>
        <w:rPr>
          <w:sz w:val="20"/>
          <w:szCs w:val="20"/>
        </w:rPr>
        <w:t>os</w:t>
      </w:r>
      <w:r>
        <w:rPr>
          <w:spacing w:val="-1"/>
          <w:sz w:val="20"/>
          <w:szCs w:val="20"/>
        </w:rPr>
        <w:t xml:space="preserve"> a</w:t>
      </w:r>
      <w:r>
        <w:rPr>
          <w:sz w:val="20"/>
          <w:szCs w:val="20"/>
        </w:rPr>
        <w:t>tos</w:t>
      </w:r>
      <w:r>
        <w:rPr>
          <w:spacing w:val="-1"/>
          <w:sz w:val="20"/>
          <w:szCs w:val="20"/>
        </w:rPr>
        <w:t xml:space="preserve"> </w:t>
      </w:r>
      <w:r>
        <w:rPr>
          <w:sz w:val="20"/>
          <w:szCs w:val="20"/>
        </w:rPr>
        <w:t>n</w:t>
      </w:r>
      <w:r>
        <w:rPr>
          <w:spacing w:val="-1"/>
          <w:sz w:val="20"/>
          <w:szCs w:val="20"/>
        </w:rPr>
        <w:t>ece</w:t>
      </w:r>
      <w:r>
        <w:rPr>
          <w:sz w:val="20"/>
          <w:szCs w:val="20"/>
        </w:rPr>
        <w:t>ss</w:t>
      </w:r>
      <w:r>
        <w:rPr>
          <w:spacing w:val="-1"/>
          <w:sz w:val="20"/>
          <w:szCs w:val="20"/>
        </w:rPr>
        <w:t>ár</w:t>
      </w:r>
      <w:r>
        <w:rPr>
          <w:sz w:val="20"/>
          <w:szCs w:val="20"/>
        </w:rPr>
        <w:t>ios p</w:t>
      </w:r>
      <w:r>
        <w:rPr>
          <w:spacing w:val="-1"/>
          <w:sz w:val="20"/>
          <w:szCs w:val="20"/>
        </w:rPr>
        <w:t>ar</w:t>
      </w:r>
      <w:r>
        <w:rPr>
          <w:sz w:val="20"/>
          <w:szCs w:val="20"/>
        </w:rPr>
        <w:t>a</w:t>
      </w:r>
      <w:r>
        <w:rPr>
          <w:w w:val="99"/>
          <w:sz w:val="20"/>
          <w:szCs w:val="20"/>
        </w:rPr>
        <w:t xml:space="preserve"> </w:t>
      </w:r>
      <w:r>
        <w:rPr>
          <w:sz w:val="20"/>
          <w:szCs w:val="20"/>
        </w:rPr>
        <w:t>a</w:t>
      </w:r>
      <w:r>
        <w:rPr>
          <w:spacing w:val="53"/>
          <w:sz w:val="20"/>
          <w:szCs w:val="20"/>
        </w:rPr>
        <w:t xml:space="preserve"> </w:t>
      </w:r>
      <w:r>
        <w:rPr>
          <w:spacing w:val="-1"/>
          <w:sz w:val="20"/>
          <w:szCs w:val="20"/>
        </w:rPr>
        <w:t>c</w:t>
      </w:r>
      <w:r>
        <w:rPr>
          <w:sz w:val="20"/>
          <w:szCs w:val="20"/>
        </w:rPr>
        <w:t>ons</w:t>
      </w:r>
      <w:r>
        <w:rPr>
          <w:spacing w:val="-1"/>
          <w:sz w:val="20"/>
          <w:szCs w:val="20"/>
        </w:rPr>
        <w:t>ec</w:t>
      </w:r>
      <w:r>
        <w:rPr>
          <w:spacing w:val="2"/>
          <w:sz w:val="20"/>
          <w:szCs w:val="20"/>
        </w:rPr>
        <w:t>u</w:t>
      </w:r>
      <w:r>
        <w:rPr>
          <w:spacing w:val="-1"/>
          <w:sz w:val="20"/>
          <w:szCs w:val="20"/>
        </w:rPr>
        <w:t>çã</w:t>
      </w:r>
      <w:r>
        <w:rPr>
          <w:sz w:val="20"/>
          <w:szCs w:val="20"/>
        </w:rPr>
        <w:t>o</w:t>
      </w:r>
      <w:r>
        <w:rPr>
          <w:spacing w:val="55"/>
          <w:sz w:val="20"/>
          <w:szCs w:val="20"/>
        </w:rPr>
        <w:t xml:space="preserve"> </w:t>
      </w:r>
      <w:r>
        <w:rPr>
          <w:sz w:val="20"/>
          <w:szCs w:val="20"/>
        </w:rPr>
        <w:t>da</w:t>
      </w:r>
      <w:r>
        <w:rPr>
          <w:spacing w:val="54"/>
          <w:sz w:val="20"/>
          <w:szCs w:val="20"/>
        </w:rPr>
        <w:t xml:space="preserve"> </w:t>
      </w:r>
      <w:r>
        <w:rPr>
          <w:spacing w:val="-1"/>
          <w:sz w:val="20"/>
          <w:szCs w:val="20"/>
        </w:rPr>
        <w:t>O</w:t>
      </w:r>
      <w:r>
        <w:rPr>
          <w:spacing w:val="1"/>
          <w:sz w:val="20"/>
          <w:szCs w:val="20"/>
        </w:rPr>
        <w:t>f</w:t>
      </w:r>
      <w:r>
        <w:rPr>
          <w:spacing w:val="-1"/>
          <w:sz w:val="20"/>
          <w:szCs w:val="20"/>
        </w:rPr>
        <w:t>er</w:t>
      </w:r>
      <w:r>
        <w:rPr>
          <w:sz w:val="20"/>
          <w:szCs w:val="20"/>
        </w:rPr>
        <w:t>ta</w:t>
      </w:r>
      <w:r>
        <w:rPr>
          <w:spacing w:val="56"/>
          <w:sz w:val="20"/>
          <w:szCs w:val="20"/>
        </w:rPr>
        <w:t xml:space="preserve"> </w:t>
      </w:r>
      <w:r>
        <w:rPr>
          <w:sz w:val="20"/>
          <w:szCs w:val="20"/>
        </w:rPr>
        <w:t>R</w:t>
      </w:r>
      <w:r>
        <w:rPr>
          <w:spacing w:val="-1"/>
          <w:sz w:val="20"/>
          <w:szCs w:val="20"/>
        </w:rPr>
        <w:t>e</w:t>
      </w:r>
      <w:r>
        <w:rPr>
          <w:sz w:val="20"/>
          <w:szCs w:val="20"/>
        </w:rPr>
        <w:t>st</w:t>
      </w:r>
      <w:r>
        <w:rPr>
          <w:spacing w:val="-1"/>
          <w:sz w:val="20"/>
          <w:szCs w:val="20"/>
        </w:rPr>
        <w:t>r</w:t>
      </w:r>
      <w:r>
        <w:rPr>
          <w:sz w:val="20"/>
          <w:szCs w:val="20"/>
        </w:rPr>
        <w:t>it</w:t>
      </w:r>
      <w:r>
        <w:rPr>
          <w:spacing w:val="-1"/>
          <w:sz w:val="20"/>
          <w:szCs w:val="20"/>
        </w:rPr>
        <w:t>a</w:t>
      </w:r>
      <w:r>
        <w:rPr>
          <w:sz w:val="20"/>
          <w:szCs w:val="20"/>
        </w:rPr>
        <w:t xml:space="preserve">; e </w:t>
      </w:r>
      <w:r>
        <w:rPr>
          <w:b/>
          <w:sz w:val="20"/>
          <w:szCs w:val="20"/>
        </w:rPr>
        <w:t>(</w:t>
      </w:r>
      <w:r w:rsidR="001A26B8">
        <w:rPr>
          <w:b/>
          <w:sz w:val="20"/>
          <w:szCs w:val="20"/>
        </w:rPr>
        <w:t>i</w:t>
      </w:r>
      <w:r>
        <w:rPr>
          <w:b/>
          <w:sz w:val="20"/>
          <w:szCs w:val="20"/>
        </w:rPr>
        <w:t>v)</w:t>
      </w:r>
      <w:r>
        <w:rPr>
          <w:sz w:val="20"/>
          <w:szCs w:val="20"/>
        </w:rPr>
        <w:t> </w:t>
      </w:r>
      <w:r>
        <w:rPr>
          <w:spacing w:val="-1"/>
          <w:sz w:val="20"/>
          <w:szCs w:val="20"/>
        </w:rPr>
        <w:t>ra</w:t>
      </w:r>
      <w:r>
        <w:rPr>
          <w:sz w:val="20"/>
          <w:szCs w:val="20"/>
        </w:rPr>
        <w:t>ti</w:t>
      </w:r>
      <w:r>
        <w:rPr>
          <w:spacing w:val="-1"/>
          <w:sz w:val="20"/>
          <w:szCs w:val="20"/>
        </w:rPr>
        <w:t>f</w:t>
      </w:r>
      <w:r>
        <w:rPr>
          <w:sz w:val="20"/>
          <w:szCs w:val="20"/>
        </w:rPr>
        <w:t>i</w:t>
      </w:r>
      <w:r>
        <w:rPr>
          <w:spacing w:val="-1"/>
          <w:sz w:val="20"/>
          <w:szCs w:val="20"/>
        </w:rPr>
        <w:t>c</w:t>
      </w:r>
      <w:r>
        <w:rPr>
          <w:spacing w:val="1"/>
          <w:sz w:val="20"/>
          <w:szCs w:val="20"/>
        </w:rPr>
        <w:t>a</w:t>
      </w:r>
      <w:r w:rsidR="00CE0D4E">
        <w:rPr>
          <w:sz w:val="20"/>
          <w:szCs w:val="20"/>
        </w:rPr>
        <w:t>ção</w:t>
      </w:r>
      <w:r>
        <w:rPr>
          <w:spacing w:val="56"/>
          <w:sz w:val="20"/>
          <w:szCs w:val="20"/>
        </w:rPr>
        <w:t xml:space="preserve"> </w:t>
      </w:r>
      <w:r w:rsidR="00CE0D4E">
        <w:rPr>
          <w:sz w:val="20"/>
          <w:szCs w:val="20"/>
        </w:rPr>
        <w:t>do</w:t>
      </w:r>
      <w:r>
        <w:rPr>
          <w:sz w:val="20"/>
          <w:szCs w:val="20"/>
        </w:rPr>
        <w:t>s</w:t>
      </w:r>
      <w:r>
        <w:rPr>
          <w:spacing w:val="55"/>
          <w:sz w:val="20"/>
          <w:szCs w:val="20"/>
        </w:rPr>
        <w:t xml:space="preserve"> </w:t>
      </w:r>
      <w:r>
        <w:rPr>
          <w:spacing w:val="-1"/>
          <w:sz w:val="20"/>
          <w:szCs w:val="20"/>
        </w:rPr>
        <w:t>a</w:t>
      </w:r>
      <w:r>
        <w:rPr>
          <w:sz w:val="20"/>
          <w:szCs w:val="20"/>
        </w:rPr>
        <w:t>tos</w:t>
      </w:r>
      <w:r>
        <w:rPr>
          <w:spacing w:val="54"/>
          <w:sz w:val="20"/>
          <w:szCs w:val="20"/>
        </w:rPr>
        <w:t xml:space="preserve"> </w:t>
      </w:r>
      <w:r>
        <w:rPr>
          <w:sz w:val="20"/>
          <w:szCs w:val="20"/>
        </w:rPr>
        <w:t>já</w:t>
      </w:r>
      <w:r>
        <w:rPr>
          <w:spacing w:val="54"/>
          <w:sz w:val="20"/>
          <w:szCs w:val="20"/>
        </w:rPr>
        <w:t xml:space="preserve"> </w:t>
      </w:r>
      <w:r>
        <w:rPr>
          <w:sz w:val="20"/>
          <w:szCs w:val="20"/>
        </w:rPr>
        <w:t>p</w:t>
      </w:r>
      <w:r>
        <w:rPr>
          <w:spacing w:val="-1"/>
          <w:sz w:val="20"/>
          <w:szCs w:val="20"/>
        </w:rPr>
        <w:t>ra</w:t>
      </w:r>
      <w:r>
        <w:rPr>
          <w:sz w:val="20"/>
          <w:szCs w:val="20"/>
        </w:rPr>
        <w:t>ti</w:t>
      </w:r>
      <w:r>
        <w:rPr>
          <w:spacing w:val="-1"/>
          <w:sz w:val="20"/>
          <w:szCs w:val="20"/>
        </w:rPr>
        <w:t>ca</w:t>
      </w:r>
      <w:r>
        <w:rPr>
          <w:sz w:val="20"/>
          <w:szCs w:val="20"/>
        </w:rPr>
        <w:t>dos</w:t>
      </w:r>
      <w:r>
        <w:rPr>
          <w:spacing w:val="55"/>
          <w:sz w:val="20"/>
          <w:szCs w:val="20"/>
        </w:rPr>
        <w:t xml:space="preserve"> </w:t>
      </w:r>
      <w:r>
        <w:rPr>
          <w:sz w:val="20"/>
          <w:szCs w:val="20"/>
        </w:rPr>
        <w:t>p</w:t>
      </w:r>
      <w:r>
        <w:rPr>
          <w:spacing w:val="-1"/>
          <w:sz w:val="20"/>
          <w:szCs w:val="20"/>
        </w:rPr>
        <w:t>e</w:t>
      </w:r>
      <w:r>
        <w:rPr>
          <w:sz w:val="20"/>
          <w:szCs w:val="20"/>
        </w:rPr>
        <w:t>la</w:t>
      </w:r>
      <w:r>
        <w:rPr>
          <w:spacing w:val="54"/>
          <w:sz w:val="20"/>
          <w:szCs w:val="20"/>
        </w:rPr>
        <w:t xml:space="preserve"> </w:t>
      </w:r>
      <w:r>
        <w:rPr>
          <w:sz w:val="20"/>
          <w:szCs w:val="20"/>
        </w:rPr>
        <w:t>di</w:t>
      </w:r>
      <w:r>
        <w:rPr>
          <w:spacing w:val="-1"/>
          <w:sz w:val="20"/>
          <w:szCs w:val="20"/>
        </w:rPr>
        <w:t>re</w:t>
      </w:r>
      <w:r>
        <w:rPr>
          <w:sz w:val="20"/>
          <w:szCs w:val="20"/>
        </w:rPr>
        <w:t>to</w:t>
      </w:r>
      <w:r>
        <w:rPr>
          <w:spacing w:val="-1"/>
          <w:sz w:val="20"/>
          <w:szCs w:val="20"/>
        </w:rPr>
        <w:t>r</w:t>
      </w:r>
      <w:r>
        <w:rPr>
          <w:sz w:val="20"/>
          <w:szCs w:val="20"/>
        </w:rPr>
        <w:t>ia</w:t>
      </w:r>
      <w:r>
        <w:rPr>
          <w:spacing w:val="-3"/>
          <w:sz w:val="20"/>
          <w:szCs w:val="20"/>
        </w:rPr>
        <w:t xml:space="preserve"> </w:t>
      </w:r>
      <w:r>
        <w:rPr>
          <w:sz w:val="20"/>
          <w:szCs w:val="20"/>
        </w:rPr>
        <w:t>da</w:t>
      </w:r>
      <w:r>
        <w:rPr>
          <w:spacing w:val="-2"/>
          <w:sz w:val="20"/>
          <w:szCs w:val="20"/>
        </w:rPr>
        <w:t xml:space="preserve"> </w:t>
      </w:r>
      <w:r>
        <w:rPr>
          <w:sz w:val="20"/>
          <w:szCs w:val="20"/>
        </w:rPr>
        <w:t>Emissora, ou por seus procuradores, conforme o caso,</w:t>
      </w:r>
      <w:r>
        <w:rPr>
          <w:spacing w:val="-1"/>
          <w:sz w:val="20"/>
          <w:szCs w:val="20"/>
        </w:rPr>
        <w:t xml:space="preserve"> </w:t>
      </w:r>
      <w:r>
        <w:rPr>
          <w:sz w:val="20"/>
          <w:szCs w:val="20"/>
        </w:rPr>
        <w:t>p</w:t>
      </w:r>
      <w:r>
        <w:rPr>
          <w:spacing w:val="-1"/>
          <w:sz w:val="20"/>
          <w:szCs w:val="20"/>
        </w:rPr>
        <w:t>ar</w:t>
      </w:r>
      <w:r>
        <w:rPr>
          <w:sz w:val="20"/>
          <w:szCs w:val="20"/>
        </w:rPr>
        <w:t>a</w:t>
      </w:r>
      <w:r>
        <w:rPr>
          <w:spacing w:val="-6"/>
          <w:sz w:val="20"/>
          <w:szCs w:val="20"/>
        </w:rPr>
        <w:t xml:space="preserve"> </w:t>
      </w:r>
      <w:r>
        <w:rPr>
          <w:sz w:val="20"/>
          <w:szCs w:val="20"/>
        </w:rPr>
        <w:t>a</w:t>
      </w:r>
      <w:r>
        <w:rPr>
          <w:spacing w:val="-8"/>
          <w:sz w:val="20"/>
          <w:szCs w:val="20"/>
        </w:rPr>
        <w:t xml:space="preserve"> </w:t>
      </w:r>
      <w:r>
        <w:rPr>
          <w:spacing w:val="-1"/>
          <w:sz w:val="20"/>
          <w:szCs w:val="20"/>
        </w:rPr>
        <w:t>c</w:t>
      </w:r>
      <w:r>
        <w:rPr>
          <w:sz w:val="20"/>
          <w:szCs w:val="20"/>
        </w:rPr>
        <w:t>ons</w:t>
      </w:r>
      <w:r>
        <w:rPr>
          <w:spacing w:val="1"/>
          <w:sz w:val="20"/>
          <w:szCs w:val="20"/>
        </w:rPr>
        <w:t>e</w:t>
      </w:r>
      <w:r>
        <w:rPr>
          <w:spacing w:val="-1"/>
          <w:sz w:val="20"/>
          <w:szCs w:val="20"/>
        </w:rPr>
        <w:t>c</w:t>
      </w:r>
      <w:r>
        <w:rPr>
          <w:sz w:val="20"/>
          <w:szCs w:val="20"/>
        </w:rPr>
        <w:t>u</w:t>
      </w:r>
      <w:r>
        <w:rPr>
          <w:spacing w:val="-1"/>
          <w:sz w:val="20"/>
          <w:szCs w:val="20"/>
        </w:rPr>
        <w:t>çã</w:t>
      </w:r>
      <w:r>
        <w:rPr>
          <w:sz w:val="20"/>
          <w:szCs w:val="20"/>
        </w:rPr>
        <w:t>o</w:t>
      </w:r>
      <w:r>
        <w:rPr>
          <w:spacing w:val="-8"/>
          <w:sz w:val="20"/>
          <w:szCs w:val="20"/>
        </w:rPr>
        <w:t xml:space="preserve"> </w:t>
      </w:r>
      <w:r>
        <w:rPr>
          <w:spacing w:val="2"/>
          <w:sz w:val="20"/>
          <w:szCs w:val="20"/>
        </w:rPr>
        <w:t>d</w:t>
      </w:r>
      <w:r>
        <w:rPr>
          <w:sz w:val="20"/>
          <w:szCs w:val="20"/>
        </w:rPr>
        <w:t>a</w:t>
      </w:r>
      <w:r>
        <w:rPr>
          <w:spacing w:val="-8"/>
          <w:sz w:val="20"/>
          <w:szCs w:val="20"/>
        </w:rPr>
        <w:t xml:space="preserve"> </w:t>
      </w:r>
      <w:r>
        <w:rPr>
          <w:spacing w:val="-1"/>
          <w:sz w:val="20"/>
          <w:szCs w:val="20"/>
        </w:rPr>
        <w:t>Of</w:t>
      </w:r>
      <w:r>
        <w:rPr>
          <w:spacing w:val="1"/>
          <w:sz w:val="20"/>
          <w:szCs w:val="20"/>
        </w:rPr>
        <w:t>e</w:t>
      </w:r>
      <w:r>
        <w:rPr>
          <w:spacing w:val="-1"/>
          <w:sz w:val="20"/>
          <w:szCs w:val="20"/>
        </w:rPr>
        <w:t>r</w:t>
      </w:r>
      <w:r>
        <w:rPr>
          <w:sz w:val="20"/>
          <w:szCs w:val="20"/>
        </w:rPr>
        <w:t>ta</w:t>
      </w:r>
      <w:r>
        <w:rPr>
          <w:spacing w:val="-8"/>
          <w:sz w:val="20"/>
          <w:szCs w:val="20"/>
        </w:rPr>
        <w:t xml:space="preserve"> </w:t>
      </w:r>
      <w:r>
        <w:rPr>
          <w:sz w:val="20"/>
          <w:szCs w:val="20"/>
        </w:rPr>
        <w:t>R</w:t>
      </w:r>
      <w:r>
        <w:rPr>
          <w:spacing w:val="-1"/>
          <w:sz w:val="20"/>
          <w:szCs w:val="20"/>
        </w:rPr>
        <w:t>e</w:t>
      </w:r>
      <w:r>
        <w:rPr>
          <w:sz w:val="20"/>
          <w:szCs w:val="20"/>
        </w:rPr>
        <w:t>st</w:t>
      </w:r>
      <w:r>
        <w:rPr>
          <w:spacing w:val="-1"/>
          <w:sz w:val="20"/>
          <w:szCs w:val="20"/>
        </w:rPr>
        <w:t>r</w:t>
      </w:r>
      <w:r>
        <w:rPr>
          <w:sz w:val="20"/>
          <w:szCs w:val="20"/>
        </w:rPr>
        <w:t>it</w:t>
      </w:r>
      <w:r>
        <w:rPr>
          <w:spacing w:val="-1"/>
          <w:sz w:val="20"/>
          <w:szCs w:val="20"/>
        </w:rPr>
        <w:t>a</w:t>
      </w:r>
      <w:r>
        <w:rPr>
          <w:sz w:val="20"/>
          <w:szCs w:val="20"/>
        </w:rPr>
        <w:t>.</w:t>
      </w:r>
    </w:p>
    <w:p w:rsidR="005F4D2F" w:rsidRDefault="005F4D2F" w:rsidP="00027740">
      <w:pPr>
        <w:autoSpaceDE w:val="0"/>
        <w:autoSpaceDN w:val="0"/>
        <w:adjustRightInd w:val="0"/>
        <w:snapToGrid w:val="0"/>
        <w:spacing w:line="340" w:lineRule="exact"/>
        <w:rPr>
          <w:rFonts w:cs="Helvetica"/>
          <w:color w:val="000000"/>
          <w:sz w:val="20"/>
          <w:szCs w:val="20"/>
          <w:lang w:val="x-none"/>
        </w:rPr>
      </w:pPr>
    </w:p>
    <w:p w:rsidR="005F4D2F" w:rsidRDefault="00FB6938" w:rsidP="00027740">
      <w:pPr>
        <w:autoSpaceDE w:val="0"/>
        <w:autoSpaceDN w:val="0"/>
        <w:adjustRightInd w:val="0"/>
        <w:snapToGrid w:val="0"/>
        <w:spacing w:line="340" w:lineRule="exact"/>
        <w:rPr>
          <w:sz w:val="20"/>
          <w:szCs w:val="20"/>
        </w:rPr>
      </w:pPr>
      <w:r>
        <w:rPr>
          <w:sz w:val="20"/>
          <w:szCs w:val="20"/>
        </w:rPr>
        <w:t>5.</w:t>
      </w:r>
      <w:r>
        <w:rPr>
          <w:sz w:val="20"/>
          <w:szCs w:val="20"/>
        </w:rPr>
        <w:tab/>
      </w:r>
      <w:r>
        <w:rPr>
          <w:rStyle w:val="Nmerodepgina"/>
          <w:sz w:val="20"/>
          <w:szCs w:val="20"/>
          <w:u w:val="single"/>
        </w:rPr>
        <w:t>Deliberações Tomadas</w:t>
      </w:r>
      <w:r>
        <w:rPr>
          <w:rStyle w:val="Nmerodepgina"/>
          <w:sz w:val="20"/>
          <w:szCs w:val="20"/>
        </w:rPr>
        <w:t xml:space="preserve">: </w:t>
      </w:r>
      <w:r>
        <w:rPr>
          <w:sz w:val="20"/>
          <w:szCs w:val="20"/>
        </w:rPr>
        <w:t xml:space="preserve">Após discutidas as matérias constantes da ordem do dia, os acionistas presentes aprovaram, sem quaisquer ressalvas ou restrições, o quanto segue: </w:t>
      </w:r>
    </w:p>
    <w:p w:rsidR="005F4D2F" w:rsidRDefault="005F4D2F" w:rsidP="00027740">
      <w:pPr>
        <w:autoSpaceDE w:val="0"/>
        <w:autoSpaceDN w:val="0"/>
        <w:adjustRightInd w:val="0"/>
        <w:snapToGrid w:val="0"/>
        <w:spacing w:line="340" w:lineRule="exact"/>
        <w:rPr>
          <w:sz w:val="20"/>
          <w:szCs w:val="20"/>
        </w:rPr>
      </w:pPr>
    </w:p>
    <w:p w:rsidR="005F4D2F" w:rsidRDefault="00FB6938" w:rsidP="00027740">
      <w:pPr>
        <w:autoSpaceDE w:val="0"/>
        <w:autoSpaceDN w:val="0"/>
        <w:adjustRightInd w:val="0"/>
        <w:snapToGrid w:val="0"/>
        <w:spacing w:line="340" w:lineRule="exact"/>
        <w:rPr>
          <w:sz w:val="20"/>
          <w:szCs w:val="20"/>
        </w:rPr>
      </w:pPr>
      <w:r>
        <w:rPr>
          <w:b/>
          <w:sz w:val="20"/>
          <w:szCs w:val="20"/>
        </w:rPr>
        <w:t>(i)</w:t>
      </w:r>
      <w:r>
        <w:rPr>
          <w:sz w:val="20"/>
          <w:szCs w:val="20"/>
        </w:rPr>
        <w:t xml:space="preserve"> e </w:t>
      </w:r>
      <w:r>
        <w:rPr>
          <w:b/>
          <w:sz w:val="20"/>
          <w:szCs w:val="20"/>
        </w:rPr>
        <w:t>(ii)</w:t>
      </w:r>
      <w:r>
        <w:rPr>
          <w:sz w:val="20"/>
          <w:szCs w:val="20"/>
        </w:rPr>
        <w:t xml:space="preserve"> </w:t>
      </w:r>
      <w:r w:rsidR="00005BD7">
        <w:rPr>
          <w:sz w:val="20"/>
          <w:szCs w:val="20"/>
        </w:rPr>
        <w:t>a</w:t>
      </w:r>
      <w:r>
        <w:rPr>
          <w:sz w:val="20"/>
          <w:szCs w:val="20"/>
        </w:rPr>
        <w:t xml:space="preserve"> </w:t>
      </w:r>
      <w:r>
        <w:rPr>
          <w:spacing w:val="-1"/>
          <w:sz w:val="20"/>
          <w:szCs w:val="20"/>
        </w:rPr>
        <w:t>r</w:t>
      </w:r>
      <w:r>
        <w:rPr>
          <w:spacing w:val="1"/>
          <w:sz w:val="20"/>
          <w:szCs w:val="20"/>
        </w:rPr>
        <w:t>e</w:t>
      </w:r>
      <w:r>
        <w:rPr>
          <w:spacing w:val="-1"/>
          <w:sz w:val="20"/>
          <w:szCs w:val="20"/>
        </w:rPr>
        <w:t>a</w:t>
      </w:r>
      <w:r>
        <w:rPr>
          <w:sz w:val="20"/>
          <w:szCs w:val="20"/>
        </w:rPr>
        <w:t>li</w:t>
      </w:r>
      <w:r>
        <w:rPr>
          <w:spacing w:val="1"/>
          <w:sz w:val="20"/>
          <w:szCs w:val="20"/>
        </w:rPr>
        <w:t>z</w:t>
      </w:r>
      <w:r>
        <w:rPr>
          <w:spacing w:val="-1"/>
          <w:sz w:val="20"/>
          <w:szCs w:val="20"/>
        </w:rPr>
        <w:t>açã</w:t>
      </w:r>
      <w:r>
        <w:rPr>
          <w:sz w:val="20"/>
          <w:szCs w:val="20"/>
        </w:rPr>
        <w:t>o,</w:t>
      </w:r>
      <w:r>
        <w:rPr>
          <w:spacing w:val="36"/>
          <w:sz w:val="20"/>
          <w:szCs w:val="20"/>
        </w:rPr>
        <w:t xml:space="preserve"> </w:t>
      </w:r>
      <w:r>
        <w:rPr>
          <w:sz w:val="20"/>
          <w:szCs w:val="20"/>
        </w:rPr>
        <w:t>p</w:t>
      </w:r>
      <w:r>
        <w:rPr>
          <w:spacing w:val="-1"/>
          <w:sz w:val="20"/>
          <w:szCs w:val="20"/>
        </w:rPr>
        <w:t>e</w:t>
      </w:r>
      <w:r>
        <w:rPr>
          <w:sz w:val="20"/>
          <w:szCs w:val="20"/>
        </w:rPr>
        <w:t>la</w:t>
      </w:r>
      <w:r>
        <w:rPr>
          <w:spacing w:val="33"/>
          <w:sz w:val="20"/>
          <w:szCs w:val="20"/>
        </w:rPr>
        <w:t xml:space="preserve"> </w:t>
      </w:r>
      <w:r>
        <w:rPr>
          <w:sz w:val="20"/>
          <w:szCs w:val="20"/>
        </w:rPr>
        <w:t>Emissora,</w:t>
      </w:r>
      <w:r>
        <w:rPr>
          <w:spacing w:val="36"/>
          <w:sz w:val="20"/>
          <w:szCs w:val="20"/>
        </w:rPr>
        <w:t xml:space="preserve"> </w:t>
      </w:r>
      <w:r>
        <w:rPr>
          <w:sz w:val="20"/>
          <w:szCs w:val="20"/>
        </w:rPr>
        <w:t xml:space="preserve">da Emissão e da Oferta Restrita, de acordo com os </w:t>
      </w:r>
      <w:r>
        <w:rPr>
          <w:sz w:val="20"/>
          <w:szCs w:val="20"/>
        </w:rPr>
        <w:lastRenderedPageBreak/>
        <w:t xml:space="preserve">seguintes termos e condições, a serem detalhados e regulados </w:t>
      </w:r>
      <w:r>
        <w:rPr>
          <w:spacing w:val="2"/>
          <w:sz w:val="20"/>
          <w:szCs w:val="20"/>
        </w:rPr>
        <w:t>p</w:t>
      </w:r>
      <w:r>
        <w:rPr>
          <w:sz w:val="20"/>
          <w:szCs w:val="20"/>
        </w:rPr>
        <w:t>or m</w:t>
      </w:r>
      <w:r>
        <w:rPr>
          <w:spacing w:val="-1"/>
          <w:sz w:val="20"/>
          <w:szCs w:val="20"/>
        </w:rPr>
        <w:t>e</w:t>
      </w:r>
      <w:r>
        <w:rPr>
          <w:sz w:val="20"/>
          <w:szCs w:val="20"/>
        </w:rPr>
        <w:t>io da</w:t>
      </w:r>
      <w:r>
        <w:rPr>
          <w:spacing w:val="2"/>
          <w:sz w:val="20"/>
          <w:szCs w:val="20"/>
        </w:rPr>
        <w:t xml:space="preserve"> </w:t>
      </w:r>
      <w:r>
        <w:rPr>
          <w:spacing w:val="-1"/>
          <w:sz w:val="20"/>
          <w:szCs w:val="20"/>
        </w:rPr>
        <w:t>ce</w:t>
      </w:r>
      <w:r>
        <w:rPr>
          <w:sz w:val="20"/>
          <w:szCs w:val="20"/>
        </w:rPr>
        <w:t>l</w:t>
      </w:r>
      <w:r>
        <w:rPr>
          <w:spacing w:val="-1"/>
          <w:sz w:val="20"/>
          <w:szCs w:val="20"/>
        </w:rPr>
        <w:t>e</w:t>
      </w:r>
      <w:r>
        <w:rPr>
          <w:spacing w:val="2"/>
          <w:sz w:val="20"/>
          <w:szCs w:val="20"/>
        </w:rPr>
        <w:t>b</w:t>
      </w:r>
      <w:r>
        <w:rPr>
          <w:spacing w:val="-1"/>
          <w:sz w:val="20"/>
          <w:szCs w:val="20"/>
        </w:rPr>
        <w:t>r</w:t>
      </w:r>
      <w:r>
        <w:rPr>
          <w:spacing w:val="1"/>
          <w:sz w:val="20"/>
          <w:szCs w:val="20"/>
        </w:rPr>
        <w:t>a</w:t>
      </w:r>
      <w:r>
        <w:rPr>
          <w:spacing w:val="-1"/>
          <w:sz w:val="20"/>
          <w:szCs w:val="20"/>
        </w:rPr>
        <w:t>çã</w:t>
      </w:r>
      <w:r>
        <w:rPr>
          <w:sz w:val="20"/>
          <w:szCs w:val="20"/>
        </w:rPr>
        <w:t>o do</w:t>
      </w:r>
      <w:r>
        <w:rPr>
          <w:spacing w:val="3"/>
          <w:sz w:val="20"/>
          <w:szCs w:val="20"/>
        </w:rPr>
        <w:t xml:space="preserve"> </w:t>
      </w:r>
      <w:r>
        <w:rPr>
          <w:spacing w:val="1"/>
          <w:sz w:val="20"/>
          <w:szCs w:val="20"/>
        </w:rPr>
        <w:t>“</w:t>
      </w:r>
      <w:r>
        <w:rPr>
          <w:i/>
          <w:spacing w:val="-5"/>
          <w:sz w:val="20"/>
          <w:szCs w:val="20"/>
        </w:rPr>
        <w:t>I</w:t>
      </w:r>
      <w:r>
        <w:rPr>
          <w:i/>
          <w:sz w:val="20"/>
          <w:szCs w:val="20"/>
        </w:rPr>
        <w:t>nst</w:t>
      </w:r>
      <w:r>
        <w:rPr>
          <w:i/>
          <w:spacing w:val="-1"/>
          <w:sz w:val="20"/>
          <w:szCs w:val="20"/>
        </w:rPr>
        <w:t>r</w:t>
      </w:r>
      <w:r>
        <w:rPr>
          <w:i/>
          <w:sz w:val="20"/>
          <w:szCs w:val="20"/>
        </w:rPr>
        <w:t>um</w:t>
      </w:r>
      <w:r>
        <w:rPr>
          <w:i/>
          <w:spacing w:val="-1"/>
          <w:sz w:val="20"/>
          <w:szCs w:val="20"/>
        </w:rPr>
        <w:t>e</w:t>
      </w:r>
      <w:r>
        <w:rPr>
          <w:i/>
          <w:sz w:val="20"/>
          <w:szCs w:val="20"/>
        </w:rPr>
        <w:t xml:space="preserve">nto </w:t>
      </w:r>
      <w:r>
        <w:rPr>
          <w:i/>
          <w:spacing w:val="1"/>
          <w:sz w:val="20"/>
          <w:szCs w:val="20"/>
        </w:rPr>
        <w:t>Pa</w:t>
      </w:r>
      <w:r>
        <w:rPr>
          <w:i/>
          <w:spacing w:val="-1"/>
          <w:sz w:val="20"/>
          <w:szCs w:val="20"/>
        </w:rPr>
        <w:t>r</w:t>
      </w:r>
      <w:r>
        <w:rPr>
          <w:i/>
          <w:sz w:val="20"/>
          <w:szCs w:val="20"/>
        </w:rPr>
        <w:t>ti</w:t>
      </w:r>
      <w:r>
        <w:rPr>
          <w:i/>
          <w:spacing w:val="-1"/>
          <w:sz w:val="20"/>
          <w:szCs w:val="20"/>
        </w:rPr>
        <w:t>c</w:t>
      </w:r>
      <w:r>
        <w:rPr>
          <w:i/>
          <w:sz w:val="20"/>
          <w:szCs w:val="20"/>
        </w:rPr>
        <w:t>ul</w:t>
      </w:r>
      <w:r>
        <w:rPr>
          <w:i/>
          <w:spacing w:val="-1"/>
          <w:sz w:val="20"/>
          <w:szCs w:val="20"/>
        </w:rPr>
        <w:t>a</w:t>
      </w:r>
      <w:r>
        <w:rPr>
          <w:i/>
          <w:sz w:val="20"/>
          <w:szCs w:val="20"/>
        </w:rPr>
        <w:t>r</w:t>
      </w:r>
      <w:r>
        <w:rPr>
          <w:i/>
          <w:spacing w:val="1"/>
          <w:sz w:val="20"/>
          <w:szCs w:val="20"/>
        </w:rPr>
        <w:t xml:space="preserve"> </w:t>
      </w:r>
      <w:r>
        <w:rPr>
          <w:i/>
          <w:sz w:val="20"/>
          <w:szCs w:val="20"/>
        </w:rPr>
        <w:t xml:space="preserve">de </w:t>
      </w:r>
      <w:r>
        <w:rPr>
          <w:i/>
          <w:spacing w:val="-1"/>
          <w:sz w:val="20"/>
          <w:szCs w:val="20"/>
        </w:rPr>
        <w:t>E</w:t>
      </w:r>
      <w:r>
        <w:rPr>
          <w:i/>
          <w:sz w:val="20"/>
          <w:szCs w:val="20"/>
        </w:rPr>
        <w:t>s</w:t>
      </w:r>
      <w:r>
        <w:rPr>
          <w:i/>
          <w:spacing w:val="-1"/>
          <w:sz w:val="20"/>
          <w:szCs w:val="20"/>
        </w:rPr>
        <w:t>cr</w:t>
      </w:r>
      <w:r>
        <w:rPr>
          <w:i/>
          <w:sz w:val="20"/>
          <w:szCs w:val="20"/>
        </w:rPr>
        <w:t>itu</w:t>
      </w:r>
      <w:r>
        <w:rPr>
          <w:i/>
          <w:spacing w:val="1"/>
          <w:sz w:val="20"/>
          <w:szCs w:val="20"/>
        </w:rPr>
        <w:t>r</w:t>
      </w:r>
      <w:r>
        <w:rPr>
          <w:i/>
          <w:sz w:val="20"/>
          <w:szCs w:val="20"/>
        </w:rPr>
        <w:t xml:space="preserve">a </w:t>
      </w:r>
      <w:r>
        <w:rPr>
          <w:i/>
          <w:spacing w:val="2"/>
          <w:sz w:val="20"/>
          <w:szCs w:val="20"/>
        </w:rPr>
        <w:t>d</w:t>
      </w:r>
      <w:r>
        <w:rPr>
          <w:i/>
          <w:sz w:val="20"/>
          <w:szCs w:val="20"/>
        </w:rPr>
        <w:t>a 1ª</w:t>
      </w:r>
      <w:r>
        <w:rPr>
          <w:i/>
          <w:spacing w:val="39"/>
          <w:sz w:val="20"/>
          <w:szCs w:val="20"/>
        </w:rPr>
        <w:t xml:space="preserve"> </w:t>
      </w:r>
      <w:r>
        <w:rPr>
          <w:i/>
          <w:spacing w:val="-1"/>
          <w:sz w:val="20"/>
          <w:szCs w:val="20"/>
        </w:rPr>
        <w:t>(</w:t>
      </w:r>
      <w:r>
        <w:rPr>
          <w:i/>
          <w:spacing w:val="1"/>
          <w:sz w:val="20"/>
          <w:szCs w:val="20"/>
        </w:rPr>
        <w:t>Primeira</w:t>
      </w:r>
      <w:r>
        <w:rPr>
          <w:i/>
          <w:sz w:val="20"/>
          <w:szCs w:val="20"/>
        </w:rPr>
        <w:t>)</w:t>
      </w:r>
      <w:r>
        <w:rPr>
          <w:i/>
          <w:spacing w:val="38"/>
          <w:sz w:val="20"/>
          <w:szCs w:val="20"/>
        </w:rPr>
        <w:t xml:space="preserve"> </w:t>
      </w:r>
      <w:r>
        <w:rPr>
          <w:i/>
          <w:spacing w:val="-1"/>
          <w:sz w:val="20"/>
          <w:szCs w:val="20"/>
        </w:rPr>
        <w:t>E</w:t>
      </w:r>
      <w:r>
        <w:rPr>
          <w:i/>
          <w:sz w:val="20"/>
          <w:szCs w:val="20"/>
        </w:rPr>
        <w:t>miss</w:t>
      </w:r>
      <w:r>
        <w:rPr>
          <w:i/>
          <w:spacing w:val="-1"/>
          <w:sz w:val="20"/>
          <w:szCs w:val="20"/>
        </w:rPr>
        <w:t>ã</w:t>
      </w:r>
      <w:r>
        <w:rPr>
          <w:i/>
          <w:sz w:val="20"/>
          <w:szCs w:val="20"/>
        </w:rPr>
        <w:t>o</w:t>
      </w:r>
      <w:r>
        <w:rPr>
          <w:i/>
          <w:spacing w:val="39"/>
          <w:sz w:val="20"/>
          <w:szCs w:val="20"/>
        </w:rPr>
        <w:t xml:space="preserve"> </w:t>
      </w:r>
      <w:r>
        <w:rPr>
          <w:i/>
          <w:sz w:val="20"/>
          <w:szCs w:val="20"/>
        </w:rPr>
        <w:t xml:space="preserve">de Debêntures Simples, </w:t>
      </w:r>
      <w:r>
        <w:rPr>
          <w:i/>
          <w:spacing w:val="-1"/>
          <w:sz w:val="20"/>
          <w:szCs w:val="20"/>
        </w:rPr>
        <w:t>Nã</w:t>
      </w:r>
      <w:r>
        <w:rPr>
          <w:i/>
          <w:sz w:val="20"/>
          <w:szCs w:val="20"/>
        </w:rPr>
        <w:t>o</w:t>
      </w:r>
      <w:r>
        <w:rPr>
          <w:i/>
          <w:spacing w:val="38"/>
          <w:sz w:val="20"/>
          <w:szCs w:val="20"/>
        </w:rPr>
        <w:t xml:space="preserve"> </w:t>
      </w:r>
      <w:r>
        <w:rPr>
          <w:i/>
          <w:sz w:val="20"/>
          <w:szCs w:val="20"/>
        </w:rPr>
        <w:t>Conv</w:t>
      </w:r>
      <w:r>
        <w:rPr>
          <w:i/>
          <w:spacing w:val="-1"/>
          <w:sz w:val="20"/>
          <w:szCs w:val="20"/>
        </w:rPr>
        <w:t>er</w:t>
      </w:r>
      <w:r>
        <w:rPr>
          <w:i/>
          <w:sz w:val="20"/>
          <w:szCs w:val="20"/>
        </w:rPr>
        <w:t>sív</w:t>
      </w:r>
      <w:r>
        <w:rPr>
          <w:i/>
          <w:spacing w:val="-1"/>
          <w:sz w:val="20"/>
          <w:szCs w:val="20"/>
        </w:rPr>
        <w:t>e</w:t>
      </w:r>
      <w:r>
        <w:rPr>
          <w:i/>
          <w:sz w:val="20"/>
          <w:szCs w:val="20"/>
        </w:rPr>
        <w:t>is</w:t>
      </w:r>
      <w:r>
        <w:rPr>
          <w:i/>
          <w:spacing w:val="39"/>
          <w:sz w:val="20"/>
          <w:szCs w:val="20"/>
        </w:rPr>
        <w:t xml:space="preserve"> </w:t>
      </w:r>
      <w:r>
        <w:rPr>
          <w:i/>
          <w:spacing w:val="-1"/>
          <w:sz w:val="20"/>
          <w:szCs w:val="20"/>
        </w:rPr>
        <w:t>e</w:t>
      </w:r>
      <w:r>
        <w:rPr>
          <w:i/>
          <w:sz w:val="20"/>
          <w:szCs w:val="20"/>
        </w:rPr>
        <w:t>m</w:t>
      </w:r>
      <w:r>
        <w:rPr>
          <w:i/>
          <w:spacing w:val="40"/>
          <w:sz w:val="20"/>
          <w:szCs w:val="20"/>
        </w:rPr>
        <w:t xml:space="preserve"> </w:t>
      </w:r>
      <w:r>
        <w:rPr>
          <w:i/>
          <w:spacing w:val="2"/>
          <w:sz w:val="20"/>
          <w:szCs w:val="20"/>
        </w:rPr>
        <w:t>A</w:t>
      </w:r>
      <w:r>
        <w:rPr>
          <w:i/>
          <w:spacing w:val="-1"/>
          <w:sz w:val="20"/>
          <w:szCs w:val="20"/>
        </w:rPr>
        <w:t>ç</w:t>
      </w:r>
      <w:r>
        <w:rPr>
          <w:i/>
          <w:sz w:val="20"/>
          <w:szCs w:val="20"/>
        </w:rPr>
        <w:t>õ</w:t>
      </w:r>
      <w:r>
        <w:rPr>
          <w:i/>
          <w:spacing w:val="-1"/>
          <w:sz w:val="20"/>
          <w:szCs w:val="20"/>
        </w:rPr>
        <w:t>e</w:t>
      </w:r>
      <w:r>
        <w:rPr>
          <w:i/>
          <w:sz w:val="20"/>
          <w:szCs w:val="20"/>
        </w:rPr>
        <w:t xml:space="preserve">s, da </w:t>
      </w:r>
      <w:r w:rsidR="00FA2DF8">
        <w:rPr>
          <w:i/>
          <w:sz w:val="20"/>
          <w:szCs w:val="20"/>
        </w:rPr>
        <w:t>Espécie</w:t>
      </w:r>
      <w:r w:rsidR="001A26B8">
        <w:rPr>
          <w:i/>
          <w:sz w:val="20"/>
          <w:szCs w:val="20"/>
        </w:rPr>
        <w:t xml:space="preserve"> Subordinada</w:t>
      </w:r>
      <w:r>
        <w:rPr>
          <w:i/>
          <w:sz w:val="20"/>
          <w:szCs w:val="20"/>
        </w:rPr>
        <w:t xml:space="preserve">, em </w:t>
      </w:r>
      <w:r w:rsidR="008668C7">
        <w:rPr>
          <w:i/>
          <w:sz w:val="20"/>
          <w:szCs w:val="20"/>
        </w:rPr>
        <w:t>Duas Séries</w:t>
      </w:r>
      <w:r>
        <w:rPr>
          <w:i/>
          <w:sz w:val="20"/>
          <w:szCs w:val="20"/>
        </w:rPr>
        <w:t xml:space="preserve">, para Distribuição Pública com Esforços Restritos, da Companhia Securitizadora de Créditos Financeiros </w:t>
      </w:r>
      <w:r w:rsidR="00FA2DF8">
        <w:rPr>
          <w:i/>
          <w:sz w:val="20"/>
          <w:szCs w:val="20"/>
        </w:rPr>
        <w:t>VERT</w:t>
      </w:r>
      <w:r>
        <w:rPr>
          <w:i/>
          <w:sz w:val="20"/>
          <w:szCs w:val="20"/>
        </w:rPr>
        <w:t>-</w:t>
      </w:r>
      <w:r w:rsidR="001A26B8">
        <w:rPr>
          <w:i/>
          <w:sz w:val="20"/>
          <w:szCs w:val="20"/>
        </w:rPr>
        <w:t>Gyra</w:t>
      </w:r>
      <w:r>
        <w:rPr>
          <w:sz w:val="20"/>
          <w:szCs w:val="20"/>
        </w:rPr>
        <w:t>”</w:t>
      </w:r>
      <w:r>
        <w:rPr>
          <w:spacing w:val="-9"/>
          <w:sz w:val="20"/>
          <w:szCs w:val="20"/>
        </w:rPr>
        <w:t xml:space="preserve"> </w:t>
      </w:r>
      <w:r>
        <w:rPr>
          <w:spacing w:val="-1"/>
          <w:sz w:val="20"/>
          <w:szCs w:val="20"/>
        </w:rPr>
        <w:t>(“</w:t>
      </w:r>
      <w:r>
        <w:rPr>
          <w:spacing w:val="-1"/>
          <w:sz w:val="20"/>
          <w:szCs w:val="20"/>
          <w:u w:val="single" w:color="000000"/>
        </w:rPr>
        <w:t>E</w:t>
      </w:r>
      <w:r>
        <w:rPr>
          <w:spacing w:val="2"/>
          <w:sz w:val="20"/>
          <w:szCs w:val="20"/>
          <w:u w:val="single" w:color="000000"/>
        </w:rPr>
        <w:t>s</w:t>
      </w:r>
      <w:r>
        <w:rPr>
          <w:spacing w:val="-1"/>
          <w:sz w:val="20"/>
          <w:szCs w:val="20"/>
          <w:u w:val="single" w:color="000000"/>
        </w:rPr>
        <w:t>cr</w:t>
      </w:r>
      <w:r>
        <w:rPr>
          <w:sz w:val="20"/>
          <w:szCs w:val="20"/>
          <w:u w:val="single" w:color="000000"/>
        </w:rPr>
        <w:t>itu</w:t>
      </w:r>
      <w:r>
        <w:rPr>
          <w:spacing w:val="-1"/>
          <w:sz w:val="20"/>
          <w:szCs w:val="20"/>
          <w:u w:val="single" w:color="000000"/>
        </w:rPr>
        <w:t>r</w:t>
      </w:r>
      <w:r>
        <w:rPr>
          <w:sz w:val="20"/>
          <w:szCs w:val="20"/>
          <w:u w:val="single" w:color="000000"/>
        </w:rPr>
        <w:t>a</w:t>
      </w:r>
      <w:r>
        <w:rPr>
          <w:spacing w:val="-9"/>
          <w:sz w:val="20"/>
          <w:szCs w:val="20"/>
          <w:u w:val="single" w:color="000000"/>
        </w:rPr>
        <w:t xml:space="preserve"> </w:t>
      </w:r>
      <w:r>
        <w:rPr>
          <w:spacing w:val="2"/>
          <w:sz w:val="20"/>
          <w:szCs w:val="20"/>
          <w:u w:val="single" w:color="000000"/>
        </w:rPr>
        <w:t>d</w:t>
      </w:r>
      <w:r>
        <w:rPr>
          <w:sz w:val="20"/>
          <w:szCs w:val="20"/>
          <w:u w:val="single" w:color="000000"/>
        </w:rPr>
        <w:t>e</w:t>
      </w:r>
      <w:r>
        <w:rPr>
          <w:spacing w:val="-10"/>
          <w:sz w:val="20"/>
          <w:szCs w:val="20"/>
          <w:u w:val="single" w:color="000000"/>
        </w:rPr>
        <w:t xml:space="preserve"> </w:t>
      </w:r>
      <w:r>
        <w:rPr>
          <w:spacing w:val="-1"/>
          <w:sz w:val="20"/>
          <w:szCs w:val="20"/>
          <w:u w:val="single" w:color="000000"/>
        </w:rPr>
        <w:t>E</w:t>
      </w:r>
      <w:r>
        <w:rPr>
          <w:sz w:val="20"/>
          <w:szCs w:val="20"/>
          <w:u w:val="single" w:color="000000"/>
        </w:rPr>
        <w:t>miss</w:t>
      </w:r>
      <w:r>
        <w:rPr>
          <w:spacing w:val="-1"/>
          <w:sz w:val="20"/>
          <w:szCs w:val="20"/>
          <w:u w:val="single" w:color="000000"/>
        </w:rPr>
        <w:t>ã</w:t>
      </w:r>
      <w:r>
        <w:rPr>
          <w:sz w:val="20"/>
          <w:szCs w:val="20"/>
          <w:u w:val="single" w:color="000000"/>
        </w:rPr>
        <w:t>o</w:t>
      </w:r>
      <w:r>
        <w:rPr>
          <w:spacing w:val="-1"/>
          <w:sz w:val="20"/>
          <w:szCs w:val="20"/>
        </w:rPr>
        <w:t>”), a ser celebrada entre a Emissora e</w:t>
      </w:r>
      <w:r w:rsidR="001A26B8">
        <w:rPr>
          <w:spacing w:val="-1"/>
          <w:sz w:val="20"/>
          <w:szCs w:val="20"/>
        </w:rPr>
        <w:t xml:space="preserve"> a </w:t>
      </w:r>
      <w:r w:rsidR="001A26B8" w:rsidRPr="00317C19">
        <w:rPr>
          <w:b/>
          <w:spacing w:val="-1"/>
          <w:sz w:val="20"/>
          <w:szCs w:val="20"/>
        </w:rPr>
        <w:t>SIMPLIFIC PAVARINI DISTRIBUIDORA DE TÍTULOS E VALORES MOBILIÁRIOS LTDA.</w:t>
      </w:r>
      <w:r w:rsidR="001A26B8">
        <w:rPr>
          <w:spacing w:val="-1"/>
          <w:sz w:val="20"/>
          <w:szCs w:val="20"/>
        </w:rPr>
        <w:t>, sociedade empresária limitada com filial na Cidade de São Paulo, Estado de São Paulo</w:t>
      </w:r>
      <w:r w:rsidR="00317C19">
        <w:rPr>
          <w:sz w:val="20"/>
          <w:szCs w:val="20"/>
        </w:rPr>
        <w:t xml:space="preserve">, </w:t>
      </w:r>
      <w:r>
        <w:rPr>
          <w:sz w:val="20"/>
          <w:szCs w:val="20"/>
        </w:rPr>
        <w:t xml:space="preserve">na Rua Joaquim Floriano, </w:t>
      </w:r>
      <w:r w:rsidR="00317C19">
        <w:rPr>
          <w:sz w:val="20"/>
          <w:szCs w:val="20"/>
        </w:rPr>
        <w:t>n° 446, Blo</w:t>
      </w:r>
      <w:r w:rsidR="009F5BA9">
        <w:rPr>
          <w:sz w:val="20"/>
          <w:szCs w:val="20"/>
        </w:rPr>
        <w:t>c</w:t>
      </w:r>
      <w:r w:rsidR="00317C19">
        <w:rPr>
          <w:sz w:val="20"/>
          <w:szCs w:val="20"/>
        </w:rPr>
        <w:t>o B, sala 1401, Itaim Bibi, CEP 04534-002</w:t>
      </w:r>
      <w:r>
        <w:rPr>
          <w:sz w:val="20"/>
          <w:szCs w:val="20"/>
        </w:rPr>
        <w:t>,</w:t>
      </w:r>
      <w:r w:rsidR="00317C19">
        <w:rPr>
          <w:sz w:val="20"/>
          <w:szCs w:val="20"/>
        </w:rPr>
        <w:t xml:space="preserve"> </w:t>
      </w:r>
      <w:r>
        <w:rPr>
          <w:sz w:val="20"/>
          <w:szCs w:val="20"/>
        </w:rPr>
        <w:t xml:space="preserve">inscrita no CNPJ/MF sob o nº </w:t>
      </w:r>
      <w:r w:rsidR="00317C19">
        <w:rPr>
          <w:sz w:val="20"/>
          <w:szCs w:val="20"/>
        </w:rPr>
        <w:t>15.227.994/0004-01</w:t>
      </w:r>
      <w:r>
        <w:rPr>
          <w:sz w:val="20"/>
          <w:szCs w:val="20"/>
        </w:rPr>
        <w:t xml:space="preserve"> (“</w:t>
      </w:r>
      <w:r>
        <w:rPr>
          <w:sz w:val="20"/>
          <w:szCs w:val="20"/>
          <w:u w:val="single"/>
        </w:rPr>
        <w:t>Agente Fiduciário</w:t>
      </w:r>
      <w:r>
        <w:rPr>
          <w:sz w:val="20"/>
          <w:szCs w:val="20"/>
        </w:rPr>
        <w:t>”)</w:t>
      </w:r>
      <w:r>
        <w:rPr>
          <w:spacing w:val="-1"/>
          <w:sz w:val="20"/>
          <w:szCs w:val="20"/>
        </w:rPr>
        <w:t>, representando a comunhão dos titulares das Debêntures (“</w:t>
      </w:r>
      <w:r>
        <w:rPr>
          <w:spacing w:val="-1"/>
          <w:sz w:val="20"/>
          <w:szCs w:val="20"/>
          <w:u w:val="single"/>
        </w:rPr>
        <w:t>Debenturistas</w:t>
      </w:r>
      <w:r>
        <w:rPr>
          <w:spacing w:val="-1"/>
          <w:sz w:val="20"/>
          <w:szCs w:val="20"/>
        </w:rPr>
        <w:t>”)</w:t>
      </w:r>
      <w:r>
        <w:rPr>
          <w:sz w:val="20"/>
          <w:szCs w:val="20"/>
        </w:rPr>
        <w:t>:</w:t>
      </w:r>
    </w:p>
    <w:p w:rsidR="005F4D2F" w:rsidRDefault="005F4D2F" w:rsidP="00027740">
      <w:pPr>
        <w:autoSpaceDE w:val="0"/>
        <w:autoSpaceDN w:val="0"/>
        <w:adjustRightInd w:val="0"/>
        <w:snapToGrid w:val="0"/>
        <w:spacing w:line="340" w:lineRule="exact"/>
        <w:rPr>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bookmarkStart w:id="0" w:name="_DV_M48"/>
      <w:bookmarkEnd w:id="0"/>
      <w:r>
        <w:rPr>
          <w:rFonts w:cs="Arial"/>
          <w:color w:val="000000"/>
          <w:sz w:val="20"/>
          <w:szCs w:val="20"/>
          <w:u w:val="single"/>
        </w:rPr>
        <w:t>Número da Emissão</w:t>
      </w:r>
      <w:r>
        <w:rPr>
          <w:rFonts w:cs="Arial"/>
          <w:color w:val="000000"/>
          <w:sz w:val="20"/>
          <w:szCs w:val="20"/>
        </w:rPr>
        <w:t>:</w:t>
      </w:r>
      <w:r>
        <w:rPr>
          <w:rFonts w:cs="Arial"/>
          <w:b/>
          <w:color w:val="000000"/>
          <w:sz w:val="20"/>
          <w:szCs w:val="20"/>
        </w:rPr>
        <w:t xml:space="preserve"> </w:t>
      </w:r>
      <w:r>
        <w:rPr>
          <w:rFonts w:cs="Arial"/>
          <w:color w:val="000000"/>
          <w:sz w:val="20"/>
          <w:szCs w:val="20"/>
        </w:rPr>
        <w:t>A Emissão constituí a 1ª (primeira) emissão de debêntures da Emissora.</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bookmarkStart w:id="1" w:name="_DV_M49"/>
      <w:bookmarkEnd w:id="1"/>
      <w:r>
        <w:rPr>
          <w:rFonts w:cs="Arial"/>
          <w:color w:val="000000"/>
          <w:sz w:val="20"/>
          <w:szCs w:val="20"/>
          <w:u w:val="single"/>
        </w:rPr>
        <w:t>Valor Total da Emissão</w:t>
      </w:r>
      <w:r>
        <w:rPr>
          <w:rFonts w:cs="Arial"/>
          <w:color w:val="000000"/>
          <w:sz w:val="20"/>
          <w:szCs w:val="20"/>
        </w:rPr>
        <w:t xml:space="preserve">: </w:t>
      </w:r>
      <w:bookmarkStart w:id="2" w:name="_DV_M50"/>
      <w:bookmarkStart w:id="3" w:name="_DV_C40"/>
      <w:bookmarkEnd w:id="2"/>
      <w:r>
        <w:rPr>
          <w:sz w:val="20"/>
          <w:szCs w:val="20"/>
        </w:rPr>
        <w:t>O valor total da Emissão será de R$</w:t>
      </w:r>
      <w:r w:rsidR="00CA32FD">
        <w:rPr>
          <w:sz w:val="20"/>
          <w:szCs w:val="20"/>
        </w:rPr>
        <w:t>15.000.000,00</w:t>
      </w:r>
      <w:r>
        <w:rPr>
          <w:sz w:val="20"/>
          <w:szCs w:val="20"/>
        </w:rPr>
        <w:t xml:space="preserve"> (</w:t>
      </w:r>
      <w:r w:rsidR="00CA32FD">
        <w:rPr>
          <w:sz w:val="20"/>
          <w:szCs w:val="20"/>
        </w:rPr>
        <w:t>quinze</w:t>
      </w:r>
      <w:r w:rsidR="00317C19">
        <w:rPr>
          <w:sz w:val="20"/>
          <w:szCs w:val="20"/>
        </w:rPr>
        <w:t xml:space="preserve"> milhões de reais</w:t>
      </w:r>
      <w:r>
        <w:rPr>
          <w:sz w:val="20"/>
          <w:szCs w:val="20"/>
        </w:rPr>
        <w:t>), na Data de Emissão (conforme definido abaixo) (“</w:t>
      </w:r>
      <w:r>
        <w:rPr>
          <w:sz w:val="20"/>
          <w:szCs w:val="20"/>
          <w:u w:val="single"/>
        </w:rPr>
        <w:t>Valor Total da Emissão</w:t>
      </w:r>
      <w:r>
        <w:rPr>
          <w:sz w:val="20"/>
          <w:szCs w:val="20"/>
        </w:rPr>
        <w:t>”).</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050F74" w:rsidRPr="00050F74" w:rsidRDefault="00FB6938" w:rsidP="00027740">
      <w:pPr>
        <w:pStyle w:val="PargrafodaLista"/>
        <w:numPr>
          <w:ilvl w:val="0"/>
          <w:numId w:val="5"/>
        </w:numPr>
        <w:autoSpaceDE w:val="0"/>
        <w:autoSpaceDN w:val="0"/>
        <w:adjustRightInd w:val="0"/>
        <w:spacing w:line="340" w:lineRule="exact"/>
        <w:ind w:left="567" w:hanging="567"/>
        <w:rPr>
          <w:rFonts w:eastAsia="MS Mincho" w:cs="Tahoma"/>
          <w:sz w:val="20"/>
          <w:szCs w:val="20"/>
        </w:rPr>
      </w:pPr>
      <w:bookmarkStart w:id="4" w:name="_DV_M51"/>
      <w:bookmarkStart w:id="5" w:name="_DV_M52"/>
      <w:bookmarkEnd w:id="3"/>
      <w:bookmarkEnd w:id="4"/>
      <w:bookmarkEnd w:id="5"/>
      <w:r w:rsidRPr="00050F74">
        <w:rPr>
          <w:rFonts w:cs="Arial"/>
          <w:color w:val="000000"/>
          <w:sz w:val="20"/>
          <w:szCs w:val="20"/>
          <w:u w:val="single"/>
        </w:rPr>
        <w:t>Quantidade de Debêntures</w:t>
      </w:r>
      <w:r w:rsidRPr="00050F74">
        <w:rPr>
          <w:rFonts w:cs="Arial"/>
          <w:color w:val="000000"/>
          <w:sz w:val="20"/>
          <w:szCs w:val="20"/>
        </w:rPr>
        <w:t xml:space="preserve">: </w:t>
      </w:r>
      <w:bookmarkStart w:id="6" w:name="_Ref495596607"/>
      <w:r w:rsidR="00050F74" w:rsidRPr="00050F74">
        <w:rPr>
          <w:rFonts w:eastAsia="MS Mincho" w:cs="Tahoma"/>
          <w:sz w:val="20"/>
          <w:szCs w:val="20"/>
        </w:rPr>
        <w:t xml:space="preserve">Serão emitidas </w:t>
      </w:r>
      <w:r w:rsidR="00CA32FD">
        <w:rPr>
          <w:sz w:val="20"/>
          <w:szCs w:val="20"/>
        </w:rPr>
        <w:t>15.000</w:t>
      </w:r>
      <w:r w:rsidR="00050F74" w:rsidRPr="00050F74">
        <w:rPr>
          <w:rFonts w:eastAsia="MS Mincho" w:cs="Tahoma"/>
          <w:sz w:val="20"/>
          <w:szCs w:val="20"/>
        </w:rPr>
        <w:t xml:space="preserve"> (</w:t>
      </w:r>
      <w:r w:rsidR="00CA32FD">
        <w:rPr>
          <w:sz w:val="20"/>
          <w:szCs w:val="20"/>
        </w:rPr>
        <w:t>quinze</w:t>
      </w:r>
      <w:r w:rsidR="00050F74" w:rsidRPr="00050F74">
        <w:rPr>
          <w:rFonts w:eastAsia="MS Mincho" w:cs="Tahoma"/>
          <w:sz w:val="20"/>
          <w:szCs w:val="20"/>
        </w:rPr>
        <w:t xml:space="preserve"> mil) Debêntures no âmbito da Emissão, sendo </w:t>
      </w:r>
      <w:r w:rsidR="00CA32FD">
        <w:rPr>
          <w:sz w:val="20"/>
          <w:szCs w:val="20"/>
        </w:rPr>
        <w:t>12.000</w:t>
      </w:r>
      <w:r w:rsidR="00050F74" w:rsidRPr="00050F74">
        <w:rPr>
          <w:rFonts w:eastAsia="MS Mincho" w:cs="Tahoma"/>
          <w:sz w:val="20"/>
          <w:szCs w:val="20"/>
        </w:rPr>
        <w:t xml:space="preserve"> (</w:t>
      </w:r>
      <w:r w:rsidR="00CA32FD">
        <w:rPr>
          <w:sz w:val="20"/>
          <w:szCs w:val="20"/>
        </w:rPr>
        <w:t>doze mil</w:t>
      </w:r>
      <w:r w:rsidR="00050F74" w:rsidRPr="00050F74">
        <w:rPr>
          <w:rFonts w:eastAsia="MS Mincho" w:cs="Tahoma"/>
          <w:sz w:val="20"/>
          <w:szCs w:val="20"/>
        </w:rPr>
        <w:t xml:space="preserve">) integrantes da primeira série (“Primeira Série” e “Debêntures da Primeira Série”) e </w:t>
      </w:r>
      <w:r w:rsidR="00CA32FD">
        <w:rPr>
          <w:sz w:val="20"/>
          <w:szCs w:val="20"/>
        </w:rPr>
        <w:t>3.000</w:t>
      </w:r>
      <w:r w:rsidR="00050F74" w:rsidRPr="00050F74">
        <w:rPr>
          <w:rFonts w:eastAsia="MS Mincho" w:cs="Tahoma"/>
          <w:sz w:val="20"/>
          <w:szCs w:val="20"/>
        </w:rPr>
        <w:t xml:space="preserve"> (</w:t>
      </w:r>
      <w:r w:rsidR="00CA32FD">
        <w:rPr>
          <w:sz w:val="20"/>
          <w:szCs w:val="20"/>
        </w:rPr>
        <w:t>três mil</w:t>
      </w:r>
      <w:r w:rsidR="00050F74" w:rsidRPr="00050F74">
        <w:rPr>
          <w:rFonts w:eastAsia="MS Mincho" w:cs="Tahoma"/>
          <w:sz w:val="20"/>
          <w:szCs w:val="20"/>
        </w:rPr>
        <w:t>) integrantes da segunda série (“</w:t>
      </w:r>
      <w:r w:rsidR="00050F74" w:rsidRPr="00356C59">
        <w:rPr>
          <w:rFonts w:eastAsia="MS Mincho" w:cs="Tahoma"/>
          <w:sz w:val="20"/>
          <w:szCs w:val="20"/>
          <w:u w:val="single"/>
        </w:rPr>
        <w:t>Segunda Série</w:t>
      </w:r>
      <w:r w:rsidR="00050F74" w:rsidRPr="00050F74">
        <w:rPr>
          <w:rFonts w:eastAsia="MS Mincho" w:cs="Tahoma"/>
          <w:sz w:val="20"/>
          <w:szCs w:val="20"/>
        </w:rPr>
        <w:t>” e, em conjunto com Primeira Série, “</w:t>
      </w:r>
      <w:r w:rsidR="00050F74" w:rsidRPr="00356C59">
        <w:rPr>
          <w:rFonts w:eastAsia="MS Mincho" w:cs="Tahoma"/>
          <w:sz w:val="20"/>
          <w:szCs w:val="20"/>
          <w:u w:val="single"/>
        </w:rPr>
        <w:t>Séries</w:t>
      </w:r>
      <w:r w:rsidR="00050F74" w:rsidRPr="00050F74">
        <w:rPr>
          <w:rFonts w:eastAsia="MS Mincho" w:cs="Tahoma"/>
          <w:sz w:val="20"/>
          <w:szCs w:val="20"/>
        </w:rPr>
        <w:t>”, e “</w:t>
      </w:r>
      <w:r w:rsidR="00050F74" w:rsidRPr="00356C59">
        <w:rPr>
          <w:rFonts w:eastAsia="MS Mincho" w:cs="Tahoma"/>
          <w:sz w:val="20"/>
          <w:szCs w:val="20"/>
          <w:u w:val="single"/>
        </w:rPr>
        <w:t>Debêntures da Segunda Série</w:t>
      </w:r>
      <w:r w:rsidR="00050F74" w:rsidRPr="00050F74">
        <w:rPr>
          <w:rFonts w:eastAsia="MS Mincho" w:cs="Tahoma"/>
          <w:sz w:val="20"/>
          <w:szCs w:val="20"/>
        </w:rPr>
        <w:t xml:space="preserve">”). </w:t>
      </w:r>
    </w:p>
    <w:bookmarkEnd w:id="6"/>
    <w:p w:rsidR="005F4D2F" w:rsidRDefault="005F4D2F" w:rsidP="00027740">
      <w:pPr>
        <w:pStyle w:val="PargrafodaLista"/>
        <w:autoSpaceDE w:val="0"/>
        <w:autoSpaceDN w:val="0"/>
        <w:adjustRightInd w:val="0"/>
        <w:spacing w:line="340" w:lineRule="exact"/>
        <w:ind w:left="567" w:hanging="567"/>
        <w:rPr>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u w:val="single"/>
        </w:rPr>
      </w:pPr>
      <w:r>
        <w:rPr>
          <w:rFonts w:cs="Arial"/>
          <w:color w:val="000000"/>
          <w:sz w:val="20"/>
          <w:szCs w:val="20"/>
          <w:u w:val="single"/>
        </w:rPr>
        <w:t>Número de Séries</w:t>
      </w:r>
      <w:bookmarkStart w:id="7" w:name="_DV_M53"/>
      <w:bookmarkEnd w:id="7"/>
      <w:r>
        <w:rPr>
          <w:rFonts w:cs="Arial"/>
          <w:color w:val="000000"/>
          <w:sz w:val="20"/>
          <w:szCs w:val="20"/>
        </w:rPr>
        <w:t xml:space="preserve">: A Emissão será realizada em </w:t>
      </w:r>
      <w:r w:rsidR="008668C7">
        <w:rPr>
          <w:rFonts w:cs="Arial"/>
          <w:color w:val="000000"/>
          <w:sz w:val="20"/>
          <w:szCs w:val="20"/>
        </w:rPr>
        <w:t>duas séries</w:t>
      </w:r>
      <w:r w:rsidR="00317C19">
        <w:rPr>
          <w:rFonts w:cs="Arial"/>
          <w:color w:val="000000"/>
          <w:sz w:val="20"/>
          <w:szCs w:val="20"/>
        </w:rPr>
        <w:t>.</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u w:val="single"/>
        </w:rPr>
      </w:pPr>
    </w:p>
    <w:p w:rsidR="005F4D2F" w:rsidRPr="00317C19"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u w:val="single"/>
        </w:rPr>
      </w:pPr>
      <w:r w:rsidRPr="00317C19">
        <w:rPr>
          <w:rFonts w:cs="Arial"/>
          <w:color w:val="000000"/>
          <w:sz w:val="20"/>
          <w:szCs w:val="20"/>
          <w:u w:val="single"/>
        </w:rPr>
        <w:t>Destinação dos Recursos</w:t>
      </w:r>
      <w:r w:rsidRPr="00317C19">
        <w:rPr>
          <w:rFonts w:cs="Arial"/>
          <w:color w:val="000000"/>
          <w:sz w:val="20"/>
          <w:szCs w:val="20"/>
        </w:rPr>
        <w:t xml:space="preserve">: </w:t>
      </w:r>
      <w:r w:rsidR="00317C19" w:rsidRPr="00317C19">
        <w:rPr>
          <w:rFonts w:cs="Arial"/>
          <w:color w:val="000000"/>
          <w:sz w:val="20"/>
          <w:szCs w:val="20"/>
        </w:rPr>
        <w:t>Os recursos obtidos pela Emissora por meio da Emissão serão destinados à aquisição de Cédulas de Crédito Bancário (“</w:t>
      </w:r>
      <w:r w:rsidR="00317C19" w:rsidRPr="00356C59">
        <w:rPr>
          <w:rFonts w:cs="Arial"/>
          <w:color w:val="000000"/>
          <w:sz w:val="20"/>
          <w:szCs w:val="20"/>
          <w:u w:val="single"/>
        </w:rPr>
        <w:t>CCB</w:t>
      </w:r>
      <w:r w:rsidR="00317C19" w:rsidRPr="00317C19">
        <w:rPr>
          <w:rFonts w:cs="Arial"/>
          <w:color w:val="000000"/>
          <w:sz w:val="20"/>
          <w:szCs w:val="20"/>
        </w:rPr>
        <w:t>”) emitidas por pessoas físicas ou jurídicas (“</w:t>
      </w:r>
      <w:r w:rsidR="00317C19" w:rsidRPr="00356C59">
        <w:rPr>
          <w:rFonts w:cs="Arial"/>
          <w:color w:val="000000"/>
          <w:sz w:val="20"/>
          <w:szCs w:val="20"/>
          <w:u w:val="single"/>
        </w:rPr>
        <w:t>Tomador</w:t>
      </w:r>
      <w:r w:rsidR="00317C19" w:rsidRPr="00317C19">
        <w:rPr>
          <w:rFonts w:cs="Arial"/>
          <w:color w:val="000000"/>
          <w:sz w:val="20"/>
          <w:szCs w:val="20"/>
        </w:rPr>
        <w:t>”) por meio da plataforma eletrônica Gyra+, acessível por meio do website www.gyramais.com, desenvolvida e mantida pela Mr. Presta do Brasil Ltda. (“</w:t>
      </w:r>
      <w:r w:rsidR="00317C19" w:rsidRPr="00356C59">
        <w:rPr>
          <w:rFonts w:cs="Arial"/>
          <w:color w:val="000000"/>
          <w:sz w:val="20"/>
          <w:szCs w:val="20"/>
          <w:u w:val="single"/>
        </w:rPr>
        <w:t>Plataforma</w:t>
      </w:r>
      <w:r w:rsidR="00317C19" w:rsidRPr="00317C19">
        <w:rPr>
          <w:rFonts w:cs="Arial"/>
          <w:color w:val="000000"/>
          <w:sz w:val="20"/>
          <w:szCs w:val="20"/>
        </w:rPr>
        <w:t>” e “</w:t>
      </w:r>
      <w:r w:rsidR="00317C19" w:rsidRPr="00356C59">
        <w:rPr>
          <w:rFonts w:cs="Arial"/>
          <w:color w:val="000000"/>
          <w:sz w:val="20"/>
          <w:szCs w:val="20"/>
          <w:u w:val="single"/>
        </w:rPr>
        <w:t>Mr. Presta</w:t>
      </w:r>
      <w:r w:rsidR="00317C19" w:rsidRPr="00317C19">
        <w:rPr>
          <w:rFonts w:cs="Arial"/>
          <w:color w:val="000000"/>
          <w:sz w:val="20"/>
          <w:szCs w:val="20"/>
        </w:rPr>
        <w:t>”, respectivamente), a serem listadas na Escritura de Emissão, bem como de outras CCB emitidas nos termos da Lei nº. 10.931, de 2 de agosto de 2004, conforme alterada (“</w:t>
      </w:r>
      <w:r w:rsidR="00317C19" w:rsidRPr="00356C59">
        <w:rPr>
          <w:rFonts w:cs="Arial"/>
          <w:color w:val="000000"/>
          <w:sz w:val="20"/>
          <w:szCs w:val="20"/>
          <w:u w:val="single"/>
        </w:rPr>
        <w:t>Lei nº. 10.931/04</w:t>
      </w:r>
      <w:r w:rsidR="00317C19" w:rsidRPr="00317C19">
        <w:rPr>
          <w:rFonts w:cs="Arial"/>
          <w:color w:val="000000"/>
          <w:sz w:val="20"/>
          <w:szCs w:val="20"/>
        </w:rPr>
        <w:t>”), cujos termos e condições serão substancialmente semelhantes àqueles estabelecidos do modelo constante do Anexo II</w:t>
      </w:r>
      <w:r w:rsidR="009F5BA9">
        <w:rPr>
          <w:rFonts w:cs="Arial"/>
          <w:color w:val="000000"/>
          <w:sz w:val="20"/>
          <w:szCs w:val="20"/>
        </w:rPr>
        <w:t xml:space="preserve"> da </w:t>
      </w:r>
      <w:r w:rsidR="00317C19" w:rsidRPr="00317C19">
        <w:rPr>
          <w:rFonts w:cs="Arial"/>
          <w:color w:val="000000"/>
          <w:sz w:val="20"/>
          <w:szCs w:val="20"/>
        </w:rPr>
        <w:t>Escritura de Emissão</w:t>
      </w:r>
      <w:r w:rsidR="00027740">
        <w:rPr>
          <w:rFonts w:cs="Arial"/>
          <w:color w:val="000000"/>
          <w:sz w:val="20"/>
          <w:szCs w:val="20"/>
        </w:rPr>
        <w:t>, observando, ademais, os critérios de elegibilidade constantes da Escritura de Emissão.</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sz w:val="20"/>
          <w:szCs w:val="20"/>
        </w:rPr>
      </w:pPr>
      <w:r>
        <w:rPr>
          <w:rFonts w:cs="Arial"/>
          <w:sz w:val="20"/>
          <w:szCs w:val="20"/>
          <w:u w:val="single"/>
        </w:rPr>
        <w:lastRenderedPageBreak/>
        <w:t xml:space="preserve">Forma de </w:t>
      </w:r>
      <w:r w:rsidR="00C843A3">
        <w:rPr>
          <w:rFonts w:cs="Arial"/>
          <w:sz w:val="20"/>
          <w:szCs w:val="20"/>
          <w:u w:val="single"/>
        </w:rPr>
        <w:t>Distribuição</w:t>
      </w:r>
      <w:r>
        <w:rPr>
          <w:rFonts w:cs="Arial"/>
          <w:sz w:val="20"/>
          <w:szCs w:val="20"/>
        </w:rPr>
        <w:t>:</w:t>
      </w:r>
      <w:r w:rsidR="00855B21">
        <w:rPr>
          <w:rFonts w:cs="Arial"/>
          <w:sz w:val="20"/>
          <w:szCs w:val="20"/>
        </w:rPr>
        <w:t xml:space="preserve"> </w:t>
      </w:r>
      <w:r w:rsidR="00855B21" w:rsidRPr="00855B21">
        <w:rPr>
          <w:rFonts w:cs="Tahoma"/>
          <w:sz w:val="20"/>
          <w:szCs w:val="20"/>
        </w:rPr>
        <w:t xml:space="preserve">As Debêntures serão objeto de </w:t>
      </w:r>
      <w:r w:rsidR="0088047F">
        <w:rPr>
          <w:rFonts w:cs="Tahoma"/>
          <w:sz w:val="20"/>
          <w:szCs w:val="20"/>
        </w:rPr>
        <w:t>distribuição</w:t>
      </w:r>
      <w:r w:rsidR="0088047F" w:rsidRPr="00855B21">
        <w:rPr>
          <w:rFonts w:cs="Tahoma"/>
          <w:sz w:val="20"/>
          <w:szCs w:val="20"/>
        </w:rPr>
        <w:t xml:space="preserve"> </w:t>
      </w:r>
      <w:r w:rsidR="00855B21" w:rsidRPr="00855B21">
        <w:rPr>
          <w:rFonts w:cs="Tahoma"/>
          <w:sz w:val="20"/>
          <w:szCs w:val="20"/>
        </w:rPr>
        <w:t>pública com esforços restritos de distribuição, nos termos da Instrução da CVM 476, sob o regime de melhores esforços de colocação, com a intermediação</w:t>
      </w:r>
      <w:r w:rsidR="00855B21">
        <w:rPr>
          <w:rFonts w:cs="Tahoma"/>
          <w:sz w:val="20"/>
          <w:szCs w:val="20"/>
        </w:rPr>
        <w:t xml:space="preserve"> </w:t>
      </w:r>
      <w:r>
        <w:rPr>
          <w:rFonts w:cs="Tahoma"/>
          <w:sz w:val="20"/>
          <w:szCs w:val="20"/>
        </w:rPr>
        <w:t>de instituição integrante do sistema de distribuição de valores mobiliários (“</w:t>
      </w:r>
      <w:r>
        <w:rPr>
          <w:rFonts w:cs="Tahoma"/>
          <w:sz w:val="20"/>
          <w:szCs w:val="20"/>
          <w:u w:val="single"/>
        </w:rPr>
        <w:t>Coordenador Líder</w:t>
      </w:r>
      <w:r>
        <w:rPr>
          <w:rFonts w:cs="Tahoma"/>
          <w:sz w:val="20"/>
          <w:szCs w:val="20"/>
        </w:rPr>
        <w:t xml:space="preserve">”), </w:t>
      </w:r>
      <w:r w:rsidR="00855B21">
        <w:rPr>
          <w:rFonts w:cs="Tahoma"/>
          <w:sz w:val="20"/>
          <w:szCs w:val="20"/>
        </w:rPr>
        <w:t>conforme contrato assinado entre a Emissora e o Coordenador Líder.</w:t>
      </w:r>
    </w:p>
    <w:p w:rsidR="005F4D2F" w:rsidRDefault="005F4D2F" w:rsidP="00027740">
      <w:pPr>
        <w:pStyle w:val="PargrafodaLista"/>
        <w:autoSpaceDE w:val="0"/>
        <w:autoSpaceDN w:val="0"/>
        <w:adjustRightInd w:val="0"/>
        <w:spacing w:line="340" w:lineRule="exact"/>
        <w:ind w:left="567" w:hanging="567"/>
        <w:rPr>
          <w:rFonts w:cs="Arial"/>
          <w:sz w:val="20"/>
          <w:szCs w:val="20"/>
        </w:rPr>
      </w:pPr>
    </w:p>
    <w:p w:rsidR="005F4D2F" w:rsidRPr="004752FA" w:rsidRDefault="00FB6938" w:rsidP="00027740">
      <w:pPr>
        <w:pStyle w:val="PargrafodaLista"/>
        <w:numPr>
          <w:ilvl w:val="0"/>
          <w:numId w:val="5"/>
        </w:numPr>
        <w:ind w:left="567" w:hanging="567"/>
        <w:rPr>
          <w:rFonts w:cs="Tahoma"/>
          <w:sz w:val="20"/>
          <w:szCs w:val="20"/>
        </w:rPr>
      </w:pPr>
      <w:r w:rsidRPr="004752FA">
        <w:rPr>
          <w:rFonts w:cs="Arial"/>
          <w:sz w:val="20"/>
          <w:szCs w:val="20"/>
          <w:u w:val="single"/>
        </w:rPr>
        <w:t>Forma, Circulação e Comprovação de Titularidade das Debêntures</w:t>
      </w:r>
      <w:r w:rsidRPr="004752FA">
        <w:rPr>
          <w:rFonts w:cs="Arial"/>
          <w:sz w:val="20"/>
          <w:szCs w:val="20"/>
        </w:rPr>
        <w:t xml:space="preserve">: </w:t>
      </w:r>
      <w:r w:rsidR="004752FA" w:rsidRPr="004752FA">
        <w:rPr>
          <w:rFonts w:cs="Tahoma"/>
          <w:sz w:val="20"/>
          <w:szCs w:val="20"/>
        </w:rPr>
        <w:t>As Debêntures serão simples, nominativas, escriturais e não conversíveis, sem garantias, sem a emissão de cautelas ou certificados. A circulação das Debêntures poderá ocorrer por meio de negociação em mercado de balcão organizado, observados os procedimentos adotados pela</w:t>
      </w:r>
      <w:r w:rsidR="004752FA">
        <w:rPr>
          <w:rFonts w:cs="Tahoma"/>
          <w:sz w:val="20"/>
          <w:szCs w:val="20"/>
        </w:rPr>
        <w:t xml:space="preserve"> </w:t>
      </w:r>
      <w:r w:rsidR="00654DB1" w:rsidRPr="004752FA">
        <w:rPr>
          <w:rFonts w:cs="Tahoma"/>
          <w:sz w:val="20"/>
          <w:szCs w:val="20"/>
        </w:rPr>
        <w:t>B3 S.A. – Brasil, Bolsa, Balcão (“</w:t>
      </w:r>
      <w:r w:rsidR="00654DB1" w:rsidRPr="00356C59">
        <w:rPr>
          <w:rFonts w:cs="Tahoma"/>
          <w:sz w:val="20"/>
          <w:szCs w:val="20"/>
          <w:u w:val="single"/>
        </w:rPr>
        <w:t>B3</w:t>
      </w:r>
      <w:r w:rsidR="00654DB1" w:rsidRPr="004752FA">
        <w:rPr>
          <w:rFonts w:cs="Tahoma"/>
          <w:sz w:val="20"/>
          <w:szCs w:val="20"/>
        </w:rPr>
        <w:t>”).</w:t>
      </w:r>
      <w:r w:rsidR="00BA4D3F">
        <w:rPr>
          <w:rFonts w:cs="Tahoma"/>
          <w:sz w:val="20"/>
          <w:szCs w:val="20"/>
        </w:rPr>
        <w:t xml:space="preserve"> </w:t>
      </w:r>
      <w:r w:rsidR="004752FA" w:rsidRPr="004752FA">
        <w:rPr>
          <w:rFonts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custodiadas naquela entidade, conforme o caso.</w:t>
      </w:r>
    </w:p>
    <w:p w:rsidR="005F4D2F" w:rsidRDefault="005F4D2F" w:rsidP="00027740">
      <w:pPr>
        <w:pStyle w:val="PargrafodaLista"/>
        <w:autoSpaceDE w:val="0"/>
        <w:autoSpaceDN w:val="0"/>
        <w:adjustRightInd w:val="0"/>
        <w:spacing w:line="340" w:lineRule="exact"/>
        <w:ind w:left="567" w:hanging="567"/>
        <w:rPr>
          <w:rFonts w:cs="Arial"/>
          <w:b/>
          <w:color w:val="000000"/>
          <w:sz w:val="20"/>
          <w:szCs w:val="20"/>
        </w:rPr>
      </w:pPr>
      <w:bookmarkStart w:id="8" w:name="_DV_M55"/>
      <w:bookmarkStart w:id="9" w:name="_DV_M56"/>
      <w:bookmarkStart w:id="10" w:name="_DV_M57"/>
      <w:bookmarkStart w:id="11" w:name="_DV_M61"/>
      <w:bookmarkStart w:id="12" w:name="_DV_M75"/>
      <w:bookmarkStart w:id="13" w:name="_DV_M76"/>
      <w:bookmarkEnd w:id="8"/>
      <w:bookmarkEnd w:id="9"/>
      <w:bookmarkEnd w:id="10"/>
      <w:bookmarkEnd w:id="11"/>
      <w:bookmarkEnd w:id="12"/>
      <w:bookmarkEnd w:id="13"/>
    </w:p>
    <w:p w:rsidR="005F4D2F" w:rsidRDefault="00FB6938" w:rsidP="00027740">
      <w:pPr>
        <w:pStyle w:val="PargrafodaLista"/>
        <w:numPr>
          <w:ilvl w:val="0"/>
          <w:numId w:val="5"/>
        </w:numPr>
        <w:autoSpaceDE w:val="0"/>
        <w:autoSpaceDN w:val="0"/>
        <w:adjustRightInd w:val="0"/>
        <w:spacing w:line="340" w:lineRule="exact"/>
        <w:ind w:left="567" w:hanging="567"/>
        <w:rPr>
          <w:rFonts w:cs="Arial"/>
          <w:sz w:val="20"/>
          <w:szCs w:val="20"/>
        </w:rPr>
      </w:pPr>
      <w:r>
        <w:rPr>
          <w:rFonts w:cs="Arial"/>
          <w:color w:val="000000"/>
          <w:sz w:val="20"/>
          <w:szCs w:val="20"/>
          <w:u w:val="single"/>
        </w:rPr>
        <w:t>Espécie</w:t>
      </w:r>
      <w:r>
        <w:rPr>
          <w:rFonts w:cs="Arial"/>
          <w:color w:val="000000"/>
          <w:sz w:val="20"/>
          <w:szCs w:val="20"/>
        </w:rPr>
        <w:t xml:space="preserve">: </w:t>
      </w:r>
      <w:bookmarkStart w:id="14" w:name="_DV_M85"/>
      <w:bookmarkEnd w:id="14"/>
      <w:r w:rsidR="004752FA">
        <w:rPr>
          <w:sz w:val="20"/>
          <w:szCs w:val="20"/>
        </w:rPr>
        <w:t>As</w:t>
      </w:r>
      <w:r>
        <w:rPr>
          <w:sz w:val="20"/>
          <w:szCs w:val="20"/>
        </w:rPr>
        <w:t xml:space="preserve"> </w:t>
      </w:r>
      <w:r w:rsidR="004752FA" w:rsidRPr="004752FA">
        <w:rPr>
          <w:sz w:val="20"/>
          <w:szCs w:val="20"/>
        </w:rPr>
        <w:t>Debêntures não são conversíveis e são da espécie subordinada, não conferindo ao seu titular qualquer privilégio especial ou geral.</w:t>
      </w:r>
    </w:p>
    <w:p w:rsidR="005F4D2F" w:rsidRDefault="005F4D2F" w:rsidP="00027740">
      <w:pPr>
        <w:pStyle w:val="PargrafodaLista"/>
        <w:autoSpaceDE w:val="0"/>
        <w:autoSpaceDN w:val="0"/>
        <w:adjustRightInd w:val="0"/>
        <w:spacing w:line="340" w:lineRule="exact"/>
        <w:ind w:left="567" w:hanging="567"/>
        <w:rPr>
          <w:rFonts w:cs="Arial"/>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Pr>
          <w:rFonts w:cs="Arial"/>
          <w:color w:val="000000"/>
          <w:sz w:val="20"/>
          <w:szCs w:val="20"/>
          <w:u w:val="single"/>
        </w:rPr>
        <w:t>Valor Nominal Unitário e Atualização do Valor Nominal Unitário</w:t>
      </w:r>
      <w:r>
        <w:rPr>
          <w:rFonts w:cs="Arial"/>
          <w:color w:val="000000"/>
          <w:sz w:val="20"/>
          <w:szCs w:val="20"/>
        </w:rPr>
        <w:t>: O valor nominal unitário das Debêntures será de R$</w:t>
      </w:r>
      <w:r w:rsidR="00356C59">
        <w:rPr>
          <w:rFonts w:cs="Arial"/>
          <w:color w:val="000000"/>
          <w:sz w:val="20"/>
          <w:szCs w:val="20"/>
        </w:rPr>
        <w:t xml:space="preserve"> 1</w:t>
      </w:r>
      <w:r w:rsidR="00FF1F57">
        <w:rPr>
          <w:rFonts w:cs="Arial"/>
          <w:color w:val="000000"/>
          <w:sz w:val="20"/>
          <w:szCs w:val="20"/>
        </w:rPr>
        <w:t>.</w:t>
      </w:r>
      <w:r w:rsidR="00356C59">
        <w:rPr>
          <w:rFonts w:cs="Arial"/>
          <w:color w:val="000000"/>
          <w:sz w:val="20"/>
          <w:szCs w:val="20"/>
        </w:rPr>
        <w:t>000,00</w:t>
      </w:r>
      <w:r>
        <w:rPr>
          <w:rFonts w:cs="Arial"/>
          <w:color w:val="000000"/>
          <w:sz w:val="20"/>
          <w:szCs w:val="20"/>
        </w:rPr>
        <w:t xml:space="preserve"> (</w:t>
      </w:r>
      <w:r w:rsidR="00356C59">
        <w:rPr>
          <w:rFonts w:cs="Arial"/>
          <w:color w:val="000000"/>
          <w:sz w:val="20"/>
          <w:szCs w:val="20"/>
        </w:rPr>
        <w:t>mil</w:t>
      </w:r>
      <w:r>
        <w:rPr>
          <w:rFonts w:cs="Arial"/>
          <w:color w:val="000000"/>
          <w:sz w:val="20"/>
          <w:szCs w:val="20"/>
        </w:rPr>
        <w:t xml:space="preserve"> reais), na Data </w:t>
      </w:r>
      <w:r w:rsidR="00176FA0">
        <w:rPr>
          <w:rFonts w:cs="Arial"/>
          <w:color w:val="000000"/>
          <w:sz w:val="20"/>
          <w:szCs w:val="20"/>
        </w:rPr>
        <w:t>de</w:t>
      </w:r>
      <w:r>
        <w:rPr>
          <w:rFonts w:cs="Arial"/>
          <w:color w:val="000000"/>
          <w:sz w:val="20"/>
          <w:szCs w:val="20"/>
        </w:rPr>
        <w:t xml:space="preserve"> </w:t>
      </w:r>
      <w:r w:rsidR="00176FA0">
        <w:rPr>
          <w:rFonts w:cs="Arial"/>
          <w:color w:val="000000"/>
          <w:sz w:val="20"/>
          <w:szCs w:val="20"/>
        </w:rPr>
        <w:t xml:space="preserve">Emissão </w:t>
      </w:r>
      <w:r>
        <w:rPr>
          <w:rFonts w:cs="Arial"/>
          <w:color w:val="000000"/>
          <w:sz w:val="20"/>
          <w:szCs w:val="20"/>
        </w:rPr>
        <w:t>(“</w:t>
      </w:r>
      <w:r>
        <w:rPr>
          <w:rFonts w:cs="Arial"/>
          <w:color w:val="000000"/>
          <w:sz w:val="20"/>
          <w:szCs w:val="20"/>
          <w:u w:val="single"/>
        </w:rPr>
        <w:t>Valor Nominal Unitário</w:t>
      </w:r>
      <w:r>
        <w:rPr>
          <w:rFonts w:cs="Arial"/>
          <w:color w:val="000000"/>
          <w:sz w:val="20"/>
          <w:szCs w:val="20"/>
        </w:rPr>
        <w:t>”). As Debêntures não terão seu Valor Nominal Unitário atualizado.</w:t>
      </w:r>
      <w:r w:rsidR="008B7E45">
        <w:rPr>
          <w:rFonts w:cs="Arial"/>
          <w:color w:val="000000"/>
          <w:sz w:val="20"/>
          <w:szCs w:val="20"/>
        </w:rPr>
        <w:t xml:space="preserve"> </w:t>
      </w:r>
    </w:p>
    <w:p w:rsidR="005F4D2F" w:rsidRDefault="005F4D2F" w:rsidP="00027740">
      <w:pPr>
        <w:pStyle w:val="PargrafodaLista"/>
        <w:autoSpaceDE w:val="0"/>
        <w:autoSpaceDN w:val="0"/>
        <w:adjustRightInd w:val="0"/>
        <w:spacing w:line="340" w:lineRule="exact"/>
        <w:ind w:left="567" w:hanging="567"/>
        <w:rPr>
          <w:rFonts w:cs="Arial"/>
          <w:b/>
          <w:color w:val="000000"/>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Pr>
          <w:rFonts w:cs="Arial"/>
          <w:color w:val="000000"/>
          <w:sz w:val="20"/>
          <w:szCs w:val="20"/>
          <w:u w:val="single"/>
        </w:rPr>
        <w:t>Data de Emissão</w:t>
      </w:r>
      <w:r>
        <w:rPr>
          <w:rFonts w:cs="Arial"/>
          <w:color w:val="000000"/>
          <w:sz w:val="20"/>
          <w:szCs w:val="20"/>
        </w:rPr>
        <w:t xml:space="preserve">: Para todos os efeitos legais, a data de emissão das Debêntures será </w:t>
      </w:r>
      <w:r w:rsidR="00FA2DF8">
        <w:rPr>
          <w:rFonts w:cs="Arial"/>
          <w:color w:val="000000"/>
          <w:sz w:val="20"/>
          <w:szCs w:val="20"/>
        </w:rPr>
        <w:t>definida na Escritura de Emissão</w:t>
      </w:r>
      <w:r>
        <w:rPr>
          <w:rFonts w:cs="Arial"/>
          <w:color w:val="000000"/>
          <w:sz w:val="20"/>
          <w:szCs w:val="20"/>
        </w:rPr>
        <w:t xml:space="preserve"> (“</w:t>
      </w:r>
      <w:r>
        <w:rPr>
          <w:rFonts w:cs="Arial"/>
          <w:color w:val="000000"/>
          <w:sz w:val="20"/>
          <w:szCs w:val="20"/>
          <w:u w:val="single"/>
        </w:rPr>
        <w:t>Data de Emissão</w:t>
      </w:r>
      <w:r>
        <w:rPr>
          <w:rFonts w:cs="Arial"/>
          <w:color w:val="000000"/>
          <w:sz w:val="20"/>
          <w:szCs w:val="20"/>
        </w:rPr>
        <w:t>”).</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027740" w:rsidRDefault="00FB6938" w:rsidP="00EC7AA3">
      <w:pPr>
        <w:pStyle w:val="PargrafodaLista"/>
        <w:numPr>
          <w:ilvl w:val="0"/>
          <w:numId w:val="5"/>
        </w:numPr>
        <w:ind w:left="567" w:hanging="567"/>
        <w:rPr>
          <w:rFonts w:cs="Tahoma"/>
          <w:sz w:val="20"/>
          <w:szCs w:val="20"/>
        </w:rPr>
      </w:pPr>
      <w:r w:rsidRPr="00A168E0">
        <w:rPr>
          <w:rFonts w:cs="Arial"/>
          <w:color w:val="000000"/>
          <w:sz w:val="20"/>
          <w:szCs w:val="20"/>
          <w:u w:val="single"/>
        </w:rPr>
        <w:t>Prazo, Preço e Forma de Subscrição e Integralização</w:t>
      </w:r>
      <w:r w:rsidRPr="00A168E0">
        <w:rPr>
          <w:rFonts w:cs="Arial"/>
          <w:color w:val="000000"/>
          <w:sz w:val="20"/>
          <w:szCs w:val="20"/>
        </w:rPr>
        <w:t xml:space="preserve">: </w:t>
      </w:r>
      <w:r w:rsidR="0090577D" w:rsidRPr="00A168E0">
        <w:rPr>
          <w:rFonts w:cs="Tahoma"/>
          <w:sz w:val="20"/>
          <w:szCs w:val="20"/>
        </w:rPr>
        <w:t>As Debêntures subscritas e integralizadas na Data da Primeira Integralização serão integralizadas pelo seu Valor Nominal Unitário, mediante integralização em moeda corrente nacional e assinatura pelo Debenturista do respectivo boletim de subscrição das Debêntures, no qual os Debenturistas se obrigaram a integralizar as Debêntures na forma e condições ali previstas (“</w:t>
      </w:r>
      <w:r w:rsidR="0090577D" w:rsidRPr="00A168E0">
        <w:rPr>
          <w:rFonts w:cs="Tahoma"/>
          <w:sz w:val="20"/>
          <w:szCs w:val="20"/>
          <w:u w:val="single"/>
        </w:rPr>
        <w:t>Boletim de Subscrição</w:t>
      </w:r>
      <w:r w:rsidR="0090577D" w:rsidRPr="00A168E0">
        <w:rPr>
          <w:rFonts w:cs="Tahoma"/>
          <w:sz w:val="20"/>
          <w:szCs w:val="20"/>
        </w:rPr>
        <w:t>”), fora do âmbito da B3.</w:t>
      </w:r>
      <w:r w:rsidR="00055656" w:rsidRPr="00A168E0">
        <w:rPr>
          <w:rFonts w:cs="Tahoma"/>
          <w:sz w:val="20"/>
          <w:szCs w:val="20"/>
        </w:rPr>
        <w:t xml:space="preserve"> As Debêntures da Primeira Série serão integralizadas em moeda corrente nacional, pelo seu Valor Nominal Unitário, acrescido da Remuneração das Debêntures da Primeira Série, calculado </w:t>
      </w:r>
      <w:r w:rsidR="00055656" w:rsidRPr="00A168E0">
        <w:rPr>
          <w:rFonts w:cs="Tahoma"/>
          <w:i/>
          <w:sz w:val="20"/>
          <w:szCs w:val="20"/>
        </w:rPr>
        <w:t>pro rata</w:t>
      </w:r>
      <w:r w:rsidR="00055656" w:rsidRPr="00A168E0">
        <w:rPr>
          <w:rFonts w:cs="Tahoma"/>
          <w:sz w:val="20"/>
          <w:szCs w:val="20"/>
        </w:rPr>
        <w:t xml:space="preserve"> a partir da Data da Primeira Integralização das Debêntures</w:t>
      </w:r>
      <w:r w:rsidR="0090049D" w:rsidRPr="00A168E0">
        <w:rPr>
          <w:rFonts w:cs="Tahoma"/>
          <w:sz w:val="20"/>
          <w:szCs w:val="20"/>
        </w:rPr>
        <w:t xml:space="preserve"> </w:t>
      </w:r>
      <w:r w:rsidR="00055656" w:rsidRPr="00A168E0">
        <w:rPr>
          <w:rFonts w:cs="Tahoma"/>
          <w:sz w:val="20"/>
          <w:szCs w:val="20"/>
        </w:rPr>
        <w:t>(inclusive) até a respectiva data de integralização (exclusive) (“</w:t>
      </w:r>
      <w:r w:rsidR="00055656" w:rsidRPr="00356C59">
        <w:rPr>
          <w:rFonts w:cs="Tahoma"/>
          <w:sz w:val="20"/>
          <w:szCs w:val="20"/>
          <w:u w:val="single"/>
        </w:rPr>
        <w:t>Preço de Integralização das Debêntures da Primeira Série</w:t>
      </w:r>
      <w:r w:rsidR="00055656" w:rsidRPr="00A168E0">
        <w:rPr>
          <w:rFonts w:cs="Tahoma"/>
          <w:sz w:val="20"/>
          <w:szCs w:val="20"/>
        </w:rPr>
        <w:t xml:space="preserve">”), </w:t>
      </w:r>
      <w:r w:rsidR="00055656" w:rsidRPr="00A168E0">
        <w:rPr>
          <w:rFonts w:cs="Tahoma"/>
          <w:sz w:val="20"/>
          <w:szCs w:val="20"/>
        </w:rPr>
        <w:lastRenderedPageBreak/>
        <w:t>nos montantes e em uma ou mais datas indicadas no respectivo Boletim de Subscrição (cada uma, uma “</w:t>
      </w:r>
      <w:r w:rsidR="00055656" w:rsidRPr="00356C59">
        <w:rPr>
          <w:rFonts w:cs="Tahoma"/>
          <w:sz w:val="20"/>
          <w:szCs w:val="20"/>
          <w:u w:val="single"/>
        </w:rPr>
        <w:t>Data de Integralização das Debêntures da Primeira Série</w:t>
      </w:r>
      <w:r w:rsidR="00055656" w:rsidRPr="00A168E0">
        <w:rPr>
          <w:rFonts w:cs="Tahoma"/>
          <w:sz w:val="20"/>
          <w:szCs w:val="20"/>
        </w:rPr>
        <w:t xml:space="preserve">”). As Debêntures da Segunda Série serão integralizadas em moeda corrente nacional pelo seu Valor Nominal Unitário, acrescido da </w:t>
      </w:r>
      <w:r w:rsidR="00356C59">
        <w:rPr>
          <w:rFonts w:cs="Tahoma"/>
          <w:sz w:val="20"/>
          <w:szCs w:val="20"/>
        </w:rPr>
        <w:t>Remuneração das Debêntures da Primeira Série</w:t>
      </w:r>
      <w:r w:rsidR="00055656" w:rsidRPr="00A168E0">
        <w:rPr>
          <w:rFonts w:cs="Tahoma"/>
          <w:sz w:val="20"/>
          <w:szCs w:val="20"/>
        </w:rPr>
        <w:t xml:space="preserve">, calculado </w:t>
      </w:r>
      <w:r w:rsidR="00055656" w:rsidRPr="00A168E0">
        <w:rPr>
          <w:rFonts w:cs="Tahoma"/>
          <w:i/>
          <w:sz w:val="20"/>
          <w:szCs w:val="20"/>
        </w:rPr>
        <w:t>pro rata</w:t>
      </w:r>
      <w:r w:rsidR="00055656" w:rsidRPr="00A168E0">
        <w:rPr>
          <w:rFonts w:cs="Tahoma"/>
          <w:sz w:val="20"/>
          <w:szCs w:val="20"/>
        </w:rPr>
        <w:t xml:space="preserve"> a partir da Data da Primeira Integralização das Debêntures até a respectiva data de integralização (exclusive) (“</w:t>
      </w:r>
      <w:r w:rsidR="00055656" w:rsidRPr="00356C59">
        <w:rPr>
          <w:rFonts w:cs="Tahoma"/>
          <w:sz w:val="20"/>
          <w:szCs w:val="20"/>
          <w:u w:val="single"/>
        </w:rPr>
        <w:t>Preço de Integralização das Debêntures da Segunda Série</w:t>
      </w:r>
      <w:r w:rsidR="00055656" w:rsidRPr="00A168E0">
        <w:rPr>
          <w:rFonts w:cs="Tahoma"/>
          <w:sz w:val="20"/>
          <w:szCs w:val="20"/>
        </w:rPr>
        <w:t>” e, em conjunto com o “</w:t>
      </w:r>
      <w:r w:rsidR="00055656" w:rsidRPr="00356C59">
        <w:rPr>
          <w:rFonts w:cs="Tahoma"/>
          <w:sz w:val="20"/>
          <w:szCs w:val="20"/>
          <w:u w:val="single"/>
        </w:rPr>
        <w:t>Preço de Integralização das Debêntures da Primeira Série</w:t>
      </w:r>
      <w:r w:rsidR="00A168E0">
        <w:rPr>
          <w:rFonts w:cs="Tahoma"/>
          <w:sz w:val="20"/>
          <w:szCs w:val="20"/>
        </w:rPr>
        <w:t>”</w:t>
      </w:r>
      <w:r w:rsidR="00055656" w:rsidRPr="00A168E0">
        <w:rPr>
          <w:rFonts w:cs="Tahoma"/>
          <w:sz w:val="20"/>
          <w:szCs w:val="20"/>
        </w:rPr>
        <w:t>, “</w:t>
      </w:r>
      <w:r w:rsidR="00055656" w:rsidRPr="00356C59">
        <w:rPr>
          <w:rFonts w:cs="Tahoma"/>
          <w:sz w:val="20"/>
          <w:szCs w:val="20"/>
          <w:u w:val="single"/>
        </w:rPr>
        <w:t>Preço de Integralização das Debêntures</w:t>
      </w:r>
      <w:r w:rsidR="00055656" w:rsidRPr="00A168E0">
        <w:rPr>
          <w:rFonts w:cs="Tahoma"/>
          <w:sz w:val="20"/>
          <w:szCs w:val="20"/>
        </w:rPr>
        <w:t>”), nos montantes e em uma ou mais datas indicadas no respectivo Boletim de Subscrição (cada uma, uma “</w:t>
      </w:r>
      <w:r w:rsidR="00055656" w:rsidRPr="00356C59">
        <w:rPr>
          <w:rFonts w:cs="Tahoma"/>
          <w:sz w:val="20"/>
          <w:szCs w:val="20"/>
          <w:u w:val="single"/>
        </w:rPr>
        <w:t>Data de Integralização das Debêntures da Segunda Série</w:t>
      </w:r>
      <w:r w:rsidR="00055656" w:rsidRPr="00A168E0">
        <w:rPr>
          <w:rFonts w:cs="Tahoma"/>
          <w:sz w:val="20"/>
          <w:szCs w:val="20"/>
        </w:rPr>
        <w:t>”).</w:t>
      </w:r>
    </w:p>
    <w:p w:rsidR="00A168E0" w:rsidRPr="00A168E0" w:rsidRDefault="00A168E0" w:rsidP="00A168E0">
      <w:pPr>
        <w:pStyle w:val="PargrafodaLista"/>
        <w:ind w:left="567"/>
        <w:rPr>
          <w:rFonts w:cs="Tahoma"/>
          <w:sz w:val="20"/>
          <w:szCs w:val="20"/>
        </w:rPr>
      </w:pPr>
    </w:p>
    <w:p w:rsidR="00975B63" w:rsidRPr="00975B63"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sidRPr="00975B63">
        <w:rPr>
          <w:rFonts w:cs="Arial"/>
          <w:color w:val="000000"/>
          <w:sz w:val="20"/>
          <w:szCs w:val="20"/>
          <w:u w:val="single"/>
        </w:rPr>
        <w:t>Prazo de Vigência e Data de Vencimento</w:t>
      </w:r>
      <w:r w:rsidRPr="00975B63">
        <w:rPr>
          <w:rFonts w:cs="Arial"/>
          <w:color w:val="000000"/>
          <w:sz w:val="20"/>
          <w:szCs w:val="20"/>
        </w:rPr>
        <w:t xml:space="preserve">: </w:t>
      </w:r>
      <w:r w:rsidR="002220A5" w:rsidRPr="00975B63">
        <w:rPr>
          <w:rFonts w:eastAsia="Arial Unicode MS" w:cs="Tahoma"/>
          <w:sz w:val="20"/>
          <w:szCs w:val="20"/>
        </w:rPr>
        <w:t xml:space="preserve"> As Debêntures terão prazo </w:t>
      </w:r>
      <w:r w:rsidR="00FA2DF8">
        <w:rPr>
          <w:rFonts w:eastAsia="Arial Unicode MS" w:cs="Tahoma"/>
          <w:sz w:val="20"/>
          <w:szCs w:val="20"/>
        </w:rPr>
        <w:t>e vencimento a ser</w:t>
      </w:r>
      <w:r w:rsidR="000F6327">
        <w:rPr>
          <w:rFonts w:eastAsia="Arial Unicode MS" w:cs="Tahoma"/>
          <w:sz w:val="20"/>
          <w:szCs w:val="20"/>
        </w:rPr>
        <w:t>em</w:t>
      </w:r>
      <w:r w:rsidR="00FA2DF8">
        <w:rPr>
          <w:rFonts w:eastAsia="Arial Unicode MS" w:cs="Tahoma"/>
          <w:sz w:val="20"/>
          <w:szCs w:val="20"/>
        </w:rPr>
        <w:t xml:space="preserve"> definidos na Escritura de Emissão</w:t>
      </w:r>
      <w:r w:rsidRPr="00975B63">
        <w:rPr>
          <w:rFonts w:eastAsia="Arial Unicode MS" w:cs="Tahoma"/>
          <w:sz w:val="20"/>
          <w:szCs w:val="20"/>
        </w:rPr>
        <w:t>.</w:t>
      </w:r>
    </w:p>
    <w:p w:rsidR="00975B63" w:rsidRPr="00975B63" w:rsidRDefault="00975B63" w:rsidP="00027740">
      <w:pPr>
        <w:pStyle w:val="PargrafodaLista"/>
        <w:autoSpaceDE w:val="0"/>
        <w:autoSpaceDN w:val="0"/>
        <w:adjustRightInd w:val="0"/>
        <w:spacing w:line="340" w:lineRule="exact"/>
        <w:ind w:left="567" w:hanging="567"/>
        <w:rPr>
          <w:rFonts w:cs="Arial"/>
          <w:color w:val="000000"/>
          <w:sz w:val="20"/>
          <w:szCs w:val="20"/>
        </w:rPr>
      </w:pPr>
    </w:p>
    <w:p w:rsidR="00027740" w:rsidRPr="00A168E0" w:rsidRDefault="00975B63" w:rsidP="005B053A">
      <w:pPr>
        <w:pStyle w:val="PargrafodaLista"/>
        <w:numPr>
          <w:ilvl w:val="0"/>
          <w:numId w:val="5"/>
        </w:numPr>
        <w:autoSpaceDE w:val="0"/>
        <w:autoSpaceDN w:val="0"/>
        <w:adjustRightInd w:val="0"/>
        <w:spacing w:line="340" w:lineRule="exact"/>
        <w:ind w:left="567" w:hanging="567"/>
        <w:rPr>
          <w:rFonts w:cs="Arial"/>
          <w:color w:val="000000"/>
          <w:sz w:val="20"/>
          <w:szCs w:val="20"/>
        </w:rPr>
      </w:pPr>
      <w:r w:rsidRPr="00A168E0">
        <w:rPr>
          <w:rFonts w:eastAsia="Arial Unicode MS" w:cs="Tahoma"/>
          <w:sz w:val="20"/>
          <w:szCs w:val="20"/>
          <w:u w:val="single"/>
        </w:rPr>
        <w:t>Amortização Ordinária</w:t>
      </w:r>
      <w:r w:rsidRPr="00A168E0">
        <w:rPr>
          <w:rFonts w:eastAsia="Arial Unicode MS" w:cs="Tahoma"/>
          <w:sz w:val="20"/>
          <w:szCs w:val="20"/>
        </w:rPr>
        <w:t xml:space="preserve">: </w:t>
      </w:r>
      <w:r w:rsidR="0090049D" w:rsidRPr="00A168E0">
        <w:rPr>
          <w:rFonts w:eastAsia="Arial Unicode MS" w:cs="Tahoma"/>
          <w:sz w:val="20"/>
          <w:szCs w:val="20"/>
        </w:rPr>
        <w:t>A amortização do Valor Nominal Unitário das Debêntures da Primeira Série e da Debêntures da Segunda Série será realizada integralmente na Data de Vencimento das Debêntures das respectivas séries (“</w:t>
      </w:r>
      <w:r w:rsidR="0090049D" w:rsidRPr="00356C59">
        <w:rPr>
          <w:rFonts w:eastAsia="Arial Unicode MS" w:cs="Tahoma"/>
          <w:sz w:val="20"/>
          <w:szCs w:val="20"/>
          <w:u w:val="single"/>
        </w:rPr>
        <w:t>Amortização Ordinária</w:t>
      </w:r>
      <w:r w:rsidR="0090049D" w:rsidRPr="00A168E0">
        <w:rPr>
          <w:rFonts w:eastAsia="Arial Unicode MS" w:cs="Tahoma"/>
          <w:sz w:val="20"/>
          <w:szCs w:val="20"/>
        </w:rPr>
        <w:t>”).</w:t>
      </w:r>
    </w:p>
    <w:p w:rsidR="00027740" w:rsidRPr="00A03031" w:rsidRDefault="00027740" w:rsidP="00027740">
      <w:pPr>
        <w:pStyle w:val="PargrafodaLista"/>
        <w:autoSpaceDE w:val="0"/>
        <w:autoSpaceDN w:val="0"/>
        <w:adjustRightInd w:val="0"/>
        <w:spacing w:line="340" w:lineRule="exact"/>
        <w:ind w:left="567" w:hanging="567"/>
        <w:rPr>
          <w:rFonts w:cs="Arial"/>
          <w:color w:val="000000"/>
          <w:sz w:val="20"/>
          <w:szCs w:val="20"/>
        </w:rPr>
      </w:pPr>
    </w:p>
    <w:p w:rsidR="00975B63" w:rsidRPr="00A168E0" w:rsidRDefault="00975B63" w:rsidP="00094741">
      <w:pPr>
        <w:pStyle w:val="PargrafodaLista"/>
        <w:numPr>
          <w:ilvl w:val="0"/>
          <w:numId w:val="5"/>
        </w:numPr>
        <w:ind w:left="567" w:hanging="567"/>
        <w:rPr>
          <w:rFonts w:cs="Tahoma"/>
          <w:sz w:val="20"/>
          <w:szCs w:val="20"/>
        </w:rPr>
      </w:pPr>
      <w:r w:rsidRPr="00A168E0">
        <w:rPr>
          <w:rFonts w:eastAsia="Arial Unicode MS" w:cs="Tahoma"/>
          <w:sz w:val="20"/>
          <w:szCs w:val="20"/>
          <w:u w:val="single"/>
        </w:rPr>
        <w:t>Amortização Extraordinária</w:t>
      </w:r>
      <w:bookmarkStart w:id="15" w:name="_Ref495583440"/>
      <w:r w:rsidR="00992CC8" w:rsidRPr="00A168E0">
        <w:rPr>
          <w:rFonts w:eastAsia="Arial Unicode MS" w:cs="Tahoma"/>
          <w:sz w:val="20"/>
          <w:szCs w:val="20"/>
          <w:u w:val="single"/>
        </w:rPr>
        <w:t xml:space="preserve"> Obrigatória das Debêntures da Primeira e da Segunda Série</w:t>
      </w:r>
      <w:r w:rsidRPr="00A168E0">
        <w:rPr>
          <w:rFonts w:eastAsia="Arial Unicode MS" w:cs="Tahoma"/>
          <w:sz w:val="20"/>
          <w:szCs w:val="20"/>
        </w:rPr>
        <w:t>:</w:t>
      </w:r>
      <w:r w:rsidRPr="00A168E0">
        <w:rPr>
          <w:rFonts w:cs="Tahoma"/>
          <w:sz w:val="20"/>
          <w:szCs w:val="20"/>
        </w:rPr>
        <w:t xml:space="preserve"> </w:t>
      </w:r>
      <w:bookmarkEnd w:id="15"/>
      <w:r w:rsidR="00992CC8" w:rsidRPr="00A168E0">
        <w:rPr>
          <w:rFonts w:cs="Tahoma"/>
          <w:sz w:val="20"/>
          <w:szCs w:val="20"/>
        </w:rPr>
        <w:t xml:space="preserve">Observados os termos da Escritura de Emissão, especialmente quanto à Ordem de Alocação de Recursos, após o encerramento do Período de Aquisição,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e até o limite destes </w:t>
      </w:r>
      <w:r w:rsidR="00A168E0" w:rsidRPr="00A168E0">
        <w:rPr>
          <w:rFonts w:cs="Tahoma"/>
          <w:sz w:val="20"/>
          <w:szCs w:val="20"/>
        </w:rPr>
        <w:t>(</w:t>
      </w:r>
      <w:r w:rsidR="00992CC8" w:rsidRPr="00A168E0">
        <w:rPr>
          <w:rFonts w:cs="Tahoma"/>
          <w:sz w:val="20"/>
          <w:szCs w:val="20"/>
        </w:rPr>
        <w:t>“</w:t>
      </w:r>
      <w:r w:rsidR="00992CC8" w:rsidRPr="00356C59">
        <w:rPr>
          <w:rFonts w:cs="Tahoma"/>
          <w:sz w:val="20"/>
          <w:szCs w:val="20"/>
          <w:u w:val="single"/>
        </w:rPr>
        <w:t>Amortização Extraordinária Obrigatória</w:t>
      </w:r>
      <w:r w:rsidR="00992CC8" w:rsidRPr="00A168E0">
        <w:rPr>
          <w:rFonts w:cs="Tahoma"/>
          <w:sz w:val="20"/>
          <w:szCs w:val="20"/>
        </w:rPr>
        <w:t>” ou “</w:t>
      </w:r>
      <w:r w:rsidR="00992CC8" w:rsidRPr="00356C59">
        <w:rPr>
          <w:rFonts w:cs="Tahoma"/>
          <w:sz w:val="20"/>
          <w:szCs w:val="20"/>
          <w:u w:val="single"/>
        </w:rPr>
        <w:t>Amortização Final</w:t>
      </w:r>
      <w:r w:rsidR="00992CC8" w:rsidRPr="00A168E0">
        <w:rPr>
          <w:rFonts w:cs="Tahoma"/>
          <w:sz w:val="20"/>
          <w:szCs w:val="20"/>
        </w:rPr>
        <w:t xml:space="preserve">”, conforme o caso). Após </w:t>
      </w:r>
      <w:r w:rsidR="0090049D" w:rsidRPr="00A168E0">
        <w:rPr>
          <w:rFonts w:cs="Tahoma"/>
          <w:sz w:val="20"/>
          <w:szCs w:val="20"/>
        </w:rPr>
        <w:t xml:space="preserve">o encerramento do Período de Aquisição, </w:t>
      </w:r>
      <w:r w:rsidR="00050F74" w:rsidRPr="00A168E0">
        <w:rPr>
          <w:rFonts w:cs="Tahoma"/>
          <w:sz w:val="20"/>
          <w:szCs w:val="20"/>
        </w:rPr>
        <w:t>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00050F74" w:rsidRPr="00356C59">
        <w:rPr>
          <w:rFonts w:cs="Tahoma"/>
          <w:sz w:val="20"/>
          <w:szCs w:val="20"/>
          <w:u w:val="single"/>
        </w:rPr>
        <w:t>Limite da Amortização Extraordinária Obrigatória da Primeira Série</w:t>
      </w:r>
      <w:r w:rsidR="00050F74" w:rsidRPr="00A168E0">
        <w:rPr>
          <w:rFonts w:cs="Tahoma"/>
          <w:sz w:val="20"/>
          <w:szCs w:val="20"/>
        </w:rPr>
        <w:t xml:space="preserve">”). O Valor Nominal Unitário ou o saldo do Valor Nominal Unitário das Debêntures da Segunda </w:t>
      </w:r>
      <w:r w:rsidR="00050F74" w:rsidRPr="00A168E0">
        <w:rPr>
          <w:rFonts w:cs="Tahoma"/>
          <w:sz w:val="20"/>
          <w:szCs w:val="20"/>
        </w:rPr>
        <w:lastRenderedPageBreak/>
        <w:t>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050F74" w:rsidRPr="00356C59">
        <w:rPr>
          <w:rFonts w:cs="Tahoma"/>
          <w:sz w:val="20"/>
          <w:szCs w:val="20"/>
          <w:u w:val="single"/>
        </w:rPr>
        <w:t>Limite da Amortização Extraordinária Obrigatória da Segunda Série</w:t>
      </w:r>
      <w:r w:rsidR="00050F74" w:rsidRPr="00A168E0">
        <w:rPr>
          <w:rFonts w:cs="Tahoma"/>
          <w:sz w:val="20"/>
          <w:szCs w:val="20"/>
        </w:rPr>
        <w:t>” e, quando em conjunto com Limite da Amortização Extraordinária Obrigatória da Primeira Série “</w:t>
      </w:r>
      <w:r w:rsidR="00050F74" w:rsidRPr="00356C59">
        <w:rPr>
          <w:rFonts w:cs="Tahoma"/>
          <w:sz w:val="20"/>
          <w:szCs w:val="20"/>
          <w:u w:val="single"/>
        </w:rPr>
        <w:t>Limite da Amortização Extraordinária Obrigatória</w:t>
      </w:r>
      <w:r w:rsidR="00050F74" w:rsidRPr="00A168E0">
        <w:rPr>
          <w:rFonts w:cs="Tahoma"/>
          <w:sz w:val="20"/>
          <w:szCs w:val="20"/>
        </w:rPr>
        <w:t>”).</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19261F" w:rsidRPr="00A168E0" w:rsidRDefault="00176FA0" w:rsidP="0069136B">
      <w:pPr>
        <w:pStyle w:val="PargrafodaLista"/>
        <w:numPr>
          <w:ilvl w:val="0"/>
          <w:numId w:val="5"/>
        </w:numPr>
        <w:autoSpaceDE w:val="0"/>
        <w:autoSpaceDN w:val="0"/>
        <w:adjustRightInd w:val="0"/>
        <w:spacing w:line="340" w:lineRule="exact"/>
        <w:ind w:left="567" w:hanging="567"/>
        <w:rPr>
          <w:rFonts w:cs="Arial"/>
          <w:color w:val="000000"/>
          <w:sz w:val="20"/>
          <w:szCs w:val="20"/>
        </w:rPr>
      </w:pPr>
      <w:r w:rsidRPr="00A168E0">
        <w:rPr>
          <w:rFonts w:eastAsia="Arial Unicode MS" w:cs="Tahoma"/>
          <w:sz w:val="20"/>
          <w:szCs w:val="20"/>
          <w:u w:val="single"/>
        </w:rPr>
        <w:t>Prêmio</w:t>
      </w:r>
      <w:r w:rsidR="00FB6938" w:rsidRPr="00A168E0">
        <w:rPr>
          <w:rFonts w:eastAsia="Arial Unicode MS" w:cs="Tahoma"/>
          <w:sz w:val="20"/>
          <w:szCs w:val="20"/>
        </w:rPr>
        <w:t>:</w:t>
      </w:r>
      <w:r w:rsidR="00812FF9" w:rsidRPr="00A168E0">
        <w:rPr>
          <w:rFonts w:eastAsia="Arial Unicode MS" w:cs="Tahoma"/>
          <w:sz w:val="20"/>
          <w:szCs w:val="20"/>
        </w:rPr>
        <w:t xml:space="preserve"> </w:t>
      </w:r>
      <w:r w:rsidR="00326F1E" w:rsidRPr="00A168E0">
        <w:rPr>
          <w:rFonts w:eastAsia="Arial Unicode MS" w:cs="Tahoma"/>
          <w:sz w:val="20"/>
          <w:szCs w:val="20"/>
        </w:rPr>
        <w:t>Observada a Ordem de Alocação de Recursos e sujeito à existência de saldo disponível nas Datas de Pagamento, ou, conforme o caso, na data de Vencimento Antecipado, nos termos da Escritura de Emissão, as Debêntures da Segunda Série farão jus a um prêmio de reembolso correspondente a 100% (cem por cento) do resultado financeiro positivo acumulado pela carteira dos Créditos Financeiros, entre a Data da Emissão e a primeira Data de Pagamento, e, posteriormente, entre as Datas de Pagamento, limitado ao saldo disponível na Conta Centralizadora (“</w:t>
      </w:r>
      <w:r w:rsidR="00326F1E" w:rsidRPr="00356C59">
        <w:rPr>
          <w:rFonts w:eastAsia="Arial Unicode MS" w:cs="Tahoma"/>
          <w:sz w:val="20"/>
          <w:szCs w:val="20"/>
          <w:u w:val="single"/>
        </w:rPr>
        <w:t>Prêmio de Reembolso</w:t>
      </w:r>
      <w:r w:rsidR="00326F1E" w:rsidRPr="00A168E0">
        <w:rPr>
          <w:rFonts w:eastAsia="Arial Unicode MS" w:cs="Tahoma"/>
          <w:sz w:val="20"/>
          <w:szCs w:val="20"/>
        </w:rPr>
        <w:t>”) após as deduções realizadas de acordo com a Ordem de Alocação de Recursos. As Debêntures da Primeira Série não farão jus ao Prêmio de Reembolso.</w:t>
      </w:r>
    </w:p>
    <w:p w:rsidR="00B73F46" w:rsidRPr="00A03031" w:rsidRDefault="00B73F46" w:rsidP="00027740">
      <w:pPr>
        <w:pStyle w:val="PargrafodaLista"/>
        <w:autoSpaceDE w:val="0"/>
        <w:autoSpaceDN w:val="0"/>
        <w:adjustRightInd w:val="0"/>
        <w:spacing w:line="340" w:lineRule="exact"/>
        <w:ind w:left="567" w:hanging="567"/>
        <w:rPr>
          <w:rFonts w:cs="Arial"/>
          <w:color w:val="000000"/>
          <w:sz w:val="20"/>
          <w:szCs w:val="20"/>
        </w:rPr>
      </w:pPr>
    </w:p>
    <w:p w:rsidR="00B73F46" w:rsidRPr="00975B63" w:rsidRDefault="00B73F46"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sidRPr="00356C59">
        <w:rPr>
          <w:rFonts w:eastAsia="Arial Unicode MS" w:cs="Tahoma"/>
          <w:sz w:val="20"/>
          <w:szCs w:val="20"/>
          <w:u w:val="single"/>
        </w:rPr>
        <w:t>Remuneração</w:t>
      </w:r>
      <w:r>
        <w:rPr>
          <w:rFonts w:eastAsia="Arial Unicode MS" w:cs="Tahoma"/>
          <w:sz w:val="20"/>
          <w:szCs w:val="20"/>
        </w:rPr>
        <w:t xml:space="preserve">: </w:t>
      </w:r>
      <w:r w:rsidRPr="00B73F46">
        <w:rPr>
          <w:rFonts w:eastAsia="Arial Unicode MS" w:cs="Tahoma"/>
          <w:sz w:val="20"/>
          <w:szCs w:val="20"/>
        </w:rPr>
        <w:t>Sobre o Valor Nominal Unitário ou o saldo do Valor Nominal Unitário das Debêntures da Primeira Série incidirão, a partir da data em que ocorrer a primeira integralização das Debêntures (“</w:t>
      </w:r>
      <w:r w:rsidRPr="00356C59">
        <w:rPr>
          <w:rFonts w:eastAsia="Arial Unicode MS" w:cs="Tahoma"/>
          <w:sz w:val="20"/>
          <w:szCs w:val="20"/>
          <w:u w:val="single"/>
        </w:rPr>
        <w:t>Data da Primeira Integralização</w:t>
      </w:r>
      <w:r w:rsidRPr="00B73F46">
        <w:rPr>
          <w:rFonts w:eastAsia="Arial Unicode MS" w:cs="Tahoma"/>
          <w:sz w:val="20"/>
          <w:szCs w:val="20"/>
        </w:rPr>
        <w:t xml:space="preserv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(http://www.b3.com.br) acrescida de spread ou sobretaxa de </w:t>
      </w:r>
      <w:r w:rsidR="00356C59">
        <w:rPr>
          <w:rFonts w:eastAsia="Arial Unicode MS" w:cs="Tahoma"/>
          <w:sz w:val="20"/>
          <w:szCs w:val="20"/>
        </w:rPr>
        <w:t>5</w:t>
      </w:r>
      <w:r w:rsidRPr="00B73F46">
        <w:rPr>
          <w:rFonts w:eastAsia="Arial Unicode MS" w:cs="Tahoma"/>
          <w:sz w:val="20"/>
          <w:szCs w:val="20"/>
        </w:rPr>
        <w:t>% (</w:t>
      </w:r>
      <w:r w:rsidR="00356C59">
        <w:rPr>
          <w:rFonts w:eastAsia="Arial Unicode MS" w:cs="Tahoma"/>
          <w:sz w:val="20"/>
          <w:szCs w:val="20"/>
        </w:rPr>
        <w:t>cinco por cento</w:t>
      </w:r>
      <w:r w:rsidRPr="00B73F46">
        <w:rPr>
          <w:rFonts w:eastAsia="Arial Unicode MS" w:cs="Tahoma"/>
          <w:sz w:val="20"/>
          <w:szCs w:val="20"/>
        </w:rPr>
        <w:t>) ao ano, base 252 (duzentos e cinquenta e dois) Dias Úteis (“</w:t>
      </w:r>
      <w:r w:rsidRPr="00356C59">
        <w:rPr>
          <w:rFonts w:eastAsia="Arial Unicode MS" w:cs="Tahoma"/>
          <w:sz w:val="20"/>
          <w:szCs w:val="20"/>
          <w:u w:val="single"/>
        </w:rPr>
        <w:t>Remuneração das Debêntures da Primeira Série</w:t>
      </w:r>
      <w:r w:rsidRPr="00B73F46">
        <w:rPr>
          <w:rFonts w:eastAsia="Arial Unicode MS" w:cs="Tahoma"/>
          <w:sz w:val="20"/>
          <w:szCs w:val="20"/>
        </w:rPr>
        <w:t>”).</w:t>
      </w:r>
      <w:r w:rsidR="00992CC8">
        <w:rPr>
          <w:rFonts w:eastAsia="Arial Unicode MS" w:cs="Tahoma"/>
          <w:sz w:val="20"/>
          <w:szCs w:val="20"/>
        </w:rPr>
        <w:t xml:space="preserve"> </w:t>
      </w:r>
      <w:r w:rsidRPr="00B73F46">
        <w:rPr>
          <w:rFonts w:eastAsia="Arial Unicode MS" w:cs="Tahoma"/>
          <w:sz w:val="20"/>
          <w:szCs w:val="20"/>
        </w:rPr>
        <w:t xml:space="preserve">A Remuneração das Debêntures da Primeira Série será calculada de forma exponencial e cumulativa, </w:t>
      </w:r>
      <w:r w:rsidRPr="00A03031">
        <w:rPr>
          <w:rFonts w:eastAsia="Arial Unicode MS" w:cs="Tahoma"/>
          <w:i/>
          <w:sz w:val="20"/>
          <w:szCs w:val="20"/>
        </w:rPr>
        <w:t>pro rata temporis</w:t>
      </w:r>
      <w:r w:rsidRPr="00B73F46">
        <w:rPr>
          <w:rFonts w:eastAsia="Arial Unicode MS" w:cs="Tahoma"/>
          <w:sz w:val="20"/>
          <w:szCs w:val="20"/>
        </w:rPr>
        <w:t xml:space="preserve"> por Dias Úteis decorridos, incidente sobre o Valor Nominal Unitário ou sobre o saldo do Valor Nominal Unitário, desde a Data da Primeira Integralização da Primeira Série ou a Data de Pagamento da Remuneração da Primeira Série imediatamente anterior em que ocorra pagamento da Remuneração das Debêntures da Primeira Série, conforme o caso, (inclusive), até a data do seu efetivo pagamento (exclusive), calculada de acordo com</w:t>
      </w:r>
      <w:r>
        <w:rPr>
          <w:rFonts w:eastAsia="Arial Unicode MS" w:cs="Tahoma"/>
          <w:sz w:val="20"/>
          <w:szCs w:val="20"/>
        </w:rPr>
        <w:t xml:space="preserve"> o quanto disposto na Escritura de Emissão. </w:t>
      </w:r>
      <w:r w:rsidRPr="00B73F46">
        <w:rPr>
          <w:rFonts w:eastAsia="Arial Unicode MS" w:cs="Tahoma"/>
          <w:sz w:val="20"/>
          <w:szCs w:val="20"/>
        </w:rPr>
        <w:t>As Debêntures da Segunda Série não farão jus a qualquer remuneração.</w:t>
      </w:r>
    </w:p>
    <w:p w:rsidR="00975B63" w:rsidRPr="00975B63" w:rsidRDefault="00975B63" w:rsidP="00027740">
      <w:pPr>
        <w:pStyle w:val="PargrafodaLista"/>
        <w:autoSpaceDE w:val="0"/>
        <w:autoSpaceDN w:val="0"/>
        <w:adjustRightInd w:val="0"/>
        <w:spacing w:line="340" w:lineRule="exact"/>
        <w:ind w:left="567" w:hanging="567"/>
        <w:rPr>
          <w:rFonts w:cs="Arial"/>
          <w:color w:val="000000"/>
          <w:sz w:val="20"/>
          <w:szCs w:val="20"/>
        </w:rPr>
      </w:pPr>
    </w:p>
    <w:p w:rsidR="00975B63" w:rsidRDefault="00975B63"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Pr>
          <w:rFonts w:cs="Arial"/>
          <w:color w:val="000000"/>
          <w:sz w:val="20"/>
          <w:szCs w:val="20"/>
          <w:u w:val="single"/>
        </w:rPr>
        <w:t>Repactuação Programada</w:t>
      </w:r>
      <w:r>
        <w:rPr>
          <w:rFonts w:cs="Arial"/>
          <w:color w:val="000000"/>
          <w:sz w:val="20"/>
          <w:szCs w:val="20"/>
        </w:rPr>
        <w:t xml:space="preserve">: As Debêntures não serão objeto de repactuação programada. </w:t>
      </w:r>
    </w:p>
    <w:p w:rsidR="005F4D2F" w:rsidRPr="00AD039D" w:rsidRDefault="005F4D2F" w:rsidP="00027740">
      <w:pPr>
        <w:autoSpaceDE w:val="0"/>
        <w:autoSpaceDN w:val="0"/>
        <w:adjustRightInd w:val="0"/>
        <w:spacing w:line="340" w:lineRule="exact"/>
        <w:ind w:left="567" w:hanging="567"/>
        <w:rPr>
          <w:rFonts w:cs="Arial"/>
          <w:color w:val="000000"/>
          <w:sz w:val="20"/>
          <w:szCs w:val="20"/>
        </w:rPr>
      </w:pPr>
    </w:p>
    <w:p w:rsidR="00AD039D" w:rsidRDefault="00FB6938" w:rsidP="00FD72A0">
      <w:pPr>
        <w:pStyle w:val="PargrafodaLista"/>
        <w:numPr>
          <w:ilvl w:val="0"/>
          <w:numId w:val="5"/>
        </w:numPr>
        <w:ind w:left="567" w:hanging="567"/>
        <w:rPr>
          <w:rFonts w:cs="Arial"/>
          <w:color w:val="000000"/>
          <w:sz w:val="20"/>
          <w:szCs w:val="20"/>
        </w:rPr>
      </w:pPr>
      <w:r w:rsidRPr="00C27CD9">
        <w:rPr>
          <w:rFonts w:cs="Arial"/>
          <w:color w:val="000000"/>
          <w:sz w:val="20"/>
          <w:szCs w:val="20"/>
          <w:u w:val="single"/>
        </w:rPr>
        <w:t xml:space="preserve">Resgate Antecipado </w:t>
      </w:r>
      <w:r w:rsidR="00812FF9" w:rsidRPr="00C27CD9">
        <w:rPr>
          <w:rFonts w:cs="Arial"/>
          <w:color w:val="000000"/>
          <w:sz w:val="20"/>
          <w:szCs w:val="20"/>
          <w:u w:val="single"/>
        </w:rPr>
        <w:t>Total Facultativo</w:t>
      </w:r>
      <w:r w:rsidRPr="00C27CD9">
        <w:rPr>
          <w:rFonts w:cs="Arial"/>
          <w:color w:val="000000"/>
          <w:sz w:val="20"/>
          <w:szCs w:val="20"/>
        </w:rPr>
        <w:t xml:space="preserve">: </w:t>
      </w:r>
      <w:r w:rsidR="00356C59" w:rsidRPr="00C27CD9">
        <w:rPr>
          <w:rFonts w:cs="Arial"/>
          <w:color w:val="000000"/>
          <w:sz w:val="20"/>
          <w:szCs w:val="20"/>
        </w:rPr>
        <w:t>A Emissora poderá realizar oferta de resgate da totalidade das Debêntures emitiras e integralizadas, a qualquer momento, a partir da Data de Integralização das Debêntures (“</w:t>
      </w:r>
      <w:r w:rsidR="00356C59" w:rsidRPr="00C27CD9">
        <w:rPr>
          <w:rFonts w:cs="Arial"/>
          <w:color w:val="000000"/>
          <w:sz w:val="20"/>
          <w:szCs w:val="20"/>
          <w:u w:val="single"/>
        </w:rPr>
        <w:t>Resgate Antecipado</w:t>
      </w:r>
      <w:r w:rsidR="00356C59" w:rsidRPr="00C27CD9">
        <w:rPr>
          <w:rFonts w:cs="Arial"/>
          <w:color w:val="000000"/>
          <w:sz w:val="20"/>
          <w:szCs w:val="20"/>
        </w:rPr>
        <w:t>” e “</w:t>
      </w:r>
      <w:r w:rsidR="00356C59" w:rsidRPr="00C27CD9">
        <w:rPr>
          <w:rFonts w:cs="Arial"/>
          <w:color w:val="000000"/>
          <w:sz w:val="20"/>
          <w:szCs w:val="20"/>
          <w:u w:val="single"/>
        </w:rPr>
        <w:t>Oferta de Resgate Antecipado</w:t>
      </w:r>
      <w:r w:rsidR="00356C59" w:rsidRPr="00C27CD9">
        <w:rPr>
          <w:rFonts w:cs="Arial"/>
          <w:color w:val="000000"/>
          <w:sz w:val="20"/>
          <w:szCs w:val="20"/>
        </w:rPr>
        <w:t>”, respectivamente). A Oferta de Resgate Antecipado deverá ser realizada pela Emissora mediante comunicação escrita (inclusive por e-mail) à totalidade dos Debenturistas com cópia para o Agente Fiduciário e/ou mediante publicação de aviso aos Debenturistas nos termos do item 3.27 da Escritura, com antecedência mínima de 10 (dez) Dias Úteis da data do efetivo resgate, sendo que referida comunicação deverá abranger: (i) a data pretendida em que a Emissora pretende realizar o Resgate Antecipado (“</w:t>
      </w:r>
      <w:r w:rsidR="00356C59" w:rsidRPr="00C27CD9">
        <w:rPr>
          <w:rFonts w:cs="Arial"/>
          <w:color w:val="000000"/>
          <w:sz w:val="20"/>
          <w:szCs w:val="20"/>
          <w:u w:val="single"/>
        </w:rPr>
        <w:t>Data de Resgate Antecipado</w:t>
      </w:r>
      <w:r w:rsidR="00356C59" w:rsidRPr="00C27CD9">
        <w:rPr>
          <w:rFonts w:cs="Arial"/>
          <w:color w:val="000000"/>
          <w:sz w:val="20"/>
          <w:szCs w:val="20"/>
        </w:rPr>
        <w:t xml:space="preserve">”), que não poderá ser inferior a 20 (vinte) Dias Úteis do envio da comunicação de que trata </w:t>
      </w:r>
      <w:r w:rsidR="00C27CD9" w:rsidRPr="00C27CD9">
        <w:rPr>
          <w:rFonts w:cs="Arial"/>
          <w:color w:val="000000"/>
          <w:sz w:val="20"/>
          <w:szCs w:val="20"/>
        </w:rPr>
        <w:t>o</w:t>
      </w:r>
      <w:r w:rsidR="00356C59" w:rsidRPr="00C27CD9">
        <w:rPr>
          <w:rFonts w:cs="Arial"/>
          <w:color w:val="000000"/>
          <w:sz w:val="20"/>
          <w:szCs w:val="20"/>
        </w:rPr>
        <w:t xml:space="preserve"> item 3.19.1</w:t>
      </w:r>
      <w:r w:rsidR="00C27CD9" w:rsidRPr="00C27CD9">
        <w:rPr>
          <w:rFonts w:cs="Arial"/>
          <w:color w:val="000000"/>
          <w:sz w:val="20"/>
          <w:szCs w:val="20"/>
        </w:rPr>
        <w:t xml:space="preserve"> da Escritura</w:t>
      </w:r>
      <w:r w:rsidR="00356C59" w:rsidRPr="00C27CD9">
        <w:rPr>
          <w:rFonts w:cs="Arial"/>
          <w:color w:val="000000"/>
          <w:sz w:val="20"/>
          <w:szCs w:val="20"/>
        </w:rPr>
        <w:t xml:space="preserve">; (ii) o valor a ser pago pelas Debêntures a serem resgatadas, que, na data do envio da Oferta de Resgate Antecipado, será estimado, mas que, na Data do Resgate Antecipado,  deverá incluir, no caso das (a) Debêntures da Primeira Série, o saldo do Valor Nominal Unitário das Debêntures da Primeira Série, acrescido da Remuneração das Debêntures da Primeira Série, calculados </w:t>
      </w:r>
      <w:r w:rsidR="00356C59" w:rsidRPr="00C27CD9">
        <w:rPr>
          <w:rFonts w:cs="Arial"/>
          <w:i/>
          <w:color w:val="000000"/>
          <w:sz w:val="20"/>
          <w:szCs w:val="20"/>
        </w:rPr>
        <w:t>pro rata temporis</w:t>
      </w:r>
      <w:r w:rsidR="00356C59" w:rsidRPr="00C27CD9">
        <w:rPr>
          <w:rFonts w:cs="Arial"/>
          <w:color w:val="000000"/>
          <w:sz w:val="20"/>
          <w:szCs w:val="20"/>
        </w:rPr>
        <w:t>, desde a Data da Primeira Integralização até a Data de Resgate Antecipado ou desde a última Data de Pagamento da Remuneração das Debêntures da Primeira Série até a Data de Resgate Antecipado, conforme o caso, e, no caso das (b) Debêntures da Segunda Série, o saldo do Valor Nominal Unitário das Debêntures da Segunda Série e eventual Prêmio de Reembolso; (iii) a indicação de prêmio pela realização do resgate antecipado (se houver); e (iv) demais informações necessárias para a operacionalização do Resgate Antecipado.</w:t>
      </w:r>
      <w:r w:rsidR="00C27CD9" w:rsidRPr="00C27CD9">
        <w:rPr>
          <w:rFonts w:cs="Arial"/>
          <w:color w:val="000000"/>
          <w:sz w:val="20"/>
          <w:szCs w:val="20"/>
        </w:rPr>
        <w:t xml:space="preserve"> Uma vez realizada a comunicação da Oferta de Resgate Antecipado, a Emissora deverá realizar uma Assembleia Geral de Debenturistas, na forma da Cláusula 5ª da Escritura, para que os Debenturistas decidam pela realização do Resgate Antecipado das Debêntures. O pagamento da totalidade das Debêntures objeto do Resgate Antecipado deverá ser realizado de acordo com os procedimentos adotados pela B3, conforme o caso, sendo que a B3 deverá ser comunicada com pelo menos 3 (três) Dias Úteis de antecedência. Caso as Debêntures não estejam custodiadas eletronicamente na B3, o pagamento será realizado de acordo com os procedimentos do Escriturador.</w:t>
      </w:r>
    </w:p>
    <w:p w:rsidR="00C27CD9" w:rsidRPr="00C27CD9" w:rsidRDefault="00C27CD9" w:rsidP="00C27CD9">
      <w:pPr>
        <w:pStyle w:val="PargrafodaLista"/>
        <w:ind w:left="567"/>
        <w:rPr>
          <w:rFonts w:cs="Arial"/>
          <w:color w:val="000000"/>
          <w:sz w:val="20"/>
          <w:szCs w:val="20"/>
        </w:rPr>
      </w:pPr>
    </w:p>
    <w:p w:rsidR="00812FF9" w:rsidRPr="00975B63" w:rsidRDefault="00812FF9"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sidRPr="00975B63">
        <w:rPr>
          <w:rFonts w:cs="Arial"/>
          <w:color w:val="000000"/>
          <w:sz w:val="20"/>
          <w:szCs w:val="20"/>
          <w:u w:val="single"/>
        </w:rPr>
        <w:t>Garantias:</w:t>
      </w:r>
      <w:r w:rsidRPr="00975B63">
        <w:rPr>
          <w:rFonts w:cs="Arial"/>
          <w:color w:val="000000"/>
          <w:sz w:val="20"/>
          <w:szCs w:val="20"/>
        </w:rPr>
        <w:t xml:space="preserve"> Não serão constituídas garantias em favor dos Debenturistas no âmbito da </w:t>
      </w:r>
      <w:r w:rsidRPr="00975B63">
        <w:rPr>
          <w:rFonts w:cs="Arial"/>
          <w:color w:val="000000"/>
          <w:sz w:val="20"/>
          <w:szCs w:val="20"/>
        </w:rPr>
        <w:lastRenderedPageBreak/>
        <w:t>Emissão, considerando a espécie subordinada das Debêntures. Não existem quaisquer garantias incidentes sobre as CCB adquiridas ou, ainda, sobre sua remuneração, existindo apenas o compromisso da Emissora de utilizar seu produto para pagamento do Valor Nominal e da Remuneração das Debêntures.</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5F4D2F" w:rsidRPr="0013683E"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sidRPr="0013683E">
        <w:rPr>
          <w:rFonts w:cs="Arial"/>
          <w:color w:val="000000"/>
          <w:sz w:val="20"/>
          <w:szCs w:val="20"/>
          <w:u w:val="single"/>
        </w:rPr>
        <w:t xml:space="preserve">Substituição </w:t>
      </w:r>
      <w:r w:rsidR="0013683E" w:rsidRPr="0013683E">
        <w:rPr>
          <w:rFonts w:cs="Arial"/>
          <w:color w:val="000000"/>
          <w:sz w:val="20"/>
          <w:szCs w:val="20"/>
          <w:u w:val="single"/>
        </w:rPr>
        <w:t>do Agente Fiduciário</w:t>
      </w:r>
      <w:r w:rsidRPr="0013683E">
        <w:rPr>
          <w:rFonts w:cs="Arial"/>
          <w:color w:val="000000"/>
          <w:sz w:val="20"/>
          <w:szCs w:val="20"/>
        </w:rPr>
        <w:t xml:space="preserve">: </w:t>
      </w:r>
      <w:r w:rsidR="0013683E" w:rsidRPr="0013683E">
        <w:rPr>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Na hipótese de a convocação não ocorrer até 15 (quinze) dias antes do término do prazo acima citado, caberá à Emissora efetuá-la. A remuneração do novo agente fiduciário será a mesma já prevista </w:t>
      </w:r>
      <w:r w:rsidR="00FD2F91">
        <w:rPr>
          <w:sz w:val="20"/>
          <w:szCs w:val="20"/>
        </w:rPr>
        <w:t xml:space="preserve">na </w:t>
      </w:r>
      <w:r w:rsidR="0013683E" w:rsidRPr="0013683E">
        <w:rPr>
          <w:sz w:val="20"/>
          <w:szCs w:val="20"/>
        </w:rPr>
        <w:t xml:space="preserve">Escritura de Emissão, salvo se outra for negociada com a Emissora. Na hipótese de não poder o Agente Fiduciário continuar a exercer as suas funções por circunstâncias supervenientes </w:t>
      </w:r>
      <w:r w:rsidR="0013683E">
        <w:rPr>
          <w:sz w:val="20"/>
          <w:szCs w:val="20"/>
        </w:rPr>
        <w:t xml:space="preserve">à </w:t>
      </w:r>
      <w:r w:rsidR="0013683E" w:rsidRPr="0013683E">
        <w:rPr>
          <w:sz w:val="20"/>
          <w:szCs w:val="20"/>
        </w:rPr>
        <w:t>Escritura de Emissão, este deverá comunicar imediatamente o fato aos Debenturistas e à Emissora, mediante convocação de Assembleia Geral de Debenturistas, solicitando sua substituição.</w:t>
      </w:r>
      <w:r w:rsidR="0013683E">
        <w:rPr>
          <w:sz w:val="20"/>
          <w:szCs w:val="20"/>
        </w:rPr>
        <w:t xml:space="preserve"> </w:t>
      </w:r>
      <w:r w:rsidR="0013683E" w:rsidRPr="0013683E">
        <w:rPr>
          <w:sz w:val="20"/>
          <w:szCs w:val="20"/>
        </w:rPr>
        <w:t>É facultado aos Debenturistas, após o encerramento do prazo para a distribuição das Debêntures no mercado, proceder à substituição do Agente Fiduciário e à indicação de seu substituto, em Assembleia Geral especialmente convocada para esse fim</w:t>
      </w:r>
      <w:r w:rsidR="0013683E">
        <w:rPr>
          <w:sz w:val="20"/>
          <w:szCs w:val="20"/>
        </w:rPr>
        <w:t>.</w:t>
      </w:r>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253579" w:rsidRPr="00D23E87"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sidRPr="00D23E87">
        <w:rPr>
          <w:sz w:val="20"/>
          <w:szCs w:val="20"/>
          <w:u w:val="single"/>
        </w:rPr>
        <w:t>Prorrogação dos Prazos</w:t>
      </w:r>
      <w:r w:rsidRPr="00D23E87">
        <w:rPr>
          <w:sz w:val="20"/>
          <w:szCs w:val="20"/>
        </w:rPr>
        <w:t xml:space="preserve">: </w:t>
      </w:r>
      <w:r w:rsidRPr="00D23E87">
        <w:rPr>
          <w:rFonts w:cs="Tahoma"/>
          <w:sz w:val="20"/>
          <w:szCs w:val="20"/>
        </w:rPr>
        <w:t xml:space="preserve">Considerar-se-ão prorrogados os prazos referentes ao pagamento de qualquer obrigação pecuniária prevista </w:t>
      </w:r>
      <w:r w:rsidR="00FD2F91" w:rsidRPr="00D23E87">
        <w:rPr>
          <w:rFonts w:cs="Tahoma"/>
          <w:sz w:val="20"/>
          <w:szCs w:val="20"/>
        </w:rPr>
        <w:t>na</w:t>
      </w:r>
      <w:r w:rsidRPr="00D23E87">
        <w:rPr>
          <w:rFonts w:cs="Tahoma"/>
          <w:sz w:val="20"/>
          <w:szCs w:val="20"/>
        </w:rPr>
        <w:t xml:space="preserve"> Escritura de Emissão, até o Dia Útil imediatamente subsequente, se o respectivo vencimento coincidir com feriados declarados nacionais, sábados ou domingos, sem nenhum acréscimo aos valores a serem pagos</w:t>
      </w:r>
      <w:r w:rsidR="00253579" w:rsidRPr="00D23E87">
        <w:rPr>
          <w:rFonts w:cs="Tahoma"/>
          <w:sz w:val="20"/>
          <w:szCs w:val="20"/>
        </w:rPr>
        <w:t>.</w:t>
      </w:r>
    </w:p>
    <w:p w:rsidR="00253579" w:rsidRPr="00253579" w:rsidRDefault="00253579" w:rsidP="00027740">
      <w:pPr>
        <w:pStyle w:val="PargrafodaLista"/>
        <w:autoSpaceDE w:val="0"/>
        <w:autoSpaceDN w:val="0"/>
        <w:adjustRightInd w:val="0"/>
        <w:spacing w:line="340" w:lineRule="exact"/>
        <w:ind w:left="567" w:hanging="567"/>
        <w:rPr>
          <w:rFonts w:cs="Arial"/>
          <w:color w:val="000000"/>
          <w:sz w:val="20"/>
          <w:szCs w:val="20"/>
        </w:rPr>
      </w:pPr>
    </w:p>
    <w:p w:rsidR="005F4D2F" w:rsidRPr="00253579"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sidRPr="00253579">
        <w:rPr>
          <w:rFonts w:cs="Tahoma"/>
          <w:sz w:val="20"/>
          <w:szCs w:val="20"/>
          <w:u w:val="single"/>
        </w:rPr>
        <w:t>Encargos Moratórios</w:t>
      </w:r>
      <w:r w:rsidRPr="00253579">
        <w:rPr>
          <w:rFonts w:cs="Tahoma"/>
          <w:sz w:val="20"/>
          <w:szCs w:val="20"/>
        </w:rPr>
        <w:t xml:space="preserve">: </w:t>
      </w:r>
      <w:r w:rsidR="00253579" w:rsidRPr="00253579">
        <w:rPr>
          <w:rFonts w:cs="Tahoma"/>
          <w:sz w:val="20"/>
          <w:szCs w:val="20"/>
        </w:rPr>
        <w:t>Ocorrendo impontualidade no pagamento de qualquer quantia devida ao Debenturista, os débitos em atraso ficarão sujeitos a (i) juros de mora calculados desde a data do vencimento, inclusive, até a data do efetivo pagamento, exclusive, pela taxa de 1% (um por cento) ao mês sobre o montante devido, independentemente de aviso, notificação ou interpelação judicial ou extrajudicial, e (ii) multa moratória convencional, irredutível e de natureza compensatória, de 2% (dois por cento) sobre o valor devido e não pago.</w:t>
      </w:r>
    </w:p>
    <w:p w:rsidR="002220A5" w:rsidRPr="002220A5" w:rsidRDefault="002220A5" w:rsidP="00027740">
      <w:pPr>
        <w:pStyle w:val="PargrafodaLista"/>
        <w:autoSpaceDE w:val="0"/>
        <w:autoSpaceDN w:val="0"/>
        <w:adjustRightInd w:val="0"/>
        <w:spacing w:line="340" w:lineRule="exact"/>
        <w:ind w:left="567" w:hanging="567"/>
        <w:rPr>
          <w:rFonts w:cs="Arial"/>
          <w:color w:val="000000"/>
          <w:sz w:val="20"/>
          <w:szCs w:val="20"/>
        </w:rPr>
      </w:pPr>
    </w:p>
    <w:p w:rsidR="005F4D2F"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rPr>
      </w:pPr>
      <w:r>
        <w:rPr>
          <w:rFonts w:cs="Tahoma"/>
          <w:sz w:val="20"/>
          <w:szCs w:val="20"/>
          <w:u w:val="single"/>
        </w:rPr>
        <w:lastRenderedPageBreak/>
        <w:t>Publicidade e Comunicações</w:t>
      </w:r>
      <w:r>
        <w:rPr>
          <w:rFonts w:cs="Tahoma"/>
          <w:sz w:val="20"/>
          <w:szCs w:val="20"/>
        </w:rPr>
        <w:t xml:space="preserve">: </w:t>
      </w:r>
      <w:bookmarkStart w:id="16" w:name="_Ref497552857"/>
      <w:r>
        <w:rPr>
          <w:rFonts w:cs="Tahoma"/>
          <w:sz w:val="20"/>
          <w:szCs w:val="20"/>
        </w:rPr>
        <w:t xml:space="preserve">Todos os atos e decisões relevantes decorrentes da Emissão que, de qualquer forma, vierem a envolver, direta ou indiretamente, os interesses dos Debenturistas deverão </w:t>
      </w:r>
      <w:r>
        <w:rPr>
          <w:rFonts w:cs="Tahoma"/>
          <w:b/>
          <w:sz w:val="20"/>
          <w:szCs w:val="20"/>
        </w:rPr>
        <w:t>(i)</w:t>
      </w:r>
      <w:r>
        <w:rPr>
          <w:rFonts w:cs="Tahoma"/>
          <w:sz w:val="20"/>
          <w:szCs w:val="20"/>
        </w:rPr>
        <w:t> ser publicados nos órgãos de imprensa nos quais a Emissora costuma efetuar suas publicações, se assim for requerido pela regulamentação e legislação aplicável,</w:t>
      </w:r>
      <w:r w:rsidR="00812FF9">
        <w:rPr>
          <w:rFonts w:cs="Tahoma"/>
          <w:sz w:val="20"/>
          <w:szCs w:val="20"/>
        </w:rPr>
        <w:t xml:space="preserve"> </w:t>
      </w:r>
      <w:r w:rsidR="00812FF9" w:rsidRPr="00812FF9">
        <w:rPr>
          <w:rFonts w:cs="Tahoma"/>
          <w:sz w:val="20"/>
          <w:szCs w:val="20"/>
        </w:rPr>
        <w:t xml:space="preserve">devendo a Emissora encaminhar a publicação ao Agente Fiduciário; </w:t>
      </w:r>
      <w:r>
        <w:rPr>
          <w:rFonts w:cs="Tahoma"/>
          <w:sz w:val="20"/>
          <w:szCs w:val="20"/>
        </w:rPr>
        <w:t xml:space="preserve">ou </w:t>
      </w:r>
      <w:r>
        <w:rPr>
          <w:rFonts w:cs="Tahoma"/>
          <w:b/>
          <w:sz w:val="20"/>
          <w:szCs w:val="20"/>
        </w:rPr>
        <w:t>(ii)</w:t>
      </w:r>
      <w:r>
        <w:rPr>
          <w:rFonts w:cs="Tahoma"/>
          <w:sz w:val="20"/>
          <w:szCs w:val="20"/>
        </w:rPr>
        <w:t> comunicados aos Debenturistas,</w:t>
      </w:r>
      <w:r w:rsidR="00812FF9">
        <w:rPr>
          <w:rFonts w:cs="Tahoma"/>
          <w:sz w:val="20"/>
          <w:szCs w:val="20"/>
        </w:rPr>
        <w:t xml:space="preserve"> </w:t>
      </w:r>
      <w:r w:rsidR="00812FF9" w:rsidRPr="00812FF9">
        <w:rPr>
          <w:rFonts w:cs="Tahoma"/>
          <w:sz w:val="20"/>
          <w:szCs w:val="20"/>
        </w:rPr>
        <w:t>com cópia para o Agente Fiduciário,</w:t>
      </w:r>
      <w:r w:rsidR="00812FF9">
        <w:rPr>
          <w:rFonts w:cs="Tahoma"/>
          <w:sz w:val="20"/>
          <w:szCs w:val="20"/>
        </w:rPr>
        <w:t xml:space="preserve"> </w:t>
      </w:r>
      <w:r>
        <w:rPr>
          <w:rFonts w:cs="Tahoma"/>
          <w:sz w:val="20"/>
          <w:szCs w:val="20"/>
        </w:rPr>
        <w:t xml:space="preserve">por meio de comunicação escrita (inclusive </w:t>
      </w:r>
      <w:r>
        <w:rPr>
          <w:rFonts w:cs="Tahoma"/>
          <w:i/>
          <w:sz w:val="20"/>
          <w:szCs w:val="20"/>
        </w:rPr>
        <w:t>e-mail</w:t>
      </w:r>
      <w:r>
        <w:rPr>
          <w:rFonts w:cs="Tahoma"/>
          <w:sz w:val="20"/>
          <w:szCs w:val="20"/>
        </w:rPr>
        <w:t>), com cópia para o Agente Fiduciário, bem como disponibilizado na página da Emissora na rede mundial de computadores – internet.</w:t>
      </w:r>
      <w:bookmarkEnd w:id="16"/>
    </w:p>
    <w:p w:rsidR="005F4D2F" w:rsidRDefault="005F4D2F" w:rsidP="00027740">
      <w:pPr>
        <w:pStyle w:val="PargrafodaLista"/>
        <w:autoSpaceDE w:val="0"/>
        <w:autoSpaceDN w:val="0"/>
        <w:adjustRightInd w:val="0"/>
        <w:spacing w:line="340" w:lineRule="exact"/>
        <w:ind w:left="567" w:hanging="567"/>
        <w:rPr>
          <w:rFonts w:cs="Arial"/>
          <w:color w:val="000000"/>
          <w:sz w:val="20"/>
          <w:szCs w:val="20"/>
        </w:rPr>
      </w:pPr>
    </w:p>
    <w:p w:rsidR="009F5BA9" w:rsidRPr="00BA2399" w:rsidRDefault="00FB6938" w:rsidP="00027740">
      <w:pPr>
        <w:pStyle w:val="PargrafodaLista"/>
        <w:numPr>
          <w:ilvl w:val="0"/>
          <w:numId w:val="5"/>
        </w:numPr>
        <w:autoSpaceDE w:val="0"/>
        <w:autoSpaceDN w:val="0"/>
        <w:adjustRightInd w:val="0"/>
        <w:spacing w:line="340" w:lineRule="exact"/>
        <w:ind w:left="567" w:hanging="567"/>
        <w:rPr>
          <w:rFonts w:cs="Arial"/>
          <w:color w:val="000000"/>
          <w:sz w:val="20"/>
          <w:szCs w:val="20"/>
          <w:lang w:val="x-none"/>
        </w:rPr>
      </w:pPr>
      <w:r w:rsidRPr="00BA2399">
        <w:rPr>
          <w:rFonts w:cs="Arial"/>
          <w:color w:val="000000"/>
          <w:sz w:val="20"/>
          <w:szCs w:val="20"/>
          <w:u w:val="single"/>
        </w:rPr>
        <w:t>Demais Características</w:t>
      </w:r>
      <w:r w:rsidRPr="00BA2399">
        <w:rPr>
          <w:rFonts w:cs="Arial"/>
          <w:color w:val="000000"/>
          <w:sz w:val="20"/>
          <w:szCs w:val="20"/>
        </w:rPr>
        <w:t>:</w:t>
      </w:r>
      <w:r w:rsidRPr="00BA2399">
        <w:rPr>
          <w:b/>
          <w:sz w:val="20"/>
          <w:szCs w:val="20"/>
        </w:rPr>
        <w:t xml:space="preserve"> </w:t>
      </w:r>
      <w:r w:rsidRPr="00BA2399">
        <w:rPr>
          <w:spacing w:val="-1"/>
          <w:sz w:val="20"/>
          <w:szCs w:val="20"/>
        </w:rPr>
        <w:t>a</w:t>
      </w:r>
      <w:r w:rsidRPr="00BA2399">
        <w:rPr>
          <w:sz w:val="20"/>
          <w:szCs w:val="20"/>
        </w:rPr>
        <w:t>s</w:t>
      </w:r>
      <w:r w:rsidRPr="00BA2399">
        <w:rPr>
          <w:spacing w:val="-8"/>
          <w:sz w:val="20"/>
          <w:szCs w:val="20"/>
        </w:rPr>
        <w:t xml:space="preserve"> </w:t>
      </w:r>
      <w:r w:rsidRPr="00BA2399">
        <w:rPr>
          <w:sz w:val="20"/>
          <w:szCs w:val="20"/>
        </w:rPr>
        <w:t>d</w:t>
      </w:r>
      <w:r w:rsidRPr="00BA2399">
        <w:rPr>
          <w:spacing w:val="-1"/>
          <w:sz w:val="20"/>
          <w:szCs w:val="20"/>
        </w:rPr>
        <w:t>e</w:t>
      </w:r>
      <w:r w:rsidRPr="00BA2399">
        <w:rPr>
          <w:sz w:val="20"/>
          <w:szCs w:val="20"/>
        </w:rPr>
        <w:t>m</w:t>
      </w:r>
      <w:r w:rsidRPr="00BA2399">
        <w:rPr>
          <w:spacing w:val="-1"/>
          <w:sz w:val="20"/>
          <w:szCs w:val="20"/>
        </w:rPr>
        <w:t>a</w:t>
      </w:r>
      <w:r w:rsidRPr="00BA2399">
        <w:rPr>
          <w:sz w:val="20"/>
          <w:szCs w:val="20"/>
        </w:rPr>
        <w:t>is</w:t>
      </w:r>
      <w:r w:rsidRPr="00BA2399">
        <w:rPr>
          <w:spacing w:val="-8"/>
          <w:sz w:val="20"/>
          <w:szCs w:val="20"/>
        </w:rPr>
        <w:t xml:space="preserve"> </w:t>
      </w:r>
      <w:r w:rsidRPr="00BA2399">
        <w:rPr>
          <w:spacing w:val="-1"/>
          <w:sz w:val="20"/>
          <w:szCs w:val="20"/>
        </w:rPr>
        <w:t>ca</w:t>
      </w:r>
      <w:r w:rsidRPr="00BA2399">
        <w:rPr>
          <w:spacing w:val="1"/>
          <w:sz w:val="20"/>
          <w:szCs w:val="20"/>
        </w:rPr>
        <w:t>r</w:t>
      </w:r>
      <w:r w:rsidRPr="00BA2399">
        <w:rPr>
          <w:spacing w:val="-1"/>
          <w:sz w:val="20"/>
          <w:szCs w:val="20"/>
        </w:rPr>
        <w:t>ac</w:t>
      </w:r>
      <w:r w:rsidRPr="00BA2399">
        <w:rPr>
          <w:sz w:val="20"/>
          <w:szCs w:val="20"/>
        </w:rPr>
        <w:t>t</w:t>
      </w:r>
      <w:r w:rsidRPr="00BA2399">
        <w:rPr>
          <w:spacing w:val="1"/>
          <w:sz w:val="20"/>
          <w:szCs w:val="20"/>
        </w:rPr>
        <w:t>e</w:t>
      </w:r>
      <w:r w:rsidRPr="00BA2399">
        <w:rPr>
          <w:spacing w:val="-1"/>
          <w:sz w:val="20"/>
          <w:szCs w:val="20"/>
        </w:rPr>
        <w:t>r</w:t>
      </w:r>
      <w:r w:rsidRPr="00BA2399">
        <w:rPr>
          <w:sz w:val="20"/>
          <w:szCs w:val="20"/>
        </w:rPr>
        <w:t>ísti</w:t>
      </w:r>
      <w:r w:rsidRPr="00BA2399">
        <w:rPr>
          <w:spacing w:val="-1"/>
          <w:sz w:val="20"/>
          <w:szCs w:val="20"/>
        </w:rPr>
        <w:t>ca</w:t>
      </w:r>
      <w:r w:rsidRPr="00BA2399">
        <w:rPr>
          <w:sz w:val="20"/>
          <w:szCs w:val="20"/>
        </w:rPr>
        <w:t>s</w:t>
      </w:r>
      <w:r w:rsidRPr="00BA2399">
        <w:rPr>
          <w:spacing w:val="-6"/>
          <w:sz w:val="20"/>
          <w:szCs w:val="20"/>
        </w:rPr>
        <w:t xml:space="preserve"> </w:t>
      </w:r>
      <w:r w:rsidRPr="00BA2399">
        <w:rPr>
          <w:sz w:val="20"/>
          <w:szCs w:val="20"/>
        </w:rPr>
        <w:t>d</w:t>
      </w:r>
      <w:r w:rsidRPr="00BA2399">
        <w:rPr>
          <w:spacing w:val="-1"/>
          <w:sz w:val="20"/>
          <w:szCs w:val="20"/>
        </w:rPr>
        <w:t>a</w:t>
      </w:r>
      <w:r w:rsidRPr="00BA2399">
        <w:rPr>
          <w:sz w:val="20"/>
          <w:szCs w:val="20"/>
        </w:rPr>
        <w:t>s</w:t>
      </w:r>
      <w:r w:rsidRPr="00BA2399">
        <w:rPr>
          <w:spacing w:val="-8"/>
          <w:sz w:val="20"/>
          <w:szCs w:val="20"/>
        </w:rPr>
        <w:t xml:space="preserve"> </w:t>
      </w:r>
      <w:r w:rsidRPr="00BA2399">
        <w:rPr>
          <w:spacing w:val="-1"/>
          <w:sz w:val="20"/>
          <w:szCs w:val="20"/>
        </w:rPr>
        <w:t>De</w:t>
      </w:r>
      <w:r w:rsidRPr="00BA2399">
        <w:rPr>
          <w:sz w:val="20"/>
          <w:szCs w:val="20"/>
        </w:rPr>
        <w:t>b</w:t>
      </w:r>
      <w:r w:rsidRPr="00BA2399">
        <w:rPr>
          <w:spacing w:val="-1"/>
          <w:sz w:val="20"/>
          <w:szCs w:val="20"/>
        </w:rPr>
        <w:t>ê</w:t>
      </w:r>
      <w:r w:rsidRPr="00BA2399">
        <w:rPr>
          <w:sz w:val="20"/>
          <w:szCs w:val="20"/>
        </w:rPr>
        <w:t>ntu</w:t>
      </w:r>
      <w:r w:rsidRPr="00BA2399">
        <w:rPr>
          <w:spacing w:val="1"/>
          <w:sz w:val="20"/>
          <w:szCs w:val="20"/>
        </w:rPr>
        <w:t>r</w:t>
      </w:r>
      <w:r w:rsidRPr="00BA2399">
        <w:rPr>
          <w:spacing w:val="-1"/>
          <w:sz w:val="20"/>
          <w:szCs w:val="20"/>
        </w:rPr>
        <w:t>e</w:t>
      </w:r>
      <w:r w:rsidRPr="00BA2399">
        <w:rPr>
          <w:sz w:val="20"/>
          <w:szCs w:val="20"/>
        </w:rPr>
        <w:t>s</w:t>
      </w:r>
      <w:r w:rsidRPr="00BA2399">
        <w:rPr>
          <w:spacing w:val="-8"/>
          <w:sz w:val="20"/>
          <w:szCs w:val="20"/>
        </w:rPr>
        <w:t xml:space="preserve"> </w:t>
      </w:r>
      <w:r w:rsidRPr="00BA2399">
        <w:rPr>
          <w:spacing w:val="-1"/>
          <w:sz w:val="20"/>
          <w:szCs w:val="20"/>
        </w:rPr>
        <w:t>serão</w:t>
      </w:r>
      <w:r w:rsidRPr="00BA2399">
        <w:rPr>
          <w:spacing w:val="-8"/>
          <w:sz w:val="20"/>
          <w:szCs w:val="20"/>
        </w:rPr>
        <w:t xml:space="preserve"> </w:t>
      </w:r>
      <w:r w:rsidRPr="00BA2399">
        <w:rPr>
          <w:spacing w:val="1"/>
          <w:sz w:val="20"/>
          <w:szCs w:val="20"/>
        </w:rPr>
        <w:t>e</w:t>
      </w:r>
      <w:r w:rsidRPr="00BA2399">
        <w:rPr>
          <w:sz w:val="20"/>
          <w:szCs w:val="20"/>
        </w:rPr>
        <w:t>sp</w:t>
      </w:r>
      <w:r w:rsidRPr="00BA2399">
        <w:rPr>
          <w:spacing w:val="-1"/>
          <w:sz w:val="20"/>
          <w:szCs w:val="20"/>
        </w:rPr>
        <w:t>ec</w:t>
      </w:r>
      <w:r w:rsidRPr="00BA2399">
        <w:rPr>
          <w:sz w:val="20"/>
          <w:szCs w:val="20"/>
        </w:rPr>
        <w:t>i</w:t>
      </w:r>
      <w:r w:rsidRPr="00BA2399">
        <w:rPr>
          <w:spacing w:val="-1"/>
          <w:sz w:val="20"/>
          <w:szCs w:val="20"/>
        </w:rPr>
        <w:t>f</w:t>
      </w:r>
      <w:r w:rsidRPr="00BA2399">
        <w:rPr>
          <w:sz w:val="20"/>
          <w:szCs w:val="20"/>
        </w:rPr>
        <w:t>i</w:t>
      </w:r>
      <w:r w:rsidRPr="00BA2399">
        <w:rPr>
          <w:spacing w:val="-1"/>
          <w:sz w:val="20"/>
          <w:szCs w:val="20"/>
        </w:rPr>
        <w:t>ca</w:t>
      </w:r>
      <w:r w:rsidRPr="00BA2399">
        <w:rPr>
          <w:spacing w:val="2"/>
          <w:sz w:val="20"/>
          <w:szCs w:val="20"/>
        </w:rPr>
        <w:t>d</w:t>
      </w:r>
      <w:r w:rsidRPr="00BA2399">
        <w:rPr>
          <w:spacing w:val="-1"/>
          <w:sz w:val="20"/>
          <w:szCs w:val="20"/>
        </w:rPr>
        <w:t>a</w:t>
      </w:r>
      <w:r w:rsidRPr="00BA2399">
        <w:rPr>
          <w:sz w:val="20"/>
          <w:szCs w:val="20"/>
        </w:rPr>
        <w:t>s</w:t>
      </w:r>
      <w:r w:rsidRPr="00BA2399">
        <w:rPr>
          <w:spacing w:val="-8"/>
          <w:sz w:val="20"/>
          <w:szCs w:val="20"/>
        </w:rPr>
        <w:t xml:space="preserve"> </w:t>
      </w:r>
      <w:r w:rsidRPr="00BA2399">
        <w:rPr>
          <w:sz w:val="20"/>
          <w:szCs w:val="20"/>
        </w:rPr>
        <w:t>na</w:t>
      </w:r>
      <w:r w:rsidRPr="00BA2399">
        <w:rPr>
          <w:spacing w:val="-8"/>
          <w:sz w:val="20"/>
          <w:szCs w:val="20"/>
        </w:rPr>
        <w:t xml:space="preserve"> </w:t>
      </w:r>
      <w:r w:rsidRPr="00BA2399">
        <w:rPr>
          <w:spacing w:val="-1"/>
          <w:sz w:val="20"/>
          <w:szCs w:val="20"/>
        </w:rPr>
        <w:t>E</w:t>
      </w:r>
      <w:r w:rsidRPr="00BA2399">
        <w:rPr>
          <w:sz w:val="20"/>
          <w:szCs w:val="20"/>
        </w:rPr>
        <w:t>s</w:t>
      </w:r>
      <w:r w:rsidRPr="00BA2399">
        <w:rPr>
          <w:spacing w:val="1"/>
          <w:sz w:val="20"/>
          <w:szCs w:val="20"/>
        </w:rPr>
        <w:t>c</w:t>
      </w:r>
      <w:r w:rsidRPr="00BA2399">
        <w:rPr>
          <w:spacing w:val="-1"/>
          <w:sz w:val="20"/>
          <w:szCs w:val="20"/>
        </w:rPr>
        <w:t>r</w:t>
      </w:r>
      <w:r w:rsidRPr="00BA2399">
        <w:rPr>
          <w:sz w:val="20"/>
          <w:szCs w:val="20"/>
        </w:rPr>
        <w:t>itu</w:t>
      </w:r>
      <w:r w:rsidRPr="00BA2399">
        <w:rPr>
          <w:spacing w:val="-1"/>
          <w:sz w:val="20"/>
          <w:szCs w:val="20"/>
        </w:rPr>
        <w:t>r</w:t>
      </w:r>
      <w:r w:rsidRPr="00BA2399">
        <w:rPr>
          <w:sz w:val="20"/>
          <w:szCs w:val="20"/>
        </w:rPr>
        <w:t>a</w:t>
      </w:r>
      <w:r w:rsidRPr="00BA2399">
        <w:rPr>
          <w:spacing w:val="-7"/>
          <w:sz w:val="20"/>
          <w:szCs w:val="20"/>
        </w:rPr>
        <w:t xml:space="preserve"> </w:t>
      </w:r>
      <w:r w:rsidRPr="00BA2399">
        <w:rPr>
          <w:sz w:val="20"/>
          <w:szCs w:val="20"/>
        </w:rPr>
        <w:t>de</w:t>
      </w:r>
      <w:r w:rsidRPr="00BA2399">
        <w:rPr>
          <w:spacing w:val="-9"/>
          <w:sz w:val="20"/>
          <w:szCs w:val="20"/>
        </w:rPr>
        <w:t xml:space="preserve"> </w:t>
      </w:r>
      <w:r w:rsidRPr="00BA2399">
        <w:rPr>
          <w:spacing w:val="-1"/>
          <w:sz w:val="20"/>
          <w:szCs w:val="20"/>
        </w:rPr>
        <w:t>E</w:t>
      </w:r>
      <w:r w:rsidRPr="00BA2399">
        <w:rPr>
          <w:sz w:val="20"/>
          <w:szCs w:val="20"/>
        </w:rPr>
        <w:t>miss</w:t>
      </w:r>
      <w:r w:rsidRPr="00BA2399">
        <w:rPr>
          <w:spacing w:val="-1"/>
          <w:sz w:val="20"/>
          <w:szCs w:val="20"/>
        </w:rPr>
        <w:t>ã</w:t>
      </w:r>
      <w:r w:rsidRPr="00BA2399">
        <w:rPr>
          <w:sz w:val="20"/>
          <w:szCs w:val="20"/>
        </w:rPr>
        <w:t>o.</w:t>
      </w:r>
    </w:p>
    <w:p w:rsidR="005F4D2F" w:rsidRDefault="009F5BA9" w:rsidP="00027740">
      <w:pPr>
        <w:pStyle w:val="PargrafodaLista"/>
        <w:autoSpaceDE w:val="0"/>
        <w:autoSpaceDN w:val="0"/>
        <w:adjustRightInd w:val="0"/>
        <w:spacing w:line="340" w:lineRule="exact"/>
        <w:ind w:left="0"/>
        <w:rPr>
          <w:rFonts w:cs="Arial"/>
          <w:color w:val="000000"/>
          <w:sz w:val="20"/>
          <w:szCs w:val="20"/>
          <w:lang w:val="x-none"/>
        </w:rPr>
      </w:pPr>
      <w:r>
        <w:rPr>
          <w:rFonts w:cs="Arial"/>
          <w:color w:val="000000"/>
          <w:sz w:val="20"/>
          <w:szCs w:val="20"/>
          <w:lang w:val="x-none"/>
        </w:rPr>
        <w:t xml:space="preserve"> </w:t>
      </w:r>
    </w:p>
    <w:p w:rsidR="005F4D2F" w:rsidRDefault="00FB6938" w:rsidP="00027740">
      <w:pPr>
        <w:spacing w:line="340" w:lineRule="exact"/>
        <w:rPr>
          <w:rFonts w:cs="Arial"/>
          <w:color w:val="000000"/>
          <w:sz w:val="20"/>
          <w:szCs w:val="20"/>
        </w:rPr>
      </w:pPr>
      <w:r>
        <w:rPr>
          <w:b/>
          <w:sz w:val="20"/>
          <w:szCs w:val="20"/>
        </w:rPr>
        <w:t>(i</w:t>
      </w:r>
      <w:r w:rsidR="009F5BA9">
        <w:rPr>
          <w:b/>
          <w:sz w:val="20"/>
          <w:szCs w:val="20"/>
        </w:rPr>
        <w:t>ii</w:t>
      </w:r>
      <w:r>
        <w:rPr>
          <w:b/>
          <w:sz w:val="20"/>
          <w:szCs w:val="20"/>
        </w:rPr>
        <w:t>)</w:t>
      </w:r>
      <w:r>
        <w:rPr>
          <w:sz w:val="20"/>
          <w:szCs w:val="20"/>
        </w:rPr>
        <w:tab/>
      </w:r>
      <w:r>
        <w:rPr>
          <w:rFonts w:cs="Arial"/>
          <w:color w:val="000000"/>
          <w:sz w:val="20"/>
          <w:szCs w:val="20"/>
        </w:rPr>
        <w:t>A autorização à</w:t>
      </w:r>
      <w:r>
        <w:rPr>
          <w:spacing w:val="5"/>
          <w:sz w:val="20"/>
          <w:szCs w:val="20"/>
        </w:rPr>
        <w:t xml:space="preserve"> </w:t>
      </w:r>
      <w:r>
        <w:rPr>
          <w:spacing w:val="-1"/>
          <w:sz w:val="20"/>
          <w:szCs w:val="20"/>
        </w:rPr>
        <w:t xml:space="preserve">diretoria da Emissora, ou seus procuradores, conforme o caso, a praticar, perante qualquer entidade, todos os atos necessários para a consecução da Oferta Restrita e da Emissão, incluindo, mas não se limitando a, </w:t>
      </w:r>
      <w:r>
        <w:rPr>
          <w:b/>
          <w:spacing w:val="-1"/>
          <w:sz w:val="20"/>
          <w:szCs w:val="20"/>
        </w:rPr>
        <w:t>(a)</w:t>
      </w:r>
      <w:r>
        <w:rPr>
          <w:spacing w:val="-1"/>
          <w:sz w:val="20"/>
          <w:szCs w:val="20"/>
        </w:rPr>
        <w:t xml:space="preserve"> celebração de todos os documentos  relacionados à Oferta Restrita e à Emissão e seus eventuais aditamentos, incluindo, mas não se limitando, à Escritura de Emissão e ao Contrato de Distribuição; </w:t>
      </w:r>
      <w:r>
        <w:rPr>
          <w:b/>
          <w:spacing w:val="-1"/>
          <w:sz w:val="20"/>
          <w:szCs w:val="20"/>
        </w:rPr>
        <w:t>(b)</w:t>
      </w:r>
      <w:r>
        <w:rPr>
          <w:spacing w:val="-1"/>
          <w:sz w:val="20"/>
          <w:szCs w:val="20"/>
        </w:rPr>
        <w:t xml:space="preserve"> negociação de todos os termos e condições que venham a ser aplicáveis à Oferta Restrita e à Emissão, inclusive as hipóteses de vencimento antecipado a serem incluídas na Escritura de Emissão; </w:t>
      </w:r>
      <w:r>
        <w:rPr>
          <w:b/>
          <w:spacing w:val="-1"/>
          <w:sz w:val="20"/>
          <w:szCs w:val="20"/>
        </w:rPr>
        <w:t>(c)</w:t>
      </w:r>
      <w:r>
        <w:rPr>
          <w:spacing w:val="-1"/>
          <w:sz w:val="20"/>
          <w:szCs w:val="20"/>
        </w:rPr>
        <w:t xml:space="preserve"> contratação dos sistemas de distribuição e negociação das Debêntures nos mercados primário e secundário; </w:t>
      </w:r>
      <w:r>
        <w:rPr>
          <w:b/>
          <w:spacing w:val="-1"/>
          <w:sz w:val="20"/>
          <w:szCs w:val="20"/>
        </w:rPr>
        <w:t>(d)</w:t>
      </w:r>
      <w:r>
        <w:rPr>
          <w:spacing w:val="-1"/>
          <w:sz w:val="20"/>
          <w:szCs w:val="20"/>
        </w:rPr>
        <w:t xml:space="preserve"> contratação de prestadores de serviços no âmbito da Emissão, tais como: (1) o Coordenador Líder, (2) os assessores jurídicos, (3) o Banco Liquidante e Escriturador e (4) o Agente Fiduciário, fixando-lhes os respectivos honorários; e </w:t>
      </w:r>
      <w:r>
        <w:rPr>
          <w:b/>
          <w:spacing w:val="-1"/>
          <w:sz w:val="20"/>
          <w:szCs w:val="20"/>
        </w:rPr>
        <w:t>(e)</w:t>
      </w:r>
      <w:r>
        <w:rPr>
          <w:spacing w:val="-1"/>
          <w:sz w:val="20"/>
          <w:szCs w:val="20"/>
        </w:rPr>
        <w:t xml:space="preserve"> publicação e o registro de documentos da Oferta Restrita e da Emissão perante os órgãos competentes; e</w:t>
      </w:r>
    </w:p>
    <w:p w:rsidR="005F4D2F" w:rsidRDefault="005F4D2F" w:rsidP="00027740">
      <w:pPr>
        <w:spacing w:line="340" w:lineRule="exact"/>
        <w:rPr>
          <w:rFonts w:cs="Arial"/>
          <w:color w:val="000000"/>
          <w:sz w:val="20"/>
          <w:szCs w:val="20"/>
          <w:lang w:val="x-none"/>
        </w:rPr>
      </w:pPr>
    </w:p>
    <w:p w:rsidR="005F4D2F" w:rsidRDefault="00FB6938" w:rsidP="00027740">
      <w:pPr>
        <w:spacing w:line="340" w:lineRule="exact"/>
        <w:rPr>
          <w:rFonts w:cs="Helvetica"/>
          <w:color w:val="000000"/>
          <w:sz w:val="20"/>
          <w:szCs w:val="20"/>
        </w:rPr>
      </w:pPr>
      <w:r>
        <w:rPr>
          <w:b/>
          <w:sz w:val="20"/>
          <w:szCs w:val="20"/>
        </w:rPr>
        <w:t>(</w:t>
      </w:r>
      <w:r w:rsidR="009F5BA9">
        <w:rPr>
          <w:b/>
          <w:sz w:val="20"/>
          <w:szCs w:val="20"/>
        </w:rPr>
        <w:t>i</w:t>
      </w:r>
      <w:r>
        <w:rPr>
          <w:b/>
          <w:sz w:val="20"/>
          <w:szCs w:val="20"/>
        </w:rPr>
        <w:t>v)</w:t>
      </w:r>
      <w:r>
        <w:rPr>
          <w:sz w:val="20"/>
          <w:szCs w:val="20"/>
        </w:rPr>
        <w:tab/>
      </w:r>
      <w:r>
        <w:rPr>
          <w:rFonts w:cs="Arial"/>
          <w:color w:val="000000"/>
          <w:sz w:val="20"/>
          <w:szCs w:val="20"/>
        </w:rPr>
        <w:t xml:space="preserve">A ratificação de </w:t>
      </w:r>
      <w:r>
        <w:rPr>
          <w:rFonts w:cs="Arial"/>
          <w:color w:val="000000"/>
          <w:sz w:val="20"/>
          <w:szCs w:val="20"/>
          <w:lang w:val="x-none"/>
        </w:rPr>
        <w:t xml:space="preserve">todos os atos </w:t>
      </w:r>
      <w:r>
        <w:rPr>
          <w:rFonts w:cs="Arial"/>
          <w:color w:val="000000"/>
          <w:sz w:val="20"/>
          <w:szCs w:val="20"/>
        </w:rPr>
        <w:t xml:space="preserve">já </w:t>
      </w:r>
      <w:r>
        <w:rPr>
          <w:rFonts w:cs="Helvetica"/>
          <w:color w:val="000000"/>
          <w:sz w:val="20"/>
          <w:szCs w:val="20"/>
          <w:lang w:val="x-none"/>
        </w:rPr>
        <w:t xml:space="preserve">praticados </w:t>
      </w:r>
      <w:r>
        <w:rPr>
          <w:rFonts w:cs="Helvetica"/>
          <w:color w:val="000000"/>
          <w:sz w:val="20"/>
          <w:szCs w:val="20"/>
        </w:rPr>
        <w:t xml:space="preserve">anteriormente à realização desta assembleia </w:t>
      </w:r>
      <w:r>
        <w:rPr>
          <w:rFonts w:cs="Helvetica"/>
          <w:color w:val="000000"/>
          <w:sz w:val="20"/>
          <w:szCs w:val="20"/>
          <w:lang w:val="x-none"/>
        </w:rPr>
        <w:t>pela d</w:t>
      </w:r>
      <w:bookmarkStart w:id="17" w:name="_GoBack"/>
      <w:bookmarkEnd w:id="17"/>
      <w:r>
        <w:rPr>
          <w:rFonts w:cs="Helvetica"/>
          <w:color w:val="000000"/>
          <w:sz w:val="20"/>
          <w:szCs w:val="20"/>
          <w:lang w:val="x-none"/>
        </w:rPr>
        <w:t>iretoria e demais representantes legais da Emissora</w:t>
      </w:r>
      <w:r>
        <w:rPr>
          <w:rFonts w:cs="Helvetica"/>
          <w:color w:val="000000"/>
          <w:sz w:val="20"/>
          <w:szCs w:val="20"/>
        </w:rPr>
        <w:t xml:space="preserve"> para a consecução da Oferta Restrita. </w:t>
      </w:r>
    </w:p>
    <w:p w:rsidR="005F4D2F" w:rsidRDefault="005F4D2F" w:rsidP="00027740">
      <w:pPr>
        <w:spacing w:line="340" w:lineRule="exact"/>
        <w:rPr>
          <w:rFonts w:cs="Arial"/>
          <w:color w:val="000000"/>
          <w:sz w:val="20"/>
          <w:szCs w:val="20"/>
          <w:lang w:val="x-none"/>
        </w:rPr>
      </w:pPr>
    </w:p>
    <w:p w:rsidR="005F4D2F" w:rsidRDefault="00FB6938" w:rsidP="00027740">
      <w:pPr>
        <w:autoSpaceDE w:val="0"/>
        <w:autoSpaceDN w:val="0"/>
        <w:adjustRightInd w:val="0"/>
        <w:spacing w:line="340" w:lineRule="exact"/>
        <w:rPr>
          <w:rFonts w:cs="Arial"/>
          <w:color w:val="000000"/>
          <w:sz w:val="20"/>
          <w:szCs w:val="20"/>
        </w:rPr>
      </w:pPr>
      <w:r>
        <w:rPr>
          <w:sz w:val="20"/>
          <w:szCs w:val="20"/>
        </w:rPr>
        <w:t>5.1.</w:t>
      </w:r>
      <w:r>
        <w:rPr>
          <w:sz w:val="20"/>
          <w:szCs w:val="20"/>
        </w:rPr>
        <w:tab/>
      </w:r>
      <w:r>
        <w:rPr>
          <w:rFonts w:cs="Arial"/>
          <w:color w:val="000000"/>
          <w:sz w:val="20"/>
          <w:szCs w:val="20"/>
        </w:rPr>
        <w:t>Para fins de interpretação dos termos utilizados nesta Ata e que não estiverem aqui definidos, tais termos terão o mesmo significado que lhes será atribuído na Escritura de Emissão.</w:t>
      </w:r>
    </w:p>
    <w:p w:rsidR="005F4D2F" w:rsidRDefault="005F4D2F" w:rsidP="00027740">
      <w:pPr>
        <w:spacing w:line="340" w:lineRule="exact"/>
        <w:rPr>
          <w:rFonts w:cs="Arial"/>
          <w:color w:val="000000"/>
          <w:sz w:val="20"/>
          <w:szCs w:val="20"/>
        </w:rPr>
      </w:pPr>
    </w:p>
    <w:p w:rsidR="005F4D2F" w:rsidRDefault="00FB6938" w:rsidP="00027740">
      <w:pPr>
        <w:spacing w:line="340" w:lineRule="exact"/>
        <w:rPr>
          <w:rFonts w:cs="Arial"/>
          <w:color w:val="000000"/>
          <w:sz w:val="20"/>
          <w:szCs w:val="20"/>
          <w:lang w:val="x-none"/>
        </w:rPr>
      </w:pPr>
      <w:r>
        <w:rPr>
          <w:rFonts w:cs="Arial"/>
          <w:color w:val="000000"/>
          <w:sz w:val="20"/>
          <w:szCs w:val="20"/>
          <w:lang w:val="x-none"/>
        </w:rPr>
        <w:t>6.</w:t>
      </w:r>
      <w:r>
        <w:rPr>
          <w:rFonts w:cs="Arial"/>
          <w:color w:val="000000"/>
          <w:sz w:val="20"/>
          <w:szCs w:val="20"/>
          <w:lang w:val="x-none"/>
        </w:rPr>
        <w:tab/>
      </w:r>
      <w:r>
        <w:rPr>
          <w:rFonts w:cs="Arial"/>
          <w:color w:val="000000"/>
          <w:sz w:val="20"/>
          <w:szCs w:val="20"/>
          <w:u w:val="single"/>
          <w:lang w:val="x-none"/>
        </w:rPr>
        <w:t>Encerramento</w:t>
      </w:r>
      <w:r>
        <w:rPr>
          <w:rFonts w:cs="Arial"/>
          <w:color w:val="000000"/>
          <w:sz w:val="20"/>
          <w:szCs w:val="20"/>
          <w:lang w:val="x-none"/>
        </w:rPr>
        <w:t xml:space="preserve">: Nada mais havendo a tratar, </w:t>
      </w:r>
      <w:r>
        <w:rPr>
          <w:rFonts w:cs="Arial"/>
          <w:color w:val="000000"/>
          <w:sz w:val="20"/>
          <w:szCs w:val="20"/>
        </w:rPr>
        <w:t>a</w:t>
      </w:r>
      <w:r>
        <w:rPr>
          <w:rFonts w:cs="Arial"/>
          <w:color w:val="000000"/>
          <w:sz w:val="20"/>
          <w:szCs w:val="20"/>
          <w:lang w:val="x-none"/>
        </w:rPr>
        <w:t xml:space="preserve"> Presidente ofereceu a palavra a quem dela</w:t>
      </w:r>
      <w:r>
        <w:rPr>
          <w:rFonts w:cs="Arial"/>
          <w:color w:val="000000"/>
          <w:sz w:val="20"/>
          <w:szCs w:val="20"/>
        </w:rPr>
        <w:t xml:space="preserve"> </w:t>
      </w:r>
      <w:r>
        <w:rPr>
          <w:rFonts w:cs="Arial"/>
          <w:color w:val="000000"/>
          <w:sz w:val="20"/>
          <w:szCs w:val="20"/>
          <w:lang w:val="x-none"/>
        </w:rPr>
        <w:t xml:space="preserve">quisesse fazer uso e, como ninguém se manifestou, os trabalhos foram suspensos pelo </w:t>
      </w:r>
      <w:r>
        <w:rPr>
          <w:rFonts w:cs="Arial"/>
          <w:color w:val="000000"/>
          <w:sz w:val="20"/>
          <w:szCs w:val="20"/>
          <w:lang w:val="x-none"/>
        </w:rPr>
        <w:lastRenderedPageBreak/>
        <w:t>tempo</w:t>
      </w:r>
      <w:r>
        <w:rPr>
          <w:rFonts w:cs="Arial"/>
          <w:color w:val="000000"/>
          <w:sz w:val="20"/>
          <w:szCs w:val="20"/>
        </w:rPr>
        <w:t xml:space="preserve"> </w:t>
      </w:r>
      <w:r>
        <w:rPr>
          <w:rFonts w:cs="Arial"/>
          <w:color w:val="000000"/>
          <w:sz w:val="20"/>
          <w:szCs w:val="20"/>
          <w:lang w:val="x-none"/>
        </w:rPr>
        <w:t xml:space="preserve">necessário à lavratura da Ata, a qual foi lida, aprovada e assinada por todos os presentes. </w:t>
      </w:r>
    </w:p>
    <w:p w:rsidR="005F4D2F" w:rsidRDefault="005F4D2F" w:rsidP="00027740">
      <w:pPr>
        <w:spacing w:line="340" w:lineRule="exact"/>
        <w:rPr>
          <w:rFonts w:cs="Arial"/>
          <w:color w:val="000000"/>
          <w:sz w:val="20"/>
          <w:szCs w:val="20"/>
          <w:lang w:val="x-none"/>
        </w:rPr>
      </w:pPr>
    </w:p>
    <w:p w:rsidR="005F4D2F" w:rsidRDefault="00FB6938" w:rsidP="00027740">
      <w:pPr>
        <w:spacing w:line="340" w:lineRule="exact"/>
        <w:rPr>
          <w:rFonts w:cs="Arial"/>
          <w:color w:val="000000"/>
          <w:sz w:val="20"/>
          <w:szCs w:val="20"/>
          <w:lang w:val="x-none"/>
        </w:rPr>
      </w:pPr>
      <w:r>
        <w:rPr>
          <w:rFonts w:cs="Arial"/>
          <w:color w:val="000000"/>
          <w:sz w:val="20"/>
          <w:szCs w:val="20"/>
        </w:rPr>
        <w:t>7.</w:t>
      </w:r>
      <w:r>
        <w:rPr>
          <w:rFonts w:cs="Arial"/>
          <w:color w:val="000000"/>
          <w:sz w:val="20"/>
          <w:szCs w:val="20"/>
        </w:rPr>
        <w:tab/>
      </w:r>
      <w:r>
        <w:rPr>
          <w:rFonts w:cs="Arial"/>
          <w:color w:val="000000"/>
          <w:sz w:val="20"/>
          <w:szCs w:val="20"/>
          <w:u w:val="single"/>
        </w:rPr>
        <w:t>Assinaturas</w:t>
      </w:r>
      <w:r>
        <w:rPr>
          <w:rFonts w:cs="Arial"/>
          <w:color w:val="000000"/>
          <w:sz w:val="20"/>
          <w:szCs w:val="20"/>
        </w:rPr>
        <w:t xml:space="preserve">: Composição da </w:t>
      </w:r>
      <w:r>
        <w:rPr>
          <w:rFonts w:cs="Arial"/>
          <w:color w:val="000000"/>
          <w:sz w:val="20"/>
          <w:szCs w:val="20"/>
          <w:lang w:val="x-none"/>
        </w:rPr>
        <w:t>Mesa</w:t>
      </w:r>
      <w:r>
        <w:rPr>
          <w:rFonts w:cs="Arial"/>
          <w:color w:val="000000"/>
          <w:sz w:val="20"/>
          <w:szCs w:val="20"/>
        </w:rPr>
        <w:t>:</w:t>
      </w:r>
      <w:r>
        <w:rPr>
          <w:rFonts w:cs="Arial"/>
          <w:color w:val="000000"/>
          <w:sz w:val="20"/>
          <w:szCs w:val="20"/>
          <w:lang w:val="x-none"/>
        </w:rPr>
        <w:t xml:space="preserve"> </w:t>
      </w:r>
      <w:r>
        <w:rPr>
          <w:rFonts w:cs="Arial"/>
          <w:b/>
          <w:color w:val="000000"/>
          <w:sz w:val="20"/>
          <w:szCs w:val="20"/>
          <w:lang w:val="x-none"/>
        </w:rPr>
        <w:t>Presidente</w:t>
      </w:r>
      <w:r>
        <w:rPr>
          <w:rFonts w:cs="Arial"/>
          <w:color w:val="000000"/>
          <w:sz w:val="20"/>
          <w:szCs w:val="20"/>
        </w:rPr>
        <w:t xml:space="preserve">: Sr. </w:t>
      </w:r>
      <w:r w:rsidR="00CA32FD">
        <w:rPr>
          <w:rFonts w:cs="Arial"/>
          <w:color w:val="000000"/>
          <w:sz w:val="20"/>
          <w:szCs w:val="20"/>
        </w:rPr>
        <w:t>Filipe Possa Ferreira</w:t>
      </w:r>
      <w:r>
        <w:rPr>
          <w:rFonts w:cs="Arial"/>
          <w:color w:val="000000"/>
          <w:sz w:val="20"/>
          <w:szCs w:val="20"/>
          <w:lang w:val="x-none"/>
        </w:rPr>
        <w:t xml:space="preserve">; e </w:t>
      </w:r>
      <w:r>
        <w:rPr>
          <w:rFonts w:cs="Arial"/>
          <w:b/>
          <w:color w:val="000000"/>
          <w:sz w:val="20"/>
          <w:szCs w:val="20"/>
        </w:rPr>
        <w:t>Secretária</w:t>
      </w:r>
      <w:r>
        <w:rPr>
          <w:rFonts w:cs="Arial"/>
          <w:color w:val="000000"/>
          <w:sz w:val="20"/>
          <w:szCs w:val="20"/>
        </w:rPr>
        <w:t xml:space="preserve">: Sra. </w:t>
      </w:r>
      <w:r w:rsidR="00CE0D4E">
        <w:rPr>
          <w:rFonts w:cs="Arial"/>
          <w:color w:val="000000"/>
          <w:sz w:val="20"/>
          <w:szCs w:val="20"/>
        </w:rPr>
        <w:t>Victoria de Sá</w:t>
      </w:r>
      <w:r>
        <w:rPr>
          <w:rFonts w:cs="Arial"/>
          <w:color w:val="000000"/>
          <w:sz w:val="20"/>
          <w:szCs w:val="20"/>
          <w:lang w:val="x-none"/>
        </w:rPr>
        <w:t>.</w:t>
      </w:r>
    </w:p>
    <w:p w:rsidR="005F4D2F" w:rsidRDefault="005F4D2F" w:rsidP="00027740">
      <w:pPr>
        <w:spacing w:line="340" w:lineRule="exact"/>
        <w:rPr>
          <w:rFonts w:cs="Arial"/>
          <w:color w:val="000000"/>
          <w:sz w:val="20"/>
          <w:szCs w:val="20"/>
          <w:lang w:val="x-none"/>
        </w:rPr>
      </w:pPr>
    </w:p>
    <w:p w:rsidR="005F4D2F" w:rsidRDefault="00FB6938" w:rsidP="00027740">
      <w:pPr>
        <w:spacing w:line="340" w:lineRule="exact"/>
        <w:rPr>
          <w:rFonts w:cs="Arial"/>
          <w:color w:val="000000"/>
          <w:sz w:val="20"/>
          <w:szCs w:val="20"/>
        </w:rPr>
      </w:pPr>
      <w:r>
        <w:rPr>
          <w:rFonts w:cs="Arial"/>
          <w:color w:val="000000"/>
          <w:sz w:val="20"/>
          <w:szCs w:val="20"/>
        </w:rPr>
        <w:t>8.</w:t>
      </w:r>
      <w:r>
        <w:rPr>
          <w:rFonts w:cs="Arial"/>
          <w:color w:val="000000"/>
          <w:sz w:val="20"/>
          <w:szCs w:val="20"/>
        </w:rPr>
        <w:tab/>
      </w:r>
      <w:r>
        <w:rPr>
          <w:rFonts w:eastAsia="Arial Unicode MS" w:cs="Tahoma"/>
          <w:sz w:val="20"/>
          <w:szCs w:val="20"/>
          <w:u w:val="single"/>
        </w:rPr>
        <w:t>Acionistas presentes</w:t>
      </w:r>
      <w:r>
        <w:rPr>
          <w:rFonts w:eastAsia="Arial Unicode MS" w:cs="Tahoma"/>
          <w:sz w:val="20"/>
          <w:szCs w:val="20"/>
        </w:rPr>
        <w:t>: VERT Participações Ltda. e VERT Créditos Ltda., conforme representadas na forma dos seus respectivos contratos sociais.</w:t>
      </w:r>
    </w:p>
    <w:p w:rsidR="005F4D2F" w:rsidRDefault="005F4D2F" w:rsidP="00027740">
      <w:pPr>
        <w:spacing w:line="340" w:lineRule="exact"/>
        <w:rPr>
          <w:rFonts w:cs="Arial"/>
          <w:color w:val="000000"/>
          <w:sz w:val="20"/>
          <w:szCs w:val="20"/>
        </w:rPr>
      </w:pPr>
    </w:p>
    <w:p w:rsidR="005F4D2F" w:rsidRDefault="00FB6938" w:rsidP="00027740">
      <w:pPr>
        <w:spacing w:line="340" w:lineRule="exact"/>
        <w:rPr>
          <w:rFonts w:cs="Arial"/>
          <w:color w:val="000000"/>
          <w:sz w:val="20"/>
          <w:szCs w:val="20"/>
          <w:lang w:val="x-none"/>
        </w:rPr>
      </w:pPr>
      <w:r>
        <w:rPr>
          <w:rFonts w:cs="Arial"/>
          <w:color w:val="000000"/>
          <w:sz w:val="20"/>
          <w:szCs w:val="20"/>
          <w:lang w:val="x-none"/>
        </w:rPr>
        <w:t>A presente ata é cópia fiel do original, lavrada e assinada por todos os presentes em livro próprio.</w:t>
      </w:r>
    </w:p>
    <w:p w:rsidR="005F4D2F" w:rsidRDefault="005F4D2F">
      <w:pPr>
        <w:spacing w:line="340" w:lineRule="exact"/>
        <w:rPr>
          <w:rFonts w:cs="Arial"/>
          <w:color w:val="000000"/>
          <w:sz w:val="20"/>
          <w:szCs w:val="20"/>
          <w:lang w:val="x-none"/>
        </w:rPr>
      </w:pPr>
    </w:p>
    <w:p w:rsidR="005F4D2F" w:rsidRDefault="00FB6938">
      <w:pPr>
        <w:spacing w:line="340" w:lineRule="exact"/>
        <w:jc w:val="center"/>
        <w:rPr>
          <w:rFonts w:eastAsia="Arial Unicode MS" w:cs="Tahoma"/>
          <w:sz w:val="20"/>
          <w:szCs w:val="20"/>
        </w:rPr>
      </w:pPr>
      <w:r>
        <w:rPr>
          <w:rFonts w:eastAsia="Arial Unicode MS" w:cs="Tahoma"/>
          <w:sz w:val="20"/>
          <w:szCs w:val="20"/>
        </w:rPr>
        <w:t xml:space="preserve">São Paulo, </w:t>
      </w:r>
      <w:r w:rsidR="00083D5F">
        <w:rPr>
          <w:rFonts w:eastAsia="Arial Unicode MS" w:cs="Tahoma"/>
          <w:sz w:val="20"/>
          <w:szCs w:val="20"/>
        </w:rPr>
        <w:t>22</w:t>
      </w:r>
      <w:r w:rsidR="00CA32FD">
        <w:rPr>
          <w:rFonts w:eastAsia="Arial Unicode MS" w:cs="Tahoma"/>
          <w:sz w:val="20"/>
          <w:szCs w:val="20"/>
        </w:rPr>
        <w:t xml:space="preserve"> de maio </w:t>
      </w:r>
      <w:r>
        <w:rPr>
          <w:rFonts w:eastAsia="Arial Unicode MS" w:cs="Tahoma"/>
          <w:sz w:val="20"/>
          <w:szCs w:val="20"/>
        </w:rPr>
        <w:t>de 201</w:t>
      </w:r>
      <w:r w:rsidR="002220A5">
        <w:rPr>
          <w:rFonts w:eastAsia="Arial Unicode MS" w:cs="Tahoma"/>
          <w:sz w:val="20"/>
          <w:szCs w:val="20"/>
        </w:rPr>
        <w:t>9</w:t>
      </w:r>
      <w:r>
        <w:rPr>
          <w:rFonts w:eastAsia="Arial Unicode MS" w:cs="Tahoma"/>
          <w:sz w:val="20"/>
          <w:szCs w:val="20"/>
        </w:rPr>
        <w:t>.</w:t>
      </w:r>
    </w:p>
    <w:p w:rsidR="005F4D2F" w:rsidRDefault="005F4D2F">
      <w:pPr>
        <w:spacing w:line="340" w:lineRule="exact"/>
        <w:rPr>
          <w:rFonts w:eastAsia="Arial Unicode MS" w:cs="Tahoma"/>
          <w:sz w:val="20"/>
          <w:szCs w:val="20"/>
        </w:rPr>
      </w:pPr>
    </w:p>
    <w:p w:rsidR="005F4D2F" w:rsidRDefault="00FB6938">
      <w:pPr>
        <w:spacing w:line="340" w:lineRule="exact"/>
        <w:rPr>
          <w:rFonts w:eastAsia="Arial Unicode MS" w:cs="Tahoma"/>
          <w:sz w:val="20"/>
          <w:szCs w:val="20"/>
        </w:rPr>
      </w:pPr>
      <w:r>
        <w:rPr>
          <w:rFonts w:eastAsia="Arial Unicode MS" w:cs="Tahoma"/>
          <w:sz w:val="20"/>
          <w:szCs w:val="20"/>
        </w:rPr>
        <w:t>Mesa:</w:t>
      </w:r>
    </w:p>
    <w:p w:rsidR="005F4D2F" w:rsidRDefault="005F4D2F">
      <w:pPr>
        <w:spacing w:line="340" w:lineRule="exact"/>
        <w:rPr>
          <w:rFonts w:eastAsia="Arial Unicode MS" w:cs="Tahom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5F4D2F">
        <w:trPr>
          <w:trHeight w:val="654"/>
        </w:trPr>
        <w:tc>
          <w:tcPr>
            <w:tcW w:w="4360" w:type="dxa"/>
          </w:tcPr>
          <w:p w:rsidR="005F4D2F" w:rsidRDefault="00FB6938">
            <w:pPr>
              <w:spacing w:after="0" w:line="340" w:lineRule="exact"/>
              <w:jc w:val="center"/>
              <w:rPr>
                <w:rFonts w:eastAsia="Arial Unicode MS" w:cs="Tahoma"/>
                <w:sz w:val="20"/>
                <w:szCs w:val="20"/>
              </w:rPr>
            </w:pPr>
            <w:r>
              <w:rPr>
                <w:rFonts w:eastAsia="Arial Unicode MS" w:cs="Tahoma"/>
                <w:b/>
                <w:sz w:val="20"/>
                <w:szCs w:val="20"/>
              </w:rPr>
              <w:t>__________________________</w:t>
            </w:r>
          </w:p>
          <w:p w:rsidR="005F4D2F" w:rsidRDefault="00CA32FD">
            <w:pPr>
              <w:spacing w:after="0" w:line="340" w:lineRule="exact"/>
              <w:jc w:val="center"/>
              <w:rPr>
                <w:rFonts w:cs="Arial"/>
                <w:b/>
                <w:color w:val="000000"/>
                <w:sz w:val="20"/>
                <w:szCs w:val="20"/>
              </w:rPr>
            </w:pPr>
            <w:r>
              <w:rPr>
                <w:rFonts w:cs="Arial"/>
                <w:b/>
                <w:color w:val="000000"/>
                <w:sz w:val="20"/>
                <w:szCs w:val="20"/>
              </w:rPr>
              <w:t>Filipe Possa Ferreira</w:t>
            </w:r>
          </w:p>
          <w:p w:rsidR="005F4D2F" w:rsidRDefault="00FB6938">
            <w:pPr>
              <w:spacing w:after="0" w:line="340" w:lineRule="exact"/>
              <w:jc w:val="center"/>
              <w:rPr>
                <w:rFonts w:eastAsia="Arial Unicode MS" w:cs="Tahoma"/>
                <w:b/>
                <w:sz w:val="20"/>
                <w:szCs w:val="20"/>
              </w:rPr>
            </w:pPr>
            <w:r>
              <w:rPr>
                <w:rFonts w:cs="Arial"/>
                <w:color w:val="000000"/>
                <w:sz w:val="20"/>
                <w:szCs w:val="20"/>
              </w:rPr>
              <w:t>Presidente</w:t>
            </w:r>
          </w:p>
        </w:tc>
        <w:tc>
          <w:tcPr>
            <w:tcW w:w="4361" w:type="dxa"/>
          </w:tcPr>
          <w:p w:rsidR="005F4D2F" w:rsidRDefault="00FB6938">
            <w:pPr>
              <w:spacing w:after="0" w:line="340" w:lineRule="exact"/>
              <w:jc w:val="center"/>
              <w:rPr>
                <w:rFonts w:eastAsia="Arial Unicode MS" w:cs="Tahoma"/>
                <w:sz w:val="20"/>
                <w:szCs w:val="20"/>
              </w:rPr>
            </w:pPr>
            <w:r>
              <w:rPr>
                <w:rFonts w:eastAsia="Arial Unicode MS" w:cs="Tahoma"/>
                <w:b/>
                <w:sz w:val="20"/>
                <w:szCs w:val="20"/>
              </w:rPr>
              <w:t>__________________________</w:t>
            </w:r>
          </w:p>
          <w:p w:rsidR="005F4D2F" w:rsidRDefault="00CE0D4E">
            <w:pPr>
              <w:spacing w:after="0" w:line="340" w:lineRule="exact"/>
              <w:jc w:val="center"/>
              <w:rPr>
                <w:rFonts w:eastAsia="Arial Unicode MS" w:cs="Tahoma"/>
                <w:b/>
                <w:sz w:val="20"/>
                <w:szCs w:val="20"/>
              </w:rPr>
            </w:pPr>
            <w:r>
              <w:rPr>
                <w:rFonts w:cs="Arial"/>
                <w:b/>
                <w:color w:val="000000"/>
                <w:sz w:val="20"/>
                <w:szCs w:val="20"/>
              </w:rPr>
              <w:t>Victoria de Sá</w:t>
            </w:r>
          </w:p>
          <w:p w:rsidR="005F4D2F" w:rsidRDefault="00FB6938">
            <w:pPr>
              <w:spacing w:after="0" w:line="340" w:lineRule="exact"/>
              <w:jc w:val="center"/>
              <w:rPr>
                <w:rFonts w:eastAsia="Arial Unicode MS" w:cs="Tahoma"/>
                <w:b/>
                <w:sz w:val="20"/>
                <w:szCs w:val="20"/>
              </w:rPr>
            </w:pPr>
            <w:r>
              <w:rPr>
                <w:rFonts w:eastAsia="Arial Unicode MS" w:cs="Tahoma"/>
                <w:sz w:val="20"/>
                <w:szCs w:val="20"/>
              </w:rPr>
              <w:t>Secretária</w:t>
            </w:r>
          </w:p>
        </w:tc>
      </w:tr>
    </w:tbl>
    <w:p w:rsidR="005F4D2F" w:rsidRDefault="005F4D2F">
      <w:pPr>
        <w:tabs>
          <w:tab w:val="left" w:pos="440"/>
        </w:tabs>
        <w:spacing w:line="340" w:lineRule="exact"/>
        <w:jc w:val="center"/>
        <w:rPr>
          <w:rFonts w:cs="Calibri"/>
          <w:spacing w:val="-10"/>
          <w:sz w:val="20"/>
          <w:szCs w:val="20"/>
        </w:rPr>
      </w:pPr>
    </w:p>
    <w:p w:rsidR="005F4D2F" w:rsidRDefault="00FB6938">
      <w:pPr>
        <w:widowControl/>
        <w:spacing w:line="240" w:lineRule="auto"/>
        <w:jc w:val="left"/>
        <w:rPr>
          <w:rFonts w:cs="Calibri"/>
          <w:spacing w:val="-10"/>
          <w:sz w:val="20"/>
          <w:szCs w:val="20"/>
        </w:rPr>
      </w:pPr>
      <w:r>
        <w:rPr>
          <w:rFonts w:cs="Calibri"/>
          <w:spacing w:val="-10"/>
          <w:sz w:val="20"/>
          <w:szCs w:val="20"/>
        </w:rPr>
        <w:br w:type="page"/>
      </w:r>
    </w:p>
    <w:p w:rsidR="005F4D2F" w:rsidRDefault="00FB6938">
      <w:pPr>
        <w:tabs>
          <w:tab w:val="left" w:pos="440"/>
        </w:tabs>
        <w:spacing w:line="340" w:lineRule="exact"/>
        <w:jc w:val="center"/>
        <w:rPr>
          <w:rFonts w:cs="Calibri"/>
          <w:spacing w:val="-10"/>
          <w:sz w:val="20"/>
          <w:szCs w:val="20"/>
        </w:rPr>
      </w:pPr>
      <w:r>
        <w:rPr>
          <w:rFonts w:cs="Calibri"/>
          <w:spacing w:val="-10"/>
          <w:sz w:val="20"/>
          <w:szCs w:val="20"/>
        </w:rPr>
        <w:lastRenderedPageBreak/>
        <w:t>(</w:t>
      </w:r>
      <w:r>
        <w:rPr>
          <w:rFonts w:cs="Calibri"/>
          <w:i/>
          <w:spacing w:val="-10"/>
          <w:sz w:val="20"/>
          <w:szCs w:val="20"/>
        </w:rPr>
        <w:t xml:space="preserve">Continuação da página de assinaturas da ata de assembleia geral extraordinária da Companhia Securitizadora de Créditos Financeiros </w:t>
      </w:r>
      <w:r w:rsidR="00440BB7">
        <w:rPr>
          <w:rFonts w:cs="Calibri"/>
          <w:i/>
          <w:spacing w:val="-10"/>
          <w:sz w:val="20"/>
          <w:szCs w:val="20"/>
        </w:rPr>
        <w:t>VERT-</w:t>
      </w:r>
      <w:r w:rsidR="002220A5">
        <w:rPr>
          <w:rFonts w:cs="Calibri"/>
          <w:i/>
          <w:spacing w:val="-10"/>
          <w:sz w:val="20"/>
          <w:szCs w:val="20"/>
        </w:rPr>
        <w:t>Gyra</w:t>
      </w:r>
      <w:r>
        <w:rPr>
          <w:rFonts w:cs="Calibri"/>
          <w:i/>
          <w:spacing w:val="-10"/>
          <w:sz w:val="20"/>
          <w:szCs w:val="20"/>
        </w:rPr>
        <w:t xml:space="preserve"> realizada em </w:t>
      </w:r>
      <w:r w:rsidR="00083D5F">
        <w:rPr>
          <w:rFonts w:cs="Calibri"/>
          <w:i/>
          <w:spacing w:val="-10"/>
          <w:sz w:val="20"/>
          <w:szCs w:val="20"/>
        </w:rPr>
        <w:t xml:space="preserve">22 de maio </w:t>
      </w:r>
      <w:r>
        <w:rPr>
          <w:rFonts w:cs="Calibri"/>
          <w:i/>
          <w:spacing w:val="-10"/>
          <w:sz w:val="20"/>
          <w:szCs w:val="20"/>
        </w:rPr>
        <w:t>de 201</w:t>
      </w:r>
      <w:r w:rsidR="002220A5">
        <w:rPr>
          <w:rFonts w:cs="Calibri"/>
          <w:i/>
          <w:spacing w:val="-10"/>
          <w:sz w:val="20"/>
          <w:szCs w:val="20"/>
        </w:rPr>
        <w:t>9</w:t>
      </w:r>
      <w:r>
        <w:rPr>
          <w:rFonts w:cs="Calibri"/>
          <w:spacing w:val="-10"/>
          <w:sz w:val="20"/>
          <w:szCs w:val="20"/>
        </w:rPr>
        <w:t>)</w:t>
      </w:r>
    </w:p>
    <w:p w:rsidR="005F4D2F" w:rsidRDefault="005F4D2F">
      <w:pPr>
        <w:tabs>
          <w:tab w:val="left" w:pos="440"/>
        </w:tabs>
        <w:spacing w:line="340" w:lineRule="exact"/>
        <w:rPr>
          <w:rFonts w:cs="Calibri"/>
          <w:spacing w:val="-10"/>
          <w:sz w:val="20"/>
          <w:szCs w:val="20"/>
        </w:rPr>
      </w:pPr>
    </w:p>
    <w:p w:rsidR="005F4D2F" w:rsidRDefault="00FB6938">
      <w:pPr>
        <w:tabs>
          <w:tab w:val="left" w:pos="440"/>
        </w:tabs>
        <w:spacing w:line="340" w:lineRule="exact"/>
        <w:rPr>
          <w:rFonts w:cs="Calibri"/>
          <w:spacing w:val="-10"/>
          <w:sz w:val="20"/>
          <w:szCs w:val="20"/>
        </w:rPr>
      </w:pPr>
      <w:r>
        <w:rPr>
          <w:rFonts w:cs="Calibri"/>
          <w:spacing w:val="-10"/>
          <w:sz w:val="20"/>
          <w:szCs w:val="20"/>
        </w:rPr>
        <w:t>Acionistas presentes:</w:t>
      </w:r>
    </w:p>
    <w:p w:rsidR="005F4D2F" w:rsidRDefault="005F4D2F">
      <w:pPr>
        <w:tabs>
          <w:tab w:val="left" w:pos="440"/>
        </w:tabs>
        <w:spacing w:line="340" w:lineRule="exact"/>
        <w:rPr>
          <w:rFonts w:cs="Calibri"/>
          <w:spacing w:val="-10"/>
          <w:sz w:val="20"/>
          <w:szCs w:val="20"/>
        </w:rPr>
      </w:pPr>
    </w:p>
    <w:p w:rsidR="005F4D2F" w:rsidRDefault="00FB6938" w:rsidP="00BA5CB8">
      <w:pPr>
        <w:tabs>
          <w:tab w:val="left" w:pos="440"/>
        </w:tabs>
        <w:spacing w:line="340" w:lineRule="exact"/>
        <w:jc w:val="center"/>
        <w:rPr>
          <w:rFonts w:cs="Calibri"/>
          <w:b/>
          <w:spacing w:val="-10"/>
          <w:sz w:val="20"/>
          <w:szCs w:val="20"/>
        </w:rPr>
      </w:pPr>
      <w:r>
        <w:rPr>
          <w:rFonts w:cs="Calibri"/>
          <w:b/>
          <w:spacing w:val="-10"/>
          <w:sz w:val="20"/>
          <w:szCs w:val="20"/>
        </w:rPr>
        <w:t>VERT PARTICIPAÇÕES LTDA.:</w:t>
      </w:r>
    </w:p>
    <w:p w:rsidR="005F4D2F" w:rsidRDefault="005F4D2F">
      <w:pPr>
        <w:tabs>
          <w:tab w:val="left" w:pos="440"/>
        </w:tabs>
        <w:spacing w:line="340" w:lineRule="exact"/>
        <w:rPr>
          <w:rFonts w:cs="Calibri"/>
          <w:b/>
          <w:spacing w:val="-10"/>
          <w:sz w:val="20"/>
          <w:szCs w:val="20"/>
        </w:rPr>
      </w:pPr>
    </w:p>
    <w:p w:rsidR="005F4D2F" w:rsidRDefault="005F4D2F">
      <w:pPr>
        <w:tabs>
          <w:tab w:val="left" w:pos="440"/>
        </w:tabs>
        <w:spacing w:line="340" w:lineRule="exact"/>
        <w:rPr>
          <w:rFonts w:cs="Calibri"/>
          <w:spacing w:val="-10"/>
          <w:sz w:val="20"/>
          <w:szCs w:val="2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5F4D2F">
        <w:trPr>
          <w:trHeight w:val="654"/>
        </w:trPr>
        <w:tc>
          <w:tcPr>
            <w:tcW w:w="4360" w:type="dxa"/>
          </w:tcPr>
          <w:p w:rsidR="005F4D2F" w:rsidRDefault="00FB6938">
            <w:pPr>
              <w:spacing w:after="0" w:line="340" w:lineRule="exact"/>
              <w:jc w:val="center"/>
              <w:rPr>
                <w:rFonts w:eastAsia="Arial Unicode MS" w:cs="Tahoma"/>
                <w:sz w:val="20"/>
                <w:szCs w:val="20"/>
              </w:rPr>
            </w:pPr>
            <w:r>
              <w:rPr>
                <w:rFonts w:eastAsia="Arial Unicode MS" w:cs="Tahoma"/>
                <w:b/>
                <w:sz w:val="20"/>
                <w:szCs w:val="20"/>
              </w:rPr>
              <w:t>__________________________</w:t>
            </w:r>
          </w:p>
          <w:p w:rsidR="005F4D2F" w:rsidRDefault="00FB6938">
            <w:pPr>
              <w:spacing w:after="0" w:line="340" w:lineRule="exact"/>
              <w:jc w:val="center"/>
              <w:rPr>
                <w:rFonts w:eastAsia="Arial Unicode MS" w:cs="Tahoma"/>
                <w:b/>
                <w:sz w:val="20"/>
                <w:szCs w:val="20"/>
              </w:rPr>
            </w:pPr>
            <w:r>
              <w:rPr>
                <w:rFonts w:cs="Arial"/>
                <w:sz w:val="20"/>
                <w:szCs w:val="20"/>
              </w:rPr>
              <w:t>p. Martha de Sá Pessoa</w:t>
            </w:r>
          </w:p>
        </w:tc>
        <w:tc>
          <w:tcPr>
            <w:tcW w:w="4361" w:type="dxa"/>
          </w:tcPr>
          <w:p w:rsidR="005F4D2F" w:rsidRDefault="00FB6938">
            <w:pPr>
              <w:spacing w:after="0" w:line="340" w:lineRule="exact"/>
              <w:jc w:val="center"/>
              <w:rPr>
                <w:rFonts w:eastAsia="Arial Unicode MS" w:cs="Tahoma"/>
                <w:sz w:val="20"/>
                <w:szCs w:val="20"/>
              </w:rPr>
            </w:pPr>
            <w:r>
              <w:rPr>
                <w:rFonts w:eastAsia="Arial Unicode MS" w:cs="Tahoma"/>
                <w:b/>
                <w:sz w:val="20"/>
                <w:szCs w:val="20"/>
              </w:rPr>
              <w:t>__________________________</w:t>
            </w:r>
          </w:p>
          <w:p w:rsidR="005F4D2F" w:rsidRDefault="00FB6938">
            <w:pPr>
              <w:spacing w:after="0" w:line="340" w:lineRule="exact"/>
              <w:jc w:val="center"/>
              <w:rPr>
                <w:rFonts w:eastAsia="Arial Unicode MS" w:cs="Tahoma"/>
                <w:b/>
                <w:sz w:val="20"/>
                <w:szCs w:val="20"/>
              </w:rPr>
            </w:pPr>
            <w:r>
              <w:rPr>
                <w:rFonts w:cs="Arial"/>
                <w:sz w:val="20"/>
                <w:szCs w:val="20"/>
              </w:rPr>
              <w:t>p. Fernanda Oliveira Ribeiro Prado de Mello</w:t>
            </w:r>
          </w:p>
        </w:tc>
      </w:tr>
    </w:tbl>
    <w:p w:rsidR="005F4D2F" w:rsidRDefault="005F4D2F">
      <w:pPr>
        <w:tabs>
          <w:tab w:val="left" w:pos="440"/>
        </w:tabs>
        <w:spacing w:line="340" w:lineRule="exact"/>
        <w:rPr>
          <w:rFonts w:cs="Calibri"/>
          <w:b/>
          <w:spacing w:val="-10"/>
          <w:sz w:val="20"/>
          <w:szCs w:val="20"/>
        </w:rPr>
      </w:pPr>
    </w:p>
    <w:p w:rsidR="005F4D2F" w:rsidRDefault="00FB6938" w:rsidP="00BA5CB8">
      <w:pPr>
        <w:tabs>
          <w:tab w:val="left" w:pos="440"/>
        </w:tabs>
        <w:spacing w:line="340" w:lineRule="exact"/>
        <w:jc w:val="center"/>
        <w:rPr>
          <w:rFonts w:cs="Calibri"/>
          <w:b/>
          <w:spacing w:val="-10"/>
          <w:sz w:val="20"/>
          <w:szCs w:val="20"/>
        </w:rPr>
      </w:pPr>
      <w:r>
        <w:rPr>
          <w:rFonts w:cs="Calibri"/>
          <w:b/>
          <w:spacing w:val="-10"/>
          <w:sz w:val="20"/>
          <w:szCs w:val="20"/>
        </w:rPr>
        <w:t>VERT CRÉDITOS LTDA.:</w:t>
      </w:r>
    </w:p>
    <w:p w:rsidR="005F4D2F" w:rsidRDefault="005F4D2F">
      <w:pPr>
        <w:tabs>
          <w:tab w:val="left" w:pos="440"/>
        </w:tabs>
        <w:spacing w:line="340" w:lineRule="exact"/>
        <w:rPr>
          <w:rFonts w:cs="Calibri"/>
          <w:b/>
          <w:spacing w:val="-10"/>
          <w:sz w:val="20"/>
          <w:szCs w:val="20"/>
        </w:rPr>
      </w:pPr>
    </w:p>
    <w:p w:rsidR="005F4D2F" w:rsidRDefault="005F4D2F">
      <w:pPr>
        <w:tabs>
          <w:tab w:val="left" w:pos="440"/>
        </w:tabs>
        <w:spacing w:line="340" w:lineRule="exact"/>
        <w:rPr>
          <w:rFonts w:cs="Calibri"/>
          <w:spacing w:val="-10"/>
          <w:sz w:val="20"/>
          <w:szCs w:val="2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5F4D2F">
        <w:trPr>
          <w:trHeight w:val="654"/>
        </w:trPr>
        <w:tc>
          <w:tcPr>
            <w:tcW w:w="4360" w:type="dxa"/>
          </w:tcPr>
          <w:p w:rsidR="005F4D2F" w:rsidRDefault="00FB6938">
            <w:pPr>
              <w:spacing w:after="0" w:line="340" w:lineRule="exact"/>
              <w:jc w:val="center"/>
              <w:rPr>
                <w:rFonts w:eastAsia="Arial Unicode MS" w:cs="Tahoma"/>
                <w:sz w:val="20"/>
                <w:szCs w:val="20"/>
              </w:rPr>
            </w:pPr>
            <w:r>
              <w:rPr>
                <w:rFonts w:eastAsia="Arial Unicode MS" w:cs="Tahoma"/>
                <w:b/>
                <w:sz w:val="20"/>
                <w:szCs w:val="20"/>
              </w:rPr>
              <w:t>__________________________</w:t>
            </w:r>
          </w:p>
          <w:p w:rsidR="005F4D2F" w:rsidRDefault="00FB6938">
            <w:pPr>
              <w:spacing w:after="0" w:line="340" w:lineRule="exact"/>
              <w:jc w:val="center"/>
              <w:rPr>
                <w:rFonts w:eastAsia="Arial Unicode MS" w:cs="Tahoma"/>
                <w:b/>
                <w:sz w:val="20"/>
                <w:szCs w:val="20"/>
              </w:rPr>
            </w:pPr>
            <w:r>
              <w:rPr>
                <w:rFonts w:cs="Arial"/>
                <w:sz w:val="20"/>
                <w:szCs w:val="20"/>
              </w:rPr>
              <w:t>p. Martha de Sá Pessoa</w:t>
            </w:r>
          </w:p>
        </w:tc>
        <w:tc>
          <w:tcPr>
            <w:tcW w:w="4361" w:type="dxa"/>
          </w:tcPr>
          <w:p w:rsidR="005F4D2F" w:rsidRDefault="00FB6938">
            <w:pPr>
              <w:spacing w:after="0" w:line="340" w:lineRule="exact"/>
              <w:jc w:val="center"/>
              <w:rPr>
                <w:rFonts w:eastAsia="Arial Unicode MS" w:cs="Tahoma"/>
                <w:sz w:val="20"/>
                <w:szCs w:val="20"/>
              </w:rPr>
            </w:pPr>
            <w:r>
              <w:rPr>
                <w:rFonts w:eastAsia="Arial Unicode MS" w:cs="Tahoma"/>
                <w:b/>
                <w:sz w:val="20"/>
                <w:szCs w:val="20"/>
              </w:rPr>
              <w:t>__________________________</w:t>
            </w:r>
          </w:p>
          <w:p w:rsidR="005F4D2F" w:rsidRDefault="00FB6938">
            <w:pPr>
              <w:spacing w:after="0" w:line="340" w:lineRule="exact"/>
              <w:jc w:val="center"/>
              <w:rPr>
                <w:rFonts w:eastAsia="Arial Unicode MS" w:cs="Tahoma"/>
                <w:b/>
                <w:sz w:val="20"/>
                <w:szCs w:val="20"/>
              </w:rPr>
            </w:pPr>
            <w:r>
              <w:rPr>
                <w:rFonts w:cs="Arial"/>
                <w:sz w:val="20"/>
                <w:szCs w:val="20"/>
              </w:rPr>
              <w:t>p. Fernanda Oliveira Ribeiro Prado de Mello</w:t>
            </w:r>
          </w:p>
        </w:tc>
      </w:tr>
    </w:tbl>
    <w:p w:rsidR="005F4D2F" w:rsidRDefault="005F4D2F">
      <w:pPr>
        <w:widowControl/>
        <w:spacing w:line="340" w:lineRule="exact"/>
        <w:jc w:val="left"/>
        <w:rPr>
          <w:rFonts w:cs="Tahoma"/>
          <w:b/>
          <w:sz w:val="20"/>
          <w:szCs w:val="20"/>
        </w:rPr>
      </w:pPr>
    </w:p>
    <w:sectPr w:rsidR="005F4D2F">
      <w:headerReference w:type="default" r:id="rId9"/>
      <w:footerReference w:type="default" r:id="rId10"/>
      <w:pgSz w:w="11907" w:h="16840" w:code="9"/>
      <w:pgMar w:top="2381" w:right="1134" w:bottom="170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2F" w:rsidRDefault="00FB6938">
      <w:r>
        <w:separator/>
      </w:r>
    </w:p>
  </w:endnote>
  <w:endnote w:type="continuationSeparator" w:id="0">
    <w:p w:rsidR="005F4D2F" w:rsidRDefault="00F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2F" w:rsidRDefault="00FB6938">
    <w:pPr>
      <w:pStyle w:val="Rodap"/>
      <w:spacing w:line="240" w:lineRule="auto"/>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sidR="00005BD7">
      <w:rPr>
        <w:noProof/>
        <w:sz w:val="18"/>
      </w:rPr>
      <w:t>9</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2F" w:rsidRDefault="00FB6938">
      <w:r>
        <w:separator/>
      </w:r>
    </w:p>
  </w:footnote>
  <w:footnote w:type="continuationSeparator" w:id="0">
    <w:p w:rsidR="005F4D2F" w:rsidRDefault="00FB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2F" w:rsidRDefault="005F4D2F">
    <w:pPr>
      <w:pStyle w:val="Cabealho"/>
      <w:spacing w:line="40" w:lineRule="exact"/>
      <w:jc w:val="both"/>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C7C"/>
    <w:multiLevelType w:val="multilevel"/>
    <w:tmpl w:val="365E154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1957"/>
        </w:tabs>
        <w:ind w:left="1957"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DF0667"/>
    <w:multiLevelType w:val="multilevel"/>
    <w:tmpl w:val="B4CC9B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C494671"/>
    <w:multiLevelType w:val="hybridMultilevel"/>
    <w:tmpl w:val="64AED512"/>
    <w:lvl w:ilvl="0" w:tplc="96E8CA8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CC003B"/>
    <w:multiLevelType w:val="hybridMultilevel"/>
    <w:tmpl w:val="2FE6122E"/>
    <w:lvl w:ilvl="0" w:tplc="D65E5F8C">
      <w:start w:val="1"/>
      <w:numFmt w:val="decimal"/>
      <w:lvlText w:val="3.%1."/>
      <w:lvlJc w:val="left"/>
      <w:pPr>
        <w:tabs>
          <w:tab w:val="num" w:pos="1080"/>
        </w:tabs>
        <w:ind w:left="720" w:hanging="360"/>
      </w:pPr>
      <w:rPr>
        <w:rFonts w:ascii="Verdana" w:hAnsi="Verdana" w:cs="Arial" w:hint="default"/>
        <w:b/>
        <w:i w:val="0"/>
        <w:sz w:val="20"/>
        <w:szCs w:val="22"/>
      </w:rPr>
    </w:lvl>
    <w:lvl w:ilvl="1" w:tplc="FDE0481E">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0A2CFB"/>
    <w:multiLevelType w:val="hybridMultilevel"/>
    <w:tmpl w:val="F9583390"/>
    <w:lvl w:ilvl="0" w:tplc="CAEA0848">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76E3198"/>
    <w:multiLevelType w:val="hybridMultilevel"/>
    <w:tmpl w:val="D5162B4E"/>
    <w:lvl w:ilvl="0" w:tplc="96E8CA8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36664F"/>
    <w:multiLevelType w:val="hybridMultilevel"/>
    <w:tmpl w:val="42AACB9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450A64A1"/>
    <w:multiLevelType w:val="multilevel"/>
    <w:tmpl w:val="44B06AE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i w:val="0"/>
        <w:lang w:val="pt-P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D0628"/>
    <w:multiLevelType w:val="multilevel"/>
    <w:tmpl w:val="363AD3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3F2835"/>
    <w:multiLevelType w:val="hybridMultilevel"/>
    <w:tmpl w:val="AFECA2D8"/>
    <w:lvl w:ilvl="0" w:tplc="26D2B74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B7B591A"/>
    <w:multiLevelType w:val="hybridMultilevel"/>
    <w:tmpl w:val="6EE4A3E4"/>
    <w:lvl w:ilvl="0" w:tplc="D59E87D4">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E93DD2"/>
    <w:multiLevelType w:val="hybridMultilevel"/>
    <w:tmpl w:val="64AED512"/>
    <w:lvl w:ilvl="0" w:tplc="96E8CA8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
  </w:num>
  <w:num w:numId="5">
    <w:abstractNumId w:val="6"/>
  </w:num>
  <w:num w:numId="6">
    <w:abstractNumId w:val="2"/>
  </w:num>
  <w:num w:numId="7">
    <w:abstractNumId w:val="5"/>
  </w:num>
  <w:num w:numId="8">
    <w:abstractNumId w:val="8"/>
  </w:num>
  <w:num w:numId="9">
    <w:abstractNumId w:val="12"/>
  </w:num>
  <w:num w:numId="10">
    <w:abstractNumId w:val="7"/>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2F"/>
    <w:rsid w:val="00005BD7"/>
    <w:rsid w:val="00027740"/>
    <w:rsid w:val="00050F74"/>
    <w:rsid w:val="00055656"/>
    <w:rsid w:val="00083D5F"/>
    <w:rsid w:val="000B09FB"/>
    <w:rsid w:val="000C419D"/>
    <w:rsid w:val="000F6327"/>
    <w:rsid w:val="00110EEB"/>
    <w:rsid w:val="0013683E"/>
    <w:rsid w:val="00176FA0"/>
    <w:rsid w:val="00183667"/>
    <w:rsid w:val="0019261F"/>
    <w:rsid w:val="001A26B8"/>
    <w:rsid w:val="001F1D1E"/>
    <w:rsid w:val="001F5157"/>
    <w:rsid w:val="002220A5"/>
    <w:rsid w:val="00223CA0"/>
    <w:rsid w:val="00243008"/>
    <w:rsid w:val="00253579"/>
    <w:rsid w:val="002A2536"/>
    <w:rsid w:val="002C120F"/>
    <w:rsid w:val="002C756C"/>
    <w:rsid w:val="002E277A"/>
    <w:rsid w:val="00317C19"/>
    <w:rsid w:val="00326F1E"/>
    <w:rsid w:val="00356C59"/>
    <w:rsid w:val="003767C7"/>
    <w:rsid w:val="00440BB7"/>
    <w:rsid w:val="004752FA"/>
    <w:rsid w:val="0049009F"/>
    <w:rsid w:val="005002A4"/>
    <w:rsid w:val="00581A8D"/>
    <w:rsid w:val="00585472"/>
    <w:rsid w:val="005C6373"/>
    <w:rsid w:val="005F25DC"/>
    <w:rsid w:val="005F4D2F"/>
    <w:rsid w:val="00654DB1"/>
    <w:rsid w:val="006566A9"/>
    <w:rsid w:val="006A2FF3"/>
    <w:rsid w:val="006D245A"/>
    <w:rsid w:val="006D2E35"/>
    <w:rsid w:val="007035ED"/>
    <w:rsid w:val="00812FF9"/>
    <w:rsid w:val="00855B21"/>
    <w:rsid w:val="008668C7"/>
    <w:rsid w:val="0088047F"/>
    <w:rsid w:val="0088587D"/>
    <w:rsid w:val="008B7E45"/>
    <w:rsid w:val="008D5CCB"/>
    <w:rsid w:val="0090049D"/>
    <w:rsid w:val="0090577D"/>
    <w:rsid w:val="009276C6"/>
    <w:rsid w:val="00975B63"/>
    <w:rsid w:val="00992CC8"/>
    <w:rsid w:val="009F5BA9"/>
    <w:rsid w:val="00A03031"/>
    <w:rsid w:val="00A168E0"/>
    <w:rsid w:val="00A53A06"/>
    <w:rsid w:val="00AD039D"/>
    <w:rsid w:val="00B15BDB"/>
    <w:rsid w:val="00B73F46"/>
    <w:rsid w:val="00BA2399"/>
    <w:rsid w:val="00BA4D3F"/>
    <w:rsid w:val="00BA5CB8"/>
    <w:rsid w:val="00C076CE"/>
    <w:rsid w:val="00C27CD9"/>
    <w:rsid w:val="00C843A3"/>
    <w:rsid w:val="00CA32FD"/>
    <w:rsid w:val="00CE0D4E"/>
    <w:rsid w:val="00D23E87"/>
    <w:rsid w:val="00D92D31"/>
    <w:rsid w:val="00E527EF"/>
    <w:rsid w:val="00EE5D7A"/>
    <w:rsid w:val="00FA2DF8"/>
    <w:rsid w:val="00FA6488"/>
    <w:rsid w:val="00FB6938"/>
    <w:rsid w:val="00FD2F91"/>
    <w:rsid w:val="00FF1F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B259F54"/>
  <w15:docId w15:val="{71A46485-C4C7-43DB-ADC4-A8B48D76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spacing w:line="360" w:lineRule="auto"/>
      <w:jc w:val="both"/>
    </w:pPr>
    <w:rPr>
      <w:rFonts w:ascii="Verdana" w:hAnsi="Verdana"/>
      <w:sz w:val="22"/>
      <w:szCs w:val="22"/>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Recuodecorpodetexto">
    <w:name w:val="Body Text Indent"/>
    <w:aliases w:val="bti,bt2,Body Text Bold Indent"/>
    <w:basedOn w:val="Normal"/>
    <w:link w:val="RecuodecorpodetextoChar"/>
    <w:uiPriority w:val="99"/>
    <w:pPr>
      <w:autoSpaceDE w:val="0"/>
      <w:autoSpaceDN w:val="0"/>
      <w:adjustRightInd w:val="0"/>
      <w:spacing w:line="240" w:lineRule="auto"/>
    </w:pPr>
    <w:rPr>
      <w:rFonts w:ascii="Times New Roman" w:hAnsi="Times New Roman"/>
      <w:sz w:val="24"/>
      <w:szCs w:val="24"/>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sz w:val="24"/>
      <w:szCs w:val="24"/>
      <w:lang w:val="x-none" w:eastAsia="x-none"/>
    </w:rPr>
  </w:style>
  <w:style w:type="paragraph" w:styleId="Corpodetexto3">
    <w:name w:val="Body Text 3"/>
    <w:basedOn w:val="Normal"/>
    <w:link w:val="Corpodetexto3Char"/>
    <w:uiPriority w:val="99"/>
    <w:pPr>
      <w:widowControl/>
      <w:autoSpaceDE w:val="0"/>
      <w:autoSpaceDN w:val="0"/>
      <w:adjustRightInd w:val="0"/>
      <w:spacing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uiPriority w:val="99"/>
    <w:rPr>
      <w:sz w:val="16"/>
      <w:szCs w:val="16"/>
      <w:lang w:val="x-none" w:eastAsia="x-none"/>
    </w:rPr>
  </w:style>
  <w:style w:type="paragraph" w:customStyle="1" w:styleId="Level2">
    <w:name w:val="Level 2"/>
    <w:basedOn w:val="Normal"/>
    <w:pPr>
      <w:widowControl/>
      <w:numPr>
        <w:ilvl w:val="1"/>
        <w:numId w:val="3"/>
      </w:numPr>
      <w:spacing w:after="140" w:line="290" w:lineRule="auto"/>
      <w:outlineLvl w:val="1"/>
    </w:pPr>
    <w:rPr>
      <w:rFonts w:ascii="Arial" w:eastAsia="TT108t00" w:hAnsi="Arial" w:cs="Arial"/>
      <w:sz w:val="20"/>
    </w:rPr>
  </w:style>
  <w:style w:type="paragraph" w:customStyle="1" w:styleId="Level1">
    <w:name w:val="Level 1"/>
    <w:basedOn w:val="Normal"/>
    <w:pPr>
      <w:keepNext/>
      <w:widowControl/>
      <w:numPr>
        <w:numId w:val="3"/>
      </w:numPr>
      <w:spacing w:before="280" w:after="140" w:line="290" w:lineRule="auto"/>
      <w:outlineLvl w:val="0"/>
    </w:pPr>
    <w:rPr>
      <w:rFonts w:ascii="Arial" w:hAnsi="Arial" w:cs="Arial"/>
      <w:b/>
    </w:rPr>
  </w:style>
  <w:style w:type="paragraph" w:customStyle="1" w:styleId="Level3">
    <w:name w:val="Level 3"/>
    <w:basedOn w:val="Normal"/>
    <w:link w:val="Level3Char"/>
    <w:pPr>
      <w:widowControl/>
      <w:numPr>
        <w:ilvl w:val="2"/>
        <w:numId w:val="3"/>
      </w:numPr>
      <w:spacing w:after="140" w:line="290" w:lineRule="auto"/>
      <w:outlineLvl w:val="2"/>
    </w:pPr>
    <w:rPr>
      <w:rFonts w:ascii="Arial" w:eastAsia="TT108t00" w:hAnsi="Arial" w:cs="Arial"/>
      <w:sz w:val="20"/>
    </w:rPr>
  </w:style>
  <w:style w:type="paragraph" w:customStyle="1" w:styleId="Level4">
    <w:name w:val="Level 4"/>
    <w:basedOn w:val="Normal"/>
    <w:pPr>
      <w:widowControl/>
      <w:numPr>
        <w:ilvl w:val="3"/>
        <w:numId w:val="3"/>
      </w:numPr>
      <w:spacing w:after="140" w:line="290" w:lineRule="auto"/>
      <w:outlineLvl w:val="3"/>
    </w:pPr>
    <w:rPr>
      <w:rFonts w:ascii="Arial" w:eastAsia="TT108t00" w:hAnsi="Arial" w:cs="Arial"/>
      <w:sz w:val="20"/>
    </w:rPr>
  </w:style>
  <w:style w:type="paragraph" w:customStyle="1" w:styleId="Level5">
    <w:name w:val="Level 5"/>
    <w:basedOn w:val="Normal"/>
    <w:pPr>
      <w:widowControl/>
      <w:numPr>
        <w:ilvl w:val="4"/>
        <w:numId w:val="3"/>
      </w:numPr>
      <w:spacing w:after="140" w:line="290" w:lineRule="auto"/>
    </w:pPr>
    <w:rPr>
      <w:rFonts w:ascii="Arial" w:eastAsia="TT108t00" w:hAnsi="Arial" w:cs="Arial"/>
      <w:sz w:val="20"/>
    </w:rPr>
  </w:style>
  <w:style w:type="paragraph" w:customStyle="1" w:styleId="Level6">
    <w:name w:val="Level 6"/>
    <w:basedOn w:val="Normal"/>
    <w:pPr>
      <w:widowControl/>
      <w:numPr>
        <w:ilvl w:val="5"/>
        <w:numId w:val="3"/>
      </w:numPr>
      <w:spacing w:after="140" w:line="290" w:lineRule="auto"/>
    </w:pPr>
    <w:rPr>
      <w:rFonts w:ascii="Arial" w:eastAsia="TT108t00" w:hAnsi="Arial" w:cs="Arial"/>
      <w:sz w:val="20"/>
    </w:rPr>
  </w:style>
  <w:style w:type="character" w:customStyle="1" w:styleId="Level3Char">
    <w:name w:val="Level 3 Char"/>
    <w:link w:val="Level3"/>
    <w:locked/>
    <w:rPr>
      <w:rFonts w:ascii="Arial" w:eastAsia="TT108t00" w:hAnsi="Arial" w:cs="Arial"/>
      <w:szCs w:val="22"/>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yperlink">
    <w:name w:val="Hyperlink"/>
    <w:basedOn w:val="Fontepargpadro"/>
    <w:rPr>
      <w:color w:val="0563C1" w:themeColor="hyperlink"/>
      <w:u w:val="sing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Verdana" w:hAnsi="Verdana"/>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elacomgrade">
    <w:name w:val="Table Grid"/>
    <w:basedOn w:val="Tabelanormal"/>
    <w:uiPriority w:val="5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style>
  <w:style w:type="paragraph" w:styleId="PargrafodaLista">
    <w:name w:val="List Paragraph"/>
    <w:basedOn w:val="Normal"/>
    <w:link w:val="PargrafodaListaChar"/>
    <w:qFormat/>
    <w:pPr>
      <w:ind w:left="720"/>
      <w:contextualSpacing/>
    </w:pPr>
  </w:style>
  <w:style w:type="paragraph" w:styleId="Textodebalo">
    <w:name w:val="Balloon Text"/>
    <w:basedOn w:val="Normal"/>
    <w:link w:val="TextodebaloChar"/>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rPr>
  </w:style>
  <w:style w:type="character" w:customStyle="1" w:styleId="PargrafodaListaChar">
    <w:name w:val="Parágrafo da Lista Char"/>
    <w:link w:val="PargrafodaLista"/>
    <w:rPr>
      <w:rFonts w:ascii="Verdana" w:hAnsi="Verdana"/>
      <w:sz w:val="22"/>
      <w:szCs w:val="22"/>
    </w:rPr>
  </w:style>
  <w:style w:type="paragraph" w:styleId="Reviso">
    <w:name w:val="Revision"/>
    <w:hidden/>
    <w:uiPriority w:val="99"/>
    <w:semiHidden/>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 J U R _ S P ! 3 0 7 4 1 7 9 8 . 3 < / d o c u m e n t i d >  
     < s e n d e r i d > H S N < / s e n d e r i d >  
     < s e n d e r e m a i l > T A M B R O S A N O @ P N . C O M . B R < / s e n d e r e m a i l >  
     < l a s t m o d i f i e d > 2 0 1 8 - 0 9 - 1 9 T 2 2 : 3 0 : 0 0 . 0 0 0 0 0 0 0 - 0 3 : 0 0 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745A-29D9-4B7A-A661-A0CA045AD70C}">
  <ds:schemaRefs>
    <ds:schemaRef ds:uri="http://www.imanage.com/work/xmlschema"/>
  </ds:schemaRefs>
</ds:datastoreItem>
</file>

<file path=customXml/itemProps2.xml><?xml version="1.0" encoding="utf-8"?>
<ds:datastoreItem xmlns:ds="http://schemas.openxmlformats.org/officeDocument/2006/customXml" ds:itemID="{5F89DDF8-4957-4E4D-82ED-AAE73394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17788</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Neto Advogados</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Gabriel Pereira P Lopes</cp:lastModifiedBy>
  <cp:revision>2</cp:revision>
  <cp:lastPrinted>2018-09-27T22:33:00Z</cp:lastPrinted>
  <dcterms:created xsi:type="dcterms:W3CDTF">2019-05-21T00:36:00Z</dcterms:created>
  <dcterms:modified xsi:type="dcterms:W3CDTF">2019-05-21T00:36:00Z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30741798v3 - 11264002.377497</vt:lpwstr>
  </property>
</Properties>
</file>