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7CBA" w14:textId="505DCB25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COMPANHIA SECURITIZADORA DE CRÉDITOS FINANCEIROS VERT-</w:t>
      </w:r>
      <w:r w:rsidR="001955D0">
        <w:rPr>
          <w:rFonts w:ascii="Verdana" w:hAnsi="Verdana" w:cs="Calibri Light"/>
          <w:b/>
          <w:szCs w:val="20"/>
        </w:rPr>
        <w:t>GYRA</w:t>
      </w:r>
    </w:p>
    <w:p w14:paraId="38545F50" w14:textId="66A14605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 xml:space="preserve">CNPJ/MF nº </w:t>
      </w:r>
      <w:r w:rsidR="001955D0">
        <w:rPr>
          <w:rFonts w:ascii="Verdana" w:hAnsi="Verdana" w:cs="Calibri Light"/>
          <w:szCs w:val="20"/>
        </w:rPr>
        <w:t>32.770.457/0001-71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1955D0">
        <w:rPr>
          <w:rFonts w:ascii="Verdana" w:hAnsi="Verdana" w:cs="Calibri Light"/>
          <w:szCs w:val="20"/>
        </w:rPr>
        <w:t>35.300.531.485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2C53B043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D625F">
        <w:rPr>
          <w:rFonts w:ascii="Verdana" w:hAnsi="Verdana" w:cs="Calibri Light"/>
          <w:b/>
          <w:sz w:val="20"/>
          <w:szCs w:val="20"/>
        </w:rPr>
        <w:t>2</w:t>
      </w:r>
      <w:r w:rsidR="00FA4079" w:rsidRPr="00711CC0">
        <w:rPr>
          <w:rFonts w:ascii="Verdana" w:hAnsi="Verdana" w:cs="Calibri Light"/>
          <w:b/>
          <w:sz w:val="20"/>
          <w:szCs w:val="20"/>
        </w:rPr>
        <w:t>ª (</w:t>
      </w:r>
      <w:r w:rsidR="00BD625F">
        <w:rPr>
          <w:rFonts w:ascii="Verdana" w:hAnsi="Verdana" w:cs="Calibri Light"/>
          <w:b/>
          <w:sz w:val="20"/>
          <w:szCs w:val="20"/>
        </w:rPr>
        <w:t>SEGUNDA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BD625F">
        <w:rPr>
          <w:rFonts w:ascii="Verdana" w:hAnsi="Verdana" w:cs="Calibri Light"/>
          <w:b/>
          <w:sz w:val="20"/>
          <w:szCs w:val="20"/>
        </w:rPr>
        <w:t>COM GARANTIA REAL</w:t>
      </w:r>
      <w:r w:rsidR="00D940AE">
        <w:rPr>
          <w:rFonts w:ascii="Verdana" w:hAnsi="Verdana" w:cs="Calibri Light"/>
          <w:b/>
          <w:sz w:val="20"/>
          <w:szCs w:val="20"/>
        </w:rPr>
        <w:t xml:space="preserve">, EM </w:t>
      </w:r>
      <w:r w:rsidR="00BD625F">
        <w:rPr>
          <w:rFonts w:ascii="Verdana" w:hAnsi="Verdana" w:cs="Calibri Light"/>
          <w:b/>
          <w:sz w:val="20"/>
          <w:szCs w:val="20"/>
        </w:rPr>
        <w:t>3</w:t>
      </w:r>
      <w:r w:rsidR="00D940AE">
        <w:rPr>
          <w:rFonts w:ascii="Verdana" w:hAnsi="Verdana" w:cs="Calibri Light"/>
          <w:b/>
          <w:sz w:val="20"/>
          <w:szCs w:val="20"/>
        </w:rPr>
        <w:t xml:space="preserve"> (</w:t>
      </w:r>
      <w:r w:rsidR="00BD625F">
        <w:rPr>
          <w:rFonts w:ascii="Verdana" w:hAnsi="Verdana" w:cs="Calibri Light"/>
          <w:b/>
          <w:sz w:val="20"/>
          <w:szCs w:val="20"/>
        </w:rPr>
        <w:t>TRÊS</w:t>
      </w:r>
      <w:r w:rsidR="00D940AE">
        <w:rPr>
          <w:rFonts w:ascii="Verdana" w:hAnsi="Verdana" w:cs="Calibri Light"/>
          <w:b/>
          <w:sz w:val="20"/>
          <w:szCs w:val="20"/>
        </w:rPr>
        <w:t>) SÉRIES, PARA DISTRIBUIÇÃO PÚBLICA COM ESFORÇOS RESTRITOS,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1955D0">
        <w:rPr>
          <w:rFonts w:ascii="Verdana" w:hAnsi="Verdana" w:cs="Calibri Light"/>
          <w:b/>
          <w:sz w:val="20"/>
          <w:szCs w:val="20"/>
        </w:rPr>
        <w:t>GYRA</w:t>
      </w:r>
      <w:r w:rsidR="004201B8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B945B5">
        <w:rPr>
          <w:rFonts w:ascii="Verdana" w:hAnsi="Verdana" w:cs="Calibri Light"/>
          <w:b/>
          <w:sz w:val="20"/>
          <w:szCs w:val="20"/>
        </w:rPr>
        <w:t>02 DE MARÇO DE 2021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39F0F349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B945B5">
        <w:rPr>
          <w:rFonts w:ascii="Verdana" w:hAnsi="Verdana" w:cs="Calibri Light"/>
          <w:sz w:val="20"/>
          <w:szCs w:val="20"/>
        </w:rPr>
        <w:t>02 de março de 2021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>1</w:t>
      </w:r>
      <w:r w:rsidR="00BD625F">
        <w:rPr>
          <w:rFonts w:ascii="Verdana" w:hAnsi="Verdana" w:cs="Calibri Light"/>
          <w:sz w:val="20"/>
          <w:szCs w:val="20"/>
        </w:rPr>
        <w:t>1</w:t>
      </w:r>
      <w:r w:rsidR="00C8224F" w:rsidRPr="00711CC0">
        <w:rPr>
          <w:rFonts w:ascii="Verdana" w:hAnsi="Verdana" w:cs="Calibri Light"/>
          <w:sz w:val="20"/>
          <w:szCs w:val="20"/>
        </w:rPr>
        <w:t xml:space="preserve">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>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</w:t>
      </w:r>
      <w:r w:rsidR="00B945B5">
        <w:rPr>
          <w:rFonts w:ascii="Verdana" w:hAnsi="Verdana" w:cs="Calibri Light"/>
          <w:sz w:val="20"/>
          <w:szCs w:val="20"/>
        </w:rPr>
        <w:t>c</w:t>
      </w:r>
      <w:r w:rsidR="00EC1EE0" w:rsidRPr="00711CC0">
        <w:rPr>
          <w:rFonts w:ascii="Verdana" w:hAnsi="Verdana" w:cs="Calibri Light"/>
          <w:sz w:val="20"/>
          <w:szCs w:val="20"/>
        </w:rPr>
        <w:t xml:space="preserve">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651C090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 xml:space="preserve">Sr. </w:t>
      </w:r>
      <w:r w:rsidR="00B945B5">
        <w:rPr>
          <w:rFonts w:ascii="Verdana" w:hAnsi="Verdana" w:cs="Calibri Light"/>
          <w:sz w:val="20"/>
          <w:szCs w:val="20"/>
        </w:rPr>
        <w:t>[</w:t>
      </w:r>
      <w:r w:rsidR="00B945B5" w:rsidRPr="00B945B5">
        <w:rPr>
          <w:rFonts w:ascii="Verdana" w:hAnsi="Verdana" w:cs="Calibri Light"/>
          <w:sz w:val="20"/>
          <w:szCs w:val="20"/>
          <w:highlight w:val="yellow"/>
        </w:rPr>
        <w:t>●</w:t>
      </w:r>
      <w:r w:rsidR="00B945B5">
        <w:rPr>
          <w:rFonts w:ascii="Verdana" w:hAnsi="Verdana" w:cs="Calibri Light"/>
          <w:sz w:val="20"/>
          <w:szCs w:val="20"/>
        </w:rPr>
        <w:t>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EA7FB3">
        <w:rPr>
          <w:rFonts w:ascii="Verdana" w:hAnsi="Verdana" w:cs="Calibri Light"/>
          <w:sz w:val="20"/>
          <w:szCs w:val="20"/>
        </w:rPr>
        <w:t>Matheus Gomes Faria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1B369912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BD625F">
        <w:rPr>
          <w:rFonts w:ascii="Verdana" w:hAnsi="Verdana" w:cs="Calibri Light"/>
          <w:sz w:val="20"/>
          <w:szCs w:val="20"/>
        </w:rPr>
        <w:t>4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</w:t>
      </w:r>
      <w:r w:rsidR="00BD625F">
        <w:rPr>
          <w:rFonts w:ascii="Verdana" w:hAnsi="Verdana" w:cs="Calibri Light"/>
          <w:sz w:val="20"/>
          <w:szCs w:val="20"/>
        </w:rPr>
        <w:t>2</w:t>
      </w:r>
      <w:r w:rsidR="00591152" w:rsidRPr="00711CC0">
        <w:rPr>
          <w:rFonts w:ascii="Verdana" w:hAnsi="Verdana" w:cs="Calibri Light"/>
          <w:sz w:val="20"/>
          <w:szCs w:val="20"/>
        </w:rPr>
        <w:t>ª (</w:t>
      </w:r>
      <w:r w:rsidR="00BD625F">
        <w:rPr>
          <w:rFonts w:ascii="Verdana" w:hAnsi="Verdana" w:cs="Calibri Light"/>
          <w:sz w:val="20"/>
          <w:szCs w:val="20"/>
        </w:rPr>
        <w:t>Segunda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3035D7">
        <w:rPr>
          <w:rFonts w:ascii="Verdana" w:hAnsi="Verdana" w:cs="Calibri Light"/>
          <w:sz w:val="20"/>
          <w:szCs w:val="20"/>
        </w:rPr>
        <w:t>com Garantia Real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</w:t>
      </w:r>
      <w:r w:rsidR="003035D7">
        <w:rPr>
          <w:rFonts w:ascii="Verdana" w:hAnsi="Verdana" w:cs="Calibri Light"/>
          <w:sz w:val="20"/>
          <w:szCs w:val="20"/>
        </w:rPr>
        <w:t>3 (Três)</w:t>
      </w:r>
      <w:r w:rsidR="00591152" w:rsidRPr="00711CC0">
        <w:rPr>
          <w:rFonts w:ascii="Verdana" w:hAnsi="Verdana" w:cs="Calibri Light"/>
          <w:sz w:val="20"/>
          <w:szCs w:val="20"/>
        </w:rPr>
        <w:t xml:space="preserve">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Distribuição Pública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 xml:space="preserve">om Esforços Restritos,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>a 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 da 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69919C38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das Debêntures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lista de presença constante do </w:t>
      </w:r>
      <w:r w:rsidRPr="00B945B5">
        <w:rPr>
          <w:rFonts w:ascii="Verdana" w:hAnsi="Verdana" w:cs="Calibri Light"/>
          <w:sz w:val="20"/>
          <w:szCs w:val="20"/>
        </w:rPr>
        <w:t>Anexo I</w:t>
      </w:r>
      <w:r w:rsidRPr="00711CC0">
        <w:rPr>
          <w:rFonts w:ascii="Verdana" w:hAnsi="Verdana" w:cs="Calibri Light"/>
          <w:sz w:val="20"/>
          <w:szCs w:val="20"/>
        </w:rPr>
        <w:t xml:space="preserve"> à presente </w:t>
      </w:r>
      <w:r w:rsidR="00FA46A3" w:rsidRPr="00711CC0">
        <w:rPr>
          <w:rFonts w:ascii="Verdana" w:hAnsi="Verdana" w:cs="Calibri Light"/>
          <w:sz w:val="20"/>
          <w:szCs w:val="20"/>
        </w:rPr>
        <w:t xml:space="preserve">Ata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Debenturistas</w:t>
      </w:r>
      <w:r w:rsidR="002C55E1" w:rsidRPr="00711CC0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8D5F0A">
        <w:rPr>
          <w:rFonts w:ascii="Verdana" w:hAnsi="Verdana" w:cs="Calibri Light"/>
          <w:b/>
          <w:bCs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8D5F0A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Pr="008D5F0A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Pr="008D5F0A">
        <w:rPr>
          <w:rFonts w:ascii="Verdana" w:hAnsi="Verdana" w:cs="Calibri Light"/>
          <w:b/>
          <w:bCs/>
          <w:sz w:val="20"/>
          <w:szCs w:val="20"/>
        </w:rPr>
        <w:t>)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proofErr w:type="spellStart"/>
      <w:r w:rsidR="001955D0">
        <w:rPr>
          <w:rFonts w:ascii="Verdana" w:hAnsi="Verdana" w:cs="Calibri Light"/>
          <w:sz w:val="20"/>
          <w:szCs w:val="20"/>
        </w:rPr>
        <w:t>Simplific</w:t>
      </w:r>
      <w:proofErr w:type="spellEnd"/>
      <w:r w:rsidR="001955D0">
        <w:rPr>
          <w:rFonts w:ascii="Verdana" w:hAnsi="Verdana" w:cs="Calibri Light"/>
          <w:sz w:val="20"/>
          <w:szCs w:val="20"/>
        </w:rPr>
        <w:t xml:space="preserve">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2D7E3919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EE5AE8">
        <w:rPr>
          <w:rFonts w:ascii="Verdana" w:hAnsi="Verdana" w:cs="Calibri Light"/>
          <w:sz w:val="20"/>
          <w:szCs w:val="20"/>
        </w:rPr>
        <w:t xml:space="preserve">: </w:t>
      </w:r>
      <w:r w:rsidR="00EE5AE8" w:rsidRPr="00EE5AE8">
        <w:rPr>
          <w:rFonts w:ascii="Verdana" w:hAnsi="Verdana" w:cs="Calibri Light"/>
          <w:b/>
          <w:bCs/>
          <w:sz w:val="20"/>
          <w:szCs w:val="20"/>
        </w:rPr>
        <w:t>(i)</w:t>
      </w:r>
      <w:r w:rsidR="001955D0">
        <w:rPr>
          <w:rFonts w:ascii="Verdana" w:hAnsi="Verdana" w:cs="Calibri Light"/>
          <w:sz w:val="20"/>
          <w:szCs w:val="20"/>
        </w:rPr>
        <w:t xml:space="preserve"> </w:t>
      </w:r>
      <w:bookmarkEnd w:id="2"/>
      <w:r w:rsidR="00942C11">
        <w:rPr>
          <w:rFonts w:ascii="Verdana" w:hAnsi="Verdana" w:cs="Calibri Light"/>
          <w:sz w:val="20"/>
          <w:szCs w:val="20"/>
        </w:rPr>
        <w:t>a alteração da tabela de Provisões de Devedores Duvidosos constante no Anexo V ao Instrumento Particular de Escritura da 2ª (segunda) Emissão de Debêntures não Conversíveis em Ações, da Espécie com Garantia Real, em 3 (três) Séries, para Distribuição Pública com Esforços Restritos de Colocação da Companhia Securitizadora de Créditos Financeiros VERT-</w:t>
      </w:r>
      <w:proofErr w:type="spellStart"/>
      <w:r w:rsidR="00942C11">
        <w:rPr>
          <w:rFonts w:ascii="Verdana" w:hAnsi="Verdana" w:cs="Calibri Light"/>
          <w:sz w:val="20"/>
          <w:szCs w:val="20"/>
        </w:rPr>
        <w:t>Gyra</w:t>
      </w:r>
      <w:proofErr w:type="spellEnd"/>
      <w:r w:rsidR="00942C11">
        <w:rPr>
          <w:rFonts w:ascii="Verdana" w:hAnsi="Verdana" w:cs="Calibri Light"/>
          <w:sz w:val="20"/>
          <w:szCs w:val="20"/>
        </w:rPr>
        <w:t xml:space="preserve"> (“</w:t>
      </w:r>
      <w:r w:rsidR="00942C11" w:rsidRPr="00942C11">
        <w:rPr>
          <w:rFonts w:ascii="Verdana" w:hAnsi="Verdana" w:cs="Calibri Light"/>
          <w:sz w:val="20"/>
          <w:szCs w:val="20"/>
          <w:u w:val="single"/>
        </w:rPr>
        <w:t>Escritura</w:t>
      </w:r>
      <w:r w:rsidR="00942C11">
        <w:rPr>
          <w:rFonts w:ascii="Verdana" w:hAnsi="Verdana" w:cs="Calibri Light"/>
          <w:sz w:val="20"/>
          <w:szCs w:val="20"/>
        </w:rPr>
        <w:t xml:space="preserve">”) de forma que o Risco Nível E: Atraso entre 91 e 120 dias passe de 30% (trinta porcento) para 100% (cem porcento), </w:t>
      </w:r>
      <w:r w:rsidR="00942C11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942C11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="00942C11">
        <w:rPr>
          <w:rFonts w:ascii="Verdana" w:hAnsi="Verdana" w:cs="Calibri Light"/>
          <w:b/>
          <w:bCs/>
          <w:sz w:val="20"/>
          <w:szCs w:val="20"/>
        </w:rPr>
        <w:t>)</w:t>
      </w:r>
      <w:r w:rsidR="00942C11">
        <w:rPr>
          <w:rFonts w:ascii="Verdana" w:hAnsi="Verdana" w:cs="Calibri Light"/>
          <w:sz w:val="20"/>
          <w:szCs w:val="20"/>
        </w:rPr>
        <w:t xml:space="preserve"> a alteração da tabela constando na cláusula 3.8.10 (</w:t>
      </w:r>
      <w:proofErr w:type="spellStart"/>
      <w:r w:rsidR="00942C11">
        <w:rPr>
          <w:rFonts w:ascii="Verdana" w:hAnsi="Verdana" w:cs="Calibri Light"/>
          <w:sz w:val="20"/>
          <w:szCs w:val="20"/>
        </w:rPr>
        <w:t>viii</w:t>
      </w:r>
      <w:proofErr w:type="spellEnd"/>
      <w:r w:rsidR="00942C11">
        <w:rPr>
          <w:rFonts w:ascii="Verdana" w:hAnsi="Verdana" w:cs="Calibri Light"/>
          <w:sz w:val="20"/>
          <w:szCs w:val="20"/>
        </w:rPr>
        <w:t xml:space="preserve">) da Escritura, de forma que as variações mínimas por níveis de rating de acordo com a Política de Crédito da </w:t>
      </w:r>
      <w:proofErr w:type="spellStart"/>
      <w:r w:rsidR="00942C11">
        <w:rPr>
          <w:rFonts w:ascii="Verdana" w:hAnsi="Verdana" w:cs="Calibri Light"/>
          <w:sz w:val="20"/>
          <w:szCs w:val="20"/>
        </w:rPr>
        <w:t>Gyra</w:t>
      </w:r>
      <w:proofErr w:type="spellEnd"/>
      <w:r w:rsidR="00942C11">
        <w:rPr>
          <w:rFonts w:ascii="Verdana" w:hAnsi="Verdana" w:cs="Calibri Light"/>
          <w:sz w:val="20"/>
          <w:szCs w:val="20"/>
        </w:rPr>
        <w:t xml:space="preserve"> passem a ser (a) Rating A: entre 1,99% a.m. e </w:t>
      </w:r>
      <w:r w:rsidR="00FD2F20">
        <w:rPr>
          <w:rFonts w:ascii="Verdana" w:hAnsi="Verdana" w:cs="Calibri Light"/>
          <w:sz w:val="20"/>
          <w:szCs w:val="20"/>
        </w:rPr>
        <w:t>2</w:t>
      </w:r>
      <w:r w:rsidR="00942C11">
        <w:rPr>
          <w:rFonts w:ascii="Verdana" w:hAnsi="Verdana" w:cs="Calibri Light"/>
          <w:sz w:val="20"/>
          <w:szCs w:val="20"/>
        </w:rPr>
        <w:t xml:space="preserve">,99% a.m.; (b) Rating B: entre </w:t>
      </w:r>
      <w:r w:rsidR="00FD2F20">
        <w:rPr>
          <w:rFonts w:ascii="Verdana" w:hAnsi="Verdana" w:cs="Calibri Light"/>
          <w:sz w:val="20"/>
          <w:szCs w:val="20"/>
        </w:rPr>
        <w:t>3,00</w:t>
      </w:r>
      <w:r w:rsidR="00942C11">
        <w:rPr>
          <w:rFonts w:ascii="Verdana" w:hAnsi="Verdana" w:cs="Calibri Light"/>
          <w:sz w:val="20"/>
          <w:szCs w:val="20"/>
        </w:rPr>
        <w:t xml:space="preserve">% a.a. e </w:t>
      </w:r>
      <w:r w:rsidR="00FD2F20">
        <w:rPr>
          <w:rFonts w:ascii="Verdana" w:hAnsi="Verdana" w:cs="Calibri Light"/>
          <w:sz w:val="20"/>
          <w:szCs w:val="20"/>
        </w:rPr>
        <w:t>3</w:t>
      </w:r>
      <w:r w:rsidR="00942C11">
        <w:rPr>
          <w:rFonts w:ascii="Verdana" w:hAnsi="Verdana" w:cs="Calibri Light"/>
          <w:sz w:val="20"/>
          <w:szCs w:val="20"/>
        </w:rPr>
        <w:t>,49% a.m.; (c) Rating C: entre 3,</w:t>
      </w:r>
      <w:r w:rsidR="00FD2F20">
        <w:rPr>
          <w:rFonts w:ascii="Verdana" w:hAnsi="Verdana" w:cs="Calibri Light"/>
          <w:sz w:val="20"/>
          <w:szCs w:val="20"/>
        </w:rPr>
        <w:t>50</w:t>
      </w:r>
      <w:r w:rsidR="00942C11">
        <w:rPr>
          <w:rFonts w:ascii="Verdana" w:hAnsi="Verdana" w:cs="Calibri Light"/>
          <w:sz w:val="20"/>
          <w:szCs w:val="20"/>
        </w:rPr>
        <w:t xml:space="preserve">% a.m. e </w:t>
      </w:r>
      <w:r w:rsidR="00FD2F20">
        <w:rPr>
          <w:rFonts w:ascii="Verdana" w:hAnsi="Verdana" w:cs="Calibri Light"/>
          <w:sz w:val="20"/>
          <w:szCs w:val="20"/>
        </w:rPr>
        <w:t>3</w:t>
      </w:r>
      <w:r w:rsidR="00942C11">
        <w:rPr>
          <w:rFonts w:ascii="Verdana" w:hAnsi="Verdana" w:cs="Calibri Light"/>
          <w:sz w:val="20"/>
          <w:szCs w:val="20"/>
        </w:rPr>
        <w:t xml:space="preserve">,99% </w:t>
      </w:r>
      <w:proofErr w:type="spellStart"/>
      <w:r w:rsidR="00942C11">
        <w:rPr>
          <w:rFonts w:ascii="Verdana" w:hAnsi="Verdana" w:cs="Calibri Light"/>
          <w:sz w:val="20"/>
          <w:szCs w:val="20"/>
        </w:rPr>
        <w:t>a;m</w:t>
      </w:r>
      <w:proofErr w:type="spellEnd"/>
      <w:r w:rsidR="00942C11">
        <w:rPr>
          <w:rFonts w:ascii="Verdana" w:hAnsi="Verdana" w:cs="Calibri Light"/>
          <w:sz w:val="20"/>
          <w:szCs w:val="20"/>
        </w:rPr>
        <w:t>;. (d) Rating D: entre 4,</w:t>
      </w:r>
      <w:r w:rsidR="00FD2F20">
        <w:rPr>
          <w:rFonts w:ascii="Verdana" w:hAnsi="Verdana" w:cs="Calibri Light"/>
          <w:sz w:val="20"/>
          <w:szCs w:val="20"/>
        </w:rPr>
        <w:t>00</w:t>
      </w:r>
      <w:r w:rsidR="00942C11">
        <w:rPr>
          <w:rFonts w:ascii="Verdana" w:hAnsi="Verdana" w:cs="Calibri Light"/>
          <w:sz w:val="20"/>
          <w:szCs w:val="20"/>
        </w:rPr>
        <w:t xml:space="preserve">% e </w:t>
      </w:r>
      <w:r w:rsidR="00FD2F20">
        <w:rPr>
          <w:rFonts w:ascii="Verdana" w:hAnsi="Verdana" w:cs="Calibri Light"/>
          <w:sz w:val="20"/>
          <w:szCs w:val="20"/>
        </w:rPr>
        <w:t>4,99</w:t>
      </w:r>
      <w:r w:rsidR="00942C11">
        <w:rPr>
          <w:rFonts w:ascii="Verdana" w:hAnsi="Verdana" w:cs="Calibri Light"/>
          <w:sz w:val="20"/>
          <w:szCs w:val="20"/>
        </w:rPr>
        <w:t xml:space="preserve">% a.m. e (e) Rating E: </w:t>
      </w:r>
      <w:r w:rsidR="00FD2F20">
        <w:rPr>
          <w:rFonts w:ascii="Verdana" w:hAnsi="Verdana" w:cs="Calibri Light"/>
          <w:sz w:val="20"/>
          <w:szCs w:val="20"/>
        </w:rPr>
        <w:t>acima de 5,00%</w:t>
      </w:r>
      <w:r w:rsidR="00942C11">
        <w:rPr>
          <w:rFonts w:ascii="Verdana" w:hAnsi="Verdana" w:cs="Calibri Light"/>
          <w:sz w:val="20"/>
          <w:szCs w:val="20"/>
        </w:rPr>
        <w:t xml:space="preserve"> a.m.</w:t>
      </w:r>
      <w:r w:rsidR="0040682F">
        <w:rPr>
          <w:rFonts w:ascii="Verdana" w:hAnsi="Verdana" w:cs="Calibri Light"/>
          <w:sz w:val="20"/>
          <w:szCs w:val="20"/>
        </w:rPr>
        <w:t xml:space="preserve">; e </w:t>
      </w:r>
      <w:r w:rsidR="0040682F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40682F">
        <w:rPr>
          <w:rFonts w:ascii="Verdana" w:hAnsi="Verdana" w:cs="Calibri Light"/>
          <w:b/>
          <w:bCs/>
          <w:sz w:val="20"/>
          <w:szCs w:val="20"/>
        </w:rPr>
        <w:t>iii</w:t>
      </w:r>
      <w:proofErr w:type="spellEnd"/>
      <w:r w:rsidR="0040682F">
        <w:rPr>
          <w:rFonts w:ascii="Verdana" w:hAnsi="Verdana" w:cs="Calibri Light"/>
          <w:b/>
          <w:bCs/>
          <w:sz w:val="20"/>
          <w:szCs w:val="20"/>
        </w:rPr>
        <w:t>)</w:t>
      </w:r>
      <w:r w:rsidR="0040682F">
        <w:rPr>
          <w:rFonts w:ascii="Verdana" w:hAnsi="Verdana" w:cs="Calibri Light"/>
          <w:sz w:val="20"/>
          <w:szCs w:val="20"/>
        </w:rPr>
        <w:t xml:space="preserve"> 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lastRenderedPageBreak/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814ADE8" w14:textId="1FE6450A" w:rsidR="00FD2F20" w:rsidRDefault="00EE5AE8" w:rsidP="008D5F0A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942C11">
        <w:rPr>
          <w:rFonts w:ascii="Verdana" w:hAnsi="Verdana" w:cs="Calibri Light"/>
          <w:sz w:val="20"/>
          <w:szCs w:val="20"/>
        </w:rPr>
        <w:t xml:space="preserve">a alteração da tabela de Provisões de Devedores Duvidosos constante no Anexo V </w:t>
      </w:r>
      <w:r w:rsidR="00FD2F20">
        <w:rPr>
          <w:rFonts w:ascii="Verdana" w:hAnsi="Verdana" w:cs="Calibri Light"/>
          <w:sz w:val="20"/>
          <w:szCs w:val="20"/>
        </w:rPr>
        <w:t>da Escritura</w:t>
      </w:r>
      <w:r w:rsidR="00942C11">
        <w:rPr>
          <w:rFonts w:ascii="Verdana" w:hAnsi="Verdana" w:cs="Calibri Light"/>
          <w:sz w:val="20"/>
          <w:szCs w:val="20"/>
        </w:rPr>
        <w:t xml:space="preserve"> de forma que</w:t>
      </w:r>
      <w:r w:rsidR="00FD2F20">
        <w:rPr>
          <w:rFonts w:ascii="Verdana" w:hAnsi="Verdana" w:cs="Calibri Light"/>
          <w:sz w:val="20"/>
          <w:szCs w:val="20"/>
        </w:rPr>
        <w:t xml:space="preserve"> </w:t>
      </w:r>
      <w:r w:rsidR="00942C11">
        <w:rPr>
          <w:rFonts w:ascii="Verdana" w:hAnsi="Verdana" w:cs="Calibri Light"/>
          <w:sz w:val="20"/>
          <w:szCs w:val="20"/>
        </w:rPr>
        <w:t xml:space="preserve">o Risco Nível E: Atraso entre 91 e 120 dias passe de 30% (trinta porcento) para 100% (cem porcento), </w:t>
      </w:r>
    </w:p>
    <w:p w14:paraId="5E3EE34F" w14:textId="77777777" w:rsidR="00FD2F20" w:rsidRDefault="00FD2F20" w:rsidP="008D5F0A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68D3E4E" w14:textId="37EA01BC" w:rsidR="00FD2F20" w:rsidRDefault="00942C11" w:rsidP="008D5F0A">
      <w:pPr>
        <w:spacing w:after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>
        <w:rPr>
          <w:rFonts w:ascii="Verdana" w:hAnsi="Verdana" w:cs="Calibri Light"/>
          <w:b/>
          <w:b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a alteração da tabela constando na cláusula 3.8.10 </w:t>
      </w:r>
      <w:r w:rsidRPr="00FD2F20">
        <w:rPr>
          <w:rFonts w:ascii="Verdana" w:hAnsi="Verdana" w:cs="Calibri Light"/>
          <w:i/>
          <w:iCs/>
          <w:sz w:val="20"/>
          <w:szCs w:val="20"/>
        </w:rPr>
        <w:t>(</w:t>
      </w:r>
      <w:proofErr w:type="spellStart"/>
      <w:r w:rsidRPr="00FD2F20">
        <w:rPr>
          <w:rFonts w:ascii="Verdana" w:hAnsi="Verdana" w:cs="Calibri Light"/>
          <w:i/>
          <w:iCs/>
          <w:sz w:val="20"/>
          <w:szCs w:val="20"/>
        </w:rPr>
        <w:t>viii</w:t>
      </w:r>
      <w:proofErr w:type="spellEnd"/>
      <w:r w:rsidRPr="00FD2F20">
        <w:rPr>
          <w:rFonts w:ascii="Verdana" w:hAnsi="Verdana" w:cs="Calibri Light"/>
          <w:i/>
          <w:i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da Escritura, </w:t>
      </w:r>
      <w:r w:rsidR="00FD2F20">
        <w:rPr>
          <w:rFonts w:ascii="Verdana" w:hAnsi="Verdana" w:cs="Calibri Light"/>
          <w:sz w:val="20"/>
          <w:szCs w:val="20"/>
        </w:rPr>
        <w:t>que passa a viger conforme tabela abaixo:</w:t>
      </w:r>
    </w:p>
    <w:p w14:paraId="02A99593" w14:textId="77777777" w:rsidR="00FD2F20" w:rsidRDefault="00FD2F20" w:rsidP="008D5F0A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241"/>
      </w:tblGrid>
      <w:tr w:rsidR="00FD2F20" w:rsidRPr="00FD2F20" w14:paraId="5E57800C" w14:textId="77777777" w:rsidTr="00FD2F20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75CE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Rating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5780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Taxa</w:t>
            </w:r>
          </w:p>
        </w:tc>
      </w:tr>
      <w:tr w:rsidR="00FD2F20" w:rsidRPr="00FD2F20" w14:paraId="48CCD4CC" w14:textId="77777777" w:rsidTr="00FD2F20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2F30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34AE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1,99 – 2,99%</w:t>
            </w:r>
          </w:p>
        </w:tc>
      </w:tr>
      <w:tr w:rsidR="00FD2F20" w:rsidRPr="00FD2F20" w14:paraId="541E2311" w14:textId="77777777" w:rsidTr="00FD2F20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6AED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F79C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3,00 – 3,49%</w:t>
            </w:r>
          </w:p>
        </w:tc>
      </w:tr>
      <w:tr w:rsidR="00FD2F20" w:rsidRPr="00FD2F20" w14:paraId="250F4455" w14:textId="77777777" w:rsidTr="00FD2F20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25B5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6520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3,50 – 3,99%</w:t>
            </w:r>
          </w:p>
        </w:tc>
      </w:tr>
      <w:tr w:rsidR="00FD2F20" w:rsidRPr="00FD2F20" w14:paraId="44F812DB" w14:textId="77777777" w:rsidTr="00FD2F20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4433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31C4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4,00 – 4,99%</w:t>
            </w:r>
          </w:p>
        </w:tc>
      </w:tr>
      <w:tr w:rsidR="00FD2F20" w:rsidRPr="00FD2F20" w14:paraId="26C8847D" w14:textId="77777777" w:rsidTr="00FD2F20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2F8D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25D0" w14:textId="77777777" w:rsidR="00FD2F20" w:rsidRPr="00FD2F20" w:rsidRDefault="00FD2F20" w:rsidP="00FD2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F20">
              <w:rPr>
                <w:rFonts w:ascii="Calibri" w:eastAsia="Times New Roman" w:hAnsi="Calibri" w:cs="Calibri"/>
                <w:color w:val="000000"/>
              </w:rPr>
              <w:t>5,00% +</w:t>
            </w:r>
          </w:p>
        </w:tc>
      </w:tr>
    </w:tbl>
    <w:p w14:paraId="2C2DBB80" w14:textId="157CB5D5" w:rsidR="003035D7" w:rsidRDefault="003035D7" w:rsidP="00FD2F2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3F3CE30A" w14:textId="717EED25" w:rsidR="0040682F" w:rsidRPr="00EE5AE8" w:rsidRDefault="0040682F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00EE5AE8"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z w:val="20"/>
          <w:szCs w:val="20"/>
        </w:rPr>
        <w:t>i</w:t>
      </w:r>
      <w:proofErr w:type="spellEnd"/>
      <w:r w:rsidRPr="00EE5A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28652C">
        <w:rPr>
          <w:rFonts w:ascii="Verdana" w:hAnsi="Verdana"/>
          <w:sz w:val="20"/>
          <w:szCs w:val="20"/>
        </w:rPr>
        <w:t>a</w:t>
      </w:r>
      <w:r w:rsidRPr="0040682F">
        <w:rPr>
          <w:rFonts w:ascii="Verdana" w:hAnsi="Verdana" w:cs="Calibri Light"/>
          <w:sz w:val="20"/>
          <w:szCs w:val="20"/>
        </w:rPr>
        <w:t>utorizar 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04519B98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8D5F0A">
        <w:rPr>
          <w:rFonts w:ascii="Verdana" w:hAnsi="Verdana" w:cs="Calibri Light"/>
          <w:sz w:val="20"/>
          <w:szCs w:val="20"/>
        </w:rPr>
        <w:t>[</w:t>
      </w:r>
      <w:r w:rsidR="008D5F0A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8D5F0A">
        <w:rPr>
          <w:rFonts w:ascii="Verdana" w:hAnsi="Verdana" w:cs="Calibri Light"/>
          <w:sz w:val="20"/>
          <w:szCs w:val="20"/>
        </w:rPr>
        <w:t>]</w:t>
      </w:r>
      <w:r w:rsidR="0042749B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EA7FB3">
        <w:rPr>
          <w:rFonts w:ascii="Verdana" w:hAnsi="Verdana" w:cs="Calibri Light"/>
          <w:sz w:val="20"/>
          <w:szCs w:val="20"/>
        </w:rPr>
        <w:t>Matheus Gomes Faria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55C08A5C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FD2F20">
        <w:rPr>
          <w:rFonts w:ascii="Verdana" w:hAnsi="Verdana" w:cs="Calibri Light"/>
          <w:sz w:val="20"/>
          <w:szCs w:val="20"/>
        </w:rPr>
        <w:t>[</w:t>
      </w:r>
      <w:r w:rsidR="00FD2F20" w:rsidRPr="008D5F0A">
        <w:rPr>
          <w:rFonts w:ascii="Verdana" w:hAnsi="Verdana" w:cs="Calibri Light"/>
          <w:sz w:val="20"/>
          <w:szCs w:val="20"/>
          <w:highlight w:val="yellow"/>
        </w:rPr>
        <w:t>●</w:t>
      </w:r>
      <w:r w:rsidR="00FD2F20">
        <w:rPr>
          <w:rFonts w:ascii="Verdana" w:hAnsi="Verdana" w:cs="Calibri Light"/>
          <w:sz w:val="20"/>
          <w:szCs w:val="20"/>
        </w:rPr>
        <w:t>]</w:t>
      </w:r>
      <w:r w:rsidR="008D5F0A">
        <w:rPr>
          <w:rFonts w:ascii="Verdana" w:hAnsi="Verdana" w:cs="Calibri Light"/>
          <w:sz w:val="20"/>
          <w:szCs w:val="20"/>
        </w:rPr>
        <w:t xml:space="preserve"> de março de 2021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1CE32EAA" w:rsidR="00D41282" w:rsidRPr="00711CC0" w:rsidRDefault="00F55DDA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3035D7">
        <w:rPr>
          <w:rFonts w:ascii="Verdana" w:hAnsi="Verdana" w:cs="Calibri Light"/>
          <w:i/>
          <w:iCs/>
          <w:sz w:val="20"/>
          <w:szCs w:val="20"/>
        </w:rPr>
        <w:t>2ª (Segunda)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Emissão de Debêntures Simples, Não Conversíveis em Ações, da Espécie </w:t>
      </w:r>
      <w:r w:rsidR="003035D7">
        <w:rPr>
          <w:rFonts w:ascii="Verdana" w:hAnsi="Verdana" w:cs="Calibri Light"/>
          <w:i/>
          <w:iCs/>
          <w:sz w:val="20"/>
          <w:szCs w:val="20"/>
        </w:rPr>
        <w:t>com Garantia Real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, em </w:t>
      </w:r>
      <w:r w:rsidR="003035D7">
        <w:rPr>
          <w:rFonts w:ascii="Verdana" w:hAnsi="Verdana" w:cs="Calibri Light"/>
          <w:i/>
          <w:iCs/>
          <w:sz w:val="20"/>
          <w:szCs w:val="20"/>
        </w:rPr>
        <w:t>3 (Três)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Séries, para Distribuição Pública com Esforços Restritos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Gyra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em </w:t>
      </w:r>
      <w:r w:rsidR="00FD2F20" w:rsidRPr="00FD2F20">
        <w:rPr>
          <w:rFonts w:ascii="Verdana" w:hAnsi="Verdana" w:cs="Calibri Light"/>
          <w:i/>
          <w:iCs/>
          <w:sz w:val="20"/>
          <w:szCs w:val="20"/>
        </w:rPr>
        <w:t>[●]</w:t>
      </w:r>
      <w:r w:rsidR="008D5F0A">
        <w:rPr>
          <w:rFonts w:ascii="Verdana" w:hAnsi="Verdana" w:cs="Calibri Light"/>
          <w:i/>
          <w:iCs/>
          <w:sz w:val="20"/>
          <w:szCs w:val="20"/>
        </w:rPr>
        <w:t xml:space="preserve"> de março de 2021</w:t>
      </w:r>
      <w:r w:rsidR="006E6DD1" w:rsidRPr="00F55DDA">
        <w:rPr>
          <w:rFonts w:ascii="Verdana" w:hAnsi="Verdana" w:cs="Calibri Light"/>
          <w:i/>
          <w:iCs/>
          <w:sz w:val="20"/>
          <w:szCs w:val="20"/>
        </w:rPr>
        <w:t>.</w:t>
      </w:r>
      <w:r>
        <w:rPr>
          <w:rFonts w:ascii="Verdana" w:hAnsi="Verdana" w:cs="Calibri Light"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5DCCFA6F" w14:textId="66684111" w:rsidR="009D53F3" w:rsidRDefault="008D5F0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8D5F0A">
              <w:rPr>
                <w:rFonts w:ascii="Verdana" w:hAnsi="Verdana" w:cs="Calibri Light"/>
                <w:sz w:val="20"/>
                <w:szCs w:val="20"/>
                <w:highlight w:val="yellow"/>
              </w:rPr>
              <w:t>●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7143530A" w14:textId="7007296C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5C3A815D" w14:textId="6F1ECB5C" w:rsidR="00F55DDA" w:rsidRPr="00711CC0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Matheus Gomes Faria</w:t>
            </w:r>
          </w:p>
          <w:p w14:paraId="21A5ABCF" w14:textId="102CEECC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77777777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10C97A60" w14:textId="60D5C0C8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COMPANHIA SECURITIZADORA DE CRÉDITOS FINANCEIROS VERT-</w:t>
            </w:r>
            <w:r w:rsidR="00F55DDA">
              <w:rPr>
                <w:rFonts w:ascii="Verdana" w:hAnsi="Verdana" w:cs="Calibri Light"/>
                <w:b/>
                <w:szCs w:val="20"/>
              </w:rPr>
              <w:t>GYRA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777777" w:rsidR="00032A34" w:rsidRPr="00711CC0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</w:tc>
      </w:tr>
    </w:tbl>
    <w:p w14:paraId="47EEF87C" w14:textId="36A72B74" w:rsidR="00550A4B" w:rsidRPr="00711CC0" w:rsidRDefault="00E21B1B" w:rsidP="00EA7FB3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i/>
          <w:sz w:val="20"/>
          <w:szCs w:val="20"/>
        </w:rPr>
        <w:br w:type="column"/>
      </w:r>
      <w:r w:rsidR="00550A4B" w:rsidRPr="00711CC0">
        <w:rPr>
          <w:rFonts w:ascii="Verdana" w:hAnsi="Verdana" w:cs="Calibri Light"/>
          <w:b/>
          <w:sz w:val="20"/>
          <w:szCs w:val="20"/>
        </w:rPr>
        <w:lastRenderedPageBreak/>
        <w:t>ANEXO I</w:t>
      </w:r>
    </w:p>
    <w:p w14:paraId="35BF9486" w14:textId="6334481C" w:rsidR="00550A4B" w:rsidRPr="00321750" w:rsidRDefault="00573D2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Página de Assinaturas - </w:t>
      </w:r>
      <w:r w:rsidR="00550A4B" w:rsidRPr="00711CC0">
        <w:rPr>
          <w:rFonts w:ascii="Verdana" w:hAnsi="Verdana" w:cs="Calibri Light"/>
          <w:sz w:val="20"/>
          <w:szCs w:val="20"/>
        </w:rPr>
        <w:t>Lista de Presença</w:t>
      </w:r>
      <w:r w:rsidR="00B96780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da</w:t>
      </w:r>
      <w:r w:rsidR="00A72C1F" w:rsidRPr="00711CC0">
        <w:rPr>
          <w:rFonts w:ascii="Verdana" w:hAnsi="Verdana"/>
          <w:sz w:val="20"/>
          <w:szCs w:val="20"/>
        </w:rPr>
        <w:t xml:space="preserve"> A</w:t>
      </w:r>
      <w:r w:rsidR="00A72C1F" w:rsidRPr="00711CC0">
        <w:rPr>
          <w:rFonts w:ascii="Verdana" w:hAnsi="Verdana" w:cs="Calibri Light"/>
          <w:sz w:val="20"/>
          <w:szCs w:val="20"/>
        </w:rPr>
        <w:t xml:space="preserve">ssembleia Geral Extraordinária dos Debenturistas da </w:t>
      </w:r>
      <w:r w:rsidR="003035D7">
        <w:rPr>
          <w:rFonts w:ascii="Verdana" w:hAnsi="Verdana" w:cs="Calibri Light"/>
          <w:sz w:val="20"/>
          <w:szCs w:val="20"/>
        </w:rPr>
        <w:t>2ª (Segunda)</w:t>
      </w:r>
      <w:r w:rsidR="00321750" w:rsidRPr="00321750">
        <w:rPr>
          <w:rFonts w:ascii="Verdana" w:hAnsi="Verdana" w:cs="Calibri Light"/>
          <w:sz w:val="20"/>
          <w:szCs w:val="20"/>
        </w:rPr>
        <w:t xml:space="preserve"> Emissão de Debêntures Simples, Não Conversíveis em Ações, da Espécie </w:t>
      </w:r>
      <w:r w:rsidR="003035D7">
        <w:rPr>
          <w:rFonts w:ascii="Verdana" w:hAnsi="Verdana" w:cs="Calibri Light"/>
          <w:sz w:val="20"/>
          <w:szCs w:val="20"/>
        </w:rPr>
        <w:t>com Garantia Real</w:t>
      </w:r>
      <w:r w:rsidR="00321750" w:rsidRPr="00321750">
        <w:rPr>
          <w:rFonts w:ascii="Verdana" w:hAnsi="Verdana" w:cs="Calibri Light"/>
          <w:sz w:val="20"/>
          <w:szCs w:val="20"/>
        </w:rPr>
        <w:t xml:space="preserve">, em </w:t>
      </w:r>
      <w:r w:rsidR="003035D7">
        <w:rPr>
          <w:rFonts w:ascii="Verdana" w:hAnsi="Verdana" w:cs="Calibri Light"/>
          <w:sz w:val="20"/>
          <w:szCs w:val="20"/>
        </w:rPr>
        <w:t>3 (Três)</w:t>
      </w:r>
      <w:r w:rsidR="00321750" w:rsidRPr="00321750">
        <w:rPr>
          <w:rFonts w:ascii="Verdana" w:hAnsi="Verdana" w:cs="Calibri Light"/>
          <w:sz w:val="20"/>
          <w:szCs w:val="20"/>
        </w:rPr>
        <w:t xml:space="preserve"> Séries, para Distribuição Pública com Esforços Restritos da Companhia Securitizadora de Créditos Financeiros VERT-</w:t>
      </w:r>
      <w:proofErr w:type="spellStart"/>
      <w:r w:rsidR="00321750" w:rsidRPr="00321750">
        <w:rPr>
          <w:rFonts w:ascii="Verdana" w:hAnsi="Verdana" w:cs="Calibri Light"/>
          <w:sz w:val="20"/>
          <w:szCs w:val="20"/>
        </w:rPr>
        <w:t>Gyra</w:t>
      </w:r>
      <w:proofErr w:type="spellEnd"/>
      <w:r w:rsidR="00A72C1F" w:rsidRPr="00321750">
        <w:rPr>
          <w:rFonts w:ascii="Verdana" w:hAnsi="Verdana" w:cs="Calibri Light"/>
          <w:sz w:val="20"/>
          <w:szCs w:val="20"/>
        </w:rPr>
        <w:t xml:space="preserve"> </w:t>
      </w:r>
      <w:r w:rsidR="00F55DDA" w:rsidRPr="00321750">
        <w:rPr>
          <w:rFonts w:ascii="Verdana" w:hAnsi="Verdana" w:cs="Calibri Light"/>
          <w:sz w:val="20"/>
          <w:szCs w:val="20"/>
        </w:rPr>
        <w:t xml:space="preserve">realizada em </w:t>
      </w:r>
      <w:r w:rsidR="00FD2F20" w:rsidRPr="00FD2F20">
        <w:rPr>
          <w:rFonts w:ascii="Verdana" w:hAnsi="Verdana" w:cs="Calibri Light"/>
          <w:sz w:val="20"/>
          <w:szCs w:val="20"/>
        </w:rPr>
        <w:t>[●]</w:t>
      </w:r>
      <w:r w:rsidR="008D5F0A">
        <w:rPr>
          <w:rFonts w:ascii="Verdana" w:hAnsi="Verdana" w:cs="Calibri Light"/>
          <w:sz w:val="20"/>
          <w:szCs w:val="20"/>
        </w:rPr>
        <w:t xml:space="preserve"> de março de 2021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>.</w:t>
      </w:r>
    </w:p>
    <w:p w14:paraId="11B1AC9A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8876" w:type="dxa"/>
        <w:tblLook w:val="04A0" w:firstRow="1" w:lastRow="0" w:firstColumn="1" w:lastColumn="0" w:noHBand="0" w:noVBand="1"/>
      </w:tblPr>
      <w:tblGrid>
        <w:gridCol w:w="4391"/>
        <w:gridCol w:w="2275"/>
        <w:gridCol w:w="2210"/>
      </w:tblGrid>
      <w:tr w:rsidR="00A72C1F" w:rsidRPr="00711CC0" w14:paraId="5D2FE02E" w14:textId="73C6588A" w:rsidTr="00A72C1F">
        <w:trPr>
          <w:trHeight w:val="822"/>
        </w:trPr>
        <w:tc>
          <w:tcPr>
            <w:tcW w:w="4391" w:type="dxa"/>
            <w:vAlign w:val="center"/>
          </w:tcPr>
          <w:p w14:paraId="68375434" w14:textId="70620E13" w:rsidR="00A72C1F" w:rsidRPr="00711CC0" w:rsidRDefault="00A72C1F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DEBENTURISTA</w:t>
            </w:r>
          </w:p>
        </w:tc>
        <w:tc>
          <w:tcPr>
            <w:tcW w:w="2275" w:type="dxa"/>
            <w:vAlign w:val="center"/>
          </w:tcPr>
          <w:p w14:paraId="2DA63AF0" w14:textId="103C22DC" w:rsidR="00A72C1F" w:rsidRPr="00711CC0" w:rsidRDefault="00A72C1F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CNPJ/CPF</w:t>
            </w:r>
          </w:p>
        </w:tc>
        <w:tc>
          <w:tcPr>
            <w:tcW w:w="2210" w:type="dxa"/>
            <w:vAlign w:val="center"/>
          </w:tcPr>
          <w:p w14:paraId="61B735E6" w14:textId="6B10C114" w:rsidR="00A72C1F" w:rsidRPr="00711CC0" w:rsidRDefault="00A72C1F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 xml:space="preserve">VOTO DELIBERAÇÃO </w:t>
            </w:r>
          </w:p>
        </w:tc>
      </w:tr>
      <w:tr w:rsidR="00A72C1F" w:rsidRPr="00711CC0" w14:paraId="06EB3B09" w14:textId="267648E4" w:rsidTr="00A72C1F">
        <w:trPr>
          <w:trHeight w:val="462"/>
        </w:trPr>
        <w:tc>
          <w:tcPr>
            <w:tcW w:w="4391" w:type="dxa"/>
          </w:tcPr>
          <w:p w14:paraId="10B81A22" w14:textId="2A8C372A" w:rsidR="00A72C1F" w:rsidRPr="00711CC0" w:rsidRDefault="008D5F0A" w:rsidP="00EA7FB3">
            <w:pPr>
              <w:spacing w:line="276" w:lineRule="auto"/>
              <w:rPr>
                <w:rFonts w:ascii="Verdana" w:hAnsi="Verdana" w:cs="Calibri Light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z w:val="20"/>
                <w:szCs w:val="20"/>
              </w:rPr>
              <w:t>[</w:t>
            </w:r>
            <w:r w:rsidRPr="008D5F0A">
              <w:rPr>
                <w:rFonts w:ascii="Verdana" w:hAnsi="Verdana" w:cs="Calibri Light"/>
                <w:b/>
                <w:sz w:val="20"/>
                <w:szCs w:val="20"/>
                <w:highlight w:val="yellow"/>
              </w:rPr>
              <w:t>●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]</w:t>
            </w:r>
          </w:p>
        </w:tc>
        <w:tc>
          <w:tcPr>
            <w:tcW w:w="2275" w:type="dxa"/>
          </w:tcPr>
          <w:p w14:paraId="01CF4087" w14:textId="72204AE3" w:rsidR="00A72C1F" w:rsidRPr="00711CC0" w:rsidRDefault="008D5F0A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[●]</w:t>
            </w:r>
          </w:p>
        </w:tc>
        <w:tc>
          <w:tcPr>
            <w:tcW w:w="2210" w:type="dxa"/>
          </w:tcPr>
          <w:p w14:paraId="007C69CF" w14:textId="5CC0605C" w:rsidR="00A72C1F" w:rsidRPr="00711CC0" w:rsidRDefault="009549EF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APROVAR</w:t>
            </w:r>
          </w:p>
        </w:tc>
      </w:tr>
    </w:tbl>
    <w:p w14:paraId="09448066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3FE6F09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E6A00D7" w14:textId="4934F711" w:rsidR="004201B8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___________________________________</w:t>
      </w:r>
      <w:r w:rsidR="00B609C8">
        <w:rPr>
          <w:rFonts w:ascii="Verdana" w:hAnsi="Verdana" w:cs="Calibri Light"/>
          <w:sz w:val="20"/>
          <w:szCs w:val="20"/>
        </w:rPr>
        <w:t>_______________________________</w:t>
      </w:r>
    </w:p>
    <w:p w14:paraId="0FF72B5C" w14:textId="653B3CA8" w:rsidR="00094154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2C92F809" w14:textId="1D42468A" w:rsidR="00094154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094154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88F2C" w14:textId="77777777" w:rsidR="001A2FC8" w:rsidRDefault="001A2FC8" w:rsidP="00591152">
      <w:pPr>
        <w:spacing w:after="0" w:line="240" w:lineRule="auto"/>
      </w:pPr>
      <w:r>
        <w:separator/>
      </w:r>
    </w:p>
  </w:endnote>
  <w:endnote w:type="continuationSeparator" w:id="0">
    <w:p w14:paraId="4F67524A" w14:textId="77777777" w:rsidR="001A2FC8" w:rsidRDefault="001A2FC8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51268" w14:textId="77777777" w:rsidR="001A2FC8" w:rsidRDefault="001A2FC8" w:rsidP="00591152">
      <w:pPr>
        <w:spacing w:after="0" w:line="240" w:lineRule="auto"/>
      </w:pPr>
      <w:r>
        <w:separator/>
      </w:r>
    </w:p>
  </w:footnote>
  <w:footnote w:type="continuationSeparator" w:id="0">
    <w:p w14:paraId="11021EA2" w14:textId="77777777" w:rsidR="001A2FC8" w:rsidRDefault="001A2FC8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2C1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2F20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870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Luiza Morelli</cp:lastModifiedBy>
  <cp:revision>2</cp:revision>
  <cp:lastPrinted>2019-06-24T21:49:00Z</cp:lastPrinted>
  <dcterms:created xsi:type="dcterms:W3CDTF">2021-03-05T03:12:00Z</dcterms:created>
  <dcterms:modified xsi:type="dcterms:W3CDTF">2021-03-05T03:12:00Z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