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FF6E" w14:textId="32B9F4BD"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t xml:space="preserve">INSTRUMENTO PARTICULAR DE ESCRITURA DA </w:t>
      </w:r>
      <w:r w:rsidR="00654C24">
        <w:rPr>
          <w:rFonts w:ascii="Verdana" w:hAnsi="Verdana"/>
          <w:b/>
          <w:smallCaps/>
          <w:sz w:val="20"/>
          <w:szCs w:val="20"/>
        </w:rPr>
        <w:t>2</w:t>
      </w:r>
      <w:r>
        <w:rPr>
          <w:rFonts w:ascii="Verdana" w:hAnsi="Verdana"/>
          <w:b/>
          <w:smallCaps/>
          <w:sz w:val="20"/>
          <w:szCs w:val="20"/>
        </w:rPr>
        <w:t>ª (</w:t>
      </w:r>
      <w:r w:rsidR="00654C24">
        <w:rPr>
          <w:rFonts w:ascii="Verdana" w:hAnsi="Verdana"/>
          <w:b/>
          <w:smallCaps/>
          <w:sz w:val="20"/>
          <w:szCs w:val="20"/>
        </w:rPr>
        <w:t>SEGUNDA</w:t>
      </w:r>
      <w:r>
        <w:rPr>
          <w:rFonts w:ascii="Verdana" w:hAnsi="Verdana"/>
          <w:b/>
          <w:smallCaps/>
          <w:sz w:val="20"/>
          <w:szCs w:val="20"/>
        </w:rPr>
        <w:t xml:space="preserve">) EMISSÃO DE DEBÊNTURES SIMPLES, NÃO CONVERSÍVEIS EM AÇÕES, DA ESPÉCIE </w:t>
      </w:r>
      <w:r w:rsidR="008A21AF">
        <w:rPr>
          <w:rFonts w:ascii="Verdana" w:hAnsi="Verdana"/>
          <w:b/>
          <w:smallCaps/>
          <w:sz w:val="20"/>
          <w:szCs w:val="20"/>
        </w:rPr>
        <w:t>COM</w:t>
      </w:r>
      <w:r>
        <w:rPr>
          <w:rFonts w:ascii="Verdana" w:hAnsi="Verdana"/>
          <w:b/>
          <w:smallCaps/>
          <w:sz w:val="20"/>
          <w:szCs w:val="20"/>
        </w:rPr>
        <w:t xml:space="preserve"> GARANTIA REAL, EM 2 (DUAS) SÉRIES, PARA DISTRIBUIÇÃO PÚBLICA COM ESFORÇOS RESTRITOS, DA COMPANHIA SECURITIZADORA DE CRÉDITOS FINANCEIROS VERT-</w:t>
      </w:r>
      <w:r w:rsidR="00654C24">
        <w:rPr>
          <w:rFonts w:ascii="Verdana" w:hAnsi="Verdana"/>
          <w:b/>
          <w:smallCaps/>
          <w:sz w:val="20"/>
          <w:szCs w:val="20"/>
        </w:rPr>
        <w:t>GYRA</w:t>
      </w:r>
    </w:p>
    <w:p w14:paraId="492ED3C9" w14:textId="77777777" w:rsidR="00EB5CDB" w:rsidRDefault="00EB5CDB">
      <w:pPr>
        <w:spacing w:before="120" w:after="120" w:line="280" w:lineRule="exact"/>
        <w:jc w:val="center"/>
        <w:rPr>
          <w:rFonts w:ascii="Verdana" w:hAnsi="Verdana"/>
          <w:b/>
          <w:sz w:val="20"/>
          <w:szCs w:val="20"/>
        </w:rPr>
      </w:pPr>
    </w:p>
    <w:p w14:paraId="247FA209" w14:textId="77777777" w:rsidR="00EB5CDB" w:rsidRDefault="00EB5CDB">
      <w:pPr>
        <w:tabs>
          <w:tab w:val="left" w:pos="5529"/>
        </w:tabs>
        <w:spacing w:before="120" w:after="120" w:line="280" w:lineRule="exact"/>
        <w:jc w:val="center"/>
        <w:rPr>
          <w:rFonts w:ascii="Verdana" w:hAnsi="Verdana"/>
          <w:b/>
          <w:smallCaps/>
          <w:sz w:val="20"/>
          <w:szCs w:val="20"/>
        </w:rPr>
      </w:pPr>
    </w:p>
    <w:p w14:paraId="4F77E8D8"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CELEBRADO ENTRE</w:t>
      </w:r>
    </w:p>
    <w:p w14:paraId="462C7B70" w14:textId="77777777" w:rsidR="00EB5CDB" w:rsidRDefault="00EB5CDB">
      <w:pPr>
        <w:spacing w:before="120" w:after="120" w:line="280" w:lineRule="exact"/>
        <w:jc w:val="center"/>
        <w:rPr>
          <w:rFonts w:ascii="Verdana" w:hAnsi="Verdana"/>
          <w:b/>
          <w:smallCaps/>
          <w:sz w:val="20"/>
          <w:szCs w:val="20"/>
        </w:rPr>
      </w:pPr>
    </w:p>
    <w:p w14:paraId="338850C7" w14:textId="77777777" w:rsidR="00EB5CDB" w:rsidRDefault="00EB5CDB">
      <w:pPr>
        <w:spacing w:before="120" w:after="120" w:line="280" w:lineRule="exact"/>
        <w:jc w:val="center"/>
        <w:rPr>
          <w:rFonts w:ascii="Verdana" w:hAnsi="Verdana"/>
          <w:b/>
          <w:smallCaps/>
          <w:sz w:val="20"/>
          <w:szCs w:val="20"/>
        </w:rPr>
      </w:pPr>
    </w:p>
    <w:p w14:paraId="0F8FBB03" w14:textId="1CEA7AEC"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COMPANHIA SECURITIZADORA DE CRÉDITOS FINANCEIROS VERT-</w:t>
      </w:r>
      <w:r w:rsidR="00654C24">
        <w:rPr>
          <w:rFonts w:ascii="Verdana" w:hAnsi="Verdana"/>
          <w:b/>
          <w:smallCaps/>
          <w:sz w:val="20"/>
          <w:szCs w:val="20"/>
        </w:rPr>
        <w:t>GYRA</w:t>
      </w:r>
      <w:r>
        <w:rPr>
          <w:rFonts w:ascii="Verdana" w:hAnsi="Verdana"/>
          <w:b/>
          <w:smallCaps/>
          <w:sz w:val="20"/>
          <w:szCs w:val="20"/>
        </w:rPr>
        <w:t xml:space="preserve"> </w:t>
      </w:r>
    </w:p>
    <w:p w14:paraId="180617F7" w14:textId="77777777" w:rsidR="00EB5CDB" w:rsidRDefault="00EB5CDB">
      <w:pPr>
        <w:spacing w:before="120" w:after="120" w:line="280" w:lineRule="exact"/>
        <w:jc w:val="center"/>
        <w:rPr>
          <w:rFonts w:ascii="Verdana" w:hAnsi="Verdana"/>
          <w:b/>
          <w:smallCaps/>
          <w:sz w:val="20"/>
          <w:szCs w:val="20"/>
        </w:rPr>
      </w:pPr>
    </w:p>
    <w:p w14:paraId="3CD22936" w14:textId="77777777" w:rsidR="00EB5CDB" w:rsidRDefault="00EB5CDB">
      <w:pPr>
        <w:spacing w:before="120" w:after="120" w:line="280" w:lineRule="exact"/>
        <w:jc w:val="center"/>
        <w:rPr>
          <w:rFonts w:ascii="Verdana" w:hAnsi="Verdana"/>
          <w:b/>
          <w:smallCaps/>
          <w:sz w:val="20"/>
          <w:szCs w:val="20"/>
        </w:rPr>
      </w:pPr>
    </w:p>
    <w:p w14:paraId="6583C539" w14:textId="77777777" w:rsidR="00EB5CDB" w:rsidRDefault="008E55E6">
      <w:pPr>
        <w:spacing w:before="120" w:after="120" w:line="280" w:lineRule="exact"/>
        <w:jc w:val="center"/>
        <w:rPr>
          <w:rFonts w:ascii="Verdana" w:hAnsi="Verdana"/>
          <w:b/>
          <w:smallCaps/>
          <w:sz w:val="20"/>
          <w:szCs w:val="20"/>
        </w:rPr>
      </w:pPr>
      <w:r>
        <w:rPr>
          <w:rFonts w:ascii="Verdana" w:hAnsi="Verdana"/>
          <w:b/>
          <w:smallCaps/>
          <w:sz w:val="20"/>
          <w:szCs w:val="20"/>
        </w:rPr>
        <w:t>E</w:t>
      </w:r>
    </w:p>
    <w:p w14:paraId="0B31F5ED" w14:textId="77777777" w:rsidR="00EB5CDB" w:rsidRDefault="00EB5CDB">
      <w:pPr>
        <w:spacing w:before="120" w:after="120" w:line="280" w:lineRule="exact"/>
        <w:jc w:val="center"/>
        <w:rPr>
          <w:rFonts w:ascii="Verdana" w:hAnsi="Verdana"/>
          <w:b/>
          <w:smallCaps/>
          <w:sz w:val="20"/>
          <w:szCs w:val="20"/>
        </w:rPr>
      </w:pPr>
    </w:p>
    <w:p w14:paraId="16B42CE3" w14:textId="77777777" w:rsidR="00EB5CDB" w:rsidRDefault="00EB5CDB">
      <w:pPr>
        <w:spacing w:before="120" w:after="120" w:line="280" w:lineRule="exact"/>
        <w:jc w:val="center"/>
        <w:rPr>
          <w:rFonts w:ascii="Verdana" w:hAnsi="Verdana"/>
          <w:b/>
          <w:smallCaps/>
          <w:sz w:val="20"/>
          <w:szCs w:val="20"/>
        </w:rPr>
      </w:pPr>
    </w:p>
    <w:p w14:paraId="192AC540" w14:textId="77777777" w:rsidR="00EB5CDB" w:rsidRDefault="00EB5CDB">
      <w:pPr>
        <w:spacing w:before="120" w:after="120" w:line="280" w:lineRule="exact"/>
        <w:jc w:val="center"/>
        <w:rPr>
          <w:rFonts w:ascii="Verdana" w:hAnsi="Verdana"/>
          <w:b/>
          <w:smallCaps/>
          <w:sz w:val="20"/>
          <w:szCs w:val="20"/>
        </w:rPr>
      </w:pPr>
    </w:p>
    <w:p w14:paraId="168D4ED8" w14:textId="12697BE4" w:rsidR="00EB5CDB" w:rsidRDefault="00BA08A7">
      <w:pPr>
        <w:pBdr>
          <w:bottom w:val="double" w:sz="6" w:space="0" w:color="auto"/>
        </w:pBdr>
        <w:spacing w:before="120" w:after="120" w:line="280" w:lineRule="exact"/>
        <w:jc w:val="center"/>
        <w:rPr>
          <w:rFonts w:ascii="Verdana" w:hAnsi="Verdana"/>
          <w:b/>
          <w:smallCaps/>
          <w:sz w:val="20"/>
          <w:szCs w:val="20"/>
        </w:rPr>
      </w:pPr>
      <w:r w:rsidRPr="007120CB">
        <w:rPr>
          <w:rFonts w:ascii="Verdana" w:hAnsi="Verdana"/>
          <w:b/>
          <w:bCs/>
          <w:sz w:val="20"/>
          <w:szCs w:val="20"/>
        </w:rPr>
        <w:t>SIMPLIFIC PAVARINI DISTRIBUIDORA DE TÍTULOS E VALORES MOBILIÁRIOS LTDA.</w:t>
      </w:r>
    </w:p>
    <w:p w14:paraId="4616662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5983B0" w14:textId="77777777" w:rsidR="00EB5CDB" w:rsidRDefault="008E55E6">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EM</w:t>
      </w:r>
    </w:p>
    <w:p w14:paraId="591DE681"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B20CE75"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649D5869" w14:textId="7A6563A7" w:rsidR="00EB5CDB" w:rsidRDefault="00A870AB">
      <w:pPr>
        <w:pBdr>
          <w:bottom w:val="double" w:sz="6" w:space="0" w:color="auto"/>
        </w:pBdr>
        <w:spacing w:before="120" w:after="120" w:line="280" w:lineRule="exact"/>
        <w:jc w:val="center"/>
        <w:rPr>
          <w:rFonts w:ascii="Verdana" w:hAnsi="Verdana"/>
          <w:b/>
          <w:smallCaps/>
          <w:sz w:val="20"/>
          <w:szCs w:val="20"/>
        </w:rPr>
      </w:pPr>
      <w:r>
        <w:rPr>
          <w:rFonts w:ascii="Verdana" w:hAnsi="Verdana"/>
          <w:b/>
          <w:smallCaps/>
          <w:sz w:val="20"/>
          <w:szCs w:val="20"/>
        </w:rPr>
        <w:t>[</w:t>
      </w:r>
      <w:r w:rsidR="00654C24" w:rsidRPr="008D6F6D">
        <w:rPr>
          <w:rFonts w:ascii="Verdana" w:hAnsi="Verdana"/>
          <w:b/>
          <w:smallCaps/>
          <w:sz w:val="20"/>
          <w:szCs w:val="20"/>
          <w:highlight w:val="yellow"/>
        </w:rPr>
        <w:t>__</w:t>
      </w:r>
      <w:r>
        <w:rPr>
          <w:rFonts w:ascii="Verdana" w:hAnsi="Verdana"/>
          <w:b/>
          <w:smallCaps/>
          <w:sz w:val="20"/>
          <w:szCs w:val="20"/>
        </w:rPr>
        <w:t>]</w:t>
      </w:r>
      <w:r w:rsidR="008E55E6">
        <w:rPr>
          <w:rFonts w:ascii="Verdana" w:hAnsi="Verdana"/>
          <w:b/>
          <w:smallCaps/>
          <w:sz w:val="20"/>
          <w:szCs w:val="20"/>
        </w:rPr>
        <w:t xml:space="preserve"> DE SETEMBRO DE 20</w:t>
      </w:r>
      <w:r w:rsidR="00654C24">
        <w:rPr>
          <w:rFonts w:ascii="Verdana" w:hAnsi="Verdana"/>
          <w:b/>
          <w:smallCaps/>
          <w:sz w:val="20"/>
          <w:szCs w:val="20"/>
        </w:rPr>
        <w:t>20</w:t>
      </w:r>
    </w:p>
    <w:p w14:paraId="0355A25E"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0742AB0C" w14:textId="77777777" w:rsidR="00EB5CDB" w:rsidRDefault="00EB5CDB">
      <w:pPr>
        <w:pBdr>
          <w:bottom w:val="double" w:sz="6" w:space="0" w:color="auto"/>
        </w:pBdr>
        <w:spacing w:before="120" w:after="120" w:line="280" w:lineRule="exact"/>
        <w:jc w:val="center"/>
        <w:rPr>
          <w:rFonts w:ascii="Verdana" w:hAnsi="Verdana"/>
          <w:b/>
          <w:smallCaps/>
          <w:sz w:val="20"/>
          <w:szCs w:val="20"/>
        </w:rPr>
      </w:pPr>
    </w:p>
    <w:p w14:paraId="23A895FF" w14:textId="77777777" w:rsidR="00EB5CDB" w:rsidRDefault="00EB5CDB">
      <w:pPr>
        <w:autoSpaceDE/>
        <w:autoSpaceDN/>
        <w:adjustRightInd/>
        <w:spacing w:before="120" w:after="120" w:line="280" w:lineRule="exact"/>
        <w:rPr>
          <w:rFonts w:ascii="Verdana" w:hAnsi="Verdana" w:cs="Tahoma"/>
          <w:b/>
          <w:sz w:val="20"/>
          <w:szCs w:val="20"/>
        </w:rPr>
      </w:pPr>
    </w:p>
    <w:p w14:paraId="158F18AD"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2DB271CD" w14:textId="5B56F737" w:rsidR="00EB5CDB" w:rsidRDefault="008E55E6">
      <w:pPr>
        <w:spacing w:before="120" w:after="120" w:line="280" w:lineRule="exact"/>
        <w:jc w:val="both"/>
        <w:rPr>
          <w:rFonts w:ascii="Verdana" w:hAnsi="Verdana"/>
          <w:b/>
          <w:smallCaps/>
          <w:sz w:val="20"/>
          <w:szCs w:val="20"/>
        </w:rPr>
      </w:pPr>
      <w:r>
        <w:rPr>
          <w:rFonts w:ascii="Verdana" w:hAnsi="Verdana"/>
          <w:b/>
          <w:smallCaps/>
          <w:sz w:val="20"/>
          <w:szCs w:val="20"/>
        </w:rPr>
        <w:lastRenderedPageBreak/>
        <w:t xml:space="preserve">INSTRUMENTO PARTICULAR DE ESCRITURA DA </w:t>
      </w:r>
      <w:r w:rsidR="0035022B">
        <w:rPr>
          <w:rFonts w:ascii="Verdana" w:hAnsi="Verdana"/>
          <w:b/>
          <w:smallCaps/>
          <w:sz w:val="20"/>
          <w:szCs w:val="20"/>
        </w:rPr>
        <w:t>2</w:t>
      </w:r>
      <w:r>
        <w:rPr>
          <w:rFonts w:ascii="Verdana" w:hAnsi="Verdana"/>
          <w:b/>
          <w:smallCaps/>
          <w:sz w:val="20"/>
          <w:szCs w:val="20"/>
        </w:rPr>
        <w:t>ª (</w:t>
      </w:r>
      <w:r w:rsidR="0035022B">
        <w:rPr>
          <w:rFonts w:ascii="Verdana" w:hAnsi="Verdana"/>
          <w:b/>
          <w:smallCaps/>
          <w:sz w:val="20"/>
          <w:szCs w:val="20"/>
        </w:rPr>
        <w:t>SEGUNDA</w:t>
      </w:r>
      <w:r>
        <w:rPr>
          <w:rFonts w:ascii="Verdana" w:hAnsi="Verdana"/>
          <w:b/>
          <w:smallCaps/>
          <w:sz w:val="20"/>
          <w:szCs w:val="20"/>
        </w:rPr>
        <w:t xml:space="preserve">) EMISSÃO DE DEBÊNTURES </w:t>
      </w:r>
      <w:r>
        <w:rPr>
          <w:rStyle w:val="DeltaViewInsertion"/>
          <w:rFonts w:ascii="Verdana" w:hAnsi="Verdana"/>
          <w:b/>
          <w:smallCaps/>
          <w:color w:val="auto"/>
          <w:sz w:val="20"/>
          <w:szCs w:val="20"/>
          <w:u w:val="none"/>
        </w:rPr>
        <w:t xml:space="preserve">SIMPLES, </w:t>
      </w:r>
      <w:r>
        <w:rPr>
          <w:rFonts w:ascii="Verdana" w:hAnsi="Verdana"/>
          <w:b/>
          <w:smallCaps/>
          <w:sz w:val="20"/>
          <w:szCs w:val="20"/>
        </w:rPr>
        <w:t>NÃO CONVERSÍVEIS EM AÇÕES,</w:t>
      </w:r>
      <w:r>
        <w:rPr>
          <w:rStyle w:val="DeltaViewInsertion"/>
          <w:rFonts w:ascii="Verdana" w:hAnsi="Verdana"/>
          <w:b/>
          <w:smallCaps/>
          <w:color w:val="auto"/>
          <w:sz w:val="20"/>
          <w:szCs w:val="20"/>
          <w:u w:val="none"/>
        </w:rPr>
        <w:t xml:space="preserve"> DA ESPÉCIE </w:t>
      </w:r>
      <w:r w:rsidR="0035022B">
        <w:rPr>
          <w:rStyle w:val="DeltaViewInsertion"/>
          <w:rFonts w:ascii="Verdana" w:hAnsi="Verdana"/>
          <w:b/>
          <w:smallCaps/>
          <w:color w:val="auto"/>
          <w:sz w:val="20"/>
          <w:szCs w:val="20"/>
          <w:u w:val="none"/>
        </w:rPr>
        <w:t>COM</w:t>
      </w:r>
      <w:r>
        <w:rPr>
          <w:rStyle w:val="DeltaViewInsertion"/>
          <w:rFonts w:ascii="Verdana" w:hAnsi="Verdana"/>
          <w:b/>
          <w:smallCaps/>
          <w:color w:val="auto"/>
          <w:sz w:val="20"/>
          <w:szCs w:val="20"/>
          <w:u w:val="none"/>
        </w:rPr>
        <w:t xml:space="preserve"> GARANTIA REAL</w:t>
      </w:r>
      <w:r>
        <w:rPr>
          <w:rFonts w:ascii="Verdana" w:hAnsi="Verdana"/>
          <w:b/>
          <w:smallCaps/>
          <w:sz w:val="20"/>
          <w:szCs w:val="20"/>
        </w:rPr>
        <w:t xml:space="preserve">, EM </w:t>
      </w:r>
      <w:r>
        <w:rPr>
          <w:rStyle w:val="DeltaViewInsertion"/>
          <w:rFonts w:ascii="Verdana" w:hAnsi="Verdana"/>
          <w:b/>
          <w:smallCaps/>
          <w:color w:val="auto"/>
          <w:sz w:val="20"/>
          <w:szCs w:val="20"/>
          <w:u w:val="none"/>
        </w:rPr>
        <w:t xml:space="preserve">2 (DUAS) SÉRIES, </w:t>
      </w:r>
      <w:r>
        <w:rPr>
          <w:rFonts w:ascii="Verdana" w:hAnsi="Verdana"/>
          <w:b/>
          <w:smallCaps/>
          <w:sz w:val="20"/>
          <w:szCs w:val="20"/>
        </w:rPr>
        <w:t>PARA DISTRIBUIÇÃO PÚBLICA COM ESFORÇOS RESTRITOS, DA COMPANHIA SECURITIZADORA DE CRÉDITOS FINANCEIROS VERT-</w:t>
      </w:r>
      <w:r w:rsidR="0035022B">
        <w:rPr>
          <w:rFonts w:ascii="Verdana" w:hAnsi="Verdana"/>
          <w:b/>
          <w:smallCaps/>
          <w:sz w:val="20"/>
          <w:szCs w:val="20"/>
        </w:rPr>
        <w:t>GYRA</w:t>
      </w:r>
    </w:p>
    <w:p w14:paraId="31C48DDB" w14:textId="77777777" w:rsidR="00EB5CDB" w:rsidRDefault="00EB5CDB">
      <w:pPr>
        <w:spacing w:before="120" w:after="120" w:line="280" w:lineRule="exact"/>
        <w:jc w:val="both"/>
        <w:rPr>
          <w:rFonts w:ascii="Verdana" w:hAnsi="Verdana" w:cs="Tahoma"/>
          <w:b/>
          <w:sz w:val="20"/>
          <w:szCs w:val="20"/>
        </w:rPr>
      </w:pPr>
    </w:p>
    <w:p w14:paraId="5C82CF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Pelo presente instrumento particular, as partes abaixo qualificadas (“</w:t>
      </w:r>
      <w:r>
        <w:rPr>
          <w:rFonts w:ascii="Verdana" w:hAnsi="Verdana" w:cs="Tahoma"/>
          <w:sz w:val="20"/>
          <w:szCs w:val="20"/>
          <w:u w:val="single"/>
        </w:rPr>
        <w:t>Partes</w:t>
      </w:r>
      <w:r>
        <w:rPr>
          <w:rFonts w:ascii="Verdana" w:hAnsi="Verdana" w:cs="Tahoma"/>
          <w:sz w:val="20"/>
          <w:szCs w:val="20"/>
        </w:rPr>
        <w:t>”):</w:t>
      </w:r>
    </w:p>
    <w:p w14:paraId="216D522A" w14:textId="77777777" w:rsidR="00EB5CDB" w:rsidRDefault="00EB5CDB">
      <w:pPr>
        <w:spacing w:before="120" w:after="120" w:line="280" w:lineRule="exact"/>
        <w:jc w:val="both"/>
        <w:rPr>
          <w:rFonts w:ascii="Verdana" w:hAnsi="Verdana" w:cs="Tahoma"/>
          <w:sz w:val="20"/>
          <w:szCs w:val="20"/>
        </w:rPr>
      </w:pPr>
    </w:p>
    <w:p w14:paraId="1B3F9EC0" w14:textId="1CD2F81C" w:rsidR="00F470F4" w:rsidRDefault="008E55E6" w:rsidP="00A870A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sidR="00F470F4">
        <w:rPr>
          <w:rFonts w:ascii="Verdana" w:hAnsi="Verdana"/>
          <w:b/>
          <w:smallCaps/>
          <w:sz w:val="20"/>
          <w:szCs w:val="20"/>
        </w:rPr>
        <w:t>GYRA</w:t>
      </w:r>
      <w:r w:rsidRPr="002500C3">
        <w:rPr>
          <w:rFonts w:ascii="Verdana" w:hAnsi="Verdana"/>
          <w:sz w:val="20"/>
          <w:szCs w:val="20"/>
        </w:rPr>
        <w:t>, sociedade por ações</w:t>
      </w:r>
      <w:r w:rsidR="002500C3" w:rsidRPr="002500C3">
        <w:rPr>
          <w:rFonts w:ascii="Verdana" w:hAnsi="Verdana"/>
          <w:sz w:val="20"/>
          <w:szCs w:val="20"/>
        </w:rPr>
        <w:t xml:space="preserve"> </w:t>
      </w:r>
      <w:r w:rsidRPr="002500C3">
        <w:rPr>
          <w:rFonts w:ascii="Verdana" w:hAnsi="Verdana"/>
          <w:sz w:val="20"/>
          <w:szCs w:val="20"/>
        </w:rPr>
        <w:t>com sede na cidade de São Paulo, Estado de São Paulo, na Rua Cardeal Arcoverde, nº 2.365, 7º andar, Pinheiros, CEP 05407-003, inscrita no CNPJ</w:t>
      </w:r>
      <w:r w:rsidR="002500C3" w:rsidRPr="002500C3">
        <w:rPr>
          <w:rFonts w:ascii="Verdana" w:hAnsi="Verdana"/>
          <w:sz w:val="20"/>
          <w:szCs w:val="20"/>
        </w:rPr>
        <w:t>/ME</w:t>
      </w:r>
      <w:r w:rsidRPr="002500C3">
        <w:rPr>
          <w:rFonts w:ascii="Verdana" w:hAnsi="Verdana"/>
          <w:sz w:val="20"/>
          <w:szCs w:val="20"/>
        </w:rPr>
        <w:t xml:space="preserve"> sob o nº 3</w:t>
      </w:r>
      <w:r w:rsidR="002500C3" w:rsidRPr="002500C3">
        <w:rPr>
          <w:rFonts w:ascii="Verdana" w:hAnsi="Verdana"/>
          <w:sz w:val="20"/>
          <w:szCs w:val="20"/>
        </w:rPr>
        <w:t>2</w:t>
      </w:r>
      <w:r w:rsidRPr="002500C3">
        <w:rPr>
          <w:rFonts w:ascii="Verdana" w:hAnsi="Verdana"/>
          <w:sz w:val="20"/>
          <w:szCs w:val="20"/>
        </w:rPr>
        <w:t>.</w:t>
      </w:r>
      <w:r w:rsidR="002500C3" w:rsidRPr="002500C3">
        <w:rPr>
          <w:rFonts w:ascii="Verdana" w:hAnsi="Verdana"/>
          <w:sz w:val="20"/>
          <w:szCs w:val="20"/>
        </w:rPr>
        <w:t>770</w:t>
      </w:r>
      <w:r w:rsidRPr="002500C3">
        <w:rPr>
          <w:rFonts w:ascii="Verdana" w:hAnsi="Verdana"/>
          <w:sz w:val="20"/>
          <w:szCs w:val="20"/>
        </w:rPr>
        <w:t>.</w:t>
      </w:r>
      <w:r w:rsidR="002500C3" w:rsidRPr="002500C3">
        <w:rPr>
          <w:rFonts w:ascii="Verdana" w:hAnsi="Verdana"/>
          <w:sz w:val="20"/>
          <w:szCs w:val="20"/>
        </w:rPr>
        <w:t>457</w:t>
      </w:r>
      <w:r w:rsidRPr="002500C3">
        <w:rPr>
          <w:rFonts w:ascii="Verdana" w:hAnsi="Verdana"/>
          <w:sz w:val="20"/>
          <w:szCs w:val="20"/>
        </w:rPr>
        <w:t>/0001-</w:t>
      </w:r>
      <w:r w:rsidR="002500C3" w:rsidRPr="002500C3">
        <w:rPr>
          <w:rFonts w:ascii="Verdana" w:hAnsi="Verdana"/>
          <w:sz w:val="20"/>
          <w:szCs w:val="20"/>
        </w:rPr>
        <w:t>71</w:t>
      </w:r>
      <w:r w:rsidRPr="002500C3">
        <w:rPr>
          <w:rFonts w:ascii="Verdana" w:hAnsi="Verdana"/>
          <w:sz w:val="20"/>
          <w:szCs w:val="20"/>
        </w:rPr>
        <w:t>, neste ato representada na forma de seu estatuto social (</w:t>
      </w:r>
      <w:r w:rsidRPr="002500C3">
        <w:rPr>
          <w:rFonts w:ascii="Verdana" w:hAnsi="Verdana"/>
          <w:snapToGrid w:val="0"/>
          <w:sz w:val="20"/>
          <w:szCs w:val="20"/>
        </w:rPr>
        <w:t>“</w:t>
      </w:r>
      <w:r w:rsidRPr="002500C3">
        <w:rPr>
          <w:rFonts w:ascii="Verdana" w:hAnsi="Verdana"/>
          <w:sz w:val="20"/>
          <w:szCs w:val="20"/>
          <w:u w:val="single"/>
        </w:rPr>
        <w:t>Emissora</w:t>
      </w:r>
      <w:r w:rsidRPr="002500C3">
        <w:rPr>
          <w:rFonts w:ascii="Verdana" w:hAnsi="Verdana"/>
          <w:snapToGrid w:val="0"/>
          <w:sz w:val="20"/>
          <w:szCs w:val="20"/>
        </w:rPr>
        <w:t>”</w:t>
      </w:r>
      <w:r w:rsidRPr="002500C3">
        <w:rPr>
          <w:rFonts w:ascii="Verdana" w:hAnsi="Verdana"/>
          <w:sz w:val="20"/>
          <w:szCs w:val="20"/>
        </w:rPr>
        <w:t>); e</w:t>
      </w:r>
    </w:p>
    <w:p w14:paraId="64850AFC" w14:textId="77777777" w:rsidR="00A870AB" w:rsidRPr="000B7D26" w:rsidRDefault="00A870AB" w:rsidP="000B7D26">
      <w:pPr>
        <w:spacing w:before="120" w:after="120" w:line="280" w:lineRule="exact"/>
        <w:jc w:val="both"/>
        <w:rPr>
          <w:rFonts w:ascii="Verdana" w:hAnsi="Verdana"/>
          <w:sz w:val="20"/>
        </w:rPr>
      </w:pPr>
    </w:p>
    <w:p w14:paraId="5AE56733" w14:textId="129FE5CD" w:rsidR="007120CB" w:rsidRPr="007120CB" w:rsidRDefault="007120CB" w:rsidP="007120C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F835FAB" w14:textId="77777777" w:rsidR="00EB5CDB" w:rsidRDefault="008E55E6">
      <w:pPr>
        <w:spacing w:before="120" w:after="120" w:line="280" w:lineRule="exact"/>
        <w:jc w:val="both"/>
        <w:rPr>
          <w:rFonts w:ascii="Verdana" w:eastAsia="Batang" w:hAnsi="Verdana"/>
          <w:snapToGrid w:val="0"/>
          <w:sz w:val="20"/>
          <w:szCs w:val="20"/>
        </w:rPr>
      </w:pPr>
      <w:r>
        <w:rPr>
          <w:rFonts w:ascii="Verdana" w:hAnsi="Verdana"/>
          <w:sz w:val="20"/>
          <w:szCs w:val="20"/>
        </w:rPr>
        <w:t>(sendo a Emissora e o Agente Fiduciário doravante designados</w:t>
      </w:r>
      <w:r>
        <w:rPr>
          <w:rFonts w:ascii="Verdana" w:eastAsia="Batang" w:hAnsi="Verdana"/>
          <w:snapToGrid w:val="0"/>
          <w:sz w:val="20"/>
          <w:szCs w:val="20"/>
        </w:rPr>
        <w:t>, conjuntamente, “</w:t>
      </w:r>
      <w:r>
        <w:rPr>
          <w:rFonts w:ascii="Verdana" w:hAnsi="Verdana"/>
          <w:sz w:val="20"/>
          <w:szCs w:val="20"/>
          <w:u w:val="single"/>
        </w:rPr>
        <w:t>Partes</w:t>
      </w:r>
      <w:r>
        <w:rPr>
          <w:rFonts w:ascii="Verdana" w:eastAsia="Batang" w:hAnsi="Verdana"/>
          <w:snapToGrid w:val="0"/>
          <w:sz w:val="20"/>
          <w:szCs w:val="20"/>
        </w:rPr>
        <w:t>” e, individual e indistintamente, “</w:t>
      </w:r>
      <w:r>
        <w:rPr>
          <w:rFonts w:ascii="Verdana" w:hAnsi="Verdana"/>
          <w:sz w:val="20"/>
          <w:szCs w:val="20"/>
          <w:u w:val="single"/>
        </w:rPr>
        <w:t>Parte</w:t>
      </w:r>
      <w:r>
        <w:rPr>
          <w:rFonts w:ascii="Verdana" w:eastAsia="Batang" w:hAnsi="Verdana"/>
          <w:snapToGrid w:val="0"/>
          <w:sz w:val="20"/>
          <w:szCs w:val="20"/>
        </w:rPr>
        <w:t>”),</w:t>
      </w:r>
    </w:p>
    <w:p w14:paraId="0DF9EF40" w14:textId="77777777" w:rsidR="00EB5CDB" w:rsidRDefault="00EB5CDB">
      <w:pPr>
        <w:spacing w:before="120" w:after="120" w:line="280" w:lineRule="exact"/>
        <w:jc w:val="both"/>
        <w:rPr>
          <w:rFonts w:ascii="Verdana" w:eastAsia="Batang" w:hAnsi="Verdana"/>
          <w:snapToGrid w:val="0"/>
          <w:sz w:val="20"/>
          <w:szCs w:val="20"/>
        </w:rPr>
      </w:pPr>
    </w:p>
    <w:p w14:paraId="485C32B5" w14:textId="2D20BD7B" w:rsidR="00EB5CDB" w:rsidRDefault="008E55E6">
      <w:pPr>
        <w:spacing w:before="120" w:after="120" w:line="280" w:lineRule="exact"/>
        <w:jc w:val="both"/>
        <w:rPr>
          <w:rFonts w:ascii="Verdana" w:hAnsi="Verdana"/>
          <w:sz w:val="20"/>
          <w:szCs w:val="20"/>
        </w:rPr>
      </w:pPr>
      <w:r>
        <w:rPr>
          <w:rFonts w:ascii="Verdana" w:hAnsi="Verdana"/>
          <w:sz w:val="20"/>
          <w:szCs w:val="20"/>
        </w:rPr>
        <w:t xml:space="preserve">vêm, na melhor forma de direito, firmar o presente “Instrumento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Emissão de Debêntures Simples, não Conversíveis em Ações, da Espécie com Garantia Real, em 2 (duas) Séries, para Distribuição Pública com Esforços Restritos, da Companhia Securitizadora de Créditos Financeiros Vert-</w:t>
      </w:r>
      <w:r w:rsidR="008A21AF">
        <w:rPr>
          <w:rFonts w:ascii="Verdana" w:hAnsi="Verdana"/>
          <w:sz w:val="20"/>
          <w:szCs w:val="20"/>
        </w:rPr>
        <w:t>Gyra</w:t>
      </w:r>
      <w:r>
        <w:rPr>
          <w:rFonts w:ascii="Verdana" w:hAnsi="Verdana"/>
          <w:sz w:val="20"/>
          <w:szCs w:val="20"/>
        </w:rPr>
        <w:t>”</w:t>
      </w:r>
      <w:r>
        <w:rPr>
          <w:rFonts w:ascii="Verdana" w:hAnsi="Verdana"/>
          <w:i/>
          <w:sz w:val="20"/>
          <w:szCs w:val="20"/>
        </w:rPr>
        <w:t xml:space="preserve"> </w:t>
      </w:r>
      <w:r>
        <w:rPr>
          <w:rFonts w:ascii="Verdana" w:hAnsi="Verdana"/>
          <w:sz w:val="20"/>
          <w:szCs w:val="20"/>
        </w:rPr>
        <w:t>(“</w:t>
      </w:r>
      <w:r>
        <w:rPr>
          <w:rFonts w:ascii="Verdana" w:hAnsi="Verdana"/>
          <w:sz w:val="20"/>
          <w:szCs w:val="20"/>
          <w:u w:val="single"/>
        </w:rPr>
        <w:t>Escritura de Emissão</w:t>
      </w:r>
      <w:r>
        <w:rPr>
          <w:rFonts w:ascii="Verdana" w:hAnsi="Verdana"/>
          <w:sz w:val="20"/>
          <w:szCs w:val="20"/>
        </w:rPr>
        <w:t>”), mediante as seguintes cláusulas e condições.</w:t>
      </w:r>
    </w:p>
    <w:p w14:paraId="14121609" w14:textId="77777777" w:rsidR="00EB5CDB" w:rsidRDefault="008E55E6">
      <w:pPr>
        <w:autoSpaceDE/>
        <w:autoSpaceDN/>
        <w:adjustRightInd/>
        <w:spacing w:before="120" w:after="120" w:line="280" w:lineRule="exact"/>
        <w:rPr>
          <w:rFonts w:ascii="Verdana" w:hAnsi="Verdana" w:cs="Tahoma"/>
          <w:sz w:val="20"/>
          <w:szCs w:val="20"/>
        </w:rPr>
      </w:pPr>
      <w:r>
        <w:rPr>
          <w:rFonts w:ascii="Verdana" w:hAnsi="Verdana" w:cs="Tahoma"/>
          <w:sz w:val="20"/>
          <w:szCs w:val="20"/>
        </w:rPr>
        <w:br w:type="page"/>
      </w:r>
    </w:p>
    <w:p w14:paraId="14E4074D" w14:textId="77777777" w:rsidR="00EB5CDB" w:rsidRDefault="00EB5CDB">
      <w:pPr>
        <w:spacing w:before="120" w:after="120" w:line="280" w:lineRule="exact"/>
        <w:jc w:val="both"/>
        <w:rPr>
          <w:rFonts w:ascii="Verdana" w:hAnsi="Verdana" w:cs="Tahoma"/>
          <w:sz w:val="20"/>
          <w:szCs w:val="20"/>
        </w:rPr>
      </w:pPr>
    </w:p>
    <w:p w14:paraId="0AF8D903"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GLOSSÁRIO</w:t>
      </w:r>
    </w:p>
    <w:p w14:paraId="07A9F8DF" w14:textId="563FCBC3"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Este glossário é parte integrante deste “</w:t>
      </w:r>
      <w:r>
        <w:rPr>
          <w:rFonts w:ascii="Verdana" w:hAnsi="Verdana"/>
          <w:sz w:val="20"/>
          <w:szCs w:val="20"/>
        </w:rPr>
        <w:t xml:space="preserve">Instrumento Particular de Escritura da </w:t>
      </w:r>
      <w:r w:rsidR="008A21AF">
        <w:rPr>
          <w:rFonts w:ascii="Verdana" w:hAnsi="Verdana"/>
          <w:sz w:val="20"/>
          <w:szCs w:val="20"/>
        </w:rPr>
        <w:t>2</w:t>
      </w:r>
      <w:r>
        <w:rPr>
          <w:rFonts w:ascii="Verdana" w:hAnsi="Verdana"/>
          <w:sz w:val="20"/>
          <w:szCs w:val="20"/>
        </w:rPr>
        <w:t>ª (</w:t>
      </w:r>
      <w:r w:rsidR="008A21AF">
        <w:rPr>
          <w:rFonts w:ascii="Verdana" w:hAnsi="Verdana"/>
          <w:sz w:val="20"/>
          <w:szCs w:val="20"/>
        </w:rPr>
        <w:t>Segunda</w:t>
      </w:r>
      <w:r>
        <w:rPr>
          <w:rFonts w:ascii="Verdana" w:hAnsi="Verdana"/>
          <w:sz w:val="20"/>
          <w:szCs w:val="20"/>
        </w:rPr>
        <w:t>) Emissão de Debêntures Simples, Não Conversíveis em Ações, da Espécie com Garantia Real, em 2 (duas) Séries, para Distribuição Pública Com Esforços Restritos, da Companhia Securitizadora de Créditos Financeiros Vert-</w:t>
      </w:r>
      <w:r w:rsidR="008A21AF">
        <w:rPr>
          <w:rFonts w:ascii="Verdana" w:hAnsi="Verdana"/>
          <w:sz w:val="20"/>
          <w:szCs w:val="20"/>
        </w:rPr>
        <w:t>Gyra</w:t>
      </w:r>
      <w:r>
        <w:rPr>
          <w:rFonts w:ascii="Verdana" w:hAnsi="Verdana"/>
          <w:sz w:val="20"/>
          <w:szCs w:val="20"/>
        </w:rPr>
        <w:t>”</w:t>
      </w:r>
      <w:r>
        <w:rPr>
          <w:rFonts w:ascii="Verdana" w:hAnsi="Verdana" w:cs="Tahoma"/>
          <w:i/>
          <w:sz w:val="20"/>
          <w:szCs w:val="20"/>
        </w:rPr>
        <w:t>.</w:t>
      </w: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EB5CDB" w14:paraId="76D02621" w14:textId="77777777">
        <w:tc>
          <w:tcPr>
            <w:tcW w:w="2970" w:type="dxa"/>
          </w:tcPr>
          <w:p w14:paraId="1EBD4001"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AGE</w:t>
            </w:r>
            <w:r>
              <w:rPr>
                <w:rFonts w:ascii="Verdana" w:hAnsi="Verdana" w:cs="Tahoma"/>
                <w:sz w:val="20"/>
                <w:szCs w:val="20"/>
              </w:rPr>
              <w:t>”</w:t>
            </w:r>
          </w:p>
        </w:tc>
        <w:tc>
          <w:tcPr>
            <w:tcW w:w="6316" w:type="dxa"/>
          </w:tcPr>
          <w:p w14:paraId="5D4D3AA8" w14:textId="1EAD0092"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A Assembleia Geral Extraordinária da Emissora realizada em </w:t>
            </w:r>
            <w:r w:rsidR="00A870AB">
              <w:rPr>
                <w:rFonts w:ascii="Verdana" w:eastAsia="Arial Unicode MS" w:hAnsi="Verdana" w:cs="Tahoma"/>
                <w:sz w:val="20"/>
                <w:szCs w:val="20"/>
              </w:rPr>
              <w:t>[</w:t>
            </w:r>
            <w:r w:rsidR="008A21AF" w:rsidRPr="008D6F6D">
              <w:rPr>
                <w:rFonts w:ascii="Verdana" w:eastAsia="Arial Unicode MS" w:hAnsi="Verdana" w:cs="Tahoma"/>
                <w:sz w:val="20"/>
                <w:szCs w:val="20"/>
                <w:highlight w:val="yellow"/>
              </w:rPr>
              <w:t>__</w:t>
            </w:r>
            <w:r w:rsidR="00A870AB">
              <w:rPr>
                <w:rFonts w:ascii="Verdana" w:eastAsia="Arial Unicode MS" w:hAnsi="Verdana" w:cs="Tahoma"/>
                <w:sz w:val="20"/>
                <w:szCs w:val="20"/>
              </w:rPr>
              <w:t>]</w:t>
            </w:r>
            <w:r>
              <w:rPr>
                <w:rFonts w:ascii="Verdana" w:eastAsia="Arial Unicode MS" w:hAnsi="Verdana" w:cs="Tahoma"/>
                <w:sz w:val="20"/>
                <w:szCs w:val="20"/>
              </w:rPr>
              <w:t xml:space="preserve"> de setembro de 20</w:t>
            </w:r>
            <w:r w:rsidR="008A21AF">
              <w:rPr>
                <w:rFonts w:ascii="Verdana" w:eastAsia="Arial Unicode MS" w:hAnsi="Verdana" w:cs="Tahoma"/>
                <w:sz w:val="20"/>
                <w:szCs w:val="20"/>
              </w:rPr>
              <w:t>20</w:t>
            </w:r>
            <w:r>
              <w:rPr>
                <w:rFonts w:ascii="Verdana" w:eastAsia="Arial Unicode MS" w:hAnsi="Verdana" w:cs="Tahoma"/>
                <w:sz w:val="20"/>
                <w:szCs w:val="20"/>
              </w:rPr>
              <w:t>, que aprovou, dentre outr</w:t>
            </w:r>
            <w:r w:rsidR="008A21AF">
              <w:rPr>
                <w:rFonts w:ascii="Verdana" w:eastAsia="Arial Unicode MS" w:hAnsi="Verdana" w:cs="Tahoma"/>
                <w:sz w:val="20"/>
                <w:szCs w:val="20"/>
              </w:rPr>
              <w:t>a</w:t>
            </w:r>
            <w:r>
              <w:rPr>
                <w:rFonts w:ascii="Verdana" w:eastAsia="Arial Unicode MS" w:hAnsi="Verdana" w:cs="Tahoma"/>
                <w:sz w:val="20"/>
                <w:szCs w:val="20"/>
              </w:rPr>
              <w:t>s, a presente Emissão e a Oferta Restrita.</w:t>
            </w:r>
          </w:p>
        </w:tc>
      </w:tr>
      <w:tr w:rsidR="00EB5CDB" w14:paraId="773F43B7" w14:textId="77777777">
        <w:tc>
          <w:tcPr>
            <w:tcW w:w="2970" w:type="dxa"/>
          </w:tcPr>
          <w:p w14:paraId="2A53BDC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de Cobrança</w:t>
            </w:r>
            <w:r>
              <w:rPr>
                <w:rFonts w:ascii="Verdana" w:hAnsi="Verdana" w:cs="Tahoma"/>
                <w:sz w:val="20"/>
                <w:szCs w:val="20"/>
              </w:rPr>
              <w:t xml:space="preserve">” </w:t>
            </w:r>
          </w:p>
        </w:tc>
        <w:tc>
          <w:tcPr>
            <w:tcW w:w="6316" w:type="dxa"/>
          </w:tcPr>
          <w:p w14:paraId="69A4EDAF"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lang w:eastAsia="en-US"/>
              </w:rPr>
              <w:t xml:space="preserve">Instituição contratada pela Emissora para prestação de serviços de </w:t>
            </w:r>
            <w:r>
              <w:rPr>
                <w:rFonts w:ascii="Verdana" w:eastAsia="MS Mincho" w:hAnsi="Verdana" w:cs="Tahoma"/>
                <w:sz w:val="20"/>
                <w:szCs w:val="20"/>
              </w:rPr>
              <w:t>Agente de Pagamento e Cobrança de Direitos Creditórios nos termos do Contrato de Cobrança.</w:t>
            </w:r>
          </w:p>
        </w:tc>
      </w:tr>
      <w:tr w:rsidR="00EB5CDB" w14:paraId="1A32389B" w14:textId="77777777">
        <w:tc>
          <w:tcPr>
            <w:tcW w:w="2970" w:type="dxa"/>
          </w:tcPr>
          <w:p w14:paraId="5115A7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Style w:val="DeltaViewDeletion"/>
                <w:rFonts w:ascii="Verdana" w:eastAsia="Arial Unicode MS" w:hAnsi="Verdana" w:cs="Tahoma"/>
                <w:strike w:val="0"/>
                <w:color w:val="auto"/>
                <w:sz w:val="20"/>
                <w:szCs w:val="20"/>
                <w:u w:val="single"/>
              </w:rPr>
              <w:t>Agência Classificadora de Risco</w:t>
            </w:r>
            <w:r>
              <w:rPr>
                <w:rStyle w:val="DeltaViewDeletion"/>
                <w:rFonts w:ascii="Verdana" w:eastAsia="Arial Unicode MS" w:hAnsi="Verdana" w:cs="Tahoma"/>
                <w:strike w:val="0"/>
                <w:color w:val="auto"/>
                <w:sz w:val="20"/>
                <w:szCs w:val="20"/>
              </w:rPr>
              <w:t>”</w:t>
            </w:r>
          </w:p>
        </w:tc>
        <w:tc>
          <w:tcPr>
            <w:tcW w:w="6316" w:type="dxa"/>
          </w:tcPr>
          <w:p w14:paraId="46D9522C" w14:textId="77777777" w:rsidR="00EB5CDB" w:rsidRDefault="008E55E6">
            <w:pPr>
              <w:autoSpaceDE/>
              <w:autoSpaceDN/>
              <w:adjustRightInd/>
              <w:spacing w:before="120" w:after="120" w:line="280" w:lineRule="exact"/>
              <w:jc w:val="both"/>
              <w:rPr>
                <w:rFonts w:ascii="Verdana" w:eastAsia="Arial Unicode MS" w:hAnsi="Verdana"/>
                <w:sz w:val="20"/>
                <w:szCs w:val="20"/>
                <w:lang w:eastAsia="en-US"/>
              </w:rPr>
            </w:pPr>
            <w:r>
              <w:rPr>
                <w:rFonts w:ascii="Verdana" w:eastAsia="Arial Unicode MS" w:hAnsi="Verdana"/>
                <w:sz w:val="20"/>
                <w:szCs w:val="20"/>
                <w:lang w:eastAsia="en-US"/>
              </w:rPr>
              <w:t>Standard &amp; Poor's Ratings do Brasil LTDA., Fitch Ratings Brasil Ltda. ou Moody's América Latina Ltda.</w:t>
            </w:r>
          </w:p>
        </w:tc>
      </w:tr>
      <w:tr w:rsidR="00EB5CDB" w14:paraId="3CFCC601" w14:textId="77777777">
        <w:tc>
          <w:tcPr>
            <w:tcW w:w="2970" w:type="dxa"/>
          </w:tcPr>
          <w:p w14:paraId="13B244E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Agente Fiduciário</w:t>
            </w:r>
            <w:r>
              <w:rPr>
                <w:rFonts w:ascii="Verdana" w:hAnsi="Verdana" w:cs="Tahoma"/>
                <w:sz w:val="20"/>
                <w:szCs w:val="20"/>
              </w:rPr>
              <w:t>”</w:t>
            </w:r>
          </w:p>
        </w:tc>
        <w:tc>
          <w:tcPr>
            <w:tcW w:w="6316" w:type="dxa"/>
          </w:tcPr>
          <w:p w14:paraId="3909833E" w14:textId="44561968"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Tem o significado atribuído no Preâmbulo desta Escritura</w:t>
            </w:r>
            <w:r w:rsidR="006D17D9">
              <w:rPr>
                <w:rFonts w:ascii="Verdana" w:hAnsi="Verdana" w:cs="Tahoma"/>
                <w:sz w:val="20"/>
                <w:szCs w:val="20"/>
              </w:rPr>
              <w:t xml:space="preserve"> de Emissão</w:t>
            </w:r>
            <w:r>
              <w:rPr>
                <w:rFonts w:ascii="Verdana" w:hAnsi="Verdana" w:cs="Tahoma"/>
                <w:sz w:val="20"/>
                <w:szCs w:val="20"/>
              </w:rPr>
              <w:t>.</w:t>
            </w:r>
          </w:p>
        </w:tc>
      </w:tr>
      <w:tr w:rsidR="00EB5CDB" w14:paraId="17790936" w14:textId="77777777">
        <w:tc>
          <w:tcPr>
            <w:tcW w:w="2970" w:type="dxa"/>
          </w:tcPr>
          <w:p w14:paraId="4844DE18"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Extraordinária Obrigatória</w:t>
            </w:r>
            <w:r>
              <w:rPr>
                <w:rFonts w:ascii="Verdana" w:hAnsi="Verdana" w:cs="Tahoma"/>
                <w:sz w:val="20"/>
                <w:szCs w:val="20"/>
              </w:rPr>
              <w:t>”</w:t>
            </w:r>
          </w:p>
        </w:tc>
        <w:tc>
          <w:tcPr>
            <w:tcW w:w="6316" w:type="dxa"/>
          </w:tcPr>
          <w:p w14:paraId="15090E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1907A43" w14:textId="77777777">
        <w:tc>
          <w:tcPr>
            <w:tcW w:w="2970" w:type="dxa"/>
          </w:tcPr>
          <w:p w14:paraId="19632706"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Amortização Final</w:t>
            </w:r>
            <w:r>
              <w:rPr>
                <w:rFonts w:ascii="Verdana" w:hAnsi="Verdana" w:cs="Tahoma"/>
                <w:sz w:val="20"/>
                <w:szCs w:val="20"/>
              </w:rPr>
              <w:t>”</w:t>
            </w:r>
          </w:p>
        </w:tc>
        <w:tc>
          <w:tcPr>
            <w:tcW w:w="6316" w:type="dxa"/>
          </w:tcPr>
          <w:p w14:paraId="0BDCD2D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06F7498" w14:textId="77777777">
        <w:tc>
          <w:tcPr>
            <w:tcW w:w="2970" w:type="dxa"/>
          </w:tcPr>
          <w:p w14:paraId="0EAF2A1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ANBIMA</w:t>
            </w:r>
            <w:r>
              <w:rPr>
                <w:rFonts w:ascii="Verdana" w:hAnsi="Verdana" w:cs="Tahoma"/>
                <w:sz w:val="20"/>
                <w:szCs w:val="20"/>
              </w:rPr>
              <w:t>”</w:t>
            </w:r>
          </w:p>
        </w:tc>
        <w:tc>
          <w:tcPr>
            <w:tcW w:w="6316" w:type="dxa"/>
          </w:tcPr>
          <w:p w14:paraId="70EF893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ANBIMA - Associação Brasileira das Entidades dos Mercados Financeiro e de Capitais.</w:t>
            </w:r>
          </w:p>
        </w:tc>
      </w:tr>
      <w:tr w:rsidR="00EB5CDB" w14:paraId="1A4ED1A8" w14:textId="77777777">
        <w:tc>
          <w:tcPr>
            <w:tcW w:w="2970" w:type="dxa"/>
          </w:tcPr>
          <w:p w14:paraId="3ED8C9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Assembleia Geral de Debenturistas</w:t>
            </w:r>
            <w:r>
              <w:rPr>
                <w:rFonts w:ascii="Verdana" w:hAnsi="Verdana" w:cs="Tahoma"/>
                <w:sz w:val="20"/>
                <w:szCs w:val="20"/>
              </w:rPr>
              <w:t>”</w:t>
            </w:r>
          </w:p>
        </w:tc>
        <w:tc>
          <w:tcPr>
            <w:tcW w:w="6316" w:type="dxa"/>
          </w:tcPr>
          <w:p w14:paraId="1DC499D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_Ref518566191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rsidRPr="007120CB" w14:paraId="158421E8" w14:textId="77777777">
        <w:tc>
          <w:tcPr>
            <w:tcW w:w="2970" w:type="dxa"/>
          </w:tcPr>
          <w:p w14:paraId="5CCDD9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Banco Liquidante</w:t>
            </w:r>
            <w:r>
              <w:rPr>
                <w:rFonts w:ascii="Verdana" w:hAnsi="Verdana" w:cs="Tahoma"/>
                <w:sz w:val="20"/>
                <w:szCs w:val="20"/>
              </w:rPr>
              <w:t>” ou “</w:t>
            </w:r>
            <w:r>
              <w:rPr>
                <w:rFonts w:ascii="Verdana" w:hAnsi="Verdana" w:cs="Tahoma"/>
                <w:sz w:val="20"/>
                <w:szCs w:val="20"/>
                <w:u w:val="single"/>
              </w:rPr>
              <w:t>Escriturador</w:t>
            </w:r>
            <w:r>
              <w:rPr>
                <w:rFonts w:ascii="Verdana" w:hAnsi="Verdana" w:cs="Tahoma"/>
                <w:sz w:val="20"/>
                <w:szCs w:val="20"/>
              </w:rPr>
              <w:t>”</w:t>
            </w:r>
          </w:p>
        </w:tc>
        <w:tc>
          <w:tcPr>
            <w:tcW w:w="6316" w:type="dxa"/>
          </w:tcPr>
          <w:p w14:paraId="602C108F" w14:textId="10BD6A4E" w:rsidR="00EB5CDB" w:rsidRPr="007120CB" w:rsidRDefault="008E55E6">
            <w:pPr>
              <w:autoSpaceDE/>
              <w:autoSpaceDN/>
              <w:adjustRightInd/>
              <w:spacing w:before="120" w:after="120" w:line="280" w:lineRule="exact"/>
              <w:jc w:val="both"/>
              <w:rPr>
                <w:rFonts w:ascii="Verdana" w:hAnsi="Verdana" w:cs="Tahoma"/>
                <w:sz w:val="20"/>
                <w:szCs w:val="20"/>
              </w:rPr>
            </w:pPr>
            <w:r w:rsidRPr="007120CB">
              <w:rPr>
                <w:rFonts w:ascii="Verdana" w:eastAsia="Arial Unicode MS" w:hAnsi="Verdana"/>
                <w:sz w:val="20"/>
                <w:szCs w:val="20"/>
                <w:lang w:eastAsia="en-US"/>
              </w:rPr>
              <w:t>CM Capital Markets Distribuidora de Títulos e Valores Mobiliários Ltda., com sede na Rua Gomes de Carvalho, nº</w:t>
            </w:r>
            <w:r w:rsidR="006D17D9" w:rsidRPr="007120CB">
              <w:rPr>
                <w:rFonts w:ascii="Verdana" w:eastAsia="Arial Unicode MS" w:hAnsi="Verdana"/>
                <w:sz w:val="20"/>
                <w:szCs w:val="20"/>
                <w:lang w:eastAsia="en-US"/>
              </w:rPr>
              <w:t> </w:t>
            </w:r>
            <w:r w:rsidRPr="007120CB">
              <w:rPr>
                <w:rFonts w:ascii="Verdana" w:eastAsia="Arial Unicode MS" w:hAnsi="Verdana"/>
                <w:sz w:val="20"/>
                <w:szCs w:val="20"/>
                <w:lang w:eastAsia="en-US"/>
              </w:rPr>
              <w:t>1.195, 4º andar, CEP 04.547-000, Cidade de São Paulo, Estado de São Paulo, inscrita no CNPJ/MF sob o nº</w:t>
            </w:r>
            <w:r w:rsidR="006D17D9" w:rsidRPr="007120CB">
              <w:rPr>
                <w:rFonts w:ascii="Verdana" w:eastAsia="Arial Unicode MS" w:hAnsi="Verdana"/>
                <w:sz w:val="20"/>
                <w:szCs w:val="20"/>
                <w:lang w:eastAsia="en-US"/>
              </w:rPr>
              <w:t> </w:t>
            </w:r>
            <w:r w:rsidRPr="007120CB">
              <w:rPr>
                <w:rFonts w:ascii="Verdana" w:hAnsi="Verdana"/>
                <w:sz w:val="20"/>
                <w:szCs w:val="20"/>
              </w:rPr>
              <w:t>02.671.743/0001-19,</w:t>
            </w:r>
            <w:r w:rsidRPr="007120CB">
              <w:rPr>
                <w:rFonts w:ascii="Verdana" w:eastAsia="Arial Unicode MS" w:hAnsi="Verdana"/>
                <w:sz w:val="20"/>
                <w:szCs w:val="20"/>
                <w:lang w:eastAsia="en-US"/>
              </w:rPr>
              <w:t xml:space="preserve"> ou seu sucessor a qualquer título.</w:t>
            </w:r>
          </w:p>
        </w:tc>
      </w:tr>
      <w:tr w:rsidR="00EB5CDB" w14:paraId="4513CDEB" w14:textId="77777777">
        <w:tc>
          <w:tcPr>
            <w:tcW w:w="2970" w:type="dxa"/>
          </w:tcPr>
          <w:p w14:paraId="091580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Boletim de Subscrição</w:t>
            </w:r>
            <w:r>
              <w:rPr>
                <w:rFonts w:ascii="Verdana" w:hAnsi="Verdana" w:cs="Tahoma"/>
                <w:sz w:val="20"/>
                <w:szCs w:val="20"/>
              </w:rPr>
              <w:t>”</w:t>
            </w:r>
          </w:p>
        </w:tc>
        <w:tc>
          <w:tcPr>
            <w:tcW w:w="6316" w:type="dxa"/>
          </w:tcPr>
          <w:p w14:paraId="18F333B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boletim de subscrição que deverá ser assinado pelo Debenturista para a subscrição das Debêntures</w:t>
            </w:r>
            <w:r>
              <w:rPr>
                <w:rFonts w:ascii="Verdana" w:eastAsia="MS Mincho" w:hAnsi="Verdana" w:cs="Tahoma"/>
                <w:sz w:val="20"/>
                <w:szCs w:val="20"/>
              </w:rPr>
              <w:t>.</w:t>
            </w:r>
          </w:p>
        </w:tc>
      </w:tr>
      <w:tr w:rsidR="00EB5CDB" w14:paraId="54F0CFD3" w14:textId="77777777">
        <w:tc>
          <w:tcPr>
            <w:tcW w:w="2970" w:type="dxa"/>
          </w:tcPr>
          <w:p w14:paraId="23CF936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B3</w:t>
            </w:r>
            <w:r>
              <w:rPr>
                <w:rFonts w:ascii="Verdana" w:hAnsi="Verdana" w:cs="Tahoma"/>
                <w:sz w:val="20"/>
                <w:szCs w:val="20"/>
              </w:rPr>
              <w:t>”</w:t>
            </w:r>
          </w:p>
        </w:tc>
        <w:tc>
          <w:tcPr>
            <w:tcW w:w="6316" w:type="dxa"/>
          </w:tcPr>
          <w:p w14:paraId="6D579B6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B3 S.A. – Brasil, Bolsa, Balcão - Segmento CETIP UTVM.</w:t>
            </w:r>
          </w:p>
        </w:tc>
      </w:tr>
      <w:tr w:rsidR="00EB5CDB" w14:paraId="5DD4B67D" w14:textId="77777777">
        <w:tc>
          <w:tcPr>
            <w:tcW w:w="2970" w:type="dxa"/>
          </w:tcPr>
          <w:p w14:paraId="3561A7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CCB</w:t>
            </w:r>
            <w:r>
              <w:rPr>
                <w:rFonts w:ascii="Verdana" w:hAnsi="Verdana" w:cs="Tahoma"/>
                <w:sz w:val="20"/>
                <w:szCs w:val="20"/>
              </w:rPr>
              <w:t>”</w:t>
            </w:r>
          </w:p>
        </w:tc>
        <w:tc>
          <w:tcPr>
            <w:tcW w:w="6316" w:type="dxa"/>
          </w:tcPr>
          <w:p w14:paraId="7E67592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tc>
      </w:tr>
      <w:tr w:rsidR="00EB5CDB" w14:paraId="49DD1369" w14:textId="77777777">
        <w:tc>
          <w:tcPr>
            <w:tcW w:w="2970" w:type="dxa"/>
          </w:tcPr>
          <w:p w14:paraId="4469BA9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CETIP21</w:t>
            </w:r>
            <w:r>
              <w:rPr>
                <w:rFonts w:ascii="Verdana" w:hAnsi="Verdana" w:cs="Tahoma"/>
                <w:sz w:val="20"/>
                <w:szCs w:val="20"/>
              </w:rPr>
              <w:t>”</w:t>
            </w:r>
          </w:p>
        </w:tc>
        <w:tc>
          <w:tcPr>
            <w:tcW w:w="6316" w:type="dxa"/>
          </w:tcPr>
          <w:p w14:paraId="272823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CETIP21 – Títulos e Valores Mobiliários, administrado e operacionalizado pela B3.</w:t>
            </w:r>
          </w:p>
        </w:tc>
      </w:tr>
      <w:tr w:rsidR="00EB5CDB" w14:paraId="1F7F8417" w14:textId="77777777">
        <w:tc>
          <w:tcPr>
            <w:tcW w:w="2970" w:type="dxa"/>
          </w:tcPr>
          <w:p w14:paraId="413E6FB9" w14:textId="06A92E7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CNPJ/M</w:t>
            </w:r>
            <w:r w:rsidR="006D17D9">
              <w:rPr>
                <w:rFonts w:ascii="Verdana" w:hAnsi="Verdana" w:cs="Tahoma"/>
                <w:sz w:val="20"/>
                <w:szCs w:val="20"/>
                <w:u w:val="single"/>
              </w:rPr>
              <w:t>E</w:t>
            </w:r>
            <w:r>
              <w:rPr>
                <w:rFonts w:ascii="Verdana" w:hAnsi="Verdana" w:cs="Tahoma"/>
                <w:sz w:val="20"/>
                <w:szCs w:val="20"/>
              </w:rPr>
              <w:t>”</w:t>
            </w:r>
          </w:p>
        </w:tc>
        <w:tc>
          <w:tcPr>
            <w:tcW w:w="6316" w:type="dxa"/>
          </w:tcPr>
          <w:p w14:paraId="1350D81D" w14:textId="2F396B3E"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Cadastro Nacional da Pessoa Jurídica do Ministério da </w:t>
            </w:r>
            <w:r w:rsidR="006D17D9">
              <w:rPr>
                <w:rFonts w:ascii="Verdana" w:hAnsi="Verdana" w:cs="Tahoma"/>
                <w:sz w:val="20"/>
                <w:szCs w:val="20"/>
              </w:rPr>
              <w:t>Economia</w:t>
            </w:r>
            <w:r>
              <w:rPr>
                <w:rFonts w:ascii="Verdana" w:hAnsi="Verdana" w:cs="Tahoma"/>
                <w:sz w:val="20"/>
                <w:szCs w:val="20"/>
              </w:rPr>
              <w:t>.</w:t>
            </w:r>
          </w:p>
        </w:tc>
      </w:tr>
      <w:tr w:rsidR="00EB5CDB" w14:paraId="08927804" w14:textId="77777777">
        <w:tc>
          <w:tcPr>
            <w:tcW w:w="2970" w:type="dxa"/>
          </w:tcPr>
          <w:p w14:paraId="79FB18A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ANBIMA</w:t>
            </w:r>
            <w:r>
              <w:rPr>
                <w:rFonts w:ascii="Verdana" w:hAnsi="Verdana" w:cs="Tahoma"/>
                <w:sz w:val="20"/>
                <w:szCs w:val="20"/>
              </w:rPr>
              <w:t>”</w:t>
            </w:r>
          </w:p>
        </w:tc>
        <w:tc>
          <w:tcPr>
            <w:tcW w:w="6316" w:type="dxa"/>
          </w:tcPr>
          <w:p w14:paraId="30ECD41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Código ANBIMA de Regulação e Melhores Práticas para as Ofertas Públicas de Distribuição e Aquisição de Valores Mobiliários em vigor nesta data.</w:t>
            </w:r>
          </w:p>
        </w:tc>
      </w:tr>
      <w:tr w:rsidR="00EB5CDB" w14:paraId="55C5BD2C" w14:textId="77777777">
        <w:tc>
          <w:tcPr>
            <w:tcW w:w="2970" w:type="dxa"/>
          </w:tcPr>
          <w:p w14:paraId="7612E14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Civil</w:t>
            </w:r>
            <w:r>
              <w:rPr>
                <w:rFonts w:ascii="Verdana" w:hAnsi="Verdana" w:cs="Tahoma"/>
                <w:sz w:val="20"/>
                <w:szCs w:val="20"/>
              </w:rPr>
              <w:t>”</w:t>
            </w:r>
          </w:p>
        </w:tc>
        <w:tc>
          <w:tcPr>
            <w:tcW w:w="6316" w:type="dxa"/>
          </w:tcPr>
          <w:p w14:paraId="4D58767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10.406, de 10 de janeiro de 2002, conforme alterada.</w:t>
            </w:r>
          </w:p>
        </w:tc>
      </w:tr>
      <w:tr w:rsidR="00EB5CDB" w14:paraId="3C762F21" w14:textId="77777777">
        <w:tc>
          <w:tcPr>
            <w:tcW w:w="2970" w:type="dxa"/>
          </w:tcPr>
          <w:p w14:paraId="1DF72A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Código de Processo Civil</w:t>
            </w:r>
            <w:r>
              <w:rPr>
                <w:rFonts w:ascii="Verdana" w:hAnsi="Verdana" w:cs="Tahoma"/>
                <w:sz w:val="20"/>
                <w:szCs w:val="20"/>
              </w:rPr>
              <w:t>”</w:t>
            </w:r>
          </w:p>
        </w:tc>
        <w:tc>
          <w:tcPr>
            <w:tcW w:w="6316" w:type="dxa"/>
          </w:tcPr>
          <w:p w14:paraId="2E1A27D0" w14:textId="77777777" w:rsidR="00EB5CDB" w:rsidRDefault="008E55E6">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A Lei nº 13.105, de 16 de março de 2015, conforme alterada.</w:t>
            </w:r>
          </w:p>
        </w:tc>
      </w:tr>
      <w:tr w:rsidR="00EB5CDB" w14:paraId="5B20522A" w14:textId="77777777">
        <w:tc>
          <w:tcPr>
            <w:tcW w:w="2970" w:type="dxa"/>
          </w:tcPr>
          <w:p w14:paraId="1CFAD34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Coordenador Líder</w:t>
            </w:r>
            <w:r>
              <w:rPr>
                <w:rFonts w:ascii="Verdana" w:hAnsi="Verdana" w:cs="Tahoma"/>
                <w:sz w:val="20"/>
                <w:szCs w:val="20"/>
              </w:rPr>
              <w:t>”</w:t>
            </w:r>
          </w:p>
        </w:tc>
        <w:tc>
          <w:tcPr>
            <w:tcW w:w="6316" w:type="dxa"/>
          </w:tcPr>
          <w:p w14:paraId="5D88909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7D3AFAF" w14:textId="77777777">
        <w:tc>
          <w:tcPr>
            <w:tcW w:w="2970" w:type="dxa"/>
          </w:tcPr>
          <w:p w14:paraId="01FCF6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Conta Exclusiva</w:t>
            </w:r>
            <w:r>
              <w:rPr>
                <w:rFonts w:ascii="Verdana" w:hAnsi="Verdana" w:cs="Tahoma"/>
                <w:sz w:val="20"/>
                <w:szCs w:val="20"/>
              </w:rPr>
              <w:t>”</w:t>
            </w:r>
          </w:p>
        </w:tc>
        <w:tc>
          <w:tcPr>
            <w:tcW w:w="6316" w:type="dxa"/>
          </w:tcPr>
          <w:p w14:paraId="6089F6F3" w14:textId="276D6626"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conta bancária e/ou de investimento de titularidade da Emissora exclusivamente associada a esta Emissão, qual seja: </w:t>
            </w:r>
            <w:r w:rsidRPr="006D17D9">
              <w:rPr>
                <w:rFonts w:ascii="Verdana" w:hAnsi="Verdana" w:cs="Tahoma"/>
                <w:sz w:val="20"/>
                <w:szCs w:val="20"/>
                <w:highlight w:val="yellow"/>
              </w:rPr>
              <w:t xml:space="preserve">conta corrente nº </w:t>
            </w:r>
            <w:r w:rsidR="00B52409">
              <w:rPr>
                <w:rFonts w:ascii="Verdana" w:hAnsi="Verdana" w:cs="Tahoma"/>
                <w:sz w:val="20"/>
                <w:szCs w:val="20"/>
                <w:highlight w:val="yellow"/>
              </w:rPr>
              <w:t>___</w:t>
            </w:r>
            <w:r w:rsidRPr="006D17D9">
              <w:rPr>
                <w:rFonts w:ascii="Verdana" w:hAnsi="Verdana" w:cs="Tahoma"/>
                <w:sz w:val="20"/>
                <w:szCs w:val="20"/>
                <w:highlight w:val="yellow"/>
              </w:rPr>
              <w:t xml:space="preserve">, mantida na agência </w:t>
            </w:r>
            <w:r w:rsidR="00B52409">
              <w:rPr>
                <w:rFonts w:ascii="Verdana" w:hAnsi="Verdana" w:cs="Tahoma"/>
                <w:sz w:val="20"/>
                <w:szCs w:val="20"/>
                <w:highlight w:val="yellow"/>
              </w:rPr>
              <w:t>____</w:t>
            </w:r>
            <w:r w:rsidRPr="006D17D9">
              <w:rPr>
                <w:rFonts w:ascii="Verdana" w:hAnsi="Verdana" w:cs="Tahoma"/>
                <w:sz w:val="20"/>
                <w:szCs w:val="20"/>
                <w:highlight w:val="yellow"/>
              </w:rPr>
              <w:t xml:space="preserve"> do Banco </w:t>
            </w:r>
            <w:r w:rsidR="00B52409">
              <w:rPr>
                <w:rFonts w:ascii="Verdana" w:hAnsi="Verdana" w:cs="Tahoma"/>
                <w:sz w:val="20"/>
                <w:szCs w:val="20"/>
                <w:highlight w:val="yellow"/>
              </w:rPr>
              <w:t>_____</w:t>
            </w:r>
            <w:r w:rsidRPr="006D17D9">
              <w:rPr>
                <w:rFonts w:ascii="Verdana" w:hAnsi="Verdana" w:cs="Tahoma"/>
                <w:sz w:val="20"/>
                <w:szCs w:val="20"/>
                <w:highlight w:val="yellow"/>
              </w:rPr>
              <w:t xml:space="preserve"> S.A.</w:t>
            </w:r>
          </w:p>
        </w:tc>
      </w:tr>
      <w:tr w:rsidR="00EB5CDB" w14:paraId="0E168766" w14:textId="77777777">
        <w:tc>
          <w:tcPr>
            <w:tcW w:w="2970" w:type="dxa"/>
          </w:tcPr>
          <w:p w14:paraId="7F078A2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Cessão Fiduciária</w:t>
            </w:r>
            <w:r>
              <w:rPr>
                <w:rFonts w:ascii="Verdana" w:hAnsi="Verdana" w:cs="Tahoma"/>
                <w:sz w:val="20"/>
                <w:szCs w:val="20"/>
              </w:rPr>
              <w:t>”</w:t>
            </w:r>
          </w:p>
        </w:tc>
        <w:tc>
          <w:tcPr>
            <w:tcW w:w="6316" w:type="dxa"/>
          </w:tcPr>
          <w:p w14:paraId="5F4C52EF" w14:textId="77777777"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O contrato de cessão fiduciária da totalidade dos Direitos Creditórios Alienados, em benefício da totalidade dos Debenturistas, nos termos e condições ali previstos, a ser celebrado antes da Data da 1ª Integralização, entre a Emissora, na qualidade de cedente fiduciária, e o Agente Fiduciário, na qualidade de representante dos Debenturistas, e aditado, no mínimo, nas Datas Limite de Atualização de CCB.</w:t>
            </w:r>
          </w:p>
        </w:tc>
      </w:tr>
      <w:tr w:rsidR="00EB5CDB" w14:paraId="0066A59E" w14:textId="77777777">
        <w:tc>
          <w:tcPr>
            <w:tcW w:w="2970" w:type="dxa"/>
          </w:tcPr>
          <w:p w14:paraId="11550F1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Cobrança</w:t>
            </w:r>
            <w:r>
              <w:rPr>
                <w:rFonts w:ascii="Verdana" w:hAnsi="Verdana" w:cs="Tahoma"/>
                <w:sz w:val="20"/>
                <w:szCs w:val="20"/>
              </w:rPr>
              <w:t>”</w:t>
            </w:r>
          </w:p>
        </w:tc>
        <w:tc>
          <w:tcPr>
            <w:tcW w:w="6316" w:type="dxa"/>
          </w:tcPr>
          <w:p w14:paraId="07311105" w14:textId="6DFBA11A" w:rsidR="00EB5CDB" w:rsidRDefault="008E55E6">
            <w:pPr>
              <w:spacing w:before="120" w:after="120" w:line="280" w:lineRule="exact"/>
              <w:jc w:val="both"/>
              <w:rPr>
                <w:rFonts w:ascii="Verdana" w:hAnsi="Verdana" w:cs="Tahoma"/>
                <w:sz w:val="20"/>
                <w:szCs w:val="20"/>
              </w:rPr>
            </w:pPr>
            <w:r>
              <w:rPr>
                <w:rFonts w:ascii="Verdana" w:eastAsia="MS Mincho" w:hAnsi="Verdana" w:cs="Tahoma"/>
                <w:sz w:val="20"/>
                <w:szCs w:val="20"/>
              </w:rPr>
              <w:t xml:space="preserve">“Contrato de Prestação de Serviços de Agente de Pagamento, Cobrança de Direitos Creditórios e Outras Avenças”, a ser celebrado entre a Emissora e a </w:t>
            </w:r>
            <w:r w:rsidR="007A271B">
              <w:rPr>
                <w:rFonts w:ascii="Verdana" w:eastAsia="MS Mincho" w:hAnsi="Verdana" w:cs="Tahoma"/>
                <w:sz w:val="20"/>
                <w:szCs w:val="20"/>
              </w:rPr>
              <w:t>Gyramais</w:t>
            </w:r>
            <w:r w:rsidR="00B52409">
              <w:rPr>
                <w:rFonts w:ascii="Verdana" w:eastAsia="MS Mincho" w:hAnsi="Verdana" w:cs="Tahoma"/>
                <w:sz w:val="20"/>
                <w:szCs w:val="20"/>
              </w:rPr>
              <w:t xml:space="preserve"> Tecnologia S.A.</w:t>
            </w:r>
            <w:r>
              <w:rPr>
                <w:rFonts w:ascii="Verdana" w:eastAsia="MS Mincho" w:hAnsi="Verdana" w:cs="Tahoma"/>
                <w:sz w:val="20"/>
                <w:szCs w:val="20"/>
              </w:rPr>
              <w:t>, que regulará os termos e condições da prestação de serviços de cobrança das CCB.</w:t>
            </w:r>
          </w:p>
        </w:tc>
      </w:tr>
      <w:tr w:rsidR="00EB5CDB" w14:paraId="116441DA" w14:textId="77777777">
        <w:tc>
          <w:tcPr>
            <w:tcW w:w="2970" w:type="dxa"/>
          </w:tcPr>
          <w:p w14:paraId="7CEC45B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Consultoria Financeira</w:t>
            </w:r>
            <w:r>
              <w:rPr>
                <w:rFonts w:ascii="Verdana" w:hAnsi="Verdana" w:cs="Tahoma"/>
                <w:sz w:val="20"/>
                <w:szCs w:val="20"/>
              </w:rPr>
              <w:t>”</w:t>
            </w:r>
          </w:p>
        </w:tc>
        <w:tc>
          <w:tcPr>
            <w:tcW w:w="6316" w:type="dxa"/>
          </w:tcPr>
          <w:p w14:paraId="0F3C2501" w14:textId="2BB3B81A" w:rsidR="00EB5CDB" w:rsidRDefault="008E55E6">
            <w:pPr>
              <w:spacing w:before="120" w:after="120" w:line="280" w:lineRule="exact"/>
              <w:jc w:val="both"/>
              <w:rPr>
                <w:rFonts w:ascii="Verdana" w:eastAsia="MS Mincho" w:hAnsi="Verdana" w:cs="Tahoma"/>
                <w:sz w:val="20"/>
                <w:szCs w:val="20"/>
              </w:rPr>
            </w:pPr>
            <w:r>
              <w:rPr>
                <w:rFonts w:ascii="Verdana" w:hAnsi="Verdana" w:cs="Tahoma"/>
                <w:sz w:val="20"/>
                <w:szCs w:val="20"/>
              </w:rPr>
              <w:t xml:space="preserve">O “Instrumento Particular de Consultoria Financeira e Outras Avenças”, celebrado entre a Emissora e a VERT Consultoria e Assessoria Financeira LTDA., sociedade empresária limitada com sede </w:t>
            </w:r>
            <w:r>
              <w:rPr>
                <w:rFonts w:ascii="Verdana" w:hAnsi="Verdana" w:cs="Tahoma"/>
                <w:bCs/>
                <w:sz w:val="20"/>
                <w:szCs w:val="20"/>
              </w:rPr>
              <w:t xml:space="preserve">na cidade de São Paulo, Estado de São Paulo, na </w:t>
            </w:r>
            <w:bookmarkStart w:id="0" w:name="_Hlk510708344"/>
            <w:r>
              <w:rPr>
                <w:rFonts w:ascii="Verdana" w:hAnsi="Verdana" w:cs="Tahoma"/>
                <w:bCs/>
                <w:sz w:val="20"/>
                <w:szCs w:val="20"/>
              </w:rPr>
              <w:t>Rua Cardeal Arcoverde, nº 2.365, 7º andar, Pinheiros, CEP 05407-003</w:t>
            </w:r>
            <w:bookmarkEnd w:id="0"/>
            <w:r>
              <w:rPr>
                <w:rFonts w:ascii="Verdana" w:hAnsi="Verdana" w:cs="Tahoma"/>
                <w:bCs/>
                <w:sz w:val="20"/>
                <w:szCs w:val="20"/>
              </w:rPr>
              <w:t>, devidamente inscrita no CNPJ/MF sob o nº</w:t>
            </w:r>
            <w:r w:rsidR="007A271B">
              <w:rPr>
                <w:rFonts w:ascii="Verdana" w:hAnsi="Verdana" w:cs="Tahoma"/>
                <w:bCs/>
                <w:sz w:val="20"/>
                <w:szCs w:val="20"/>
              </w:rPr>
              <w:t> </w:t>
            </w:r>
            <w:r>
              <w:rPr>
                <w:rFonts w:ascii="Verdana" w:hAnsi="Verdana" w:cs="Tahoma"/>
                <w:bCs/>
                <w:sz w:val="20"/>
                <w:szCs w:val="20"/>
              </w:rPr>
              <w:t>30.418.658/0001-89</w:t>
            </w:r>
            <w:r>
              <w:rPr>
                <w:rFonts w:ascii="Verdana" w:hAnsi="Verdana" w:cs="Tahoma"/>
                <w:sz w:val="20"/>
                <w:szCs w:val="20"/>
              </w:rPr>
              <w:t>.</w:t>
            </w:r>
          </w:p>
        </w:tc>
      </w:tr>
      <w:tr w:rsidR="00EB5CDB" w14:paraId="3F0A1178" w14:textId="77777777">
        <w:tc>
          <w:tcPr>
            <w:tcW w:w="2970" w:type="dxa"/>
          </w:tcPr>
          <w:p w14:paraId="4E3EFB4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Contrato de Distribuição</w:t>
            </w:r>
            <w:r>
              <w:rPr>
                <w:rFonts w:ascii="Verdana" w:hAnsi="Verdana" w:cs="Tahoma"/>
                <w:sz w:val="20"/>
                <w:szCs w:val="20"/>
              </w:rPr>
              <w:t>”</w:t>
            </w:r>
          </w:p>
        </w:tc>
        <w:tc>
          <w:tcPr>
            <w:tcW w:w="6316" w:type="dxa"/>
          </w:tcPr>
          <w:p w14:paraId="613B67CD" w14:textId="4B04A3FC"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“Instrumento Particular de Contrato de Coordenação, Colocação e Distribuição Pública sob o Regime de Melhores Esforços de Colocação, da </w:t>
            </w:r>
            <w:r w:rsidR="007A271B">
              <w:rPr>
                <w:rFonts w:ascii="Verdana" w:hAnsi="Verdana" w:cs="Tahoma"/>
                <w:sz w:val="20"/>
                <w:szCs w:val="20"/>
              </w:rPr>
              <w:t>2</w:t>
            </w:r>
            <w:r>
              <w:rPr>
                <w:rFonts w:ascii="Verdana" w:hAnsi="Verdana" w:cs="Tahoma"/>
                <w:sz w:val="20"/>
                <w:szCs w:val="20"/>
              </w:rPr>
              <w:t>ª (</w:t>
            </w:r>
            <w:r w:rsidR="007A271B">
              <w:rPr>
                <w:rFonts w:ascii="Verdana" w:hAnsi="Verdana" w:cs="Tahoma"/>
                <w:sz w:val="20"/>
                <w:szCs w:val="20"/>
              </w:rPr>
              <w:t>Segunda</w:t>
            </w:r>
            <w:r>
              <w:rPr>
                <w:rFonts w:ascii="Verdana" w:hAnsi="Verdana" w:cs="Tahoma"/>
                <w:sz w:val="20"/>
                <w:szCs w:val="20"/>
              </w:rPr>
              <w:t xml:space="preserve">) Emissão de Debêntures Simples, Não Conversíveis em Ações, da </w:t>
            </w:r>
            <w:r w:rsidR="00A870AB">
              <w:rPr>
                <w:rFonts w:ascii="Verdana" w:hAnsi="Verdana" w:cs="Tahoma"/>
                <w:sz w:val="20"/>
                <w:szCs w:val="20"/>
              </w:rPr>
              <w:t>E</w:t>
            </w:r>
            <w:r>
              <w:rPr>
                <w:rFonts w:ascii="Verdana" w:hAnsi="Verdana" w:cs="Tahoma"/>
                <w:sz w:val="20"/>
                <w:szCs w:val="20"/>
              </w:rPr>
              <w:t xml:space="preserve">spécie com </w:t>
            </w:r>
            <w:r w:rsidR="00A870AB">
              <w:rPr>
                <w:rFonts w:ascii="Verdana" w:hAnsi="Verdana" w:cs="Tahoma"/>
                <w:sz w:val="20"/>
                <w:szCs w:val="20"/>
              </w:rPr>
              <w:t>G</w:t>
            </w:r>
            <w:r>
              <w:rPr>
                <w:rFonts w:ascii="Verdana" w:hAnsi="Verdana" w:cs="Tahoma"/>
                <w:sz w:val="20"/>
                <w:szCs w:val="20"/>
              </w:rPr>
              <w:t xml:space="preserve">arantia </w:t>
            </w:r>
            <w:r w:rsidR="00A870AB">
              <w:rPr>
                <w:rFonts w:ascii="Verdana" w:hAnsi="Verdana" w:cs="Tahoma"/>
                <w:sz w:val="20"/>
                <w:szCs w:val="20"/>
              </w:rPr>
              <w:t>R</w:t>
            </w:r>
            <w:r>
              <w:rPr>
                <w:rFonts w:ascii="Verdana" w:hAnsi="Verdana" w:cs="Tahoma"/>
                <w:sz w:val="20"/>
                <w:szCs w:val="20"/>
              </w:rPr>
              <w:t xml:space="preserve">eal, em Duas Séries, para Distribuição Pública com Esforços Restritos de Colocação, da </w:t>
            </w:r>
            <w:r w:rsidR="007A271B">
              <w:rPr>
                <w:rFonts w:ascii="Verdana" w:hAnsi="Verdana" w:cs="Tahoma"/>
                <w:sz w:val="20"/>
                <w:szCs w:val="20"/>
              </w:rPr>
              <w:t xml:space="preserve">Companhia </w:t>
            </w:r>
            <w:r>
              <w:rPr>
                <w:rFonts w:ascii="Verdana" w:hAnsi="Verdana"/>
                <w:sz w:val="20"/>
                <w:szCs w:val="20"/>
              </w:rPr>
              <w:t xml:space="preserve">Securitizadora de Créditos Financeiros </w:t>
            </w:r>
            <w:r w:rsidR="00A870AB">
              <w:rPr>
                <w:rFonts w:ascii="Verdana" w:hAnsi="Verdana"/>
                <w:sz w:val="20"/>
                <w:szCs w:val="20"/>
              </w:rPr>
              <w:t>VERT</w:t>
            </w:r>
            <w:r>
              <w:rPr>
                <w:rFonts w:ascii="Verdana" w:hAnsi="Verdana"/>
                <w:sz w:val="20"/>
                <w:szCs w:val="20"/>
              </w:rPr>
              <w:t>-</w:t>
            </w:r>
            <w:r w:rsidR="007A271B">
              <w:rPr>
                <w:rFonts w:ascii="Verdana" w:hAnsi="Verdana"/>
                <w:sz w:val="20"/>
                <w:szCs w:val="20"/>
              </w:rPr>
              <w:t>Gyra</w:t>
            </w:r>
            <w:r>
              <w:rPr>
                <w:rFonts w:ascii="Verdana" w:hAnsi="Verdana" w:cs="Tahoma"/>
                <w:sz w:val="20"/>
                <w:szCs w:val="20"/>
              </w:rPr>
              <w:t>”, a ser celebrado entre a Emissora e o Coordenador Líder.</w:t>
            </w:r>
          </w:p>
        </w:tc>
      </w:tr>
      <w:tr w:rsidR="00EB5CDB" w14:paraId="5F65F4B5" w14:textId="77777777">
        <w:tc>
          <w:tcPr>
            <w:tcW w:w="2970" w:type="dxa"/>
          </w:tcPr>
          <w:p w14:paraId="004CF4F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CVM</w:t>
            </w:r>
            <w:r>
              <w:rPr>
                <w:rFonts w:ascii="Verdana" w:hAnsi="Verdana" w:cs="Tahoma"/>
                <w:sz w:val="20"/>
                <w:szCs w:val="20"/>
              </w:rPr>
              <w:t>”</w:t>
            </w:r>
          </w:p>
        </w:tc>
        <w:tc>
          <w:tcPr>
            <w:tcW w:w="6316" w:type="dxa"/>
          </w:tcPr>
          <w:p w14:paraId="235DC54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Comissão de Valores Mobiliários.</w:t>
            </w:r>
          </w:p>
        </w:tc>
      </w:tr>
      <w:tr w:rsidR="00EB5CDB" w14:paraId="55CB199D" w14:textId="77777777">
        <w:tc>
          <w:tcPr>
            <w:tcW w:w="2970" w:type="dxa"/>
          </w:tcPr>
          <w:p w14:paraId="6569A9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Emissão</w:t>
            </w:r>
            <w:r>
              <w:rPr>
                <w:rFonts w:ascii="Verdana" w:hAnsi="Verdana" w:cs="Tahoma"/>
                <w:sz w:val="20"/>
                <w:szCs w:val="20"/>
              </w:rPr>
              <w:t>”</w:t>
            </w:r>
          </w:p>
        </w:tc>
        <w:tc>
          <w:tcPr>
            <w:tcW w:w="6316" w:type="dxa"/>
          </w:tcPr>
          <w:p w14:paraId="219E6D12" w14:textId="6FC1EBE5"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Dia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sidR="00435E3F">
              <w:rPr>
                <w:rFonts w:ascii="Verdana" w:hAnsi="Verdana" w:cs="Tahoma"/>
                <w:sz w:val="20"/>
                <w:szCs w:val="20"/>
              </w:rPr>
              <w:t xml:space="preserve"> </w:t>
            </w:r>
            <w:r>
              <w:rPr>
                <w:rFonts w:ascii="Verdana" w:hAnsi="Verdana" w:cs="Tahoma"/>
                <w:sz w:val="20"/>
                <w:szCs w:val="20"/>
              </w:rPr>
              <w:t>de 20</w:t>
            </w:r>
            <w:r w:rsidR="007A271B">
              <w:rPr>
                <w:rFonts w:ascii="Verdana" w:hAnsi="Verdana" w:cs="Tahoma"/>
                <w:sz w:val="20"/>
                <w:szCs w:val="20"/>
              </w:rPr>
              <w:t>20</w:t>
            </w:r>
            <w:r>
              <w:rPr>
                <w:rFonts w:ascii="Verdana" w:hAnsi="Verdana" w:cs="Tahoma"/>
                <w:sz w:val="20"/>
                <w:szCs w:val="20"/>
              </w:rPr>
              <w:t xml:space="preserve">. </w:t>
            </w:r>
          </w:p>
        </w:tc>
      </w:tr>
      <w:tr w:rsidR="00EB5CDB" w14:paraId="0D7E8EAA" w14:textId="77777777">
        <w:tc>
          <w:tcPr>
            <w:tcW w:w="2970" w:type="dxa"/>
          </w:tcPr>
          <w:p w14:paraId="6BA2803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w:t>
            </w:r>
            <w:r>
              <w:rPr>
                <w:rFonts w:ascii="Verdana" w:hAnsi="Verdana" w:cs="Tahoma"/>
                <w:sz w:val="20"/>
                <w:szCs w:val="20"/>
              </w:rPr>
              <w:t>”</w:t>
            </w:r>
          </w:p>
        </w:tc>
        <w:tc>
          <w:tcPr>
            <w:tcW w:w="6316" w:type="dxa"/>
          </w:tcPr>
          <w:p w14:paraId="541D923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Integralização da Primeira Série ou a Data da 1ª Integralização da Segunda Série, o que ocorrer primeiro.</w:t>
            </w:r>
          </w:p>
        </w:tc>
      </w:tr>
      <w:tr w:rsidR="00EB5CDB" w14:paraId="56B3A678" w14:textId="77777777">
        <w:tc>
          <w:tcPr>
            <w:tcW w:w="2970" w:type="dxa"/>
          </w:tcPr>
          <w:p w14:paraId="4B33C4F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Primeira Série</w:t>
            </w:r>
            <w:r>
              <w:rPr>
                <w:rFonts w:ascii="Verdana" w:hAnsi="Verdana" w:cs="Tahoma"/>
                <w:sz w:val="20"/>
                <w:szCs w:val="20"/>
              </w:rPr>
              <w:t>”</w:t>
            </w:r>
          </w:p>
        </w:tc>
        <w:tc>
          <w:tcPr>
            <w:tcW w:w="6316" w:type="dxa"/>
          </w:tcPr>
          <w:p w14:paraId="1C17C37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data da 1ª (primeira) integralização de Debêntures da Primeira Série.</w:t>
            </w:r>
          </w:p>
        </w:tc>
      </w:tr>
      <w:tr w:rsidR="00EB5CDB" w14:paraId="6F9FC666" w14:textId="77777777">
        <w:tc>
          <w:tcPr>
            <w:tcW w:w="2970" w:type="dxa"/>
          </w:tcPr>
          <w:p w14:paraId="4506207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da 1ª Integralização da Segunda Série</w:t>
            </w:r>
            <w:r>
              <w:rPr>
                <w:rFonts w:ascii="Verdana" w:hAnsi="Verdana" w:cs="Tahoma"/>
                <w:sz w:val="20"/>
                <w:szCs w:val="20"/>
              </w:rPr>
              <w:t>”</w:t>
            </w:r>
          </w:p>
        </w:tc>
        <w:tc>
          <w:tcPr>
            <w:tcW w:w="6316" w:type="dxa"/>
          </w:tcPr>
          <w:p w14:paraId="1717302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data da 1ª (primeira) integralização de Debêntures da Segunda Série. </w:t>
            </w:r>
          </w:p>
        </w:tc>
      </w:tr>
      <w:tr w:rsidR="00EB5CDB" w14:paraId="3A87D282" w14:textId="77777777">
        <w:tc>
          <w:tcPr>
            <w:tcW w:w="2970" w:type="dxa"/>
          </w:tcPr>
          <w:p w14:paraId="5F8B1CA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w:t>
            </w:r>
            <w:r>
              <w:rPr>
                <w:rFonts w:ascii="Verdana" w:hAnsi="Verdana" w:cs="Tahoma"/>
                <w:sz w:val="20"/>
                <w:szCs w:val="20"/>
              </w:rPr>
              <w:t>”</w:t>
            </w:r>
          </w:p>
        </w:tc>
        <w:tc>
          <w:tcPr>
            <w:tcW w:w="6316" w:type="dxa"/>
          </w:tcPr>
          <w:p w14:paraId="76D73E8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Qualquer Data de Integralização das Debêntures da Primeira Série ou qualquer Data de Integralização das Debêntures da Segunda Série, quando referidas indistintamente.</w:t>
            </w:r>
          </w:p>
        </w:tc>
      </w:tr>
      <w:tr w:rsidR="00EB5CDB" w14:paraId="556CA11A" w14:textId="77777777">
        <w:tc>
          <w:tcPr>
            <w:tcW w:w="2970" w:type="dxa"/>
          </w:tcPr>
          <w:p w14:paraId="07A3A810"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Primeira Série</w:t>
            </w:r>
            <w:r>
              <w:rPr>
                <w:rFonts w:ascii="Verdana" w:hAnsi="Verdana" w:cs="Tahoma"/>
                <w:sz w:val="20"/>
                <w:szCs w:val="20"/>
              </w:rPr>
              <w:t>”</w:t>
            </w:r>
          </w:p>
        </w:tc>
        <w:tc>
          <w:tcPr>
            <w:tcW w:w="6316" w:type="dxa"/>
          </w:tcPr>
          <w:p w14:paraId="2C73115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77241083" w14:textId="77777777">
        <w:tc>
          <w:tcPr>
            <w:tcW w:w="2970" w:type="dxa"/>
          </w:tcPr>
          <w:p w14:paraId="436D3744" w14:textId="77777777" w:rsidR="00EB5CDB" w:rsidRDefault="008E55E6" w:rsidP="007A271B">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Integralização das Debêntures da Segunda Série</w:t>
            </w:r>
          </w:p>
        </w:tc>
        <w:tc>
          <w:tcPr>
            <w:tcW w:w="6316" w:type="dxa"/>
          </w:tcPr>
          <w:p w14:paraId="4FEDF6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_Ref495596580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3.15.1.2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119FBDBB" w14:textId="77777777">
        <w:tc>
          <w:tcPr>
            <w:tcW w:w="2970" w:type="dxa"/>
          </w:tcPr>
          <w:p w14:paraId="3D9A7371" w14:textId="77777777" w:rsidR="00EB5CDB" w:rsidRDefault="008E55E6">
            <w:pPr>
              <w:tabs>
                <w:tab w:val="left" w:pos="1134"/>
              </w:tabs>
              <w:spacing w:before="120" w:after="120" w:line="280" w:lineRule="exact"/>
              <w:jc w:val="both"/>
              <w:rPr>
                <w:rFonts w:ascii="Verdana" w:hAnsi="Verdana" w:cs="Tahoma"/>
                <w:b/>
                <w:sz w:val="20"/>
                <w:szCs w:val="20"/>
              </w:rPr>
            </w:pPr>
            <w:r>
              <w:rPr>
                <w:rFonts w:ascii="Verdana" w:hAnsi="Verdana" w:cs="Tahoma"/>
                <w:sz w:val="20"/>
                <w:szCs w:val="20"/>
              </w:rPr>
              <w:t>“</w:t>
            </w:r>
            <w:r>
              <w:rPr>
                <w:rFonts w:ascii="Verdana" w:hAnsi="Verdana" w:cs="Tahoma"/>
                <w:sz w:val="20"/>
                <w:szCs w:val="20"/>
                <w:u w:val="single"/>
              </w:rPr>
              <w:t>Data de Pagamento</w:t>
            </w:r>
            <w:r>
              <w:rPr>
                <w:rFonts w:ascii="Verdana" w:hAnsi="Verdana" w:cs="Tahoma"/>
                <w:sz w:val="20"/>
                <w:szCs w:val="20"/>
              </w:rPr>
              <w:t>”</w:t>
            </w:r>
          </w:p>
        </w:tc>
        <w:tc>
          <w:tcPr>
            <w:tcW w:w="6316" w:type="dxa"/>
          </w:tcPr>
          <w:p w14:paraId="694B87A5"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(ii) no segundo mês após o Período de Alocação caso não ocorra um Evento de Aceleração de Vencimento.</w:t>
            </w:r>
          </w:p>
        </w:tc>
      </w:tr>
      <w:tr w:rsidR="00EB5CDB" w14:paraId="734CF93F" w14:textId="77777777">
        <w:trPr>
          <w:trHeight w:val="733"/>
        </w:trPr>
        <w:tc>
          <w:tcPr>
            <w:tcW w:w="2970" w:type="dxa"/>
          </w:tcPr>
          <w:p w14:paraId="383E5AE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Vencimento</w:t>
            </w:r>
            <w:r>
              <w:rPr>
                <w:rFonts w:ascii="Verdana" w:hAnsi="Verdana" w:cs="Tahoma"/>
                <w:sz w:val="20"/>
                <w:szCs w:val="20"/>
              </w:rPr>
              <w:t>”</w:t>
            </w:r>
          </w:p>
        </w:tc>
        <w:tc>
          <w:tcPr>
            <w:tcW w:w="6316" w:type="dxa"/>
          </w:tcPr>
          <w:p w14:paraId="4B32B4C0" w14:textId="76A5EDFC" w:rsidR="00EB5CDB" w:rsidRDefault="00B52409">
            <w:pPr>
              <w:spacing w:before="120" w:after="120" w:line="280" w:lineRule="exact"/>
              <w:jc w:val="both"/>
              <w:rPr>
                <w:rFonts w:ascii="Verdana" w:hAnsi="Verdana" w:cs="Tahoma"/>
                <w:sz w:val="20"/>
                <w:szCs w:val="20"/>
              </w:rPr>
            </w:pPr>
            <w:r>
              <w:rPr>
                <w:rFonts w:ascii="Verdana" w:hAnsi="Verdana" w:cs="Tahoma"/>
                <w:sz w:val="20"/>
                <w:szCs w:val="20"/>
              </w:rPr>
              <w:t>[</w:t>
            </w:r>
            <w:r w:rsidRPr="00B52409">
              <w:rPr>
                <w:rFonts w:ascii="Verdana" w:hAnsi="Verdana" w:cs="Tahoma"/>
                <w:b/>
                <w:bCs/>
                <w:i/>
                <w:iCs/>
                <w:sz w:val="20"/>
                <w:szCs w:val="20"/>
                <w:highlight w:val="yellow"/>
              </w:rPr>
              <w:t>inserir</w:t>
            </w:r>
            <w:r>
              <w:rPr>
                <w:rFonts w:ascii="Verdana" w:hAnsi="Verdana" w:cs="Tahoma"/>
                <w:sz w:val="20"/>
                <w:szCs w:val="20"/>
              </w:rPr>
              <w:t>]</w:t>
            </w:r>
          </w:p>
        </w:tc>
      </w:tr>
      <w:tr w:rsidR="00EB5CDB" w14:paraId="03CE09A6" w14:textId="77777777">
        <w:tc>
          <w:tcPr>
            <w:tcW w:w="2970" w:type="dxa"/>
          </w:tcPr>
          <w:p w14:paraId="6B02DB5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de Verificação</w:t>
            </w:r>
            <w:r>
              <w:rPr>
                <w:rFonts w:ascii="Verdana" w:hAnsi="Verdana" w:cs="Tahoma"/>
                <w:sz w:val="20"/>
                <w:szCs w:val="20"/>
              </w:rPr>
              <w:t>”</w:t>
            </w:r>
          </w:p>
        </w:tc>
        <w:tc>
          <w:tcPr>
            <w:tcW w:w="6316" w:type="dxa"/>
          </w:tcPr>
          <w:p w14:paraId="67A6C485" w14:textId="7D8391D2"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w:t>
            </w:r>
            <w:r w:rsidR="00A870AB">
              <w:rPr>
                <w:rFonts w:ascii="Verdana" w:hAnsi="Verdana" w:cs="Tahoma"/>
                <w:sz w:val="20"/>
                <w:szCs w:val="20"/>
              </w:rPr>
              <w:t>8</w:t>
            </w:r>
            <w:r>
              <w:rPr>
                <w:rFonts w:ascii="Verdana" w:hAnsi="Verdana" w:cs="Tahoma"/>
                <w:sz w:val="20"/>
                <w:szCs w:val="20"/>
              </w:rPr>
              <w:t>º (</w:t>
            </w:r>
            <w:r w:rsidR="00A870AB">
              <w:rPr>
                <w:rFonts w:ascii="Verdana" w:hAnsi="Verdana" w:cs="Tahoma"/>
                <w:sz w:val="20"/>
                <w:szCs w:val="20"/>
              </w:rPr>
              <w:t>oitavo</w:t>
            </w:r>
            <w:r>
              <w:rPr>
                <w:rFonts w:ascii="Verdana" w:hAnsi="Verdana" w:cs="Tahoma"/>
                <w:sz w:val="20"/>
                <w:szCs w:val="20"/>
              </w:rPr>
              <w:t xml:space="preserve">) Dia Útil de cada mês, iniciando-se no mês imediatamente posterior ao 1º (primeiro) Mês Completo de Alocação </w:t>
            </w:r>
          </w:p>
        </w:tc>
      </w:tr>
      <w:tr w:rsidR="00EB5CDB" w14:paraId="5CD2CCE1" w14:textId="77777777">
        <w:tc>
          <w:tcPr>
            <w:tcW w:w="2970" w:type="dxa"/>
          </w:tcPr>
          <w:p w14:paraId="1254C4ED"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Data Limite de Atualização de CCB</w:t>
            </w:r>
            <w:r>
              <w:rPr>
                <w:rFonts w:ascii="Verdana" w:hAnsi="Verdana" w:cs="Tahoma"/>
                <w:sz w:val="20"/>
                <w:szCs w:val="20"/>
              </w:rPr>
              <w:t>”</w:t>
            </w:r>
          </w:p>
        </w:tc>
        <w:tc>
          <w:tcPr>
            <w:tcW w:w="6316" w:type="dxa"/>
          </w:tcPr>
          <w:p w14:paraId="5913849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_Ref495584033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33043F4" w14:textId="77777777">
        <w:tc>
          <w:tcPr>
            <w:tcW w:w="2970" w:type="dxa"/>
          </w:tcPr>
          <w:p w14:paraId="1E0AB1C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w:t>
            </w:r>
            <w:r>
              <w:rPr>
                <w:rFonts w:ascii="Verdana" w:hAnsi="Verdana" w:cs="Tahoma"/>
                <w:sz w:val="20"/>
                <w:szCs w:val="20"/>
              </w:rPr>
              <w:t>”</w:t>
            </w:r>
          </w:p>
        </w:tc>
        <w:tc>
          <w:tcPr>
            <w:tcW w:w="6316" w:type="dxa"/>
          </w:tcPr>
          <w:p w14:paraId="1B52D133" w14:textId="3738E62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debêntures simples, não conversíveis em ações, da espécie com garantia real, em duas séries, da </w:t>
            </w:r>
            <w:r w:rsidR="00F223CF">
              <w:rPr>
                <w:rFonts w:ascii="Verdana" w:hAnsi="Verdana" w:cs="Tahoma"/>
                <w:sz w:val="20"/>
                <w:szCs w:val="20"/>
              </w:rPr>
              <w:t>2</w:t>
            </w:r>
            <w:r>
              <w:rPr>
                <w:rFonts w:ascii="Verdana" w:hAnsi="Verdana" w:cs="Tahoma"/>
                <w:sz w:val="20"/>
                <w:szCs w:val="20"/>
              </w:rPr>
              <w:t>ª (</w:t>
            </w:r>
            <w:r w:rsidR="00F223CF">
              <w:rPr>
                <w:rFonts w:ascii="Verdana" w:hAnsi="Verdana" w:cs="Tahoma"/>
                <w:sz w:val="20"/>
                <w:szCs w:val="20"/>
              </w:rPr>
              <w:t>segunda</w:t>
            </w:r>
            <w:r>
              <w:rPr>
                <w:rFonts w:ascii="Verdana" w:hAnsi="Verdana" w:cs="Tahoma"/>
                <w:sz w:val="20"/>
                <w:szCs w:val="20"/>
              </w:rPr>
              <w:t xml:space="preserve">) emissão da Emissora, considerando as Debêntures da Primeira Série e as Debêntures da Segunda Série em conjunto. </w:t>
            </w:r>
          </w:p>
        </w:tc>
      </w:tr>
      <w:tr w:rsidR="00EB5CDB" w14:paraId="69ADF9DB" w14:textId="77777777">
        <w:tc>
          <w:tcPr>
            <w:tcW w:w="2970" w:type="dxa"/>
          </w:tcPr>
          <w:p w14:paraId="7DABCAD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em Circulação</w:t>
            </w:r>
            <w:r>
              <w:rPr>
                <w:rFonts w:ascii="Verdana" w:hAnsi="Verdana" w:cs="Tahoma"/>
                <w:sz w:val="20"/>
                <w:szCs w:val="20"/>
              </w:rPr>
              <w:t>”</w:t>
            </w:r>
          </w:p>
        </w:tc>
        <w:tc>
          <w:tcPr>
            <w:tcW w:w="6316" w:type="dxa"/>
          </w:tcPr>
          <w:p w14:paraId="4291AD3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p>
        </w:tc>
      </w:tr>
      <w:tr w:rsidR="00EB5CDB" w14:paraId="71496362" w14:textId="77777777">
        <w:tc>
          <w:tcPr>
            <w:tcW w:w="2970" w:type="dxa"/>
          </w:tcPr>
          <w:p w14:paraId="5257243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Primeira Série</w:t>
            </w:r>
            <w:r>
              <w:rPr>
                <w:rFonts w:ascii="Verdana" w:hAnsi="Verdana" w:cs="Tahoma"/>
                <w:sz w:val="20"/>
                <w:szCs w:val="20"/>
              </w:rPr>
              <w:t>”</w:t>
            </w:r>
          </w:p>
        </w:tc>
        <w:tc>
          <w:tcPr>
            <w:tcW w:w="6316" w:type="dxa"/>
          </w:tcPr>
          <w:p w14:paraId="7415542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860F88" w14:textId="77777777">
        <w:tc>
          <w:tcPr>
            <w:tcW w:w="2970" w:type="dxa"/>
          </w:tcPr>
          <w:p w14:paraId="277687E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Debêntures da Segunda Série</w:t>
            </w:r>
            <w:r>
              <w:rPr>
                <w:rFonts w:ascii="Verdana" w:hAnsi="Verdana" w:cs="Tahoma"/>
                <w:sz w:val="20"/>
                <w:szCs w:val="20"/>
              </w:rPr>
              <w:t>”</w:t>
            </w:r>
          </w:p>
        </w:tc>
        <w:tc>
          <w:tcPr>
            <w:tcW w:w="6316" w:type="dxa"/>
          </w:tcPr>
          <w:p w14:paraId="0949B3D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8C7B381" w14:textId="77777777">
        <w:tc>
          <w:tcPr>
            <w:tcW w:w="2970" w:type="dxa"/>
          </w:tcPr>
          <w:p w14:paraId="110EC3F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Debenturistas</w:t>
            </w:r>
            <w:r>
              <w:rPr>
                <w:rFonts w:ascii="Verdana" w:hAnsi="Verdana" w:cs="Tahoma"/>
                <w:sz w:val="20"/>
                <w:szCs w:val="20"/>
              </w:rPr>
              <w:t>”</w:t>
            </w:r>
          </w:p>
        </w:tc>
        <w:tc>
          <w:tcPr>
            <w:tcW w:w="6316" w:type="dxa"/>
          </w:tcPr>
          <w:p w14:paraId="7E811320"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Os titulares das Debêntures.</w:t>
            </w:r>
          </w:p>
        </w:tc>
      </w:tr>
      <w:tr w:rsidR="00EB5CDB" w14:paraId="68342B90" w14:textId="77777777">
        <w:tc>
          <w:tcPr>
            <w:tcW w:w="2970" w:type="dxa"/>
          </w:tcPr>
          <w:p w14:paraId="603E1F8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Despesas</w:t>
            </w:r>
            <w:r>
              <w:rPr>
                <w:rFonts w:ascii="Verdana" w:hAnsi="Verdana" w:cs="Tahoma"/>
                <w:sz w:val="20"/>
                <w:szCs w:val="20"/>
              </w:rPr>
              <w:t>”</w:t>
            </w:r>
          </w:p>
        </w:tc>
        <w:tc>
          <w:tcPr>
            <w:tcW w:w="6316" w:type="dxa"/>
          </w:tcPr>
          <w:p w14:paraId="4A4C3258" w14:textId="0FFEE105"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Em conjunto, as seguintes despesas relacionadas à Emissão, que serão pagas com Recursos Exclusivos, nos termos da Ordem de Alocação dos Recursos: </w:t>
            </w:r>
            <w:r>
              <w:rPr>
                <w:rFonts w:ascii="Verdana" w:hAnsi="Verdana" w:cs="Tahoma"/>
                <w:b/>
                <w:sz w:val="20"/>
                <w:szCs w:val="20"/>
              </w:rPr>
              <w:t>(i</w:t>
            </w:r>
            <w:r w:rsidRPr="00950EAF">
              <w:rPr>
                <w:rFonts w:ascii="Verdana" w:hAnsi="Verdana" w:cs="Tahoma"/>
                <w:b/>
                <w:sz w:val="20"/>
                <w:szCs w:val="20"/>
              </w:rPr>
              <w:t>)</w:t>
            </w:r>
            <w:r w:rsidRPr="00950EAF">
              <w:rPr>
                <w:rFonts w:ascii="Verdana" w:hAnsi="Verdana" w:cs="Tahoma"/>
                <w:sz w:val="20"/>
                <w:szCs w:val="20"/>
              </w:rPr>
              <w:t xml:space="preserve"> os valores devidos à </w:t>
            </w:r>
            <w:r w:rsidR="00D06DE5" w:rsidRPr="00950EAF">
              <w:rPr>
                <w:rFonts w:ascii="Verdana" w:hAnsi="Verdana" w:cs="Tahoma"/>
                <w:sz w:val="20"/>
                <w:szCs w:val="20"/>
              </w:rPr>
              <w:t>Gyramais</w:t>
            </w:r>
            <w:r w:rsidR="00FD5B9A" w:rsidRPr="00950EAF">
              <w:rPr>
                <w:rFonts w:ascii="Verdana" w:hAnsi="Verdana" w:cs="Tahoma"/>
                <w:sz w:val="20"/>
                <w:szCs w:val="20"/>
              </w:rPr>
              <w:t xml:space="preserve"> Tecnologia S.A.</w:t>
            </w:r>
            <w:r w:rsidRPr="00950EAF">
              <w:rPr>
                <w:rFonts w:ascii="Verdana" w:hAnsi="Verdana" w:cs="Tahoma"/>
                <w:sz w:val="20"/>
                <w:szCs w:val="20"/>
              </w:rPr>
              <w:t xml:space="preserve">, equivalentes a até </w:t>
            </w:r>
            <w:r w:rsidR="00A870AB">
              <w:rPr>
                <w:rFonts w:ascii="Verdana" w:hAnsi="Verdana" w:cs="Tahoma"/>
                <w:sz w:val="20"/>
                <w:szCs w:val="20"/>
              </w:rPr>
              <w:t>2,50</w:t>
            </w:r>
            <w:r w:rsidRPr="00950EAF">
              <w:rPr>
                <w:rFonts w:ascii="Verdana" w:hAnsi="Verdana" w:cs="Tahoma"/>
                <w:sz w:val="20"/>
                <w:szCs w:val="20"/>
              </w:rPr>
              <w:t>% (</w:t>
            </w:r>
            <w:r w:rsidR="00A870AB">
              <w:rPr>
                <w:rFonts w:ascii="Verdana" w:hAnsi="Verdana" w:cs="Tahoma"/>
                <w:sz w:val="20"/>
                <w:szCs w:val="20"/>
              </w:rPr>
              <w:t>dois inteiros e cinquenta centésimos por cento</w:t>
            </w:r>
            <w:r w:rsidRPr="00950EAF">
              <w:rPr>
                <w:rFonts w:ascii="Verdana" w:hAnsi="Verdana" w:cs="Tahoma"/>
                <w:sz w:val="20"/>
                <w:szCs w:val="20"/>
              </w:rPr>
              <w:t xml:space="preserve">) da somatória dos recebimentos dos Direitos Creditórios Vinculados, a título de pagamento pelos serviços por ela prestados, observado os termos do Contrato de Cobrança; </w:t>
            </w:r>
            <w:r w:rsidRPr="00950EAF">
              <w:rPr>
                <w:rFonts w:ascii="Verdana" w:hAnsi="Verdana" w:cs="Tahoma"/>
                <w:b/>
                <w:sz w:val="20"/>
                <w:szCs w:val="20"/>
              </w:rPr>
              <w:t>(ii)</w:t>
            </w:r>
            <w:r w:rsidRPr="00950EAF">
              <w:rPr>
                <w:rFonts w:ascii="Verdana" w:hAnsi="Verdana" w:cs="Tahoma"/>
                <w:sz w:val="20"/>
                <w:szCs w:val="20"/>
              </w:rPr>
              <w:t xml:space="preserve"> os valores devidos à VERT Consultoria e Assessoria Financeira LTDA., acima qualificada, conforme previsto no Contrato de Consultoria Financeira </w:t>
            </w:r>
            <w:r w:rsidRPr="00950EAF">
              <w:rPr>
                <w:rFonts w:ascii="Verdana" w:hAnsi="Verdana" w:cs="Tahoma"/>
                <w:b/>
                <w:sz w:val="20"/>
                <w:szCs w:val="20"/>
              </w:rPr>
              <w:t>(iii)</w:t>
            </w:r>
            <w:r w:rsidRPr="00950EAF">
              <w:rPr>
                <w:rFonts w:ascii="Verdana" w:hAnsi="Verdana" w:cs="Tahoma"/>
                <w:sz w:val="20"/>
                <w:szCs w:val="20"/>
              </w:rPr>
              <w:t xml:space="preserve"> os valores devidos em razão da contratação dos prestadores de serviços da Emissão, incluindo as despesas com o Agente Fiduciário, o Banco Liquidante e o Coordenador Líder; </w:t>
            </w:r>
            <w:r w:rsidRPr="00950EAF">
              <w:rPr>
                <w:rFonts w:ascii="Verdana" w:hAnsi="Verdana" w:cs="Tahoma"/>
                <w:b/>
                <w:sz w:val="20"/>
                <w:szCs w:val="20"/>
              </w:rPr>
              <w:t>(iv)</w:t>
            </w:r>
            <w:r w:rsidRPr="00950EAF">
              <w:rPr>
                <w:rFonts w:ascii="Verdana" w:hAnsi="Verdana" w:cs="Tahoma"/>
                <w:sz w:val="20"/>
                <w:szCs w:val="20"/>
              </w:rPr>
              <w:t xml:space="preserve"> os valores devidos ao </w:t>
            </w:r>
            <w:r w:rsidR="00435E3F">
              <w:rPr>
                <w:rFonts w:ascii="Verdana" w:hAnsi="Verdana" w:cs="Tahoma"/>
                <w:sz w:val="20"/>
                <w:szCs w:val="20"/>
              </w:rPr>
              <w:t>Agente de Cobrança</w:t>
            </w:r>
            <w:r w:rsidRPr="00950EAF">
              <w:rPr>
                <w:rFonts w:ascii="Verdana" w:hAnsi="Verdana" w:cs="Tahoma"/>
                <w:sz w:val="20"/>
                <w:szCs w:val="20"/>
              </w:rPr>
              <w:t xml:space="preserve">, contratado para realizar o recebimento e o pagamento dos valores decorrentes de direitos pecuniários relacionados aos Direitos Creditórios Vinculados; </w:t>
            </w:r>
            <w:r w:rsidRPr="00950EAF">
              <w:rPr>
                <w:rFonts w:ascii="Verdana" w:hAnsi="Verdana" w:cs="Tahoma"/>
                <w:b/>
                <w:sz w:val="20"/>
                <w:szCs w:val="20"/>
              </w:rPr>
              <w:t>(v) </w:t>
            </w:r>
            <w:r w:rsidRPr="00950EAF">
              <w:rPr>
                <w:rFonts w:ascii="Verdana" w:hAnsi="Verdana" w:cs="Tahoma"/>
                <w:sz w:val="20"/>
                <w:szCs w:val="20"/>
              </w:rPr>
              <w:t xml:space="preserve">o valor de depósito das Debêntures na B3, conforme aplicável; </w:t>
            </w:r>
            <w:r w:rsidRPr="00950EAF">
              <w:rPr>
                <w:rFonts w:ascii="Verdana" w:hAnsi="Verdana" w:cs="Tahoma"/>
                <w:b/>
                <w:sz w:val="20"/>
                <w:szCs w:val="20"/>
              </w:rPr>
              <w:t>(vi)</w:t>
            </w:r>
            <w:r w:rsidRPr="00950EAF">
              <w:rPr>
                <w:rFonts w:ascii="Verdana" w:hAnsi="Verdana" w:cs="Tahoma"/>
                <w:sz w:val="20"/>
                <w:szCs w:val="20"/>
              </w:rPr>
              <w:t xml:space="preserve"> o valor do registro da Garantia e seus aditamentos nos cartórios de títulos e documentos competentes e na B3; </w:t>
            </w:r>
            <w:r w:rsidRPr="00950EAF">
              <w:rPr>
                <w:rFonts w:ascii="Verdana" w:hAnsi="Verdana" w:cs="Tahoma"/>
                <w:b/>
                <w:sz w:val="20"/>
                <w:szCs w:val="20"/>
              </w:rPr>
              <w:t>(vii)</w:t>
            </w:r>
            <w:r w:rsidRPr="00950EAF">
              <w:rPr>
                <w:rFonts w:ascii="Verdana" w:hAnsi="Verdana" w:cs="Tahoma"/>
                <w:sz w:val="20"/>
                <w:szCs w:val="20"/>
              </w:rPr>
              <w:t> os eventuais</w:t>
            </w:r>
            <w:r>
              <w:rPr>
                <w:rFonts w:ascii="Verdana" w:hAnsi="Verdana" w:cs="Tahoma"/>
                <w:sz w:val="20"/>
                <w:szCs w:val="20"/>
              </w:rPr>
              <w:t xml:space="preserve"> tributos incidentes sobre os valores recebidos pela Emissora a título de juros dos Direitos Creditórios Vinculados; </w:t>
            </w:r>
            <w:r>
              <w:rPr>
                <w:rFonts w:ascii="Verdana" w:hAnsi="Verdana" w:cs="Tahoma"/>
                <w:b/>
                <w:sz w:val="20"/>
                <w:szCs w:val="20"/>
              </w:rPr>
              <w:t>(viii)</w:t>
            </w:r>
            <w:r>
              <w:rPr>
                <w:rFonts w:ascii="Verdana" w:hAnsi="Verdana" w:cs="Tahoma"/>
                <w:sz w:val="20"/>
                <w:szCs w:val="20"/>
              </w:rPr>
              <w:t xml:space="preserve"> os valores devidos em razão da contratação dos auditores e da contabilidade da Emissora; </w:t>
            </w:r>
            <w:r>
              <w:rPr>
                <w:rFonts w:ascii="Verdana" w:hAnsi="Verdana" w:cs="Tahoma"/>
                <w:b/>
                <w:sz w:val="20"/>
                <w:szCs w:val="20"/>
              </w:rPr>
              <w:t>(ix)</w:t>
            </w:r>
            <w:r>
              <w:rPr>
                <w:rFonts w:ascii="Verdana" w:hAnsi="Verdana" w:cs="Tahoma"/>
                <w:sz w:val="20"/>
                <w:szCs w:val="20"/>
              </w:rPr>
              <w:t xml:space="preserve"> a remuneração devida à instituição financeira em que se encontre aberta a Conta Exclusiva; </w:t>
            </w:r>
            <w:r>
              <w:rPr>
                <w:rFonts w:ascii="Verdana" w:hAnsi="Verdana" w:cs="Tahoma"/>
                <w:b/>
                <w:sz w:val="20"/>
                <w:szCs w:val="20"/>
              </w:rPr>
              <w:t>(x)</w:t>
            </w:r>
            <w:r>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Pr>
                <w:rFonts w:ascii="Verdana" w:hAnsi="Verdana" w:cs="Tahoma"/>
                <w:b/>
                <w:sz w:val="20"/>
                <w:szCs w:val="20"/>
              </w:rPr>
              <w:t>(xi)</w:t>
            </w:r>
            <w:r>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Pr>
                <w:rFonts w:ascii="Verdana" w:hAnsi="Verdana" w:cs="Tahoma"/>
                <w:b/>
                <w:sz w:val="20"/>
                <w:szCs w:val="20"/>
              </w:rPr>
              <w:t>(xii)</w:t>
            </w:r>
            <w:r>
              <w:rPr>
                <w:rFonts w:ascii="Verdana" w:hAnsi="Verdana" w:cs="Tahoma"/>
                <w:sz w:val="20"/>
                <w:szCs w:val="20"/>
              </w:rPr>
              <w:t xml:space="preserve"> eventuais despesas com registros perante órgãos de registro do comércio e publicação de documentação de convocação e societária da Emissora, desde que relacionada às Debêntures; </w:t>
            </w:r>
            <w:r>
              <w:rPr>
                <w:rFonts w:ascii="Verdana" w:hAnsi="Verdana" w:cs="Tahoma"/>
                <w:b/>
                <w:sz w:val="20"/>
                <w:szCs w:val="20"/>
              </w:rPr>
              <w:t>(xiii)</w:t>
            </w:r>
            <w:r>
              <w:rPr>
                <w:rFonts w:ascii="Verdana" w:hAnsi="Verdana" w:cs="Tahoma"/>
                <w:sz w:val="20"/>
                <w:szCs w:val="20"/>
              </w:rPr>
              <w:t xml:space="preserve"> </w:t>
            </w:r>
            <w:r w:rsidR="00A870AB">
              <w:rPr>
                <w:rFonts w:ascii="Verdana" w:hAnsi="Verdana" w:cs="Tahoma"/>
                <w:sz w:val="20"/>
                <w:szCs w:val="20"/>
              </w:rPr>
              <w:t>d</w:t>
            </w:r>
            <w:r>
              <w:rPr>
                <w:rFonts w:ascii="Verdana" w:hAnsi="Verdana" w:cs="Tahoma"/>
                <w:sz w:val="20"/>
                <w:szCs w:val="20"/>
              </w:rPr>
              <w:t xml:space="preserve">espesas necessárias à realização de Assembleias Gerais dos Debenturistas, incluindo despesas com sua convocação; </w:t>
            </w:r>
            <w:r w:rsidR="00A870AB" w:rsidRPr="008D6F6D">
              <w:rPr>
                <w:rFonts w:ascii="Verdana" w:hAnsi="Verdana" w:cs="Tahoma"/>
                <w:b/>
                <w:bCs/>
                <w:sz w:val="20"/>
                <w:szCs w:val="20"/>
              </w:rPr>
              <w:t>(xiv)</w:t>
            </w:r>
            <w:r w:rsidR="00A870AB" w:rsidRPr="00A870AB">
              <w:rPr>
                <w:rFonts w:ascii="Verdana" w:hAnsi="Verdana" w:cs="Tahoma"/>
                <w:sz w:val="20"/>
                <w:szCs w:val="20"/>
              </w:rPr>
              <w:tab/>
              <w:t>os valores devidos pela Emissora à CVM em razão da manutenção do seu registro de companhia aberta</w:t>
            </w:r>
            <w:r w:rsidR="00A870AB">
              <w:rPr>
                <w:rFonts w:ascii="Verdana" w:hAnsi="Verdana" w:cs="Tahoma"/>
                <w:sz w:val="20"/>
                <w:szCs w:val="20"/>
              </w:rPr>
              <w:t xml:space="preserve">; </w:t>
            </w:r>
            <w:r w:rsidR="00A870AB" w:rsidRPr="008D6F6D">
              <w:rPr>
                <w:rFonts w:ascii="Verdana" w:hAnsi="Verdana" w:cs="Tahoma"/>
                <w:b/>
                <w:bCs/>
                <w:sz w:val="20"/>
                <w:szCs w:val="20"/>
              </w:rPr>
              <w:t>(xv)</w:t>
            </w:r>
            <w:r w:rsidR="00A870AB">
              <w:rPr>
                <w:rFonts w:ascii="Verdana" w:hAnsi="Verdana" w:cs="Tahoma"/>
                <w:sz w:val="20"/>
                <w:szCs w:val="20"/>
              </w:rPr>
              <w:t xml:space="preserve"> </w:t>
            </w:r>
            <w:r w:rsidR="00A870AB" w:rsidRPr="00A870AB">
              <w:rPr>
                <w:rFonts w:ascii="Verdana" w:hAnsi="Verdana" w:cs="Tahoma"/>
                <w:sz w:val="20"/>
                <w:szCs w:val="20"/>
              </w:rPr>
              <w:t xml:space="preserve">eventuais taxas devida à ANBIMA no âmbito da </w:t>
            </w:r>
            <w:r w:rsidR="00A870AB">
              <w:rPr>
                <w:rFonts w:ascii="Verdana" w:hAnsi="Verdana" w:cs="Tahoma"/>
                <w:sz w:val="20"/>
                <w:szCs w:val="20"/>
              </w:rPr>
              <w:t>E</w:t>
            </w:r>
            <w:r w:rsidR="00A870AB" w:rsidRPr="00A870AB">
              <w:rPr>
                <w:rFonts w:ascii="Verdana" w:hAnsi="Verdana" w:cs="Tahoma"/>
                <w:sz w:val="20"/>
                <w:szCs w:val="20"/>
              </w:rPr>
              <w:t xml:space="preserve">missão </w:t>
            </w:r>
            <w:r>
              <w:rPr>
                <w:rFonts w:ascii="Verdana" w:hAnsi="Verdana" w:cs="Tahoma"/>
                <w:sz w:val="20"/>
                <w:szCs w:val="20"/>
              </w:rPr>
              <w:t xml:space="preserve">e </w:t>
            </w:r>
            <w:r>
              <w:rPr>
                <w:rFonts w:ascii="Verdana" w:hAnsi="Verdana" w:cs="Tahoma"/>
                <w:b/>
                <w:sz w:val="20"/>
                <w:szCs w:val="20"/>
              </w:rPr>
              <w:t>(xiv)</w:t>
            </w:r>
            <w:r>
              <w:rPr>
                <w:rFonts w:ascii="Verdana" w:hAnsi="Verdana" w:cs="Tahoma"/>
                <w:sz w:val="20"/>
                <w:szCs w:val="20"/>
              </w:rPr>
              <w:t xml:space="preserve"> quaisquer outros honorários, custos e despesas incorridos pela Emissora no âmbito da Emissão.</w:t>
            </w:r>
          </w:p>
        </w:tc>
      </w:tr>
      <w:tr w:rsidR="00EB5CDB" w14:paraId="247E8057" w14:textId="77777777">
        <w:tc>
          <w:tcPr>
            <w:tcW w:w="2970" w:type="dxa"/>
          </w:tcPr>
          <w:p w14:paraId="34782C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Dia Útil</w:t>
            </w:r>
            <w:r>
              <w:rPr>
                <w:rFonts w:ascii="Verdana" w:hAnsi="Verdana" w:cs="Tahoma"/>
                <w:sz w:val="20"/>
                <w:szCs w:val="20"/>
              </w:rPr>
              <w:t>”</w:t>
            </w:r>
          </w:p>
        </w:tc>
        <w:tc>
          <w:tcPr>
            <w:tcW w:w="6316" w:type="dxa"/>
          </w:tcPr>
          <w:p w14:paraId="01408D6F" w14:textId="77777777" w:rsidR="00EB5CDB" w:rsidRDefault="008E55E6">
            <w:pPr>
              <w:spacing w:before="120" w:after="120" w:line="280" w:lineRule="exact"/>
              <w:jc w:val="both"/>
              <w:rPr>
                <w:rFonts w:ascii="Verdana" w:eastAsia="Arial Unicode MS" w:hAnsi="Verdana" w:cs="Tahoma"/>
                <w:sz w:val="20"/>
                <w:szCs w:val="20"/>
              </w:rPr>
            </w:pPr>
            <w:r>
              <w:rPr>
                <w:rFonts w:ascii="Verdana" w:eastAsia="MS Mincho" w:hAnsi="Verdana" w:cs="Tahoma"/>
                <w:sz w:val="20"/>
                <w:szCs w:val="20"/>
              </w:rPr>
              <w:t>Qualquer dia exceto feriados declarados nacionais, sábados ou domingos.</w:t>
            </w:r>
          </w:p>
        </w:tc>
      </w:tr>
      <w:tr w:rsidR="00EB5CDB" w14:paraId="405DF29E" w14:textId="77777777">
        <w:tc>
          <w:tcPr>
            <w:tcW w:w="2970" w:type="dxa"/>
          </w:tcPr>
          <w:p w14:paraId="240E591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Alienados</w:t>
            </w:r>
            <w:r>
              <w:rPr>
                <w:rFonts w:ascii="Verdana" w:hAnsi="Verdana" w:cs="Tahoma"/>
                <w:sz w:val="20"/>
                <w:szCs w:val="20"/>
              </w:rPr>
              <w:t>”</w:t>
            </w:r>
          </w:p>
        </w:tc>
        <w:tc>
          <w:tcPr>
            <w:tcW w:w="6316" w:type="dxa"/>
          </w:tcPr>
          <w:p w14:paraId="557D3B6F" w14:textId="77777777" w:rsidR="00EB5CDB" w:rsidRDefault="008E55E6">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totalidade </w:t>
            </w:r>
            <w:r>
              <w:rPr>
                <w:rFonts w:ascii="Verdana" w:eastAsia="MS Mincho" w:hAnsi="Verdana" w:cs="Tahoma"/>
                <w:b/>
                <w:sz w:val="20"/>
                <w:szCs w:val="20"/>
              </w:rPr>
              <w:t>(i)</w:t>
            </w:r>
            <w:r>
              <w:rPr>
                <w:rFonts w:ascii="Verdana" w:eastAsia="MS Mincho" w:hAnsi="Verdana" w:cs="Tahoma"/>
                <w:sz w:val="20"/>
                <w:szCs w:val="20"/>
              </w:rPr>
              <w:t xml:space="preserve"> dos Direitos Creditórios Vinculados, </w:t>
            </w:r>
            <w:r>
              <w:rPr>
                <w:rFonts w:ascii="Verdana" w:eastAsia="MS Mincho" w:hAnsi="Verdana" w:cs="Tahoma"/>
                <w:b/>
                <w:sz w:val="20"/>
                <w:szCs w:val="20"/>
              </w:rPr>
              <w:t>(ii)</w:t>
            </w:r>
            <w:r>
              <w:rPr>
                <w:rFonts w:ascii="Verdana" w:eastAsia="MS Mincho" w:hAnsi="Verdana" w:cs="Tahoma"/>
                <w:sz w:val="20"/>
                <w:szCs w:val="20"/>
              </w:rPr>
              <w:t xml:space="preserve"> dos direitos creditórios decorrentes da Conta Exclusiva, e </w:t>
            </w:r>
            <w:r>
              <w:rPr>
                <w:rFonts w:ascii="Verdana" w:eastAsia="MS Mincho" w:hAnsi="Verdana" w:cs="Tahoma"/>
                <w:b/>
                <w:sz w:val="20"/>
                <w:szCs w:val="20"/>
              </w:rPr>
              <w:t>(iii)</w:t>
            </w:r>
            <w:r>
              <w:rPr>
                <w:rFonts w:ascii="Verdana" w:eastAsia="MS Mincho" w:hAnsi="Verdana" w:cs="Tahoma"/>
                <w:sz w:val="20"/>
                <w:szCs w:val="20"/>
              </w:rPr>
              <w:t xml:space="preserve"> dos direitos creditórios decorrentes dos Investimentos Permitidos.</w:t>
            </w:r>
          </w:p>
        </w:tc>
      </w:tr>
      <w:tr w:rsidR="00EB5CDB" w14:paraId="02A6049F" w14:textId="77777777">
        <w:tc>
          <w:tcPr>
            <w:tcW w:w="2970" w:type="dxa"/>
          </w:tcPr>
          <w:p w14:paraId="6F317F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Direitos Creditórios Vinculados</w:t>
            </w:r>
            <w:r>
              <w:rPr>
                <w:rFonts w:ascii="Verdana" w:hAnsi="Verdana" w:cs="Tahoma"/>
                <w:sz w:val="20"/>
                <w:szCs w:val="20"/>
              </w:rPr>
              <w:t>”</w:t>
            </w:r>
          </w:p>
        </w:tc>
        <w:tc>
          <w:tcPr>
            <w:tcW w:w="6316" w:type="dxa"/>
          </w:tcPr>
          <w:p w14:paraId="58E5CAE8" w14:textId="77777777" w:rsidR="00EB5CDB" w:rsidRDefault="008E55E6">
            <w:pPr>
              <w:spacing w:before="120" w:after="120" w:line="280" w:lineRule="exact"/>
              <w:jc w:val="both"/>
              <w:rPr>
                <w:rFonts w:ascii="Verdana" w:eastAsia="MS Mincho" w:hAnsi="Verdana" w:cs="Tahoma"/>
                <w:sz w:val="20"/>
                <w:szCs w:val="20"/>
              </w:rPr>
            </w:pPr>
            <w:r>
              <w:rPr>
                <w:rFonts w:ascii="Verdana" w:eastAsia="MS Mincho" w:hAnsi="Verdana" w:cs="Tahoma"/>
                <w:sz w:val="20"/>
                <w:szCs w:val="20"/>
              </w:rPr>
              <w:t>As CCB efetivamente alienadas e endossadas para a Emissora e os créditos que delas decorrem, e vinculados à presente Emissão, conforme listadas no Anexo II.</w:t>
            </w:r>
          </w:p>
        </w:tc>
      </w:tr>
      <w:tr w:rsidR="00EB5CDB" w14:paraId="66F3575F" w14:textId="77777777">
        <w:tc>
          <w:tcPr>
            <w:tcW w:w="2970" w:type="dxa"/>
          </w:tcPr>
          <w:p w14:paraId="360BEF2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DOESP</w:t>
            </w:r>
            <w:r>
              <w:rPr>
                <w:rFonts w:ascii="Verdana" w:hAnsi="Verdana" w:cs="Tahoma"/>
                <w:sz w:val="20"/>
                <w:szCs w:val="20"/>
              </w:rPr>
              <w:t>”</w:t>
            </w:r>
          </w:p>
        </w:tc>
        <w:tc>
          <w:tcPr>
            <w:tcW w:w="6316" w:type="dxa"/>
          </w:tcPr>
          <w:p w14:paraId="02E359A9"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Diário Oficial do Estado de São Paulo.</w:t>
            </w:r>
          </w:p>
        </w:tc>
      </w:tr>
      <w:tr w:rsidR="00EB5CDB" w14:paraId="6310EB16" w14:textId="77777777">
        <w:tc>
          <w:tcPr>
            <w:tcW w:w="2970" w:type="dxa"/>
          </w:tcPr>
          <w:p w14:paraId="206BD373"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Efeito Adverso Relevante</w:t>
            </w:r>
            <w:r>
              <w:rPr>
                <w:rFonts w:ascii="Verdana" w:hAnsi="Verdana" w:cs="Tahoma"/>
                <w:sz w:val="20"/>
                <w:szCs w:val="20"/>
              </w:rPr>
              <w:t>”</w:t>
            </w:r>
          </w:p>
        </w:tc>
        <w:tc>
          <w:tcPr>
            <w:tcW w:w="6316" w:type="dxa"/>
          </w:tcPr>
          <w:p w14:paraId="639B978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Qualquer circunstância ou fato, atual ou contingente, alteração ou efeito sobre a Emissora que, em conjunto, a critério fundamentado e de boa-fé dos Debenturistas reunidos em Assembleia Geral</w:t>
            </w:r>
            <w:r>
              <w:rPr>
                <w:rFonts w:ascii="Verdana" w:hAnsi="Verdana"/>
                <w:sz w:val="20"/>
                <w:szCs w:val="20"/>
              </w:rPr>
              <w:t xml:space="preserve"> </w:t>
            </w:r>
            <w:r>
              <w:rPr>
                <w:rFonts w:ascii="Verdana" w:hAnsi="Verdana" w:cs="Tahoma"/>
                <w:sz w:val="20"/>
                <w:szCs w:val="20"/>
              </w:rPr>
              <w:t>de Debenturistas, modifique adversamente a condição econômica, financeira, jurídica ou de qualquer outra natureza da Emissora, de modo a afetar a capacidade da Emissora de cumprir as suas obrigações decorrentes dos Documentos da Emissão, da Emissão e/ou da Oferta Restrita.</w:t>
            </w:r>
          </w:p>
        </w:tc>
      </w:tr>
      <w:tr w:rsidR="00EB5CDB" w14:paraId="7D1C6E09" w14:textId="77777777">
        <w:tc>
          <w:tcPr>
            <w:tcW w:w="2970" w:type="dxa"/>
          </w:tcPr>
          <w:p w14:paraId="1B178B0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Emissão</w:t>
            </w:r>
            <w:r>
              <w:rPr>
                <w:rFonts w:ascii="Verdana" w:hAnsi="Verdana" w:cs="Tahoma"/>
                <w:sz w:val="20"/>
                <w:szCs w:val="20"/>
              </w:rPr>
              <w:t>”</w:t>
            </w:r>
          </w:p>
        </w:tc>
        <w:tc>
          <w:tcPr>
            <w:tcW w:w="6316" w:type="dxa"/>
          </w:tcPr>
          <w:p w14:paraId="713E4650" w14:textId="77276392"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presente </w:t>
            </w:r>
            <w:r w:rsidR="00F94F61">
              <w:rPr>
                <w:rFonts w:ascii="Verdana" w:eastAsia="Arial Unicode MS" w:hAnsi="Verdana" w:cs="Tahoma"/>
                <w:sz w:val="20"/>
                <w:szCs w:val="20"/>
              </w:rPr>
              <w:t>2</w:t>
            </w:r>
            <w:r>
              <w:rPr>
                <w:rFonts w:ascii="Verdana" w:eastAsia="Arial Unicode MS" w:hAnsi="Verdana" w:cs="Tahoma"/>
                <w:sz w:val="20"/>
                <w:szCs w:val="20"/>
              </w:rPr>
              <w:t>ª (</w:t>
            </w:r>
            <w:r w:rsidR="00F94F61">
              <w:rPr>
                <w:rFonts w:ascii="Verdana" w:eastAsia="Arial Unicode MS" w:hAnsi="Verdana" w:cs="Tahoma"/>
                <w:sz w:val="20"/>
                <w:szCs w:val="20"/>
              </w:rPr>
              <w:t>segunda</w:t>
            </w:r>
            <w:r>
              <w:rPr>
                <w:rFonts w:ascii="Verdana" w:eastAsia="Arial Unicode MS" w:hAnsi="Verdana" w:cs="Tahoma"/>
                <w:sz w:val="20"/>
                <w:szCs w:val="20"/>
              </w:rPr>
              <w:t xml:space="preserve">) emissão das Debêntures da Emissora, em duas séries. </w:t>
            </w:r>
          </w:p>
        </w:tc>
      </w:tr>
      <w:tr w:rsidR="00EB5CDB" w14:paraId="0E9EEB4E" w14:textId="77777777">
        <w:tc>
          <w:tcPr>
            <w:tcW w:w="2970" w:type="dxa"/>
          </w:tcPr>
          <w:p w14:paraId="46B63C9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Emissora</w:t>
            </w:r>
            <w:r>
              <w:rPr>
                <w:rFonts w:ascii="Verdana" w:hAnsi="Verdana" w:cs="Tahoma"/>
                <w:sz w:val="20"/>
                <w:szCs w:val="20"/>
              </w:rPr>
              <w:t>”</w:t>
            </w:r>
          </w:p>
        </w:tc>
        <w:tc>
          <w:tcPr>
            <w:tcW w:w="6316" w:type="dxa"/>
          </w:tcPr>
          <w:p w14:paraId="583F474B" w14:textId="400B4592"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A Companhia Securitizadora de Créditos Financeiros </w:t>
            </w:r>
            <w:r w:rsidR="00312DF9">
              <w:rPr>
                <w:rFonts w:ascii="Verdana" w:eastAsia="Arial Unicode MS" w:hAnsi="Verdana" w:cs="Tahoma"/>
                <w:sz w:val="20"/>
                <w:szCs w:val="20"/>
              </w:rPr>
              <w:t>VERT</w:t>
            </w:r>
            <w:r>
              <w:rPr>
                <w:rFonts w:ascii="Verdana" w:eastAsia="Arial Unicode MS" w:hAnsi="Verdana" w:cs="Tahoma"/>
                <w:sz w:val="20"/>
                <w:szCs w:val="20"/>
              </w:rPr>
              <w:t>-</w:t>
            </w:r>
            <w:r w:rsidR="00F94F61">
              <w:rPr>
                <w:rFonts w:ascii="Verdana" w:eastAsia="Arial Unicode MS" w:hAnsi="Verdana" w:cs="Tahoma"/>
                <w:sz w:val="20"/>
                <w:szCs w:val="20"/>
              </w:rPr>
              <w:t>Gyra</w:t>
            </w:r>
            <w:r>
              <w:rPr>
                <w:rFonts w:ascii="Verdana" w:eastAsia="Arial Unicode MS" w:hAnsi="Verdana" w:cs="Tahoma"/>
                <w:sz w:val="20"/>
                <w:szCs w:val="20"/>
              </w:rPr>
              <w:t>, qualificada no preâmbulo desta Escritura de Emissão.</w:t>
            </w:r>
          </w:p>
        </w:tc>
      </w:tr>
      <w:tr w:rsidR="00EB5CDB" w14:paraId="35B55EF9" w14:textId="77777777">
        <w:tc>
          <w:tcPr>
            <w:tcW w:w="2970" w:type="dxa"/>
          </w:tcPr>
          <w:p w14:paraId="01B5C7C3"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Encargos Moratórios</w:t>
            </w:r>
            <w:r>
              <w:rPr>
                <w:rFonts w:ascii="Verdana" w:eastAsia="Arial Unicode MS" w:hAnsi="Verdana" w:cs="Tahoma"/>
                <w:w w:val="0"/>
                <w:sz w:val="20"/>
                <w:szCs w:val="20"/>
              </w:rPr>
              <w:t>”</w:t>
            </w:r>
          </w:p>
        </w:tc>
        <w:tc>
          <w:tcPr>
            <w:tcW w:w="6316" w:type="dxa"/>
          </w:tcPr>
          <w:p w14:paraId="35BD2EB3"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encargos moratórios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_Ref495596651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3.26</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0FE04BD4" w14:textId="77777777">
        <w:tc>
          <w:tcPr>
            <w:tcW w:w="2970" w:type="dxa"/>
          </w:tcPr>
          <w:p w14:paraId="0A094E0D" w14:textId="0DF47DDD"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Entidades </w:t>
            </w:r>
            <w:r w:rsidR="00F94F61">
              <w:rPr>
                <w:rFonts w:ascii="Verdana" w:hAnsi="Verdana" w:cs="Tahoma"/>
                <w:sz w:val="20"/>
                <w:szCs w:val="20"/>
                <w:u w:val="single"/>
              </w:rPr>
              <w:t>Gyra</w:t>
            </w:r>
            <w:r>
              <w:rPr>
                <w:rFonts w:ascii="Verdana" w:hAnsi="Verdana" w:cs="Tahoma"/>
                <w:sz w:val="20"/>
                <w:szCs w:val="20"/>
              </w:rPr>
              <w:t>”</w:t>
            </w:r>
          </w:p>
        </w:tc>
        <w:tc>
          <w:tcPr>
            <w:tcW w:w="6316" w:type="dxa"/>
          </w:tcPr>
          <w:p w14:paraId="2204092A" w14:textId="0B78DA31" w:rsidR="00EB5CDB" w:rsidRDefault="008E55E6">
            <w:pPr>
              <w:pStyle w:val="Pr-formataoHTML"/>
              <w:spacing w:before="120" w:after="120" w:line="280" w:lineRule="exact"/>
              <w:jc w:val="both"/>
              <w:rPr>
                <w:rFonts w:ascii="Verdana" w:eastAsia="Arial Unicode MS" w:hAnsi="Verdana" w:cs="Tahoma"/>
              </w:rPr>
            </w:pPr>
            <w:r>
              <w:rPr>
                <w:rFonts w:ascii="Verdana" w:eastAsia="Arial Unicode MS" w:hAnsi="Verdana" w:cs="Tahoma"/>
              </w:rPr>
              <w:t xml:space="preserve">A </w:t>
            </w:r>
            <w:r w:rsidR="00F94F61">
              <w:rPr>
                <w:rFonts w:ascii="Verdana" w:eastAsia="Arial Unicode MS" w:hAnsi="Verdana" w:cs="Tahoma"/>
              </w:rPr>
              <w:t>Gyramais</w:t>
            </w:r>
            <w:r w:rsidR="00FD5B9A">
              <w:rPr>
                <w:rFonts w:ascii="Verdana" w:eastAsia="Arial Unicode MS" w:hAnsi="Verdana" w:cs="Tahoma"/>
              </w:rPr>
              <w:t xml:space="preserve"> </w:t>
            </w:r>
            <w:r w:rsidR="00312DF9">
              <w:rPr>
                <w:rFonts w:ascii="Verdana" w:eastAsia="Arial Unicode MS" w:hAnsi="Verdana" w:cs="Tahoma"/>
              </w:rPr>
              <w:t>T</w:t>
            </w:r>
            <w:r w:rsidR="00FD5B9A">
              <w:rPr>
                <w:rFonts w:ascii="Verdana" w:eastAsia="Arial Unicode MS" w:hAnsi="Verdana" w:cs="Tahoma"/>
              </w:rPr>
              <w:t>ecnologia S.A.</w:t>
            </w:r>
            <w:r>
              <w:rPr>
                <w:rFonts w:ascii="Verdana" w:eastAsia="Arial Unicode MS" w:hAnsi="Verdana" w:cs="Tahoma"/>
              </w:rPr>
              <w:t>, seus controladores e acionistas (diretos ou indiretos), afiliadas, subsidiárias (diretas ou indiretas), sociedades sob o controle comum e seus respectivos diretores, administradores ou empregados.</w:t>
            </w:r>
          </w:p>
        </w:tc>
      </w:tr>
      <w:tr w:rsidR="00EB5CDB" w14:paraId="629F442B" w14:textId="77777777">
        <w:tc>
          <w:tcPr>
            <w:tcW w:w="2970" w:type="dxa"/>
          </w:tcPr>
          <w:p w14:paraId="2AC9C70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Escritura de Emissão</w:t>
            </w:r>
            <w:r>
              <w:rPr>
                <w:rFonts w:ascii="Verdana" w:hAnsi="Verdana" w:cs="Tahoma"/>
                <w:sz w:val="20"/>
                <w:szCs w:val="20"/>
              </w:rPr>
              <w:t xml:space="preserve">” </w:t>
            </w:r>
          </w:p>
        </w:tc>
        <w:tc>
          <w:tcPr>
            <w:tcW w:w="6316" w:type="dxa"/>
          </w:tcPr>
          <w:p w14:paraId="19E433AD" w14:textId="36574FB6"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 presente “</w:t>
            </w:r>
            <w:r>
              <w:rPr>
                <w:rFonts w:ascii="Verdana" w:hAnsi="Verdana"/>
                <w:sz w:val="20"/>
                <w:szCs w:val="20"/>
              </w:rPr>
              <w:t xml:space="preserve">Instrumento Particular de Escritura da </w:t>
            </w:r>
            <w:r w:rsidR="00F94F61">
              <w:rPr>
                <w:rFonts w:ascii="Verdana" w:hAnsi="Verdana"/>
                <w:sz w:val="20"/>
                <w:szCs w:val="20"/>
              </w:rPr>
              <w:t>2</w:t>
            </w:r>
            <w:r>
              <w:rPr>
                <w:rFonts w:ascii="Verdana" w:hAnsi="Verdana"/>
                <w:sz w:val="20"/>
                <w:szCs w:val="20"/>
              </w:rPr>
              <w:t>ª (</w:t>
            </w:r>
            <w:r w:rsidR="00F94F61">
              <w:rPr>
                <w:rFonts w:ascii="Verdana" w:hAnsi="Verdana"/>
                <w:sz w:val="20"/>
                <w:szCs w:val="20"/>
              </w:rPr>
              <w:t>Segunda</w:t>
            </w:r>
            <w:r>
              <w:rPr>
                <w:rFonts w:ascii="Verdana" w:hAnsi="Verdana"/>
                <w:sz w:val="20"/>
                <w:szCs w:val="20"/>
              </w:rPr>
              <w:t xml:space="preserve">) Emissão de Debêntures Simples, Não Conversíveis em Ações, em até 2 (duas) Séries, da Espécie com Garantia Real, para Distribuição Pública Com Esforços Restritos, da Companhia Securitizadora de Créditos Financeiros </w:t>
            </w:r>
            <w:r w:rsidR="00312DF9">
              <w:rPr>
                <w:rFonts w:ascii="Verdana" w:hAnsi="Verdana"/>
                <w:sz w:val="20"/>
                <w:szCs w:val="20"/>
              </w:rPr>
              <w:t>VERT</w:t>
            </w:r>
            <w:r>
              <w:rPr>
                <w:rFonts w:ascii="Verdana" w:hAnsi="Verdana"/>
                <w:sz w:val="20"/>
                <w:szCs w:val="20"/>
              </w:rPr>
              <w:t>-</w:t>
            </w:r>
            <w:r w:rsidR="00F94F61">
              <w:rPr>
                <w:rFonts w:ascii="Verdana" w:hAnsi="Verdana"/>
                <w:sz w:val="20"/>
                <w:szCs w:val="20"/>
              </w:rPr>
              <w:t>Gyra</w:t>
            </w:r>
            <w:r>
              <w:rPr>
                <w:rFonts w:ascii="Verdana" w:eastAsia="Arial Unicode MS" w:hAnsi="Verdana" w:cs="Tahoma"/>
                <w:sz w:val="20"/>
                <w:szCs w:val="20"/>
              </w:rPr>
              <w:t>”.</w:t>
            </w:r>
          </w:p>
        </w:tc>
      </w:tr>
      <w:tr w:rsidR="00EB5CDB" w14:paraId="5D2F7649" w14:textId="77777777">
        <w:tc>
          <w:tcPr>
            <w:tcW w:w="2970" w:type="dxa"/>
          </w:tcPr>
          <w:p w14:paraId="13071B09"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 de Aceleração de Vencimento</w:t>
            </w:r>
            <w:r>
              <w:rPr>
                <w:rFonts w:ascii="Verdana" w:hAnsi="Verdana" w:cs="Tahoma"/>
                <w:sz w:val="20"/>
                <w:szCs w:val="20"/>
              </w:rPr>
              <w:t>”</w:t>
            </w:r>
          </w:p>
        </w:tc>
        <w:tc>
          <w:tcPr>
            <w:tcW w:w="6316" w:type="dxa"/>
          </w:tcPr>
          <w:p w14:paraId="12A4F3F3" w14:textId="77777777" w:rsidR="00EB5CDB" w:rsidRDefault="008E55E6">
            <w:pPr>
              <w:spacing w:before="120" w:after="120" w:line="280" w:lineRule="exact"/>
              <w:jc w:val="both"/>
              <w:rPr>
                <w:rFonts w:ascii="Verdana" w:hAnsi="Verdana" w:cs="Tahoma"/>
                <w:kern w:val="20"/>
                <w:sz w:val="20"/>
                <w:szCs w:val="20"/>
              </w:rPr>
            </w:pPr>
            <w:r>
              <w:rPr>
                <w:rFonts w:ascii="Verdana" w:hAnsi="Verdana" w:cs="Tahoma"/>
                <w:kern w:val="20"/>
                <w:sz w:val="20"/>
                <w:szCs w:val="20"/>
              </w:rPr>
              <w:t xml:space="preserve">Evento que pode ser declarado pelo Agente Fiduciário, nos termos do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abaixo, após a ocorrência de um Evento de Desalavancagem.</w:t>
            </w:r>
          </w:p>
        </w:tc>
      </w:tr>
      <w:tr w:rsidR="00EB5CDB" w14:paraId="49A54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cBorders>
          </w:tcPr>
          <w:p w14:paraId="00D9B387" w14:textId="77777777" w:rsidR="00EB5CDB" w:rsidRDefault="008E55E6" w:rsidP="00F94F61">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Eventos de Desalavancagem</w:t>
            </w:r>
            <w:r>
              <w:rPr>
                <w:rFonts w:ascii="Verdana" w:hAnsi="Verdana" w:cs="Tahoma"/>
                <w:sz w:val="20"/>
                <w:szCs w:val="20"/>
              </w:rPr>
              <w:t>”</w:t>
            </w:r>
          </w:p>
        </w:tc>
        <w:tc>
          <w:tcPr>
            <w:tcW w:w="6316" w:type="dxa"/>
            <w:tcBorders>
              <w:top w:val="nil"/>
              <w:left w:val="nil"/>
              <w:bottom w:val="nil"/>
              <w:right w:val="nil"/>
            </w:tcBorders>
          </w:tcPr>
          <w:p w14:paraId="3AC8EFD3"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 MERGEFORMAT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Pr>
                <w:rFonts w:ascii="Verdana" w:hAnsi="Verdana" w:cs="Tahoma"/>
                <w:kern w:val="20"/>
                <w:sz w:val="20"/>
                <w:szCs w:val="20"/>
              </w:rPr>
              <w:t xml:space="preserve"> d</w:t>
            </w:r>
            <w:r>
              <w:rPr>
                <w:rFonts w:ascii="Verdana" w:hAnsi="Verdana" w:cs="Tahoma"/>
                <w:sz w:val="20"/>
                <w:szCs w:val="20"/>
              </w:rPr>
              <w:t xml:space="preserve">esta Escritura de Emissão, cuja ocorrência poderá resultar em Evento de Aceleração de Vencimento. </w:t>
            </w:r>
          </w:p>
        </w:tc>
      </w:tr>
      <w:tr w:rsidR="00EB5CDB" w14:paraId="54A29C82" w14:textId="77777777">
        <w:tc>
          <w:tcPr>
            <w:tcW w:w="2970" w:type="dxa"/>
          </w:tcPr>
          <w:p w14:paraId="65341F12" w14:textId="77777777" w:rsidR="00EB5CDB" w:rsidRDefault="008E55E6" w:rsidP="00F94F61">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Vencimento Antecipado</w:t>
            </w:r>
            <w:r>
              <w:rPr>
                <w:rFonts w:ascii="Verdana" w:eastAsia="Arial Unicode MS" w:hAnsi="Verdana" w:cs="Tahoma"/>
                <w:w w:val="0"/>
                <w:sz w:val="20"/>
                <w:szCs w:val="20"/>
              </w:rPr>
              <w:t>”</w:t>
            </w:r>
          </w:p>
        </w:tc>
        <w:tc>
          <w:tcPr>
            <w:tcW w:w="6316" w:type="dxa"/>
          </w:tcPr>
          <w:p w14:paraId="1B98EC0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ocorrência de um ou mais Eventos de Inadimplemento, que resulte no efetivo vencimento antecipado das Debêntures, nos termos dos itens </w:t>
            </w:r>
            <w:r>
              <w:rPr>
                <w:rFonts w:ascii="Verdana" w:hAnsi="Verdana" w:cs="Tahoma"/>
                <w:sz w:val="20"/>
                <w:szCs w:val="20"/>
              </w:rPr>
              <w:fldChar w:fldCharType="begin"/>
            </w:r>
            <w:r>
              <w:rPr>
                <w:rFonts w:ascii="Verdana" w:hAnsi="Verdana" w:cs="Tahoma"/>
                <w:sz w:val="20"/>
                <w:szCs w:val="20"/>
              </w:rPr>
              <w:instrText xml:space="preserve"> REF _Ref436843003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3.29.7</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C2702FF" w14:textId="77777777">
        <w:tc>
          <w:tcPr>
            <w:tcW w:w="2970" w:type="dxa"/>
          </w:tcPr>
          <w:p w14:paraId="7D5AFF44" w14:textId="77777777" w:rsidR="00EB5CDB" w:rsidRDefault="008E55E6" w:rsidP="00F94F61">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Eventos de Inadimplemento</w:t>
            </w:r>
            <w:r>
              <w:rPr>
                <w:rFonts w:ascii="Verdana" w:eastAsia="Arial Unicode MS" w:hAnsi="Verdana" w:cs="Tahoma"/>
                <w:w w:val="0"/>
                <w:sz w:val="20"/>
                <w:szCs w:val="20"/>
              </w:rPr>
              <w:t>”</w:t>
            </w:r>
          </w:p>
        </w:tc>
        <w:tc>
          <w:tcPr>
            <w:tcW w:w="6316" w:type="dxa"/>
          </w:tcPr>
          <w:p w14:paraId="26FFBDF4"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Os eventos previstos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_Ref422391983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3.29.5</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06F4C866" w14:textId="77777777">
        <w:tc>
          <w:tcPr>
            <w:tcW w:w="2970" w:type="dxa"/>
          </w:tcPr>
          <w:p w14:paraId="3FAAC3CF" w14:textId="77777777" w:rsidR="00EB5CDB" w:rsidRDefault="008E55E6" w:rsidP="00F94F61">
            <w:pPr>
              <w:spacing w:before="120" w:after="120" w:line="280" w:lineRule="exact"/>
              <w:jc w:val="both"/>
              <w:rPr>
                <w:rFonts w:ascii="Verdana" w:eastAsia="Arial Unicode MS" w:hAnsi="Verdana" w:cs="Tahoma"/>
                <w:w w:val="0"/>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Fator de Ponderação da Primeira Série</w:t>
            </w:r>
            <w:r>
              <w:rPr>
                <w:rFonts w:ascii="Verdana" w:eastAsia="Arial Unicode MS" w:hAnsi="Verdana" w:cs="Tahoma"/>
                <w:w w:val="0"/>
                <w:sz w:val="20"/>
                <w:szCs w:val="20"/>
              </w:rPr>
              <w:t xml:space="preserve">” </w:t>
            </w:r>
          </w:p>
        </w:tc>
        <w:tc>
          <w:tcPr>
            <w:tcW w:w="6316" w:type="dxa"/>
          </w:tcPr>
          <w:p w14:paraId="1526A781" w14:textId="7B33D5B8" w:rsidR="00EB5CDB" w:rsidRDefault="008E55E6">
            <w:pPr>
              <w:spacing w:before="120" w:after="120" w:line="280" w:lineRule="exact"/>
              <w:jc w:val="both"/>
              <w:rPr>
                <w:rFonts w:ascii="Verdana" w:eastAsia="Arial Unicode MS" w:hAnsi="Verdana" w:cs="Tahoma"/>
                <w:sz w:val="20"/>
                <w:szCs w:val="20"/>
              </w:rPr>
            </w:pPr>
            <w:r>
              <w:rPr>
                <w:rFonts w:ascii="Verdana" w:hAnsi="Verdana"/>
                <w:sz w:val="20"/>
                <w:szCs w:val="20"/>
              </w:rPr>
              <w:t xml:space="preserve">Equivale a </w:t>
            </w:r>
            <w:r w:rsidR="00312DF9">
              <w:rPr>
                <w:rFonts w:ascii="Verdana" w:hAnsi="Verdana"/>
                <w:sz w:val="20"/>
                <w:szCs w:val="20"/>
              </w:rPr>
              <w:t>80</w:t>
            </w:r>
            <w:r>
              <w:rPr>
                <w:rFonts w:ascii="Verdana" w:hAnsi="Verdana"/>
                <w:sz w:val="20"/>
                <w:szCs w:val="20"/>
              </w:rPr>
              <w:t xml:space="preserve">% </w:t>
            </w:r>
            <w:r w:rsidRPr="00F947EC">
              <w:rPr>
                <w:rFonts w:ascii="Verdana" w:hAnsi="Verdana"/>
                <w:iCs/>
                <w:sz w:val="20"/>
                <w:szCs w:val="20"/>
              </w:rPr>
              <w:t>(</w:t>
            </w:r>
            <w:r w:rsidR="00312DF9">
              <w:rPr>
                <w:rFonts w:ascii="Verdana" w:hAnsi="Verdana"/>
                <w:iCs/>
                <w:sz w:val="20"/>
                <w:szCs w:val="20"/>
              </w:rPr>
              <w:t>oitenta</w:t>
            </w:r>
            <w:r w:rsidRPr="00F947EC">
              <w:rPr>
                <w:rFonts w:ascii="Verdana" w:hAnsi="Verdana"/>
                <w:iCs/>
                <w:sz w:val="20"/>
                <w:szCs w:val="20"/>
              </w:rPr>
              <w:t xml:space="preserve"> por cento).</w:t>
            </w:r>
          </w:p>
        </w:tc>
      </w:tr>
      <w:tr w:rsidR="00EB5CDB" w14:paraId="2889BD6E" w14:textId="77777777">
        <w:tc>
          <w:tcPr>
            <w:tcW w:w="2970" w:type="dxa"/>
          </w:tcPr>
          <w:p w14:paraId="77B89DEF"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Fatores de Risco</w:t>
            </w:r>
            <w:r>
              <w:rPr>
                <w:rFonts w:ascii="Verdana" w:hAnsi="Verdana" w:cs="Tahoma"/>
                <w:sz w:val="20"/>
                <w:szCs w:val="20"/>
              </w:rPr>
              <w:t>”</w:t>
            </w:r>
          </w:p>
        </w:tc>
        <w:tc>
          <w:tcPr>
            <w:tcW w:w="6316" w:type="dxa"/>
          </w:tcPr>
          <w:p w14:paraId="008FD277" w14:textId="0E9AF7DF" w:rsidR="00EB5CDB" w:rsidRDefault="008E55E6">
            <w:pPr>
              <w:tabs>
                <w:tab w:val="left" w:pos="1134"/>
              </w:tabs>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fatores de risco relacionados à Emissão, conforme listados no Anexo </w:t>
            </w:r>
            <w:r w:rsidR="00065139">
              <w:rPr>
                <w:rFonts w:ascii="Verdana" w:eastAsia="Arial Unicode MS" w:hAnsi="Verdana" w:cs="Tahoma"/>
                <w:sz w:val="20"/>
                <w:szCs w:val="20"/>
              </w:rPr>
              <w:t>IV</w:t>
            </w:r>
            <w:r>
              <w:rPr>
                <w:rFonts w:ascii="Verdana" w:eastAsia="Arial Unicode MS" w:hAnsi="Verdana" w:cs="Tahoma"/>
                <w:sz w:val="20"/>
                <w:szCs w:val="20"/>
              </w:rPr>
              <w:t>.</w:t>
            </w:r>
          </w:p>
        </w:tc>
      </w:tr>
      <w:tr w:rsidR="00EB5CDB" w14:paraId="4DBB03BC" w14:textId="77777777">
        <w:tc>
          <w:tcPr>
            <w:tcW w:w="2970" w:type="dxa"/>
          </w:tcPr>
          <w:p w14:paraId="4734E028"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Garantia</w:t>
            </w:r>
            <w:r>
              <w:rPr>
                <w:rFonts w:ascii="Verdana" w:eastAsia="Arial Unicode MS" w:hAnsi="Verdana" w:cs="Tahoma"/>
                <w:sz w:val="20"/>
                <w:szCs w:val="20"/>
              </w:rPr>
              <w:t>”</w:t>
            </w:r>
          </w:p>
        </w:tc>
        <w:tc>
          <w:tcPr>
            <w:tcW w:w="6316" w:type="dxa"/>
          </w:tcPr>
          <w:p w14:paraId="5288308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 garantia real das Debêntures, consubstanciada na cessão fiduciária </w:t>
            </w:r>
            <w:r>
              <w:rPr>
                <w:rFonts w:ascii="Verdana" w:eastAsia="MS Mincho" w:hAnsi="Verdana" w:cs="Tahoma"/>
                <w:sz w:val="20"/>
                <w:szCs w:val="20"/>
              </w:rPr>
              <w:t>da totalidade dos Direitos Creditórios Alienados, em benefício dos Debenturistas, nos termos do Contrato de Cessão Fiduciária.</w:t>
            </w:r>
          </w:p>
        </w:tc>
      </w:tr>
      <w:tr w:rsidR="00061FD6" w14:paraId="58DFE18C" w14:textId="77777777">
        <w:tc>
          <w:tcPr>
            <w:tcW w:w="2970" w:type="dxa"/>
          </w:tcPr>
          <w:p w14:paraId="7628BC96" w14:textId="18A9A8BD" w:rsidR="00061FD6" w:rsidRDefault="00061FD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w:t>
            </w:r>
            <w:r>
              <w:rPr>
                <w:rFonts w:ascii="Verdana" w:eastAsia="Arial Unicode MS" w:hAnsi="Verdana" w:cs="Tahoma"/>
                <w:sz w:val="20"/>
                <w:szCs w:val="20"/>
                <w:u w:val="single"/>
              </w:rPr>
              <w:t>Gyramais</w:t>
            </w:r>
            <w:r>
              <w:rPr>
                <w:rFonts w:ascii="Verdana" w:eastAsia="Arial Unicode MS" w:hAnsi="Verdana" w:cs="Tahoma"/>
                <w:sz w:val="20"/>
                <w:szCs w:val="20"/>
              </w:rPr>
              <w:t>”</w:t>
            </w:r>
          </w:p>
        </w:tc>
        <w:tc>
          <w:tcPr>
            <w:tcW w:w="6316" w:type="dxa"/>
          </w:tcPr>
          <w:p w14:paraId="13D7CCFE" w14:textId="29189E0F" w:rsidR="00061FD6" w:rsidRDefault="00176781">
            <w:pPr>
              <w:spacing w:before="120" w:after="120" w:line="280" w:lineRule="exact"/>
              <w:jc w:val="both"/>
              <w:rPr>
                <w:rFonts w:ascii="Verdana" w:hAnsi="Verdana" w:cs="Tahoma"/>
                <w:sz w:val="20"/>
                <w:szCs w:val="20"/>
              </w:rPr>
            </w:pPr>
            <w:r w:rsidRPr="000B7D26">
              <w:rPr>
                <w:rFonts w:ascii="Verdana" w:eastAsia="MS Mincho" w:hAnsi="Verdana"/>
                <w:sz w:val="20"/>
              </w:rPr>
              <w:t xml:space="preserve">É a Gyramais Tecnologia S.A., sociedade anônima com sede </w:t>
            </w:r>
            <w:r w:rsidR="00061FD6" w:rsidRPr="000B7D26">
              <w:rPr>
                <w:rFonts w:ascii="Verdana" w:eastAsia="MS Mincho" w:hAnsi="Verdana"/>
                <w:sz w:val="20"/>
              </w:rPr>
              <w:t>na Rua Farme de Amoêdo, nº.76, sala 403, Ipanema, CEP 22420-020</w:t>
            </w:r>
            <w:r w:rsidRPr="000B7D26">
              <w:rPr>
                <w:rFonts w:ascii="Verdana" w:eastAsia="MS Mincho" w:hAnsi="Verdana"/>
                <w:sz w:val="20"/>
              </w:rPr>
              <w:t>, inscrita perante o CNPJ/ME sob o nº. 27.734.451/0001-09.</w:t>
            </w:r>
          </w:p>
        </w:tc>
      </w:tr>
      <w:tr w:rsidR="00EB5CDB" w14:paraId="4C836AD6" w14:textId="77777777">
        <w:tc>
          <w:tcPr>
            <w:tcW w:w="2970" w:type="dxa"/>
          </w:tcPr>
          <w:p w14:paraId="1A8B28D4" w14:textId="77777777" w:rsidR="00EB5CDB" w:rsidRDefault="008E55E6">
            <w:pPr>
              <w:spacing w:before="120" w:after="120" w:line="280" w:lineRule="exact"/>
              <w:jc w:val="both"/>
              <w:rPr>
                <w:rFonts w:ascii="Verdana" w:hAnsi="Verdana" w:cs="Tahoma"/>
                <w:sz w:val="20"/>
                <w:szCs w:val="20"/>
              </w:rPr>
            </w:pPr>
            <w:bookmarkStart w:id="1" w:name="_DV_C61"/>
            <w:r>
              <w:rPr>
                <w:rStyle w:val="DeltaViewDeletion"/>
                <w:rFonts w:ascii="Verdana" w:eastAsia="MS Mincho" w:hAnsi="Verdana" w:cs="Tahoma"/>
                <w:strike w:val="0"/>
                <w:color w:val="auto"/>
                <w:sz w:val="20"/>
                <w:szCs w:val="20"/>
              </w:rPr>
              <w:t>“</w:t>
            </w:r>
            <w:r>
              <w:rPr>
                <w:rStyle w:val="DeltaViewDeletion"/>
                <w:rFonts w:ascii="Verdana" w:eastAsia="MS Mincho" w:hAnsi="Verdana" w:cs="Tahoma"/>
                <w:strike w:val="0"/>
                <w:color w:val="auto"/>
                <w:sz w:val="20"/>
                <w:szCs w:val="20"/>
                <w:u w:val="single"/>
              </w:rPr>
              <w:t>Índice de Cobertura</w:t>
            </w:r>
            <w:r>
              <w:rPr>
                <w:rStyle w:val="DeltaViewDeletion"/>
                <w:rFonts w:ascii="Verdana" w:eastAsia="MS Mincho" w:hAnsi="Verdana" w:cs="Tahoma"/>
                <w:strike w:val="0"/>
                <w:color w:val="auto"/>
                <w:sz w:val="20"/>
                <w:szCs w:val="20"/>
              </w:rPr>
              <w:t>”</w:t>
            </w:r>
            <w:bookmarkEnd w:id="1"/>
            <w:r>
              <w:rPr>
                <w:rStyle w:val="DeltaViewDeletion"/>
                <w:rFonts w:ascii="Verdana" w:eastAsia="MS Mincho" w:hAnsi="Verdana" w:cs="Tahoma"/>
                <w:strike w:val="0"/>
                <w:color w:val="auto"/>
                <w:sz w:val="20"/>
                <w:szCs w:val="20"/>
              </w:rPr>
              <w:t xml:space="preserve"> </w:t>
            </w:r>
          </w:p>
        </w:tc>
        <w:tc>
          <w:tcPr>
            <w:tcW w:w="6316" w:type="dxa"/>
          </w:tcPr>
          <w:p w14:paraId="67AA0536" w14:textId="44AA8787" w:rsidR="00EB5CDB" w:rsidRDefault="008E55E6">
            <w:pPr>
              <w:tabs>
                <w:tab w:val="left" w:pos="1134"/>
              </w:tabs>
              <w:spacing w:before="120" w:after="120" w:line="276" w:lineRule="auto"/>
              <w:jc w:val="both"/>
              <w:rPr>
                <w:rFonts w:ascii="Verdana" w:eastAsia="Arial Unicode MS" w:hAnsi="Verdana" w:cs="Tahoma"/>
                <w:sz w:val="20"/>
                <w:szCs w:val="20"/>
              </w:rPr>
            </w:pPr>
            <w:bookmarkStart w:id="2" w:name="_DV_C62"/>
            <w:r>
              <w:rPr>
                <w:rStyle w:val="DeltaViewDeletion"/>
                <w:rFonts w:ascii="Verdana" w:eastAsia="Arial Unicode MS" w:hAnsi="Verdana" w:cs="Tahoma"/>
                <w:strike w:val="0"/>
                <w:color w:val="auto"/>
                <w:sz w:val="20"/>
                <w:szCs w:val="20"/>
              </w:rPr>
              <w:t xml:space="preserve">O valor apurado pela Emissora, em cada Data de Verificação, através da fórmula abaixo, sendo certo que </w:t>
            </w:r>
            <w:r>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strike w:val="0"/>
                <w:color w:val="auto"/>
                <w:sz w:val="20"/>
                <w:szCs w:val="20"/>
              </w:rPr>
              <w:t xml:space="preserve"> os saldos a serem considerados na fórmula incluirão principal e juros apropriados e não pagos, serão líquidos de provisão para devedores duvidosos e serão determinados com data base correspondente ao final do mês calendário anterior, </w:t>
            </w:r>
            <w:r>
              <w:rPr>
                <w:rStyle w:val="DeltaViewDeletion"/>
                <w:rFonts w:ascii="Verdana" w:eastAsia="Arial Unicode MS" w:hAnsi="Verdana" w:cs="Tahoma"/>
                <w:b/>
                <w:strike w:val="0"/>
                <w:color w:val="auto"/>
                <w:sz w:val="20"/>
                <w:szCs w:val="20"/>
              </w:rPr>
              <w:t>(ii)</w:t>
            </w:r>
            <w:r>
              <w:rPr>
                <w:rStyle w:val="DeltaViewDeletion"/>
                <w:rFonts w:ascii="Verdana" w:eastAsia="Arial Unicode MS" w:hAnsi="Verdana" w:cs="Tahoma"/>
                <w:strike w:val="0"/>
                <w:color w:val="auto"/>
                <w:sz w:val="20"/>
                <w:szCs w:val="20"/>
              </w:rPr>
              <w:t xml:space="preserve"> o Valor das Disponibilidades será determinado com data base correspondente ao final do mês calendário anterior e será líquido da Reserva de Despesas e Encargos e sujeito o item (iii) a seguir, e </w:t>
            </w:r>
            <w:r>
              <w:rPr>
                <w:rStyle w:val="DeltaViewDeletion"/>
                <w:rFonts w:ascii="Verdana" w:eastAsia="Arial Unicode MS" w:hAnsi="Verdana" w:cs="Tahoma"/>
                <w:b/>
                <w:strike w:val="0"/>
                <w:color w:val="auto"/>
                <w:sz w:val="20"/>
                <w:szCs w:val="20"/>
              </w:rPr>
              <w:t>(iii)</w:t>
            </w:r>
            <w:r>
              <w:rPr>
                <w:rStyle w:val="DeltaViewDeletion"/>
                <w:rFonts w:ascii="Verdana" w:eastAsia="Arial Unicode MS" w:hAnsi="Verdana" w:cs="Tahoma"/>
                <w:strike w:val="0"/>
                <w:color w:val="auto"/>
                <w:sz w:val="20"/>
                <w:szCs w:val="20"/>
              </w:rPr>
              <w:t xml:space="preserve"> o Índice de Cobertura deverá ser calculado </w:t>
            </w:r>
            <w:r>
              <w:rPr>
                <w:rStyle w:val="DeltaViewDeletion"/>
                <w:rFonts w:ascii="Verdana" w:eastAsia="Arial Unicode MS" w:hAnsi="Verdana" w:cs="Tahoma"/>
                <w:i/>
                <w:strike w:val="0"/>
                <w:color w:val="auto"/>
                <w:sz w:val="20"/>
                <w:szCs w:val="20"/>
              </w:rPr>
              <w:t>pro forma</w:t>
            </w:r>
            <w:r>
              <w:rPr>
                <w:rStyle w:val="DeltaViewDeletion"/>
                <w:rFonts w:ascii="Verdana" w:eastAsia="Arial Unicode MS" w:hAnsi="Verdana" w:cs="Tahoma"/>
                <w:strike w:val="0"/>
                <w:color w:val="auto"/>
                <w:sz w:val="20"/>
                <w:szCs w:val="20"/>
              </w:rPr>
              <w:t xml:space="preserve"> o pagamento das Debêntures no mês em questão</w:t>
            </w:r>
            <w:bookmarkEnd w:id="2"/>
            <w:r>
              <w:rPr>
                <w:rStyle w:val="DeltaViewDeletion"/>
                <w:rFonts w:ascii="Verdana" w:eastAsia="Arial Unicode MS" w:hAnsi="Verdana" w:cs="Tahoma"/>
                <w:strike w:val="0"/>
                <w:color w:val="auto"/>
                <w:sz w:val="20"/>
                <w:szCs w:val="20"/>
              </w:rPr>
              <w:t xml:space="preserve">, para efeitos do cálculo do saldo das Debêntures da Primeira Série e para efeitos da determinação do Valor das Disponibilidades. </w:t>
            </w:r>
          </w:p>
          <w:bookmarkStart w:id="3" w:name="_DV_C63"/>
          <w:p w14:paraId="0096CB4D" w14:textId="77777777" w:rsidR="00EB5CDB" w:rsidRDefault="00F867FB">
            <w:pPr>
              <w:spacing w:before="120" w:after="120" w:line="276" w:lineRule="auto"/>
              <w:jc w:val="both"/>
              <w:rPr>
                <w:rStyle w:val="DeltaViewDeletion"/>
                <w:rFonts w:ascii="Verdana" w:hAnsi="Verdana" w:cs="Tahoma"/>
                <w:strike w:val="0"/>
                <w:color w:val="auto"/>
                <w:sz w:val="20"/>
                <w:szCs w:val="20"/>
              </w:rPr>
            </w:pPr>
            <m:oMathPara>
              <m:oMath>
                <m:f>
                  <m:fPr>
                    <m:ctrlPr>
                      <w:rPr>
                        <w:rFonts w:ascii="Cambria Math" w:hAnsi="Cambria Math" w:cs="Tahoma"/>
                        <w:sz w:val="20"/>
                        <w:szCs w:val="20"/>
                      </w:rPr>
                    </m:ctrlPr>
                  </m:fPr>
                  <m:num>
                    <m:eqArr>
                      <m:eqArrPr>
                        <m:ctrlPr>
                          <w:rPr>
                            <w:rFonts w:ascii="Cambria Math" w:hAnsi="Cambria Math" w:cs="Tahoma"/>
                            <w:sz w:val="20"/>
                            <w:szCs w:val="20"/>
                          </w:rPr>
                        </m:ctrlPr>
                      </m:eqArrPr>
                      <m:e>
                        <m:r>
                          <m:rPr>
                            <m:sty m:val="p"/>
                          </m:rPr>
                          <w:rPr>
                            <w:rFonts w:ascii="Cambria Math" w:hAnsi="Cambria Math" w:cs="Tahoma"/>
                            <w:sz w:val="20"/>
                            <w:szCs w:val="20"/>
                          </w:rPr>
                          <m:t>(saldo devedor das CCB*</m:t>
                        </m:r>
                      </m:e>
                      <m:e>
                        <m:r>
                          <m:rPr>
                            <m:sty m:val="p"/>
                          </m:rPr>
                          <w:rPr>
                            <w:rFonts w:ascii="Cambria Math" w:hAnsi="Cambria Math" w:cs="Tahoma"/>
                            <w:sz w:val="20"/>
                            <w:szCs w:val="20"/>
                          </w:rPr>
                          <m:t>Fator de Ponderação da Primeira Série</m:t>
                        </m:r>
                        <m:ctrlPr>
                          <w:rPr>
                            <w:rFonts w:ascii="Cambria Math" w:eastAsia="Cambria Math" w:hAnsi="Cambria Math" w:cs="Tahoma"/>
                            <w:sz w:val="20"/>
                            <w:szCs w:val="20"/>
                          </w:rPr>
                        </m:ctrlPr>
                      </m:e>
                      <m:e>
                        <m:r>
                          <m:rPr>
                            <m:sty m:val="p"/>
                          </m:rPr>
                          <w:rPr>
                            <w:rFonts w:ascii="Cambria Math" w:hAnsi="Cambria Math" w:cs="Tahoma"/>
                            <w:sz w:val="20"/>
                            <w:szCs w:val="20"/>
                          </w:rPr>
                          <m:t>+</m:t>
                        </m:r>
                        <m:ctrlPr>
                          <w:rPr>
                            <w:rFonts w:ascii="Cambria Math" w:eastAsia="Cambria Math" w:hAnsi="Cambria Math" w:cs="Tahoma"/>
                            <w:sz w:val="20"/>
                            <w:szCs w:val="20"/>
                          </w:rPr>
                        </m:ctrlPr>
                      </m:e>
                      <m:e>
                        <m:r>
                          <m:rPr>
                            <m:sty m:val="p"/>
                          </m:rPr>
                          <w:rPr>
                            <w:rFonts w:ascii="Cambria Math" w:hAnsi="Cambria Math" w:cs="Tahoma"/>
                            <w:sz w:val="20"/>
                            <w:szCs w:val="20"/>
                          </w:rPr>
                          <m:t>Valor das Disponibilidades)</m:t>
                        </m:r>
                      </m:e>
                    </m:eqArr>
                  </m:num>
                  <m:den>
                    <m:r>
                      <m:rPr>
                        <m:sty m:val="p"/>
                      </m:rPr>
                      <w:rPr>
                        <w:rFonts w:ascii="Cambria Math" w:hAnsi="Cambria Math" w:cs="Tahoma"/>
                        <w:sz w:val="20"/>
                        <w:szCs w:val="20"/>
                      </w:rPr>
                      <m:t>saldo das Debêntures da Primeira Série</m:t>
                    </m:r>
                  </m:den>
                </m:f>
              </m:oMath>
            </m:oMathPara>
          </w:p>
          <w:bookmarkEnd w:id="3"/>
          <w:p w14:paraId="340204EB" w14:textId="77777777" w:rsidR="00EB5CDB" w:rsidRDefault="00EB5CDB">
            <w:pPr>
              <w:tabs>
                <w:tab w:val="left" w:pos="1134"/>
              </w:tabs>
              <w:spacing w:before="120" w:after="120" w:line="280" w:lineRule="exact"/>
              <w:jc w:val="both"/>
              <w:rPr>
                <w:rFonts w:ascii="Verdana" w:hAnsi="Verdana" w:cs="Tahoma"/>
                <w:sz w:val="20"/>
                <w:szCs w:val="20"/>
              </w:rPr>
            </w:pPr>
          </w:p>
        </w:tc>
      </w:tr>
      <w:tr w:rsidR="00EB5CDB" w14:paraId="7E9BCC8F" w14:textId="77777777">
        <w:tc>
          <w:tcPr>
            <w:tcW w:w="2970" w:type="dxa"/>
          </w:tcPr>
          <w:p w14:paraId="68A67350" w14:textId="77777777" w:rsidR="00EB5CDB" w:rsidRDefault="008E55E6">
            <w:pPr>
              <w:spacing w:before="120" w:after="120" w:line="280" w:lineRule="exact"/>
              <w:jc w:val="both"/>
              <w:rPr>
                <w:rStyle w:val="DeltaViewDeletion"/>
                <w:rFonts w:ascii="Verdana" w:eastAsia="MS Mincho" w:hAnsi="Verdana" w:cs="Tahoma"/>
                <w:i/>
                <w:strike w:val="0"/>
                <w:color w:val="auto"/>
                <w:sz w:val="20"/>
                <w:szCs w:val="20"/>
              </w:rPr>
            </w:pPr>
            <w:r>
              <w:rPr>
                <w:rFonts w:ascii="Verdana" w:hAnsi="Verdana" w:cs="Tahoma"/>
                <w:sz w:val="20"/>
                <w:szCs w:val="20"/>
              </w:rPr>
              <w:t>“</w:t>
            </w:r>
            <w:r>
              <w:rPr>
                <w:rFonts w:ascii="Verdana" w:hAnsi="Verdana" w:cs="Tahoma"/>
                <w:sz w:val="20"/>
                <w:szCs w:val="20"/>
                <w:u w:val="single"/>
              </w:rPr>
              <w:t>Instituição Autorizada</w:t>
            </w:r>
            <w:r>
              <w:rPr>
                <w:rFonts w:ascii="Verdana" w:hAnsi="Verdana" w:cs="Tahoma"/>
                <w:sz w:val="20"/>
                <w:szCs w:val="20"/>
              </w:rPr>
              <w:t>”</w:t>
            </w:r>
          </w:p>
        </w:tc>
        <w:tc>
          <w:tcPr>
            <w:tcW w:w="6316" w:type="dxa"/>
          </w:tcPr>
          <w:p w14:paraId="54A2A4DE" w14:textId="77777777" w:rsidR="00EB5CDB" w:rsidRDefault="008E55E6">
            <w:pPr>
              <w:tabs>
                <w:tab w:val="left" w:pos="1134"/>
              </w:tabs>
              <w:spacing w:before="120" w:after="120" w:line="276" w:lineRule="auto"/>
              <w:jc w:val="both"/>
              <w:rPr>
                <w:rStyle w:val="DeltaViewDeletion"/>
                <w:rFonts w:ascii="Verdana" w:eastAsia="Arial Unicode MS" w:hAnsi="Verdana" w:cs="Tahoma"/>
                <w:strike w:val="0"/>
                <w:color w:val="auto"/>
                <w:sz w:val="20"/>
                <w:szCs w:val="20"/>
              </w:rPr>
            </w:pPr>
            <w:r>
              <w:rPr>
                <w:rStyle w:val="DeltaViewDeletion"/>
                <w:rFonts w:ascii="Verdana" w:eastAsia="Arial Unicode MS" w:hAnsi="Verdana" w:cs="Tahoma"/>
                <w:strike w:val="0"/>
                <w:color w:val="auto"/>
                <w:sz w:val="20"/>
                <w:szCs w:val="20"/>
              </w:rPr>
              <w:t>Qualquer das seguintes instituições financeiras: (a) Banco Bradesco S.A., (b) Banco Santander (Brasil) S.A., (c) Banco do Brasil S.A., (d) Caixa Econômica Federal, e (e) Banco Itaú Unibanco S.A</w:t>
            </w:r>
            <w:r>
              <w:rPr>
                <w:rFonts w:ascii="Verdana" w:hAnsi="Verdana" w:cs="Tahoma"/>
                <w:sz w:val="20"/>
                <w:szCs w:val="20"/>
              </w:rPr>
              <w:t>.</w:t>
            </w:r>
            <w:r>
              <w:rPr>
                <w:rStyle w:val="DeltaViewDeletion"/>
                <w:rFonts w:ascii="Verdana" w:eastAsia="Arial Unicode MS" w:hAnsi="Verdana" w:cs="Tahoma"/>
                <w:strike w:val="0"/>
                <w:color w:val="auto"/>
                <w:sz w:val="20"/>
                <w:szCs w:val="20"/>
              </w:rPr>
              <w:t xml:space="preserve">, desde que possuam classificação de risco de crédito de longo prazo, atribuída por Agência Classificadora de Risco, no mínimo igual ou superior ao maior entre (i) a classificação de risco atribuída às Debêntures da Primeira Série, conforme o caso, e (ii) A(bra) (ou equivalente, conforme a Agência Classificadora de Risco aplicável) os quais poderão ser emissores dos ativos ou administradores dos fundos de investimento enquadrados como Investimentos Permitidos. </w:t>
            </w:r>
          </w:p>
        </w:tc>
      </w:tr>
      <w:tr w:rsidR="00EB5CDB" w14:paraId="67732658" w14:textId="77777777">
        <w:tc>
          <w:tcPr>
            <w:tcW w:w="2970" w:type="dxa"/>
          </w:tcPr>
          <w:p w14:paraId="3A038A14" w14:textId="6A23DB95"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 xml:space="preserve">Instituição Financeira </w:t>
            </w:r>
            <w:r w:rsidR="008D6F6D">
              <w:rPr>
                <w:rFonts w:ascii="Verdana" w:hAnsi="Verdana" w:cs="Tahoma"/>
                <w:sz w:val="20"/>
                <w:szCs w:val="20"/>
                <w:u w:val="single"/>
              </w:rPr>
              <w:t>Endossante</w:t>
            </w:r>
            <w:r>
              <w:rPr>
                <w:rFonts w:ascii="Verdana" w:hAnsi="Verdana" w:cs="Tahoma"/>
                <w:sz w:val="20"/>
                <w:szCs w:val="20"/>
              </w:rPr>
              <w:t>”</w:t>
            </w:r>
          </w:p>
        </w:tc>
        <w:tc>
          <w:tcPr>
            <w:tcW w:w="6316" w:type="dxa"/>
          </w:tcPr>
          <w:p w14:paraId="34D4EC1F"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A instituição financeira identificada nas CCB como beneficiária originária das respectivas CCB, nos termos da Lei nº 10.931. </w:t>
            </w:r>
          </w:p>
        </w:tc>
      </w:tr>
      <w:tr w:rsidR="00EB5CDB" w14:paraId="3E74EAF1" w14:textId="77777777">
        <w:tc>
          <w:tcPr>
            <w:tcW w:w="2970" w:type="dxa"/>
          </w:tcPr>
          <w:p w14:paraId="4792E9F1"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w:t>
            </w:r>
            <w:r>
              <w:rPr>
                <w:rFonts w:ascii="Verdana" w:eastAsia="Arial Unicode MS" w:hAnsi="Verdana" w:cs="Tahoma"/>
                <w:w w:val="0"/>
                <w:sz w:val="20"/>
                <w:szCs w:val="20"/>
                <w:u w:val="single"/>
              </w:rPr>
              <w:t>Instrução CVM 358</w:t>
            </w:r>
            <w:r>
              <w:rPr>
                <w:rFonts w:ascii="Verdana" w:eastAsia="Arial Unicode MS" w:hAnsi="Verdana" w:cs="Tahoma"/>
                <w:w w:val="0"/>
                <w:sz w:val="20"/>
                <w:szCs w:val="20"/>
              </w:rPr>
              <w:t>”</w:t>
            </w:r>
          </w:p>
        </w:tc>
        <w:tc>
          <w:tcPr>
            <w:tcW w:w="6316" w:type="dxa"/>
          </w:tcPr>
          <w:p w14:paraId="6A259292"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w w:val="0"/>
                <w:sz w:val="20"/>
                <w:szCs w:val="20"/>
              </w:rPr>
              <w:t>A Instrução da CVM nº 358, de 3 de janeiro de 2002, conforme alterada.</w:t>
            </w:r>
          </w:p>
        </w:tc>
      </w:tr>
      <w:tr w:rsidR="00EB5CDB" w14:paraId="25270301" w14:textId="77777777">
        <w:tc>
          <w:tcPr>
            <w:tcW w:w="2970" w:type="dxa"/>
          </w:tcPr>
          <w:p w14:paraId="2665FBB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476</w:t>
            </w:r>
            <w:r>
              <w:rPr>
                <w:rFonts w:ascii="Verdana" w:hAnsi="Verdana" w:cs="Tahoma"/>
                <w:sz w:val="20"/>
                <w:szCs w:val="20"/>
              </w:rPr>
              <w:t>”</w:t>
            </w:r>
          </w:p>
        </w:tc>
        <w:tc>
          <w:tcPr>
            <w:tcW w:w="6316" w:type="dxa"/>
          </w:tcPr>
          <w:p w14:paraId="31765EF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476, de 16 de janeiro de 2009, conforme alterada.</w:t>
            </w:r>
          </w:p>
        </w:tc>
      </w:tr>
      <w:tr w:rsidR="00EB5CDB" w14:paraId="774360AE" w14:textId="77777777">
        <w:tc>
          <w:tcPr>
            <w:tcW w:w="2970" w:type="dxa"/>
          </w:tcPr>
          <w:p w14:paraId="64AAF0D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539</w:t>
            </w:r>
            <w:r>
              <w:rPr>
                <w:rFonts w:ascii="Verdana" w:hAnsi="Verdana" w:cs="Tahoma"/>
                <w:sz w:val="20"/>
                <w:szCs w:val="20"/>
              </w:rPr>
              <w:t>”</w:t>
            </w:r>
          </w:p>
        </w:tc>
        <w:tc>
          <w:tcPr>
            <w:tcW w:w="6316" w:type="dxa"/>
          </w:tcPr>
          <w:p w14:paraId="0CE639C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539, de 13 de novembro de 2013, conforme alterada.</w:t>
            </w:r>
          </w:p>
        </w:tc>
      </w:tr>
      <w:tr w:rsidR="00EB5CDB" w14:paraId="619CD01F" w14:textId="77777777">
        <w:tc>
          <w:tcPr>
            <w:tcW w:w="2970" w:type="dxa"/>
          </w:tcPr>
          <w:p w14:paraId="6EE0E7C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Instrução CVM 583</w:t>
            </w:r>
            <w:r>
              <w:rPr>
                <w:rFonts w:ascii="Verdana" w:hAnsi="Verdana" w:cs="Tahoma"/>
                <w:sz w:val="20"/>
                <w:szCs w:val="20"/>
              </w:rPr>
              <w:t>”</w:t>
            </w:r>
          </w:p>
        </w:tc>
        <w:tc>
          <w:tcPr>
            <w:tcW w:w="6316" w:type="dxa"/>
          </w:tcPr>
          <w:p w14:paraId="45296F3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Instrução da CVM nº 583, de 20 de dezembro de 2016.</w:t>
            </w:r>
          </w:p>
        </w:tc>
      </w:tr>
      <w:tr w:rsidR="00EB5CDB" w14:paraId="3FCCF3D8" w14:textId="77777777">
        <w:tc>
          <w:tcPr>
            <w:tcW w:w="2970" w:type="dxa"/>
          </w:tcPr>
          <w:p w14:paraId="57E91D1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Profissionais</w:t>
            </w:r>
            <w:r>
              <w:rPr>
                <w:rFonts w:ascii="Verdana" w:hAnsi="Verdana" w:cs="Tahoma"/>
                <w:sz w:val="20"/>
                <w:szCs w:val="20"/>
              </w:rPr>
              <w:t>”</w:t>
            </w:r>
          </w:p>
        </w:tc>
        <w:tc>
          <w:tcPr>
            <w:tcW w:w="6316" w:type="dxa"/>
          </w:tcPr>
          <w:p w14:paraId="250EB1EF" w14:textId="77777777" w:rsidR="00EB5CDB" w:rsidRDefault="008E55E6">
            <w:pPr>
              <w:spacing w:before="120" w:after="120" w:line="280" w:lineRule="exact"/>
              <w:jc w:val="both"/>
              <w:rPr>
                <w:rFonts w:ascii="Verdana" w:eastAsia="MS Mincho" w:hAnsi="Verdana" w:cs="Tahoma"/>
                <w:bCs/>
                <w:sz w:val="20"/>
                <w:szCs w:val="20"/>
              </w:rPr>
            </w:pPr>
            <w:r>
              <w:rPr>
                <w:rFonts w:ascii="Verdana" w:hAnsi="Verdana" w:cs="Tahoma"/>
                <w:sz w:val="20"/>
                <w:szCs w:val="20"/>
              </w:rPr>
              <w:t xml:space="preserve">São aqueles definidos no artigo 9º-A da Instrução CVM 539, observado o disposto na Instrução CVM 476 e </w:t>
            </w:r>
            <w:r>
              <w:rPr>
                <w:rFonts w:ascii="Verdana" w:eastAsia="MS Mincho" w:hAnsi="Verdana" w:cs="Tahoma"/>
                <w:bCs/>
                <w:sz w:val="20"/>
                <w:szCs w:val="20"/>
              </w:rPr>
              <w:t>nesta</w:t>
            </w:r>
            <w:r>
              <w:rPr>
                <w:rFonts w:ascii="Verdana" w:hAnsi="Verdana" w:cs="Tahoma"/>
                <w:sz w:val="20"/>
                <w:szCs w:val="20"/>
              </w:rPr>
              <w:t xml:space="preserve"> Escritura de Emissão, incluindo, mas não se limitando a: </w:t>
            </w:r>
            <w:r>
              <w:rPr>
                <w:rFonts w:ascii="Verdana" w:hAnsi="Verdana" w:cs="Tahoma"/>
                <w:b/>
                <w:sz w:val="20"/>
                <w:szCs w:val="20"/>
              </w:rPr>
              <w:t>(i)</w:t>
            </w:r>
            <w:r>
              <w:rPr>
                <w:rFonts w:ascii="Verdana" w:eastAsia="MS Mincho" w:hAnsi="Verdana" w:cs="Tahoma"/>
                <w:bCs/>
                <w:sz w:val="20"/>
                <w:szCs w:val="20"/>
              </w:rPr>
              <w:t xml:space="preserve"> </w:t>
            </w:r>
            <w:r>
              <w:rPr>
                <w:rFonts w:ascii="Verdana" w:hAnsi="Verdana" w:cs="Tahoma"/>
                <w:sz w:val="20"/>
                <w:szCs w:val="20"/>
              </w:rPr>
              <w:t xml:space="preserve">instituições financeiras e demais instituições autorizadas a funcionar pelo Banco Central do Brasil; </w:t>
            </w:r>
            <w:r>
              <w:rPr>
                <w:rFonts w:ascii="Verdana" w:hAnsi="Verdana" w:cs="Tahoma"/>
                <w:b/>
                <w:sz w:val="20"/>
                <w:szCs w:val="20"/>
              </w:rPr>
              <w:t>(ii)</w:t>
            </w:r>
            <w:r>
              <w:rPr>
                <w:rFonts w:ascii="Verdana" w:eastAsia="MS Mincho" w:hAnsi="Verdana" w:cs="Tahoma"/>
                <w:bCs/>
                <w:sz w:val="20"/>
                <w:szCs w:val="20"/>
              </w:rPr>
              <w:t xml:space="preserve"> </w:t>
            </w:r>
            <w:r>
              <w:rPr>
                <w:rFonts w:ascii="Verdana" w:hAnsi="Verdana" w:cs="Tahoma"/>
                <w:sz w:val="20"/>
                <w:szCs w:val="20"/>
              </w:rPr>
              <w:t xml:space="preserve">companhias seguradoras e sociedades de capitalização; </w:t>
            </w:r>
            <w:r>
              <w:rPr>
                <w:rFonts w:ascii="Verdana" w:hAnsi="Verdana" w:cs="Tahoma"/>
                <w:b/>
                <w:sz w:val="20"/>
                <w:szCs w:val="20"/>
              </w:rPr>
              <w:t>(iii)</w:t>
            </w:r>
            <w:r>
              <w:rPr>
                <w:rFonts w:ascii="Verdana" w:eastAsia="MS Mincho" w:hAnsi="Verdana" w:cs="Tahoma"/>
                <w:bCs/>
                <w:sz w:val="20"/>
                <w:szCs w:val="20"/>
              </w:rPr>
              <w:t xml:space="preserve"> </w:t>
            </w:r>
            <w:r>
              <w:rPr>
                <w:rFonts w:ascii="Verdana" w:hAnsi="Verdana" w:cs="Tahoma"/>
                <w:sz w:val="20"/>
                <w:szCs w:val="20"/>
              </w:rPr>
              <w:t xml:space="preserve">entidades abertas e fechadas de previdência complementar; </w:t>
            </w:r>
            <w:r>
              <w:rPr>
                <w:rFonts w:ascii="Verdana" w:hAnsi="Verdana" w:cs="Tahoma"/>
                <w:b/>
                <w:sz w:val="20"/>
                <w:szCs w:val="20"/>
              </w:rPr>
              <w:t>(iv)</w:t>
            </w:r>
            <w:r>
              <w:rPr>
                <w:rFonts w:ascii="Verdana" w:eastAsia="MS Mincho" w:hAnsi="Verdana" w:cs="Tahoma"/>
                <w:bCs/>
                <w:sz w:val="20"/>
                <w:szCs w:val="20"/>
              </w:rPr>
              <w:t xml:space="preserve"> </w:t>
            </w:r>
            <w:r>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Pr>
                <w:rFonts w:ascii="Verdana" w:hAnsi="Verdana" w:cs="Tahoma"/>
                <w:b/>
                <w:sz w:val="20"/>
                <w:szCs w:val="20"/>
              </w:rPr>
              <w:t>(v)</w:t>
            </w:r>
            <w:r>
              <w:rPr>
                <w:rFonts w:ascii="Verdana" w:hAnsi="Verdana" w:cs="Tahoma"/>
                <w:sz w:val="20"/>
                <w:szCs w:val="20"/>
              </w:rPr>
              <w:t xml:space="preserve"> fundos de investimento; </w:t>
            </w:r>
            <w:r>
              <w:rPr>
                <w:rFonts w:ascii="Verdana" w:hAnsi="Verdana" w:cs="Tahoma"/>
                <w:b/>
                <w:sz w:val="20"/>
                <w:szCs w:val="20"/>
              </w:rPr>
              <w:t>(vi)</w:t>
            </w:r>
            <w:r>
              <w:rPr>
                <w:rFonts w:ascii="Verdana" w:eastAsia="MS Mincho" w:hAnsi="Verdana" w:cs="Tahoma"/>
                <w:bCs/>
                <w:sz w:val="20"/>
                <w:szCs w:val="20"/>
              </w:rPr>
              <w:t xml:space="preserve"> </w:t>
            </w:r>
            <w:r>
              <w:rPr>
                <w:rFonts w:ascii="Verdana" w:hAnsi="Verdana" w:cs="Tahoma"/>
                <w:sz w:val="20"/>
                <w:szCs w:val="20"/>
              </w:rPr>
              <w:t xml:space="preserve">clubes de investimento, desde que tenham a carteira gerida por administrador de carteira de valores mobiliários autorizado pela CVM; </w:t>
            </w:r>
            <w:r>
              <w:rPr>
                <w:rFonts w:ascii="Verdana" w:hAnsi="Verdana" w:cs="Tahoma"/>
                <w:b/>
                <w:sz w:val="20"/>
                <w:szCs w:val="20"/>
              </w:rPr>
              <w:t>(vii)</w:t>
            </w:r>
            <w:r>
              <w:rPr>
                <w:rFonts w:ascii="Verdana" w:eastAsia="MS Mincho" w:hAnsi="Verdana" w:cs="Tahoma"/>
                <w:bCs/>
                <w:sz w:val="20"/>
                <w:szCs w:val="20"/>
              </w:rPr>
              <w:t> </w:t>
            </w:r>
            <w:r>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Pr>
                <w:rFonts w:ascii="Verdana" w:hAnsi="Verdana" w:cs="Tahoma"/>
                <w:b/>
                <w:sz w:val="20"/>
                <w:szCs w:val="20"/>
              </w:rPr>
              <w:t>(viii)</w:t>
            </w:r>
            <w:r>
              <w:rPr>
                <w:rFonts w:ascii="Verdana" w:eastAsia="MS Mincho" w:hAnsi="Verdana" w:cs="Tahoma"/>
                <w:bCs/>
                <w:sz w:val="20"/>
                <w:szCs w:val="20"/>
              </w:rPr>
              <w:t> </w:t>
            </w:r>
            <w:r>
              <w:rPr>
                <w:rFonts w:ascii="Verdana" w:hAnsi="Verdana" w:cs="Tahoma"/>
                <w:sz w:val="20"/>
                <w:szCs w:val="20"/>
              </w:rPr>
              <w:t>investidores não residentes</w:t>
            </w:r>
            <w:r>
              <w:rPr>
                <w:rFonts w:ascii="Verdana" w:eastAsia="MS Mincho" w:hAnsi="Verdana" w:cs="Tahoma"/>
                <w:bCs/>
                <w:sz w:val="20"/>
                <w:szCs w:val="20"/>
              </w:rPr>
              <w:t>.</w:t>
            </w:r>
          </w:p>
        </w:tc>
      </w:tr>
      <w:tr w:rsidR="00EB5CDB" w14:paraId="2794E795" w14:textId="77777777">
        <w:tc>
          <w:tcPr>
            <w:tcW w:w="2970" w:type="dxa"/>
          </w:tcPr>
          <w:p w14:paraId="34B36D0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Investidores Qualificados</w:t>
            </w:r>
            <w:r>
              <w:rPr>
                <w:rFonts w:ascii="Verdana" w:hAnsi="Verdana" w:cs="Tahoma"/>
                <w:sz w:val="20"/>
                <w:szCs w:val="20"/>
              </w:rPr>
              <w:t>”</w:t>
            </w:r>
          </w:p>
        </w:tc>
        <w:tc>
          <w:tcPr>
            <w:tcW w:w="6316" w:type="dxa"/>
          </w:tcPr>
          <w:p w14:paraId="626A6AE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São aqueles definidos no artigo 9º-B da Instrução CVM 539, incluindo, mas não se limitando a </w:t>
            </w:r>
            <w:r>
              <w:rPr>
                <w:rFonts w:ascii="Verdana" w:hAnsi="Verdana" w:cs="Tahoma"/>
                <w:b/>
                <w:sz w:val="20"/>
                <w:szCs w:val="20"/>
              </w:rPr>
              <w:t>(i)</w:t>
            </w:r>
            <w:r>
              <w:rPr>
                <w:rFonts w:ascii="Verdana" w:hAnsi="Verdana" w:cs="Tahoma"/>
                <w:sz w:val="20"/>
                <w:szCs w:val="20"/>
              </w:rPr>
              <w:t xml:space="preserve"> investidores profissionais, </w:t>
            </w:r>
            <w:r>
              <w:rPr>
                <w:rFonts w:ascii="Verdana" w:hAnsi="Verdana" w:cs="Tahoma"/>
                <w:b/>
                <w:sz w:val="20"/>
                <w:szCs w:val="20"/>
              </w:rPr>
              <w:t>(ii)</w:t>
            </w:r>
            <w:r>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Pr>
                <w:rFonts w:ascii="Verdana" w:hAnsi="Verdana" w:cs="Tahoma"/>
                <w:b/>
                <w:sz w:val="20"/>
                <w:szCs w:val="20"/>
              </w:rPr>
              <w:t>(iii)</w:t>
            </w:r>
            <w:r>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Pr>
                <w:rFonts w:ascii="Verdana" w:hAnsi="Verdana" w:cs="Tahoma"/>
                <w:b/>
                <w:sz w:val="20"/>
                <w:szCs w:val="20"/>
              </w:rPr>
              <w:t>(iv)</w:t>
            </w:r>
            <w:r>
              <w:rPr>
                <w:rFonts w:ascii="Verdana" w:hAnsi="Verdana" w:cs="Tahoma"/>
                <w:sz w:val="20"/>
                <w:szCs w:val="20"/>
              </w:rPr>
              <w:t xml:space="preserve"> clubes de investimento, desde que tenham a carteira gerida por um ou mais cotistas, que sejam investidores qualificados.</w:t>
            </w:r>
          </w:p>
        </w:tc>
      </w:tr>
      <w:tr w:rsidR="00EB5CDB" w14:paraId="0E410FF9" w14:textId="77777777">
        <w:tc>
          <w:tcPr>
            <w:tcW w:w="2970" w:type="dxa"/>
          </w:tcPr>
          <w:p w14:paraId="1684FEA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Investimentos Permitidos</w:t>
            </w:r>
            <w:r>
              <w:rPr>
                <w:rFonts w:ascii="Verdana" w:hAnsi="Verdana" w:cs="Tahoma"/>
                <w:sz w:val="20"/>
                <w:szCs w:val="20"/>
              </w:rPr>
              <w:t>”</w:t>
            </w:r>
          </w:p>
        </w:tc>
        <w:tc>
          <w:tcPr>
            <w:tcW w:w="6316" w:type="dxa"/>
          </w:tcPr>
          <w:p w14:paraId="072AC12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_Ref517621787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3.7</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21447671" w14:textId="77777777">
        <w:tc>
          <w:tcPr>
            <w:tcW w:w="2970" w:type="dxa"/>
          </w:tcPr>
          <w:p w14:paraId="710E814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IPCA</w:t>
            </w:r>
            <w:r>
              <w:rPr>
                <w:rFonts w:ascii="Verdana" w:hAnsi="Verdana" w:cs="Tahoma"/>
                <w:sz w:val="20"/>
                <w:szCs w:val="20"/>
              </w:rPr>
              <w:t>”</w:t>
            </w:r>
          </w:p>
        </w:tc>
        <w:tc>
          <w:tcPr>
            <w:tcW w:w="6316" w:type="dxa"/>
          </w:tcPr>
          <w:p w14:paraId="54822EA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Índice Nacional de Preços ao Consumidor Amplo, divulgado pelo Instituto Brasileiro de Geografia e Estatística - IBGE.</w:t>
            </w:r>
          </w:p>
        </w:tc>
      </w:tr>
      <w:tr w:rsidR="00EB5CDB" w14:paraId="33A9A55B" w14:textId="77777777">
        <w:tc>
          <w:tcPr>
            <w:tcW w:w="2970" w:type="dxa"/>
          </w:tcPr>
          <w:p w14:paraId="5A80824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JUCESP</w:t>
            </w:r>
            <w:r>
              <w:rPr>
                <w:rFonts w:ascii="Verdana" w:hAnsi="Verdana" w:cs="Tahoma"/>
                <w:sz w:val="20"/>
                <w:szCs w:val="20"/>
              </w:rPr>
              <w:t>”</w:t>
            </w:r>
          </w:p>
        </w:tc>
        <w:tc>
          <w:tcPr>
            <w:tcW w:w="6316" w:type="dxa"/>
          </w:tcPr>
          <w:p w14:paraId="0F11A9BE"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Junta Comercial do Estado de São Paulo.</w:t>
            </w:r>
          </w:p>
        </w:tc>
      </w:tr>
      <w:tr w:rsidR="00EB5CDB" w14:paraId="28A818D6" w14:textId="77777777">
        <w:tc>
          <w:tcPr>
            <w:tcW w:w="2970" w:type="dxa"/>
          </w:tcPr>
          <w:p w14:paraId="0E396AE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Anticorrupção</w:t>
            </w:r>
            <w:r>
              <w:rPr>
                <w:rFonts w:ascii="Verdana" w:hAnsi="Verdana" w:cs="Tahoma"/>
                <w:sz w:val="20"/>
                <w:szCs w:val="20"/>
              </w:rPr>
              <w:t>”</w:t>
            </w:r>
          </w:p>
        </w:tc>
        <w:tc>
          <w:tcPr>
            <w:tcW w:w="6316" w:type="dxa"/>
          </w:tcPr>
          <w:p w14:paraId="4BC6E76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Quaisquer leis anticorrupção, incluindo, sem limitação: </w:t>
            </w:r>
            <w:r>
              <w:rPr>
                <w:rFonts w:ascii="Verdana" w:hAnsi="Verdana" w:cs="Tahoma"/>
                <w:i/>
                <w:sz w:val="20"/>
                <w:szCs w:val="20"/>
              </w:rPr>
              <w:t>U.S. Foreign Corrupt Practices Act</w:t>
            </w:r>
            <w:r>
              <w:rPr>
                <w:rFonts w:ascii="Verdana" w:hAnsi="Verdana" w:cs="Tahoma"/>
                <w:sz w:val="20"/>
                <w:szCs w:val="20"/>
              </w:rPr>
              <w:t xml:space="preserve"> (FCPA), a </w:t>
            </w:r>
            <w:r>
              <w:rPr>
                <w:rFonts w:ascii="Verdana" w:hAnsi="Verdana" w:cs="Tahoma"/>
                <w:i/>
                <w:sz w:val="20"/>
                <w:szCs w:val="20"/>
              </w:rPr>
              <w:t>UK Bribery Act</w:t>
            </w:r>
            <w:r>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tc>
      </w:tr>
      <w:tr w:rsidR="00EB5CDB" w14:paraId="7D9526AC" w14:textId="77777777">
        <w:tc>
          <w:tcPr>
            <w:tcW w:w="2970" w:type="dxa"/>
          </w:tcPr>
          <w:p w14:paraId="53CD88F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das Sociedades por Ações</w:t>
            </w:r>
            <w:r>
              <w:rPr>
                <w:rFonts w:ascii="Verdana" w:hAnsi="Verdana" w:cs="Tahoma"/>
                <w:sz w:val="20"/>
                <w:szCs w:val="20"/>
              </w:rPr>
              <w:t xml:space="preserve">” </w:t>
            </w:r>
          </w:p>
        </w:tc>
        <w:tc>
          <w:tcPr>
            <w:tcW w:w="6316" w:type="dxa"/>
          </w:tcPr>
          <w:p w14:paraId="0F0CEAB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6.404, de 15 de dezembro de 1976, conforme alterada.</w:t>
            </w:r>
          </w:p>
        </w:tc>
      </w:tr>
      <w:tr w:rsidR="00EB5CDB" w14:paraId="1557EA08" w14:textId="77777777">
        <w:tc>
          <w:tcPr>
            <w:tcW w:w="2970" w:type="dxa"/>
          </w:tcPr>
          <w:p w14:paraId="5DF99D87"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Combate à Lavagem de Dinheiro</w:t>
            </w:r>
            <w:r>
              <w:rPr>
                <w:rFonts w:ascii="Verdana" w:hAnsi="Verdana" w:cs="Tahoma"/>
                <w:sz w:val="20"/>
                <w:szCs w:val="20"/>
              </w:rPr>
              <w:t>”</w:t>
            </w:r>
          </w:p>
        </w:tc>
        <w:tc>
          <w:tcPr>
            <w:tcW w:w="6316" w:type="dxa"/>
          </w:tcPr>
          <w:p w14:paraId="4C1D266C" w14:textId="77777777" w:rsidR="00EB5CDB" w:rsidRDefault="008E55E6">
            <w:pPr>
              <w:pStyle w:val="Pr-formataoHTML"/>
              <w:spacing w:before="120" w:after="120" w:line="280" w:lineRule="exact"/>
              <w:jc w:val="both"/>
              <w:rPr>
                <w:rFonts w:ascii="Verdana" w:hAnsi="Verdana" w:cs="Tahoma"/>
              </w:rPr>
            </w:pPr>
            <w:r>
              <w:rPr>
                <w:rFonts w:ascii="Verdana" w:hAnsi="Verdana" w:cs="Tahoma"/>
              </w:rPr>
              <w:t xml:space="preserve">As leis, regulamentos e sanções, estaduais e federais, criminais e civis, nos termos da legislação dos Estados Unidos e do Brasil que: </w:t>
            </w:r>
            <w:r>
              <w:rPr>
                <w:rFonts w:ascii="Verdana" w:hAnsi="Verdana" w:cs="Tahoma"/>
                <w:b/>
              </w:rPr>
              <w:t>(i)</w:t>
            </w:r>
            <w:r>
              <w:rPr>
                <w:rFonts w:ascii="Verdana" w:hAnsi="Verdana" w:cs="Tahoma"/>
              </w:rPr>
              <w:t xml:space="preserve"> limitam o uso e/ou buscam confiscar receitas de transações ilegais; </w:t>
            </w:r>
            <w:r>
              <w:rPr>
                <w:rFonts w:ascii="Verdana" w:hAnsi="Verdana" w:cs="Tahoma"/>
                <w:b/>
              </w:rPr>
              <w:t>(ii)</w:t>
            </w:r>
            <w:r>
              <w:rPr>
                <w:rFonts w:ascii="Verdana" w:hAnsi="Verdana" w:cs="Tahoma"/>
              </w:rPr>
              <w:t xml:space="preserve"> requerem identificação e documentação das partes com quem uma instituição financeira realiza negócios; ou </w:t>
            </w:r>
            <w:r>
              <w:rPr>
                <w:rFonts w:ascii="Verdana" w:hAnsi="Verdana" w:cs="Tahoma"/>
                <w:b/>
              </w:rPr>
              <w:t>(iii)</w:t>
            </w:r>
            <w:r>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Pr>
                <w:rFonts w:ascii="Verdana" w:hAnsi="Verdana" w:cs="Tahoma"/>
                <w:i/>
              </w:rPr>
              <w:t>Currency and Foreign Transactions Reporting Act of 1970</w:t>
            </w:r>
            <w:r>
              <w:rPr>
                <w:rFonts w:ascii="Verdana" w:hAnsi="Verdana" w:cs="Tahoma"/>
              </w:rPr>
              <w:t xml:space="preserve">, conforme alterada, </w:t>
            </w:r>
            <w:r>
              <w:rPr>
                <w:rFonts w:ascii="Verdana" w:hAnsi="Verdana" w:cs="Tahoma"/>
                <w:i/>
              </w:rPr>
              <w:t>Bank Secrecy Act</w:t>
            </w:r>
            <w:r>
              <w:rPr>
                <w:rFonts w:ascii="Verdana" w:hAnsi="Verdana" w:cs="Tahoma"/>
              </w:rPr>
              <w:t xml:space="preserve">, conforme alterada pela </w:t>
            </w:r>
            <w:r>
              <w:rPr>
                <w:rFonts w:ascii="Verdana" w:hAnsi="Verdana" w:cs="Tahoma"/>
                <w:i/>
              </w:rPr>
              <w:t>USA Patriot Act of 2001</w:t>
            </w:r>
            <w:r>
              <w:rPr>
                <w:rFonts w:ascii="Verdana" w:hAnsi="Verdana" w:cs="Tahoma"/>
              </w:rPr>
              <w:t xml:space="preserve">, e o </w:t>
            </w:r>
            <w:r>
              <w:rPr>
                <w:rFonts w:ascii="Verdana" w:hAnsi="Verdana" w:cs="Tahoma"/>
                <w:i/>
              </w:rPr>
              <w:t>Money Laundering Control Act of 1986</w:t>
            </w:r>
            <w:r>
              <w:rPr>
                <w:rFonts w:ascii="Verdana" w:hAnsi="Verdana" w:cs="Tahoma"/>
              </w:rPr>
              <w:t xml:space="preserve">, incluindo as leis relativas à prevenção e detecção de lavagem de dinheiro, nos termos da </w:t>
            </w:r>
            <w:r>
              <w:rPr>
                <w:rFonts w:ascii="Verdana" w:hAnsi="Verdana" w:cs="Tahoma"/>
                <w:i/>
              </w:rPr>
              <w:t>18 USC Section 1956 and 1957</w:t>
            </w:r>
            <w:r>
              <w:rPr>
                <w:rFonts w:ascii="Verdana" w:hAnsi="Verdana" w:cs="Tahoma"/>
              </w:rPr>
              <w:t>, da Lei nº 9.613, de 3 de março de 1998, e da regulamentação editada pelo Conselho Monetário Nacional e pelo Banco Central do Brasil.</w:t>
            </w:r>
          </w:p>
        </w:tc>
      </w:tr>
      <w:tr w:rsidR="00EB5CDB" w14:paraId="4BFF8A45" w14:textId="77777777">
        <w:tc>
          <w:tcPr>
            <w:tcW w:w="2970" w:type="dxa"/>
          </w:tcPr>
          <w:p w14:paraId="68BA04D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Leis de Sanção</w:t>
            </w:r>
            <w:r>
              <w:rPr>
                <w:rFonts w:ascii="Verdana" w:hAnsi="Verdana" w:cs="Tahoma"/>
                <w:sz w:val="20"/>
                <w:szCs w:val="20"/>
              </w:rPr>
              <w:t>”</w:t>
            </w:r>
          </w:p>
        </w:tc>
        <w:tc>
          <w:tcPr>
            <w:tcW w:w="6316" w:type="dxa"/>
          </w:tcPr>
          <w:p w14:paraId="43591821" w14:textId="77777777" w:rsidR="00EB5CDB" w:rsidRDefault="008E55E6">
            <w:pPr>
              <w:pStyle w:val="Pr-formataoHTML"/>
              <w:spacing w:before="120" w:after="120" w:line="280" w:lineRule="exact"/>
              <w:jc w:val="both"/>
              <w:rPr>
                <w:rFonts w:ascii="Verdana" w:hAnsi="Verdana" w:cs="Tahoma"/>
              </w:rPr>
            </w:pPr>
            <w:r>
              <w:rPr>
                <w:rFonts w:ascii="Verdana" w:hAnsi="Verdana" w:cs="Tahoma"/>
              </w:rPr>
              <w:t xml:space="preserve">As sanções econômicas, financeiras ou comerciais, medidas restritivas ou embargos impostos, administrados ou executados de tempos em tempos por qualquer das entidades a seguir: </w:t>
            </w:r>
            <w:r>
              <w:rPr>
                <w:rFonts w:ascii="Verdana" w:hAnsi="Verdana" w:cs="Tahoma"/>
                <w:i/>
              </w:rPr>
              <w:t>US Department of the Treasury's Office of Foreign Assets Control</w:t>
            </w:r>
            <w:r>
              <w:rPr>
                <w:rFonts w:ascii="Verdana" w:hAnsi="Verdana" w:cs="Tahoma"/>
              </w:rPr>
              <w:t xml:space="preserve"> (OFAC), o </w:t>
            </w:r>
            <w:r>
              <w:rPr>
                <w:rFonts w:ascii="Verdana" w:hAnsi="Verdana" w:cs="Tahoma"/>
                <w:i/>
              </w:rPr>
              <w:t xml:space="preserve">U.S. Department of State </w:t>
            </w:r>
            <w:r>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tc>
      </w:tr>
      <w:tr w:rsidR="00EB5CDB" w14:paraId="2487602E" w14:textId="77777777">
        <w:tc>
          <w:tcPr>
            <w:tcW w:w="2970" w:type="dxa"/>
          </w:tcPr>
          <w:p w14:paraId="2568629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do Mercado de Capitais</w:t>
            </w:r>
            <w:r>
              <w:rPr>
                <w:rFonts w:ascii="Verdana" w:hAnsi="Verdana" w:cs="Tahoma"/>
                <w:sz w:val="20"/>
                <w:szCs w:val="20"/>
              </w:rPr>
              <w:t>”</w:t>
            </w:r>
          </w:p>
        </w:tc>
        <w:tc>
          <w:tcPr>
            <w:tcW w:w="6316" w:type="dxa"/>
          </w:tcPr>
          <w:p w14:paraId="309A24E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6.385, de 7 de dezembro de 1976, conforme alterada.</w:t>
            </w:r>
          </w:p>
        </w:tc>
      </w:tr>
      <w:tr w:rsidR="00EB5CDB" w14:paraId="78FFB53B" w14:textId="77777777">
        <w:tc>
          <w:tcPr>
            <w:tcW w:w="2970" w:type="dxa"/>
          </w:tcPr>
          <w:p w14:paraId="7881948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Lei nº 10.931</w:t>
            </w:r>
            <w:r>
              <w:rPr>
                <w:rFonts w:ascii="Verdana" w:hAnsi="Verdana" w:cs="Tahoma"/>
                <w:sz w:val="20"/>
                <w:szCs w:val="20"/>
              </w:rPr>
              <w:t>”</w:t>
            </w:r>
          </w:p>
        </w:tc>
        <w:tc>
          <w:tcPr>
            <w:tcW w:w="6316" w:type="dxa"/>
          </w:tcPr>
          <w:p w14:paraId="1E2B2A3A"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Lei nº 10.931, de 2 de agosto de 2004, conforme alterada.</w:t>
            </w:r>
          </w:p>
        </w:tc>
      </w:tr>
      <w:tr w:rsidR="00EB5CDB" w14:paraId="492003D1" w14:textId="77777777">
        <w:tc>
          <w:tcPr>
            <w:tcW w:w="2970" w:type="dxa"/>
          </w:tcPr>
          <w:p w14:paraId="04D88130"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Limitador para Aquisição de CCB</w:t>
            </w:r>
            <w:r>
              <w:rPr>
                <w:rFonts w:ascii="Verdana" w:hAnsi="Verdana" w:cs="Tahoma"/>
                <w:sz w:val="20"/>
                <w:szCs w:val="20"/>
              </w:rPr>
              <w:t>”</w:t>
            </w:r>
          </w:p>
        </w:tc>
        <w:tc>
          <w:tcPr>
            <w:tcW w:w="6316" w:type="dxa"/>
          </w:tcPr>
          <w:p w14:paraId="00E0BF8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_Ref518570502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3.6.4</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15B4A538" w14:textId="77777777">
        <w:tc>
          <w:tcPr>
            <w:tcW w:w="2970" w:type="dxa"/>
          </w:tcPr>
          <w:p w14:paraId="6C3F531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Primeira Série</w:t>
            </w:r>
            <w:r>
              <w:rPr>
                <w:rFonts w:ascii="Verdana" w:hAnsi="Verdana" w:cs="Tahoma"/>
                <w:sz w:val="20"/>
                <w:szCs w:val="20"/>
              </w:rPr>
              <w:t>”</w:t>
            </w:r>
          </w:p>
        </w:tc>
        <w:tc>
          <w:tcPr>
            <w:tcW w:w="6316" w:type="dxa"/>
          </w:tcPr>
          <w:p w14:paraId="5463DA2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_Ref495599330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4EAEB5B8" w14:textId="77777777">
        <w:tc>
          <w:tcPr>
            <w:tcW w:w="2970" w:type="dxa"/>
          </w:tcPr>
          <w:p w14:paraId="4E331EC6"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Limite da Amortização Extraordinária Obrigatória da Segunda Série</w:t>
            </w:r>
            <w:r>
              <w:rPr>
                <w:rFonts w:ascii="Verdana" w:hAnsi="Verdana" w:cs="Tahoma"/>
                <w:sz w:val="20"/>
                <w:szCs w:val="20"/>
              </w:rPr>
              <w:t>”</w:t>
            </w:r>
          </w:p>
        </w:tc>
        <w:tc>
          <w:tcPr>
            <w:tcW w:w="6316" w:type="dxa"/>
          </w:tcPr>
          <w:p w14:paraId="1A306C12"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_Ref497581146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ADBEB01" w14:textId="77777777">
        <w:tc>
          <w:tcPr>
            <w:tcW w:w="2970" w:type="dxa"/>
          </w:tcPr>
          <w:p w14:paraId="1F7E431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MDA</w:t>
            </w:r>
            <w:r>
              <w:rPr>
                <w:rFonts w:ascii="Verdana" w:hAnsi="Verdana" w:cs="Tahoma"/>
                <w:sz w:val="20"/>
                <w:szCs w:val="20"/>
              </w:rPr>
              <w:t>”</w:t>
            </w:r>
          </w:p>
        </w:tc>
        <w:tc>
          <w:tcPr>
            <w:tcW w:w="6316" w:type="dxa"/>
          </w:tcPr>
          <w:p w14:paraId="49E17F42"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MDA – Módulo de Distribuição de Ativos, administrado e operacionalizado pela B3.</w:t>
            </w:r>
          </w:p>
        </w:tc>
      </w:tr>
      <w:tr w:rsidR="00EB5CDB" w14:paraId="0CEF4301" w14:textId="77777777">
        <w:tc>
          <w:tcPr>
            <w:tcW w:w="2970" w:type="dxa"/>
          </w:tcPr>
          <w:p w14:paraId="11D37203"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Mês Completo de Alocação</w:t>
            </w:r>
            <w:r>
              <w:rPr>
                <w:rFonts w:ascii="Verdana" w:hAnsi="Verdana" w:cs="Tahoma"/>
                <w:sz w:val="20"/>
                <w:szCs w:val="20"/>
              </w:rPr>
              <w:t>”</w:t>
            </w:r>
          </w:p>
        </w:tc>
        <w:tc>
          <w:tcPr>
            <w:tcW w:w="6316" w:type="dxa"/>
          </w:tcPr>
          <w:p w14:paraId="77C99F40"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Cada um dos 12 (doze) meses calendário começando no mês imediatamente posterior à Data da 1ª Integralização.</w:t>
            </w:r>
          </w:p>
        </w:tc>
      </w:tr>
      <w:tr w:rsidR="00EB5CDB" w14:paraId="675F642E" w14:textId="77777777">
        <w:tc>
          <w:tcPr>
            <w:tcW w:w="2970" w:type="dxa"/>
          </w:tcPr>
          <w:p w14:paraId="51EA2E71" w14:textId="77777777" w:rsidR="00EB5CDB" w:rsidRDefault="008E55E6" w:rsidP="004509C0">
            <w:pPr>
              <w:spacing w:before="120" w:after="120" w:line="280" w:lineRule="exact"/>
              <w:jc w:val="both"/>
              <w:rPr>
                <w:rFonts w:ascii="Verdana" w:hAnsi="Verdana" w:cs="Tahoma"/>
                <w:sz w:val="20"/>
                <w:szCs w:val="20"/>
              </w:rPr>
            </w:pPr>
            <w:r>
              <w:rPr>
                <w:rFonts w:ascii="Verdana" w:hAnsi="Verdana"/>
                <w:sz w:val="20"/>
                <w:szCs w:val="20"/>
              </w:rPr>
              <w:t>“</w:t>
            </w:r>
            <w:r>
              <w:rPr>
                <w:rFonts w:ascii="Verdana" w:hAnsi="Verdana"/>
                <w:sz w:val="20"/>
                <w:szCs w:val="20"/>
                <w:u w:val="single"/>
              </w:rPr>
              <w:t>Montante Máximo de Partilha Inicial</w:t>
            </w:r>
            <w:r>
              <w:rPr>
                <w:rFonts w:ascii="Verdana" w:hAnsi="Verdana"/>
                <w:sz w:val="20"/>
                <w:szCs w:val="20"/>
              </w:rPr>
              <w:t>”</w:t>
            </w:r>
          </w:p>
        </w:tc>
        <w:tc>
          <w:tcPr>
            <w:tcW w:w="6316" w:type="dxa"/>
          </w:tcPr>
          <w:p w14:paraId="20047DEB" w14:textId="77777777" w:rsidR="00EB5CDB" w:rsidRDefault="008E55E6">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_Ref517613275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3.19.3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6B62B30A" w14:textId="77777777">
        <w:tc>
          <w:tcPr>
            <w:tcW w:w="2970" w:type="dxa"/>
          </w:tcPr>
          <w:p w14:paraId="5193214F"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Objeto Social</w:t>
            </w:r>
            <w:r>
              <w:rPr>
                <w:rFonts w:ascii="Verdana" w:hAnsi="Verdana" w:cs="Tahoma"/>
                <w:sz w:val="20"/>
                <w:szCs w:val="20"/>
              </w:rPr>
              <w:t>”</w:t>
            </w:r>
          </w:p>
        </w:tc>
        <w:tc>
          <w:tcPr>
            <w:tcW w:w="6316" w:type="dxa"/>
          </w:tcPr>
          <w:p w14:paraId="1471C36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As atividades desenvolvidas pela Emissora, conforme descritas no item </w:t>
            </w:r>
            <w:r>
              <w:rPr>
                <w:rFonts w:ascii="Verdana" w:hAnsi="Verdana" w:cs="Tahoma"/>
                <w:sz w:val="20"/>
                <w:szCs w:val="20"/>
              </w:rPr>
              <w:fldChar w:fldCharType="begin"/>
            </w:r>
            <w:r>
              <w:rPr>
                <w:rFonts w:ascii="Verdana" w:hAnsi="Verdana" w:cs="Tahoma"/>
                <w:sz w:val="20"/>
                <w:szCs w:val="20"/>
              </w:rPr>
              <w:instrText xml:space="preserve"> REF _Ref497551121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3.1.1</w:t>
            </w:r>
            <w:r>
              <w:rPr>
                <w:rFonts w:ascii="Verdana" w:hAnsi="Verdana" w:cs="Tahoma"/>
                <w:sz w:val="20"/>
                <w:szCs w:val="20"/>
              </w:rPr>
              <w:fldChar w:fldCharType="end"/>
            </w:r>
            <w:r>
              <w:rPr>
                <w:rFonts w:ascii="Verdana" w:hAnsi="Verdana" w:cs="Tahoma"/>
                <w:sz w:val="20"/>
                <w:szCs w:val="20"/>
              </w:rPr>
              <w:t xml:space="preserve"> abaixo.</w:t>
            </w:r>
          </w:p>
        </w:tc>
      </w:tr>
      <w:tr w:rsidR="00EB5CDB" w14:paraId="03AE09FC" w14:textId="77777777">
        <w:tc>
          <w:tcPr>
            <w:tcW w:w="2970" w:type="dxa"/>
          </w:tcPr>
          <w:p w14:paraId="447B784D"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Oferta Restrita</w:t>
            </w:r>
            <w:r>
              <w:rPr>
                <w:rFonts w:ascii="Verdana" w:hAnsi="Verdana" w:cs="Tahoma"/>
                <w:sz w:val="20"/>
                <w:szCs w:val="20"/>
              </w:rPr>
              <w:t>”</w:t>
            </w:r>
          </w:p>
        </w:tc>
        <w:tc>
          <w:tcPr>
            <w:tcW w:w="6316" w:type="dxa"/>
          </w:tcPr>
          <w:p w14:paraId="4FC2EA94"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A oferta pública de distribuição das Debêntures, a ser realizada pelo Coordenador Líder, com esforços restritos de distribuição, nos termos da Lei do Mercado de Capitais, da Instrução CVM 476 e demais leis e regulamentações aplicáveis.</w:t>
            </w:r>
          </w:p>
        </w:tc>
      </w:tr>
      <w:tr w:rsidR="00EB5CDB" w14:paraId="1F5314A5" w14:textId="77777777">
        <w:tc>
          <w:tcPr>
            <w:tcW w:w="2970" w:type="dxa"/>
          </w:tcPr>
          <w:p w14:paraId="46C1B05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Ordem de Alocação de Recursos</w:t>
            </w:r>
            <w:r>
              <w:rPr>
                <w:rFonts w:ascii="Verdana" w:hAnsi="Verdana" w:cs="Tahoma"/>
                <w:sz w:val="20"/>
                <w:szCs w:val="20"/>
              </w:rPr>
              <w:t>”</w:t>
            </w:r>
          </w:p>
        </w:tc>
        <w:tc>
          <w:tcPr>
            <w:tcW w:w="6316" w:type="dxa"/>
          </w:tcPr>
          <w:p w14:paraId="0F96980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588EA927" w14:textId="77777777">
        <w:tc>
          <w:tcPr>
            <w:tcW w:w="2970" w:type="dxa"/>
          </w:tcPr>
          <w:p w14:paraId="514BB81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aos Debenturistas</w:t>
            </w:r>
            <w:r>
              <w:rPr>
                <w:rFonts w:ascii="Verdana" w:hAnsi="Verdana" w:cs="Tahoma"/>
                <w:sz w:val="20"/>
                <w:szCs w:val="20"/>
              </w:rPr>
              <w:t>”</w:t>
            </w:r>
          </w:p>
        </w:tc>
        <w:tc>
          <w:tcPr>
            <w:tcW w:w="6316" w:type="dxa"/>
          </w:tcPr>
          <w:p w14:paraId="60E1FC08" w14:textId="13D496F4"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Os pagamentos devidos pela Emissora referentes </w:t>
            </w:r>
            <w:r>
              <w:rPr>
                <w:rFonts w:ascii="Verdana" w:hAnsi="Verdana" w:cs="Tahoma"/>
                <w:b/>
                <w:sz w:val="20"/>
                <w:szCs w:val="20"/>
              </w:rPr>
              <w:t>(i)</w:t>
            </w:r>
            <w:r>
              <w:rPr>
                <w:rFonts w:ascii="Verdana" w:hAnsi="Verdana" w:cs="Tahoma"/>
                <w:sz w:val="20"/>
                <w:szCs w:val="20"/>
              </w:rPr>
              <w:t xml:space="preserve"> com relação às Debêntures da Primeira Série: (a) à Amortização Extraordinária Obrigatória, (b) à Remuneração das Debêntures da Primeira Série, (c)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 à Amortização Final; </w:t>
            </w:r>
            <w:r>
              <w:rPr>
                <w:rFonts w:ascii="Verdana" w:hAnsi="Verdana" w:cs="Tahoma"/>
                <w:b/>
                <w:sz w:val="20"/>
                <w:szCs w:val="20"/>
              </w:rPr>
              <w:t>(ii)</w:t>
            </w:r>
            <w:r>
              <w:rPr>
                <w:rFonts w:ascii="Verdana" w:hAnsi="Verdana" w:cs="Tahoma"/>
                <w:sz w:val="20"/>
                <w:szCs w:val="20"/>
              </w:rPr>
              <w:t xml:space="preserve"> com relação às Debêntures da Segunda Série (a) à Amortização Extraordinária Obrigatória, (</w:t>
            </w:r>
            <w:r w:rsidR="00435E3F">
              <w:rPr>
                <w:rFonts w:ascii="Verdana" w:hAnsi="Verdana" w:cs="Tahoma"/>
                <w:sz w:val="20"/>
                <w:szCs w:val="20"/>
              </w:rPr>
              <w:t>b</w:t>
            </w:r>
            <w:r>
              <w:rPr>
                <w:rFonts w:ascii="Verdana" w:hAnsi="Verdana" w:cs="Tahoma"/>
                <w:sz w:val="20"/>
                <w:szCs w:val="20"/>
              </w:rPr>
              <w:t xml:space="preserve">)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w:t>
            </w:r>
            <w:r w:rsidR="00435E3F">
              <w:rPr>
                <w:rFonts w:ascii="Verdana" w:hAnsi="Verdana" w:cs="Tahoma"/>
                <w:sz w:val="20"/>
                <w:szCs w:val="20"/>
              </w:rPr>
              <w:t>c</w:t>
            </w:r>
            <w:r>
              <w:rPr>
                <w:rFonts w:ascii="Verdana" w:hAnsi="Verdana" w:cs="Tahoma"/>
                <w:sz w:val="20"/>
                <w:szCs w:val="20"/>
              </w:rPr>
              <w:t>) à Amortização Final, e demais valores devidos pela Emissora aos Debenturistas, no âmbito da Emissão.</w:t>
            </w:r>
          </w:p>
        </w:tc>
      </w:tr>
      <w:tr w:rsidR="00EB5CDB" w14:paraId="24010BBD" w14:textId="77777777">
        <w:tc>
          <w:tcPr>
            <w:tcW w:w="2970" w:type="dxa"/>
          </w:tcPr>
          <w:p w14:paraId="73FC2CB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Pagamento Condicionado</w:t>
            </w:r>
            <w:r>
              <w:rPr>
                <w:rFonts w:ascii="Verdana" w:hAnsi="Verdana" w:cs="Tahoma"/>
                <w:sz w:val="20"/>
                <w:szCs w:val="20"/>
              </w:rPr>
              <w:t>”</w:t>
            </w:r>
          </w:p>
        </w:tc>
        <w:tc>
          <w:tcPr>
            <w:tcW w:w="6316" w:type="dxa"/>
          </w:tcPr>
          <w:p w14:paraId="2C4D13E5"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Os pagamentos devidos aos Debenturistas condicionados ao efetivo pagamento, em montante suficiente, dos Direitos Creditórios Vinculados.</w:t>
            </w:r>
          </w:p>
        </w:tc>
      </w:tr>
      <w:tr w:rsidR="00EB5CDB" w14:paraId="07D684BA" w14:textId="77777777">
        <w:tc>
          <w:tcPr>
            <w:tcW w:w="2970" w:type="dxa"/>
          </w:tcPr>
          <w:p w14:paraId="572C1971"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Alocação</w:t>
            </w:r>
            <w:r>
              <w:rPr>
                <w:rFonts w:ascii="Verdana" w:hAnsi="Verdana" w:cs="Tahoma"/>
                <w:sz w:val="20"/>
                <w:szCs w:val="20"/>
              </w:rPr>
              <w:t>”</w:t>
            </w:r>
          </w:p>
        </w:tc>
        <w:tc>
          <w:tcPr>
            <w:tcW w:w="6316" w:type="dxa"/>
          </w:tcPr>
          <w:p w14:paraId="51D8DE57" w14:textId="5DAFD4FF"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período entre a Data da 1</w:t>
            </w:r>
            <w:r>
              <w:rPr>
                <w:rFonts w:ascii="Verdana" w:hAnsi="Verdana" w:cs="Tahoma"/>
                <w:sz w:val="20"/>
                <w:szCs w:val="20"/>
                <w:vertAlign w:val="superscript"/>
              </w:rPr>
              <w:t>a</w:t>
            </w:r>
            <w:r>
              <w:rPr>
                <w:rFonts w:ascii="Verdana" w:hAnsi="Verdana" w:cs="Tahoma"/>
                <w:sz w:val="20"/>
                <w:szCs w:val="20"/>
              </w:rPr>
              <w:t xml:space="preserve"> Integralização (inclusive) e </w:t>
            </w:r>
            <w:r>
              <w:rPr>
                <w:rFonts w:ascii="Verdana" w:hAnsi="Verdana" w:cs="Tahoma"/>
                <w:b/>
                <w:sz w:val="20"/>
                <w:szCs w:val="20"/>
              </w:rPr>
              <w:t>(i)</w:t>
            </w:r>
            <w:r>
              <w:rPr>
                <w:rFonts w:ascii="Verdana" w:hAnsi="Verdana" w:cs="Tahoma"/>
                <w:sz w:val="20"/>
                <w:szCs w:val="20"/>
              </w:rPr>
              <w:t xml:space="preserve"> o último Dia Útil do 12</w:t>
            </w:r>
            <w:r>
              <w:rPr>
                <w:rFonts w:ascii="Verdana" w:hAnsi="Verdana" w:cs="Tahoma"/>
                <w:sz w:val="20"/>
                <w:szCs w:val="20"/>
                <w:vertAlign w:val="superscript"/>
              </w:rPr>
              <w:t>o</w:t>
            </w:r>
            <w:r>
              <w:rPr>
                <w:rFonts w:ascii="Verdana" w:hAnsi="Verdana" w:cs="Tahoma"/>
                <w:sz w:val="20"/>
                <w:szCs w:val="20"/>
              </w:rPr>
              <w:t xml:space="preserve"> (décimo segundo) Mês Completo de Alocação, ou </w:t>
            </w:r>
            <w:r>
              <w:rPr>
                <w:rFonts w:ascii="Verdana" w:hAnsi="Verdana" w:cs="Tahoma"/>
                <w:b/>
                <w:sz w:val="20"/>
                <w:szCs w:val="20"/>
              </w:rPr>
              <w:t>(ii)</w:t>
            </w:r>
            <w:r>
              <w:rPr>
                <w:rFonts w:ascii="Verdana" w:hAnsi="Verdana" w:cs="Tahoma"/>
                <w:sz w:val="20"/>
                <w:szCs w:val="20"/>
              </w:rPr>
              <w:t xml:space="preserve"> o dia em que </w:t>
            </w:r>
            <w:r w:rsidR="00312DF9">
              <w:rPr>
                <w:rFonts w:ascii="Verdana" w:hAnsi="Verdana" w:cs="Tahoma"/>
                <w:sz w:val="20"/>
                <w:szCs w:val="20"/>
              </w:rPr>
              <w:t>for constatado a decretação de um</w:t>
            </w:r>
            <w:r>
              <w:rPr>
                <w:rFonts w:ascii="Verdana" w:hAnsi="Verdana" w:cs="Tahoma"/>
                <w:sz w:val="20"/>
                <w:szCs w:val="20"/>
              </w:rPr>
              <w:t xml:space="preserve"> Evento de Aceleração de Vencimento. </w:t>
            </w:r>
          </w:p>
        </w:tc>
      </w:tr>
      <w:tr w:rsidR="00EB5CDB" w14:paraId="69ED3E0D" w14:textId="77777777">
        <w:tc>
          <w:tcPr>
            <w:tcW w:w="2970" w:type="dxa"/>
          </w:tcPr>
          <w:p w14:paraId="4BAE943C"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Período de Capitalização</w:t>
            </w:r>
            <w:r>
              <w:rPr>
                <w:rFonts w:ascii="Verdana" w:hAnsi="Verdana" w:cs="Tahoma"/>
                <w:sz w:val="20"/>
                <w:szCs w:val="20"/>
              </w:rPr>
              <w:t>”</w:t>
            </w:r>
          </w:p>
        </w:tc>
        <w:tc>
          <w:tcPr>
            <w:tcW w:w="6316" w:type="dxa"/>
          </w:tcPr>
          <w:p w14:paraId="03799246"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_Ref497551838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3.17.2</w:t>
            </w:r>
            <w:r>
              <w:rPr>
                <w:rFonts w:ascii="Verdana" w:hAnsi="Verdana" w:cs="Tahoma"/>
                <w:sz w:val="20"/>
                <w:szCs w:val="20"/>
              </w:rPr>
              <w:fldChar w:fldCharType="end"/>
            </w:r>
            <w:r>
              <w:rPr>
                <w:rFonts w:ascii="Verdana" w:hAnsi="Verdana" w:cs="Tahoma"/>
                <w:sz w:val="20"/>
                <w:szCs w:val="20"/>
              </w:rPr>
              <w:t xml:space="preserve"> desta Escritura de Emissão.</w:t>
            </w:r>
          </w:p>
        </w:tc>
      </w:tr>
      <w:tr w:rsidR="00EB5CDB" w14:paraId="3591CAA6" w14:textId="77777777">
        <w:tc>
          <w:tcPr>
            <w:tcW w:w="2970" w:type="dxa"/>
          </w:tcPr>
          <w:p w14:paraId="4D726285" w14:textId="77777777"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Pr>
                <w:rFonts w:ascii="Verdana" w:hAnsi="Verdana" w:cs="Tahoma"/>
                <w:sz w:val="20"/>
                <w:szCs w:val="20"/>
                <w:u w:val="single"/>
              </w:rPr>
              <w:t>Período de Colocação”</w:t>
            </w:r>
          </w:p>
        </w:tc>
        <w:tc>
          <w:tcPr>
            <w:tcW w:w="6316" w:type="dxa"/>
          </w:tcPr>
          <w:p w14:paraId="383A7470" w14:textId="754DD38A"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 xml:space="preserve">O prazo de </w:t>
            </w:r>
            <w:r w:rsidR="00F947EC">
              <w:rPr>
                <w:rFonts w:ascii="Verdana" w:hAnsi="Verdana" w:cs="Tahoma"/>
                <w:sz w:val="20"/>
                <w:szCs w:val="20"/>
              </w:rPr>
              <w:t>12</w:t>
            </w:r>
            <w:r>
              <w:rPr>
                <w:rFonts w:ascii="Verdana" w:hAnsi="Verdana" w:cs="Tahoma"/>
                <w:sz w:val="20"/>
                <w:szCs w:val="20"/>
              </w:rPr>
              <w:t xml:space="preserve"> (</w:t>
            </w:r>
            <w:r w:rsidR="00F947EC">
              <w:rPr>
                <w:rFonts w:ascii="Verdana" w:hAnsi="Verdana" w:cs="Tahoma"/>
                <w:sz w:val="20"/>
                <w:szCs w:val="20"/>
              </w:rPr>
              <w:t>doze</w:t>
            </w:r>
            <w:r>
              <w:rPr>
                <w:rFonts w:ascii="Verdana" w:hAnsi="Verdana" w:cs="Tahoma"/>
                <w:sz w:val="20"/>
                <w:szCs w:val="20"/>
              </w:rPr>
              <w:t>) meses a contar do início da Oferta Restrita.</w:t>
            </w:r>
          </w:p>
        </w:tc>
      </w:tr>
      <w:tr w:rsidR="00EB5CDB" w14:paraId="6FC9CF63" w14:textId="77777777">
        <w:tc>
          <w:tcPr>
            <w:tcW w:w="2970" w:type="dxa"/>
          </w:tcPr>
          <w:p w14:paraId="3518139A" w14:textId="77777777" w:rsidR="00EB5CDB" w:rsidRPr="00F947EC" w:rsidRDefault="008E55E6">
            <w:pPr>
              <w:spacing w:before="120" w:after="120" w:line="280" w:lineRule="exact"/>
              <w:jc w:val="both"/>
              <w:rPr>
                <w:rFonts w:ascii="Verdana" w:hAnsi="Verdana" w:cs="Tahoma"/>
                <w:sz w:val="20"/>
                <w:szCs w:val="20"/>
              </w:rPr>
            </w:pPr>
            <w:r w:rsidRPr="00F947EC">
              <w:rPr>
                <w:rFonts w:ascii="Verdana" w:hAnsi="Verdana" w:cs="Tahoma"/>
                <w:sz w:val="20"/>
                <w:szCs w:val="20"/>
              </w:rPr>
              <w:t>“</w:t>
            </w:r>
            <w:r w:rsidRPr="00F947EC">
              <w:rPr>
                <w:rFonts w:ascii="Verdana" w:hAnsi="Verdana" w:cs="Tahoma"/>
                <w:sz w:val="20"/>
                <w:szCs w:val="20"/>
                <w:u w:val="single"/>
              </w:rPr>
              <w:t>Plano de Ação</w:t>
            </w:r>
            <w:r w:rsidRPr="00F947EC">
              <w:rPr>
                <w:rFonts w:ascii="Verdana" w:hAnsi="Verdana" w:cs="Tahoma"/>
                <w:sz w:val="20"/>
                <w:szCs w:val="20"/>
              </w:rPr>
              <w:t>”</w:t>
            </w:r>
          </w:p>
        </w:tc>
        <w:tc>
          <w:tcPr>
            <w:tcW w:w="6316" w:type="dxa"/>
          </w:tcPr>
          <w:p w14:paraId="77B4D7DA" w14:textId="77777777" w:rsidR="00EB5CDB" w:rsidRPr="00F947EC" w:rsidRDefault="008E55E6">
            <w:pPr>
              <w:tabs>
                <w:tab w:val="left" w:pos="1134"/>
              </w:tabs>
              <w:spacing w:before="120" w:after="120" w:line="280" w:lineRule="exact"/>
              <w:jc w:val="both"/>
              <w:rPr>
                <w:rFonts w:ascii="Verdana" w:hAnsi="Verdana" w:cs="Tahoma"/>
                <w:sz w:val="20"/>
                <w:szCs w:val="20"/>
              </w:rPr>
            </w:pPr>
            <w:r w:rsidRPr="00F947EC">
              <w:rPr>
                <w:rFonts w:ascii="Verdana" w:hAnsi="Verdana" w:cs="Tahoma"/>
                <w:sz w:val="20"/>
                <w:szCs w:val="20"/>
              </w:rPr>
              <w:t xml:space="preserve">Tem o significado atribuído no item </w:t>
            </w:r>
            <w:r w:rsidRPr="00F947EC">
              <w:rPr>
                <w:rFonts w:ascii="Verdana" w:hAnsi="Verdana" w:cs="Tahoma"/>
                <w:sz w:val="20"/>
                <w:szCs w:val="20"/>
              </w:rPr>
              <w:fldChar w:fldCharType="begin"/>
            </w:r>
            <w:r w:rsidRPr="00F947EC">
              <w:rPr>
                <w:rFonts w:ascii="Verdana" w:hAnsi="Verdana" w:cs="Tahoma"/>
                <w:sz w:val="20"/>
                <w:szCs w:val="20"/>
              </w:rPr>
              <w:instrText xml:space="preserve"> REF _Ref497551749 \n \h  \* MERGEFORMAT </w:instrText>
            </w:r>
            <w:r w:rsidRPr="00F947EC">
              <w:rPr>
                <w:rFonts w:ascii="Verdana" w:hAnsi="Verdana" w:cs="Tahoma"/>
                <w:sz w:val="20"/>
                <w:szCs w:val="20"/>
              </w:rPr>
            </w:r>
            <w:r w:rsidRPr="00F947EC">
              <w:rPr>
                <w:rFonts w:ascii="Verdana" w:hAnsi="Verdana" w:cs="Tahoma"/>
                <w:sz w:val="20"/>
                <w:szCs w:val="20"/>
              </w:rPr>
              <w:fldChar w:fldCharType="separate"/>
            </w:r>
            <w:r w:rsidRPr="00F947EC">
              <w:rPr>
                <w:rFonts w:ascii="Verdana" w:hAnsi="Verdana" w:cs="Tahoma"/>
                <w:sz w:val="20"/>
                <w:szCs w:val="20"/>
              </w:rPr>
              <w:t>3.22.2</w:t>
            </w:r>
            <w:r w:rsidRPr="00F947EC">
              <w:rPr>
                <w:rFonts w:ascii="Verdana" w:hAnsi="Verdana" w:cs="Tahoma"/>
                <w:sz w:val="20"/>
                <w:szCs w:val="20"/>
              </w:rPr>
              <w:fldChar w:fldCharType="end"/>
            </w:r>
            <w:r w:rsidRPr="00F947EC">
              <w:rPr>
                <w:rFonts w:ascii="Verdana" w:hAnsi="Verdana" w:cs="Tahoma"/>
                <w:sz w:val="20"/>
                <w:szCs w:val="20"/>
              </w:rPr>
              <w:t xml:space="preserve"> desta Escritura de Emissão.</w:t>
            </w:r>
          </w:p>
        </w:tc>
      </w:tr>
      <w:tr w:rsidR="00EB5CDB" w14:paraId="703EADAF" w14:textId="77777777">
        <w:tc>
          <w:tcPr>
            <w:tcW w:w="2970" w:type="dxa"/>
          </w:tcPr>
          <w:p w14:paraId="2C25F949"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Plataforma</w:t>
            </w:r>
            <w:r>
              <w:rPr>
                <w:rFonts w:ascii="Verdana" w:hAnsi="Verdana" w:cs="Tahoma"/>
                <w:sz w:val="20"/>
                <w:szCs w:val="20"/>
              </w:rPr>
              <w:t>”</w:t>
            </w:r>
          </w:p>
        </w:tc>
        <w:tc>
          <w:tcPr>
            <w:tcW w:w="6316" w:type="dxa"/>
          </w:tcPr>
          <w:p w14:paraId="47D923C9" w14:textId="0ECB1B97" w:rsidR="00EB5CDB" w:rsidRPr="004509C0" w:rsidRDefault="008E55E6" w:rsidP="009E4D05">
            <w:pPr>
              <w:spacing w:before="120" w:line="280" w:lineRule="exact"/>
              <w:jc w:val="both"/>
              <w:rPr>
                <w:rFonts w:ascii="Verdana" w:hAnsi="Verdana" w:cs="Tahoma"/>
                <w:sz w:val="20"/>
                <w:szCs w:val="20"/>
                <w:highlight w:val="yellow"/>
              </w:rPr>
            </w:pPr>
            <w:r w:rsidRPr="009E4D05">
              <w:rPr>
                <w:rFonts w:ascii="Verdana" w:hAnsi="Verdana" w:cs="Tahoma"/>
                <w:sz w:val="20"/>
                <w:szCs w:val="20"/>
              </w:rPr>
              <w:t xml:space="preserve">A plataforma eletrônica acessível pelo sítio </w:t>
            </w:r>
            <w:r w:rsidR="009E4D05" w:rsidRPr="009E4D05">
              <w:rPr>
                <w:rFonts w:ascii="Verdana" w:hAnsi="Verdana" w:cs="Tahoma"/>
                <w:sz w:val="20"/>
                <w:szCs w:val="20"/>
              </w:rPr>
              <w:t>http://www.gyramais.com</w:t>
            </w:r>
            <w:r w:rsidR="009E4D05">
              <w:rPr>
                <w:rFonts w:ascii="Verdana" w:hAnsi="Verdana" w:cs="Tahoma"/>
                <w:sz w:val="20"/>
                <w:szCs w:val="20"/>
              </w:rPr>
              <w:t>,</w:t>
            </w:r>
            <w:r w:rsidRPr="009E4D05">
              <w:rPr>
                <w:rFonts w:ascii="Verdana" w:hAnsi="Verdana" w:cs="Tahoma"/>
                <w:sz w:val="20"/>
                <w:szCs w:val="20"/>
              </w:rPr>
              <w:t xml:space="preserve"> desenvolvida e mantida pela </w:t>
            </w:r>
            <w:r w:rsidR="009E4D05">
              <w:rPr>
                <w:rFonts w:ascii="Verdana" w:hAnsi="Verdana" w:cs="Tahoma"/>
                <w:sz w:val="20"/>
                <w:szCs w:val="20"/>
              </w:rPr>
              <w:t>Gyramais</w:t>
            </w:r>
            <w:r w:rsidRPr="009E4D05">
              <w:rPr>
                <w:rFonts w:ascii="Verdana" w:hAnsi="Verdana" w:cs="Tahoma"/>
                <w:sz w:val="20"/>
                <w:szCs w:val="20"/>
              </w:rPr>
              <w:t>.</w:t>
            </w:r>
          </w:p>
        </w:tc>
      </w:tr>
      <w:tr w:rsidR="00EB5CDB" w14:paraId="637C54E3" w14:textId="77777777">
        <w:tc>
          <w:tcPr>
            <w:tcW w:w="2970" w:type="dxa"/>
          </w:tcPr>
          <w:p w14:paraId="2F9A005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w:t>
            </w:r>
            <w:r>
              <w:rPr>
                <w:rFonts w:ascii="Verdana" w:hAnsi="Verdana" w:cs="Tahoma"/>
                <w:sz w:val="20"/>
                <w:szCs w:val="20"/>
              </w:rPr>
              <w:t>”</w:t>
            </w:r>
          </w:p>
        </w:tc>
        <w:tc>
          <w:tcPr>
            <w:tcW w:w="6316" w:type="dxa"/>
          </w:tcPr>
          <w:p w14:paraId="420C0DDB"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O preço de integralização das Debêntures da Primeira Série em conjunto com o Preço de Integralização das Debêntures da Segunda Série.</w:t>
            </w:r>
          </w:p>
        </w:tc>
      </w:tr>
      <w:tr w:rsidR="00EB5CDB" w14:paraId="5368079E" w14:textId="77777777">
        <w:tc>
          <w:tcPr>
            <w:tcW w:w="2970" w:type="dxa"/>
          </w:tcPr>
          <w:p w14:paraId="33D16980"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Primeira Série</w:t>
            </w:r>
            <w:r>
              <w:rPr>
                <w:rFonts w:ascii="Verdana" w:hAnsi="Verdana" w:cs="Tahoma"/>
                <w:sz w:val="20"/>
                <w:szCs w:val="20"/>
              </w:rPr>
              <w:t>”</w:t>
            </w:r>
          </w:p>
        </w:tc>
        <w:tc>
          <w:tcPr>
            <w:tcW w:w="6316" w:type="dxa"/>
          </w:tcPr>
          <w:p w14:paraId="03C90F99"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_Ref495596571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5FC2563B" w14:textId="77777777">
        <w:tc>
          <w:tcPr>
            <w:tcW w:w="2970" w:type="dxa"/>
          </w:tcPr>
          <w:p w14:paraId="58F92A97"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Preço de Integralização das Debêntures da Segunda Série</w:t>
            </w:r>
            <w:r>
              <w:rPr>
                <w:rFonts w:ascii="Verdana" w:hAnsi="Verdana" w:cs="Tahoma"/>
                <w:sz w:val="20"/>
                <w:szCs w:val="20"/>
              </w:rPr>
              <w:t>”</w:t>
            </w:r>
          </w:p>
        </w:tc>
        <w:tc>
          <w:tcPr>
            <w:tcW w:w="6316" w:type="dxa"/>
          </w:tcPr>
          <w:p w14:paraId="69E3B5CD"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_Ref495596580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3.15.1.2</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719F9411" w14:textId="77777777">
        <w:tc>
          <w:tcPr>
            <w:tcW w:w="2970" w:type="dxa"/>
          </w:tcPr>
          <w:p w14:paraId="3D7310B1" w14:textId="3D8B29FB" w:rsidR="00EB5CDB" w:rsidRDefault="008E55E6">
            <w:pPr>
              <w:spacing w:before="120" w:after="120" w:line="280" w:lineRule="exact"/>
              <w:jc w:val="both"/>
              <w:rPr>
                <w:rFonts w:ascii="Verdana" w:hAnsi="Verdana" w:cs="Tahoma"/>
                <w:sz w:val="20"/>
                <w:szCs w:val="20"/>
                <w:u w:val="single"/>
              </w:rPr>
            </w:pPr>
            <w:r>
              <w:rPr>
                <w:rFonts w:ascii="Verdana" w:hAnsi="Verdana" w:cs="Tahoma"/>
                <w:sz w:val="20"/>
                <w:szCs w:val="20"/>
              </w:rPr>
              <w:t>“</w:t>
            </w:r>
            <w:r w:rsidR="00017F48">
              <w:rPr>
                <w:rFonts w:ascii="Verdana" w:hAnsi="Verdana" w:cs="Tahoma"/>
                <w:sz w:val="20"/>
                <w:szCs w:val="20"/>
                <w:u w:val="single"/>
              </w:rPr>
              <w:t>Prêmio Sobre a Receita dos Direitos Creditórios Vinculados</w:t>
            </w:r>
            <w:r>
              <w:rPr>
                <w:rFonts w:ascii="Verdana" w:hAnsi="Verdana" w:cs="Tahoma"/>
                <w:sz w:val="20"/>
                <w:szCs w:val="20"/>
              </w:rPr>
              <w:t>”</w:t>
            </w:r>
          </w:p>
        </w:tc>
        <w:tc>
          <w:tcPr>
            <w:tcW w:w="6316" w:type="dxa"/>
          </w:tcPr>
          <w:p w14:paraId="0254286D"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_Ref517600371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3.19.1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35ACC940" w14:textId="77777777">
        <w:trPr>
          <w:trHeight w:val="812"/>
        </w:trPr>
        <w:tc>
          <w:tcPr>
            <w:tcW w:w="2970" w:type="dxa"/>
          </w:tcPr>
          <w:p w14:paraId="12005268" w14:textId="77777777" w:rsidR="00EB5CDB" w:rsidRDefault="008E55E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Primeira Série</w:t>
            </w:r>
            <w:r>
              <w:rPr>
                <w:rFonts w:ascii="Verdana" w:hAnsi="Verdana" w:cs="Tahoma"/>
                <w:sz w:val="20"/>
                <w:szCs w:val="20"/>
              </w:rPr>
              <w:t>”</w:t>
            </w:r>
          </w:p>
        </w:tc>
        <w:tc>
          <w:tcPr>
            <w:tcW w:w="6316" w:type="dxa"/>
          </w:tcPr>
          <w:p w14:paraId="31661E7F" w14:textId="77777777" w:rsidR="00EB5CDB" w:rsidRDefault="008E55E6">
            <w:pPr>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_Ref495596607 \n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3.4.1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EB5CDB" w14:paraId="21E7C6EF" w14:textId="77777777">
        <w:tc>
          <w:tcPr>
            <w:tcW w:w="2970" w:type="dxa"/>
          </w:tcPr>
          <w:p w14:paraId="40B1714B"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Razão Mínima de Subordinação</w:t>
            </w:r>
            <w:r>
              <w:rPr>
                <w:rFonts w:ascii="Verdana" w:hAnsi="Verdana" w:cs="Tahoma"/>
                <w:sz w:val="20"/>
                <w:szCs w:val="20"/>
              </w:rPr>
              <w:t>”</w:t>
            </w:r>
          </w:p>
        </w:tc>
        <w:tc>
          <w:tcPr>
            <w:tcW w:w="6316" w:type="dxa"/>
          </w:tcPr>
          <w:p w14:paraId="72542A4D" w14:textId="588D12A6"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Com relação a uma data de integralização de Debêntures da Primeira Série, significa a relação entre </w:t>
            </w:r>
            <w:r>
              <w:rPr>
                <w:rFonts w:ascii="Verdana" w:eastAsia="Arial Unicode MS" w:hAnsi="Verdana" w:cs="Tahoma"/>
                <w:b/>
                <w:sz w:val="20"/>
                <w:szCs w:val="20"/>
              </w:rPr>
              <w:t>(i)</w:t>
            </w:r>
            <w:r>
              <w:rPr>
                <w:rFonts w:ascii="Verdana" w:eastAsia="Arial Unicode MS" w:hAnsi="Verdana" w:cs="Tahoma"/>
                <w:sz w:val="20"/>
                <w:szCs w:val="20"/>
              </w:rPr>
              <w:t xml:space="preserve"> o volume total de Debêntures da Segunda Série efetivamente integralizadas no âmbito da Emissão e </w:t>
            </w:r>
            <w:r>
              <w:rPr>
                <w:rFonts w:ascii="Verdana" w:eastAsia="Arial Unicode MS" w:hAnsi="Verdana" w:cs="Tahoma"/>
                <w:b/>
                <w:sz w:val="20"/>
                <w:szCs w:val="20"/>
              </w:rPr>
              <w:t>(ii)</w:t>
            </w:r>
            <w:r>
              <w:rPr>
                <w:rFonts w:ascii="Verdana" w:eastAsia="Arial Unicode MS" w:hAnsi="Verdana" w:cs="Tahoma"/>
                <w:sz w:val="20"/>
                <w:szCs w:val="20"/>
              </w:rPr>
              <w:t xml:space="preserve"> o volume total de Debêntures da Primeira e da Segunda Série efetivamente integralizadas no âmbito da Emissão, em cada caso considerando </w:t>
            </w:r>
            <w:r>
              <w:rPr>
                <w:rFonts w:ascii="Verdana" w:eastAsia="Arial Unicode MS" w:hAnsi="Verdana" w:cs="Tahoma"/>
                <w:i/>
                <w:sz w:val="20"/>
                <w:szCs w:val="20"/>
              </w:rPr>
              <w:t>pro forma</w:t>
            </w:r>
            <w:r>
              <w:rPr>
                <w:rFonts w:ascii="Verdana" w:eastAsia="Arial Unicode MS" w:hAnsi="Verdana" w:cs="Tahoma"/>
                <w:sz w:val="20"/>
                <w:szCs w:val="20"/>
              </w:rPr>
              <w:t xml:space="preserve"> a integralização a ser realizada em tal data. Em cada data de integralização</w:t>
            </w:r>
            <w:r w:rsidR="00312DF9">
              <w:rPr>
                <w:rFonts w:ascii="Verdana" w:eastAsia="Arial Unicode MS" w:hAnsi="Verdana" w:cs="Tahoma"/>
                <w:sz w:val="20"/>
                <w:szCs w:val="20"/>
              </w:rPr>
              <w:t>,</w:t>
            </w:r>
            <w:r>
              <w:rPr>
                <w:rFonts w:ascii="Verdana" w:eastAsia="Arial Unicode MS" w:hAnsi="Verdana" w:cs="Tahoma"/>
                <w:sz w:val="20"/>
                <w:szCs w:val="20"/>
              </w:rPr>
              <w:t xml:space="preserve"> a Razão Mínima de Subordinação deverá ser igual ou maior que </w:t>
            </w:r>
            <w:r w:rsidR="00F947EC">
              <w:rPr>
                <w:rFonts w:ascii="Verdana" w:eastAsia="Arial Unicode MS" w:hAnsi="Verdana" w:cs="Tahoma"/>
                <w:sz w:val="20"/>
                <w:szCs w:val="20"/>
              </w:rPr>
              <w:t>2</w:t>
            </w:r>
            <w:r>
              <w:rPr>
                <w:rFonts w:ascii="Verdana" w:eastAsia="Arial Unicode MS" w:hAnsi="Verdana" w:cs="Tahoma"/>
                <w:sz w:val="20"/>
                <w:szCs w:val="20"/>
              </w:rPr>
              <w:t>0% (</w:t>
            </w:r>
            <w:r w:rsidR="00F947EC">
              <w:rPr>
                <w:rFonts w:ascii="Verdana" w:eastAsia="Arial Unicode MS" w:hAnsi="Verdana" w:cs="Tahoma"/>
                <w:sz w:val="20"/>
                <w:szCs w:val="20"/>
              </w:rPr>
              <w:t>vinte</w:t>
            </w:r>
            <w:r>
              <w:rPr>
                <w:rFonts w:ascii="Verdana" w:eastAsia="Arial Unicode MS" w:hAnsi="Verdana" w:cs="Tahoma"/>
                <w:sz w:val="20"/>
                <w:szCs w:val="20"/>
              </w:rPr>
              <w:t xml:space="preserve"> por cento). </w:t>
            </w:r>
          </w:p>
        </w:tc>
      </w:tr>
      <w:tr w:rsidR="00EB5CDB" w14:paraId="617540BC" w14:textId="77777777">
        <w:tc>
          <w:tcPr>
            <w:tcW w:w="2970" w:type="dxa"/>
          </w:tcPr>
          <w:p w14:paraId="192986D0"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Disponíveis Após Vencimento</w:t>
            </w:r>
            <w:r>
              <w:rPr>
                <w:rFonts w:ascii="Verdana" w:hAnsi="Verdana" w:cs="Tahoma"/>
                <w:sz w:val="20"/>
                <w:szCs w:val="20"/>
              </w:rPr>
              <w:t>”</w:t>
            </w:r>
          </w:p>
        </w:tc>
        <w:tc>
          <w:tcPr>
            <w:tcW w:w="6316" w:type="dxa"/>
          </w:tcPr>
          <w:p w14:paraId="69259295" w14:textId="77777777" w:rsidR="00EB5CDB" w:rsidRDefault="008E55E6">
            <w:p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Os Recursos Exclusivos, incluindo aqueles recebidos posteriormente ao vencimento das Debêntures.</w:t>
            </w:r>
          </w:p>
        </w:tc>
      </w:tr>
      <w:tr w:rsidR="00EB5CDB" w14:paraId="1479BB2C" w14:textId="77777777">
        <w:tc>
          <w:tcPr>
            <w:tcW w:w="2970" w:type="dxa"/>
          </w:tcPr>
          <w:p w14:paraId="6A4147A2"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Recursos Exclusivos</w:t>
            </w:r>
            <w:r>
              <w:rPr>
                <w:rFonts w:ascii="Verdana" w:hAnsi="Verdana" w:cs="Tahoma"/>
                <w:sz w:val="20"/>
                <w:szCs w:val="20"/>
              </w:rPr>
              <w:t>”</w:t>
            </w:r>
          </w:p>
        </w:tc>
        <w:tc>
          <w:tcPr>
            <w:tcW w:w="6316" w:type="dxa"/>
          </w:tcPr>
          <w:p w14:paraId="6565FBCC" w14:textId="77777777" w:rsidR="00EB5CDB" w:rsidRDefault="008E55E6">
            <w:pPr>
              <w:spacing w:before="120" w:after="120" w:line="280" w:lineRule="exact"/>
              <w:jc w:val="both"/>
              <w:rPr>
                <w:rFonts w:ascii="Verdana" w:eastAsia="Arial Unicode MS" w:hAnsi="Verdana" w:cs="Tahoma"/>
                <w:sz w:val="20"/>
                <w:szCs w:val="20"/>
              </w:rPr>
            </w:pPr>
            <w:r>
              <w:rPr>
                <w:rFonts w:ascii="Verdana" w:hAnsi="Verdana" w:cs="Tahoma"/>
                <w:sz w:val="20"/>
                <w:szCs w:val="20"/>
              </w:rPr>
              <w:t>Os recursos decorrentes da integralização das Debêntures e/ou recebidos de pagamentos dos Direitos Creditórios Vinculados, resgates, amortizações e vendas de Investimentos Permitidos.</w:t>
            </w:r>
          </w:p>
        </w:tc>
      </w:tr>
      <w:tr w:rsidR="00EB5CDB" w14:paraId="6212D189" w14:textId="77777777">
        <w:tc>
          <w:tcPr>
            <w:tcW w:w="2970" w:type="dxa"/>
          </w:tcPr>
          <w:p w14:paraId="1D0E3657" w14:textId="7CFFDC2C" w:rsidR="00EB5CDB" w:rsidRDefault="00EB5CDB" w:rsidP="004509C0">
            <w:pPr>
              <w:spacing w:before="120" w:after="120" w:line="280" w:lineRule="exact"/>
              <w:jc w:val="both"/>
              <w:rPr>
                <w:rFonts w:ascii="Verdana" w:hAnsi="Verdana" w:cs="Tahoma"/>
                <w:sz w:val="20"/>
                <w:szCs w:val="20"/>
              </w:rPr>
            </w:pPr>
          </w:p>
        </w:tc>
        <w:tc>
          <w:tcPr>
            <w:tcW w:w="6316" w:type="dxa"/>
          </w:tcPr>
          <w:p w14:paraId="454779A7" w14:textId="09B88440" w:rsidR="00EB5CDB" w:rsidRDefault="00EB5CDB">
            <w:pPr>
              <w:spacing w:before="120" w:after="120" w:line="280" w:lineRule="exact"/>
              <w:jc w:val="both"/>
              <w:rPr>
                <w:rFonts w:ascii="Verdana" w:hAnsi="Verdana" w:cs="Tahoma"/>
                <w:sz w:val="20"/>
                <w:szCs w:val="20"/>
              </w:rPr>
            </w:pPr>
          </w:p>
        </w:tc>
      </w:tr>
      <w:tr w:rsidR="00EB5CDB" w14:paraId="5AB25C64" w14:textId="77777777">
        <w:tc>
          <w:tcPr>
            <w:tcW w:w="2970" w:type="dxa"/>
          </w:tcPr>
          <w:p w14:paraId="06FD54C2" w14:textId="77777777" w:rsidR="00EB5CDB" w:rsidRDefault="008E55E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w:t>
            </w:r>
            <w:r>
              <w:rPr>
                <w:rFonts w:ascii="Verdana" w:hAnsi="Verdana" w:cs="Tahoma"/>
                <w:sz w:val="20"/>
                <w:szCs w:val="20"/>
              </w:rPr>
              <w:t>”</w:t>
            </w:r>
          </w:p>
        </w:tc>
        <w:tc>
          <w:tcPr>
            <w:tcW w:w="6316" w:type="dxa"/>
          </w:tcPr>
          <w:p w14:paraId="3FA93DBD" w14:textId="06B6544F" w:rsidR="00EB5CDB" w:rsidRDefault="008E55E6">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 xml:space="preserve">Remuneração das Debêntures da Primeira Série. </w:t>
            </w:r>
          </w:p>
        </w:tc>
      </w:tr>
      <w:tr w:rsidR="00EB5CDB" w14:paraId="1661B9C2" w14:textId="77777777">
        <w:tc>
          <w:tcPr>
            <w:tcW w:w="2970" w:type="dxa"/>
          </w:tcPr>
          <w:p w14:paraId="078F5547" w14:textId="77777777" w:rsidR="00EB5CDB" w:rsidRDefault="008E55E6"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Remuneração das Debêntures da Primeira Série</w:t>
            </w:r>
            <w:r>
              <w:rPr>
                <w:rFonts w:ascii="Verdana" w:hAnsi="Verdana" w:cs="Tahoma"/>
                <w:sz w:val="20"/>
                <w:szCs w:val="20"/>
              </w:rPr>
              <w:t>”</w:t>
            </w:r>
          </w:p>
        </w:tc>
        <w:tc>
          <w:tcPr>
            <w:tcW w:w="6316" w:type="dxa"/>
          </w:tcPr>
          <w:p w14:paraId="20C73C51" w14:textId="77777777" w:rsidR="00EB5CDB" w:rsidRDefault="008E55E6">
            <w:pPr>
              <w:tabs>
                <w:tab w:val="left" w:pos="1134"/>
              </w:tabs>
              <w:autoSpaceDE/>
              <w:autoSpaceDN/>
              <w:adjustRightInd/>
              <w:spacing w:before="120" w:after="120" w:line="280" w:lineRule="exact"/>
              <w:jc w:val="both"/>
              <w:rPr>
                <w:rFonts w:ascii="Verdana" w:hAnsi="Verdana" w:cs="Tahoma"/>
                <w:sz w:val="20"/>
                <w:szCs w:val="20"/>
              </w:rPr>
            </w:pPr>
            <w:r>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_Ref497552478 \r \h  \* MERGEFORMAT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3.17.1</w:t>
            </w:r>
            <w:r>
              <w:rPr>
                <w:rFonts w:ascii="Verdana" w:eastAsia="Arial Unicode MS" w:hAnsi="Verdana" w:cs="Tahoma"/>
                <w:sz w:val="20"/>
                <w:szCs w:val="20"/>
              </w:rPr>
              <w:fldChar w:fldCharType="end"/>
            </w:r>
            <w:r>
              <w:rPr>
                <w:rFonts w:ascii="Verdana" w:eastAsia="Arial Unicode MS" w:hAnsi="Verdana" w:cs="Tahoma"/>
                <w:sz w:val="20"/>
                <w:szCs w:val="20"/>
              </w:rPr>
              <w:t xml:space="preserve"> desta Escritura de Emissão.</w:t>
            </w:r>
          </w:p>
        </w:tc>
      </w:tr>
      <w:tr w:rsidR="00435E3F" w14:paraId="13AA6FF5" w14:textId="77777777">
        <w:tc>
          <w:tcPr>
            <w:tcW w:w="2970" w:type="dxa"/>
          </w:tcPr>
          <w:p w14:paraId="3E200225" w14:textId="77DFB307" w:rsidR="00435E3F" w:rsidRDefault="00435E3F" w:rsidP="004509C0">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Despesas e Encargos</w:t>
            </w:r>
            <w:r>
              <w:rPr>
                <w:rFonts w:ascii="Verdana" w:hAnsi="Verdana" w:cs="Tahoma"/>
                <w:sz w:val="20"/>
                <w:szCs w:val="20"/>
              </w:rPr>
              <w:t>”</w:t>
            </w:r>
          </w:p>
        </w:tc>
        <w:tc>
          <w:tcPr>
            <w:tcW w:w="6316" w:type="dxa"/>
          </w:tcPr>
          <w:p w14:paraId="6CFF27E5" w14:textId="000EAD30" w:rsidR="00435E3F" w:rsidRDefault="00435E3F">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reserva correspondente a 2 (dois) meses de Despesas (não considerando para efeitos de tal reserva os pagamentos a serem feitos à Gyramais), conforme estimada pela Emissora.</w:t>
            </w:r>
          </w:p>
        </w:tc>
      </w:tr>
      <w:tr w:rsidR="00435E3F" w14:paraId="77B9F9CD" w14:textId="77777777">
        <w:tc>
          <w:tcPr>
            <w:tcW w:w="2970" w:type="dxa"/>
          </w:tcPr>
          <w:p w14:paraId="0C95D5E9" w14:textId="082E828E"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Primeira Série</w:t>
            </w:r>
            <w:r>
              <w:rPr>
                <w:rFonts w:ascii="Verdana" w:hAnsi="Verdana" w:cs="Tahoma"/>
                <w:sz w:val="20"/>
                <w:szCs w:val="20"/>
              </w:rPr>
              <w:t>”</w:t>
            </w:r>
          </w:p>
        </w:tc>
        <w:tc>
          <w:tcPr>
            <w:tcW w:w="6316" w:type="dxa"/>
          </w:tcPr>
          <w:p w14:paraId="6B3BFF31" w14:textId="4E6380BD" w:rsidR="00435E3F" w:rsidRDefault="00435E3F">
            <w:pPr>
              <w:tabs>
                <w:tab w:val="left" w:pos="1134"/>
              </w:tabs>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w:t>
            </w:r>
          </w:p>
        </w:tc>
      </w:tr>
      <w:tr w:rsidR="00435E3F" w14:paraId="203F3124" w14:textId="77777777">
        <w:tc>
          <w:tcPr>
            <w:tcW w:w="2970" w:type="dxa"/>
          </w:tcPr>
          <w:p w14:paraId="34B1292E" w14:textId="76A1CB53"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Reserva de Liquidação da Segunda Série</w:t>
            </w:r>
            <w:r>
              <w:rPr>
                <w:rFonts w:ascii="Verdana" w:hAnsi="Verdana" w:cs="Tahoma"/>
                <w:sz w:val="20"/>
                <w:szCs w:val="20"/>
              </w:rPr>
              <w:t>”</w:t>
            </w:r>
          </w:p>
        </w:tc>
        <w:tc>
          <w:tcPr>
            <w:tcW w:w="6316" w:type="dxa"/>
          </w:tcPr>
          <w:p w14:paraId="0B859F5C" w14:textId="4070105A" w:rsidR="00435E3F" w:rsidRDefault="00435E3F" w:rsidP="000B7D26">
            <w:pPr>
              <w:tabs>
                <w:tab w:val="left" w:pos="1134"/>
              </w:tabs>
              <w:autoSpaceDE/>
              <w:autoSpaceDN/>
              <w:adjustRightInd/>
              <w:spacing w:before="120" w:after="120" w:line="280" w:lineRule="exact"/>
              <w:jc w:val="both"/>
              <w:rPr>
                <w:rFonts w:ascii="Verdana" w:hAnsi="Verdana"/>
                <w:sz w:val="20"/>
              </w:rPr>
            </w:pPr>
            <w:r w:rsidRPr="000A456E">
              <w:rPr>
                <w:rFonts w:ascii="Verdana" w:hAnsi="Verdana"/>
                <w:sz w:val="20"/>
              </w:rPr>
              <w:t>Corresponde ao montante recebido pela Emissora a título de principal, juros e encargos moratóri</w:t>
            </w:r>
            <w:r>
              <w:rPr>
                <w:rFonts w:ascii="Verdana" w:hAnsi="Verdana"/>
                <w:sz w:val="20"/>
              </w:rPr>
              <w:t>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tc>
      </w:tr>
      <w:tr w:rsidR="00435E3F" w14:paraId="4A2D7326" w14:textId="77777777">
        <w:tc>
          <w:tcPr>
            <w:tcW w:w="2970" w:type="dxa"/>
          </w:tcPr>
          <w:p w14:paraId="334CE5B4" w14:textId="79E5FFA0" w:rsidR="00435E3F" w:rsidRDefault="00435E3F">
            <w:pPr>
              <w:spacing w:before="120" w:after="120" w:line="280" w:lineRule="exact"/>
              <w:jc w:val="both"/>
              <w:rPr>
                <w:rFonts w:ascii="Verdana" w:hAnsi="Verdana" w:cs="Tahoma"/>
                <w:sz w:val="20"/>
                <w:szCs w:val="20"/>
              </w:rPr>
            </w:pPr>
          </w:p>
        </w:tc>
        <w:tc>
          <w:tcPr>
            <w:tcW w:w="6316" w:type="dxa"/>
          </w:tcPr>
          <w:p w14:paraId="28150A00" w14:textId="2C9354C4" w:rsidR="00435E3F" w:rsidRDefault="00435E3F" w:rsidP="000B7D26">
            <w:pPr>
              <w:pStyle w:val="Corpodetexto"/>
              <w:spacing w:before="120" w:line="280" w:lineRule="exact"/>
              <w:jc w:val="both"/>
              <w:rPr>
                <w:rFonts w:ascii="Verdana" w:hAnsi="Verdana"/>
                <w:sz w:val="20"/>
                <w:rPrChange w:id="4" w:author="Gabriel Lopes" w:date="2020-09-17T00:08:00Z">
                  <w:rPr>
                    <w:rFonts w:ascii="Verdana" w:hAnsi="Verdana"/>
                    <w:sz w:val="20"/>
                    <w:lang w:val="pt-BR"/>
                  </w:rPr>
                </w:rPrChange>
              </w:rPr>
            </w:pPr>
          </w:p>
        </w:tc>
      </w:tr>
      <w:tr w:rsidR="00435E3F" w14:paraId="79714746" w14:textId="77777777">
        <w:tc>
          <w:tcPr>
            <w:tcW w:w="2970" w:type="dxa"/>
          </w:tcPr>
          <w:p w14:paraId="4CA747C7" w14:textId="3A8A2E2D" w:rsidR="00435E3F" w:rsidRDefault="00435E3F" w:rsidP="000B7D26">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Resolução CMN 2.686</w:t>
            </w:r>
            <w:r>
              <w:rPr>
                <w:rFonts w:ascii="Verdana" w:hAnsi="Verdana" w:cs="Tahoma"/>
                <w:sz w:val="20"/>
                <w:szCs w:val="20"/>
              </w:rPr>
              <w:t>”</w:t>
            </w:r>
          </w:p>
        </w:tc>
        <w:tc>
          <w:tcPr>
            <w:tcW w:w="6316" w:type="dxa"/>
          </w:tcPr>
          <w:p w14:paraId="4879885E" w14:textId="621A4651"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A Resolução do Conselho Monetário Nacional nº 2.686, de 26 de janeiro de 2000, conforme alterada.</w:t>
            </w:r>
          </w:p>
        </w:tc>
      </w:tr>
      <w:tr w:rsidR="00435E3F" w14:paraId="44319E32" w14:textId="77777777">
        <w:tc>
          <w:tcPr>
            <w:tcW w:w="2970" w:type="dxa"/>
          </w:tcPr>
          <w:p w14:paraId="09C8536D" w14:textId="2210C2F3" w:rsidR="00435E3F" w:rsidRDefault="00435E3F" w:rsidP="000B7D26">
            <w:pPr>
              <w:spacing w:before="120" w:after="120" w:line="280" w:lineRule="exact"/>
              <w:rPr>
                <w:rFonts w:ascii="Verdana" w:hAnsi="Verdana" w:cs="Tahoma"/>
                <w:sz w:val="20"/>
                <w:szCs w:val="20"/>
              </w:rPr>
            </w:pPr>
            <w:r>
              <w:rPr>
                <w:rFonts w:ascii="Verdana" w:hAnsi="Verdana" w:cs="Tahoma"/>
                <w:sz w:val="20"/>
                <w:szCs w:val="20"/>
              </w:rPr>
              <w:t>“</w:t>
            </w:r>
            <w:r>
              <w:rPr>
                <w:rFonts w:ascii="Verdana" w:hAnsi="Verdana" w:cs="Tahoma"/>
                <w:sz w:val="20"/>
                <w:szCs w:val="20"/>
                <w:u w:val="single"/>
              </w:rPr>
              <w:t>Saldo Devedor das Debêntures</w:t>
            </w:r>
            <w:r>
              <w:rPr>
                <w:rFonts w:ascii="Verdana" w:hAnsi="Verdana" w:cs="Tahoma"/>
                <w:sz w:val="20"/>
                <w:szCs w:val="20"/>
              </w:rPr>
              <w:t>”</w:t>
            </w:r>
          </w:p>
        </w:tc>
        <w:tc>
          <w:tcPr>
            <w:tcW w:w="6316" w:type="dxa"/>
          </w:tcPr>
          <w:p w14:paraId="65352DF9" w14:textId="2C0DFD61" w:rsidR="00435E3F" w:rsidRDefault="00435E3F" w:rsidP="000B7D26">
            <w:pPr>
              <w:spacing w:before="120" w:after="120" w:line="280" w:lineRule="exact"/>
              <w:jc w:val="both"/>
              <w:rPr>
                <w:rFonts w:ascii="Verdana" w:hAnsi="Verdana" w:cs="Tahoma"/>
                <w:sz w:val="20"/>
                <w:szCs w:val="20"/>
              </w:rPr>
            </w:pPr>
            <w:r>
              <w:rPr>
                <w:rFonts w:ascii="Verdana" w:hAnsi="Verdana" w:cs="Tahoma"/>
                <w:sz w:val="20"/>
                <w:szCs w:val="20"/>
              </w:rPr>
              <w:t xml:space="preserve">O somatório </w:t>
            </w:r>
            <w:r>
              <w:rPr>
                <w:rFonts w:ascii="Verdana" w:hAnsi="Verdana" w:cs="Tahoma"/>
                <w:b/>
                <w:sz w:val="20"/>
                <w:szCs w:val="20"/>
              </w:rPr>
              <w:t>(i)</w:t>
            </w:r>
            <w:r>
              <w:rPr>
                <w:rFonts w:ascii="Verdana" w:hAnsi="Verdana" w:cs="Tahoma"/>
                <w:sz w:val="20"/>
                <w:szCs w:val="20"/>
              </w:rPr>
              <w:t xml:space="preserve"> do saldo do Valor Nominal Unitário das Debêntures da Primeira Série, acrescido da Remuneração das Debêntures da Primeira Série, </w:t>
            </w:r>
            <w:r>
              <w:rPr>
                <w:rFonts w:ascii="Verdana" w:hAnsi="Verdana" w:cs="Tahoma"/>
                <w:b/>
                <w:sz w:val="20"/>
                <w:szCs w:val="20"/>
              </w:rPr>
              <w:t>(ii)</w:t>
            </w:r>
            <w:r>
              <w:rPr>
                <w:rFonts w:ascii="Verdana" w:hAnsi="Verdana" w:cs="Tahoma"/>
                <w:sz w:val="20"/>
                <w:szCs w:val="20"/>
              </w:rPr>
              <w:t xml:space="preserve"> do saldo do Valor Nominal Unitário das Debêntures da Segunda Série e </w:t>
            </w:r>
            <w:r>
              <w:rPr>
                <w:rFonts w:ascii="Verdana" w:hAnsi="Verdana" w:cs="Tahoma"/>
                <w:b/>
                <w:sz w:val="20"/>
                <w:szCs w:val="20"/>
              </w:rPr>
              <w:t>(iii)</w:t>
            </w:r>
            <w:r>
              <w:rPr>
                <w:rFonts w:ascii="Verdana" w:hAnsi="Verdana" w:cs="Tahoma"/>
                <w:sz w:val="20"/>
                <w:szCs w:val="20"/>
              </w:rPr>
              <w:t xml:space="preserve"> de eventuais Encargos Moratórios incidentes nos termos desta Escritura de Emissão.</w:t>
            </w:r>
          </w:p>
        </w:tc>
      </w:tr>
      <w:tr w:rsidR="00435E3F" w14:paraId="4160A4E1" w14:textId="77777777">
        <w:tc>
          <w:tcPr>
            <w:tcW w:w="2970" w:type="dxa"/>
          </w:tcPr>
          <w:p w14:paraId="3E8EBDDB" w14:textId="0A7C504F" w:rsidR="00435E3F" w:rsidRPr="000B7D26" w:rsidRDefault="00435E3F" w:rsidP="004509C0">
            <w:pPr>
              <w:spacing w:before="120" w:after="120" w:line="280" w:lineRule="exact"/>
              <w:jc w:val="both"/>
              <w:rPr>
                <w:rFonts w:ascii="Verdana" w:hAnsi="Verdana"/>
                <w:sz w:val="20"/>
              </w:rPr>
            </w:pPr>
            <w:r>
              <w:rPr>
                <w:rFonts w:ascii="Verdana" w:hAnsi="Verdana" w:cs="Tahoma"/>
                <w:sz w:val="20"/>
                <w:szCs w:val="20"/>
              </w:rPr>
              <w:t>“</w:t>
            </w:r>
            <w:r>
              <w:rPr>
                <w:rFonts w:ascii="Verdana" w:hAnsi="Verdana" w:cs="Tahoma"/>
                <w:sz w:val="20"/>
                <w:szCs w:val="20"/>
                <w:u w:val="single"/>
              </w:rPr>
              <w:t>Segunda Série</w:t>
            </w:r>
            <w:r>
              <w:rPr>
                <w:rFonts w:ascii="Verdana" w:hAnsi="Verdana" w:cs="Tahoma"/>
                <w:sz w:val="20"/>
                <w:szCs w:val="20"/>
              </w:rPr>
              <w:t>”</w:t>
            </w:r>
          </w:p>
        </w:tc>
        <w:tc>
          <w:tcPr>
            <w:tcW w:w="6316" w:type="dxa"/>
          </w:tcPr>
          <w:p w14:paraId="05163E4C" w14:textId="02AB37A2" w:rsidR="00435E3F" w:rsidRDefault="00435E3F" w:rsidP="000B7D26">
            <w:pPr>
              <w:tabs>
                <w:tab w:val="left" w:pos="1134"/>
              </w:tabs>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6FEC121D" w14:textId="77777777">
        <w:tc>
          <w:tcPr>
            <w:tcW w:w="2970" w:type="dxa"/>
          </w:tcPr>
          <w:p w14:paraId="33A21937" w14:textId="4AA47B62" w:rsidR="00435E3F" w:rsidRPr="000B7D26" w:rsidRDefault="00435E3F">
            <w:pPr>
              <w:spacing w:before="120" w:after="120" w:line="280" w:lineRule="exact"/>
              <w:jc w:val="both"/>
              <w:rPr>
                <w:rFonts w:ascii="Verdana" w:hAnsi="Verdana"/>
                <w:sz w:val="20"/>
                <w:u w:val="single"/>
              </w:rPr>
            </w:pPr>
            <w:r>
              <w:rPr>
                <w:rFonts w:ascii="Verdana" w:hAnsi="Verdana" w:cs="Tahoma"/>
                <w:sz w:val="20"/>
                <w:szCs w:val="20"/>
              </w:rPr>
              <w:t>“</w:t>
            </w:r>
            <w:r>
              <w:rPr>
                <w:rFonts w:ascii="Verdana" w:hAnsi="Verdana" w:cs="Tahoma"/>
                <w:sz w:val="20"/>
                <w:szCs w:val="20"/>
                <w:u w:val="single"/>
              </w:rPr>
              <w:t>Séries</w:t>
            </w:r>
            <w:r>
              <w:rPr>
                <w:rFonts w:ascii="Verdana" w:hAnsi="Verdana" w:cs="Tahoma"/>
                <w:sz w:val="20"/>
                <w:szCs w:val="20"/>
              </w:rPr>
              <w:t>”</w:t>
            </w:r>
          </w:p>
        </w:tc>
        <w:tc>
          <w:tcPr>
            <w:tcW w:w="6316" w:type="dxa"/>
          </w:tcPr>
          <w:p w14:paraId="6CAE25C6" w14:textId="3B63499B"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_Ref495596607 \w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3.4.1</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32C32F54" w14:textId="77777777">
        <w:tc>
          <w:tcPr>
            <w:tcW w:w="2970" w:type="dxa"/>
          </w:tcPr>
          <w:p w14:paraId="4E7FE609" w14:textId="5FD97CCB"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Taxa DI</w:t>
            </w:r>
            <w:r>
              <w:rPr>
                <w:rFonts w:ascii="Verdana" w:hAnsi="Verdana" w:cs="Tahoma"/>
                <w:sz w:val="20"/>
                <w:szCs w:val="20"/>
              </w:rPr>
              <w:t>”</w:t>
            </w:r>
          </w:p>
        </w:tc>
        <w:tc>
          <w:tcPr>
            <w:tcW w:w="6316" w:type="dxa"/>
          </w:tcPr>
          <w:p w14:paraId="1BA8B8B8" w14:textId="780B22F1"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As taxas médias diárias dos DI - Depósitos Interfinanceiros de um dia, </w:t>
            </w:r>
            <w:r>
              <w:rPr>
                <w:rFonts w:ascii="Verdana" w:hAnsi="Verdana" w:cs="Tahoma"/>
                <w:i/>
                <w:sz w:val="20"/>
                <w:szCs w:val="20"/>
              </w:rPr>
              <w:t>over extra grupo</w:t>
            </w:r>
            <w:r>
              <w:rPr>
                <w:rFonts w:ascii="Verdana" w:hAnsi="Verdana" w:cs="Tahoma"/>
                <w:sz w:val="20"/>
                <w:szCs w:val="20"/>
              </w:rPr>
              <w:t xml:space="preserve">, denominada “Taxa DI over extra grupo”, expressa na forma percentual ao ano, base 252 (duzentos e cinquenta e dois) Dias Úteis, calculada e divulgada diariamente pela B3, no informativo diário disponível na página na internet </w:t>
            </w:r>
            <w:hyperlink r:id="rId9" w:history="1">
              <w:r>
                <w:rPr>
                  <w:rStyle w:val="Hyperlink"/>
                  <w:rFonts w:ascii="Verdana" w:hAnsi="Verdana" w:cs="Tahoma"/>
                  <w:color w:val="auto"/>
                  <w:sz w:val="20"/>
                  <w:szCs w:val="20"/>
                </w:rPr>
                <w:t>http://www.cetip.com.br</w:t>
              </w:r>
            </w:hyperlink>
            <w:r>
              <w:rPr>
                <w:rFonts w:ascii="Verdana" w:hAnsi="Verdana" w:cs="Tahoma"/>
                <w:sz w:val="20"/>
                <w:szCs w:val="20"/>
              </w:rPr>
              <w:t>.</w:t>
            </w:r>
          </w:p>
        </w:tc>
      </w:tr>
      <w:tr w:rsidR="00435E3F" w14:paraId="05EE013C" w14:textId="77777777">
        <w:tc>
          <w:tcPr>
            <w:tcW w:w="2970" w:type="dxa"/>
          </w:tcPr>
          <w:p w14:paraId="04FB841C" w14:textId="53A6C1B8"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Tomador</w:t>
            </w:r>
            <w:r>
              <w:rPr>
                <w:rFonts w:ascii="Verdana" w:hAnsi="Verdana" w:cs="Tahoma"/>
                <w:sz w:val="20"/>
                <w:szCs w:val="20"/>
              </w:rPr>
              <w:t>”</w:t>
            </w:r>
          </w:p>
        </w:tc>
        <w:tc>
          <w:tcPr>
            <w:tcW w:w="6316" w:type="dxa"/>
          </w:tcPr>
          <w:p w14:paraId="4007CA70" w14:textId="60977598"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As pessoas físicas ou jurídicas (não constituídas na forma de sociedades por ações) que emitem as CCB.</w:t>
            </w:r>
          </w:p>
        </w:tc>
      </w:tr>
      <w:tr w:rsidR="00435E3F" w14:paraId="65840150" w14:textId="77777777">
        <w:tc>
          <w:tcPr>
            <w:tcW w:w="2970" w:type="dxa"/>
          </w:tcPr>
          <w:p w14:paraId="16B20668" w14:textId="0EAECD4A"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 Reserva de Despesas e Encargos</w:t>
            </w:r>
            <w:r>
              <w:rPr>
                <w:rFonts w:ascii="Verdana" w:hAnsi="Verdana" w:cs="Tahoma"/>
                <w:sz w:val="20"/>
                <w:szCs w:val="20"/>
              </w:rPr>
              <w:t>”</w:t>
            </w:r>
          </w:p>
        </w:tc>
        <w:tc>
          <w:tcPr>
            <w:tcW w:w="6316" w:type="dxa"/>
          </w:tcPr>
          <w:p w14:paraId="46AC92AE" w14:textId="05B42B2C"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tc>
      </w:tr>
      <w:tr w:rsidR="00435E3F" w14:paraId="6A5122A1" w14:textId="77777777">
        <w:tc>
          <w:tcPr>
            <w:tcW w:w="2970" w:type="dxa"/>
          </w:tcPr>
          <w:p w14:paraId="14334DAE" w14:textId="02288AF4"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Valor das Disponibilidades</w:t>
            </w:r>
            <w:r>
              <w:rPr>
                <w:rFonts w:ascii="Verdana" w:hAnsi="Verdana" w:cs="Tahoma"/>
                <w:sz w:val="20"/>
                <w:szCs w:val="20"/>
              </w:rPr>
              <w:t>”</w:t>
            </w:r>
          </w:p>
        </w:tc>
        <w:tc>
          <w:tcPr>
            <w:tcW w:w="6316" w:type="dxa"/>
          </w:tcPr>
          <w:p w14:paraId="0F37CA1B" w14:textId="68676BE2"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O valor agregado de recursos retidos e Investimentos Permitidos disponível na Conta Exclusiva.</w:t>
            </w:r>
          </w:p>
        </w:tc>
      </w:tr>
      <w:tr w:rsidR="00435E3F" w14:paraId="624C8DAD" w14:textId="77777777">
        <w:tc>
          <w:tcPr>
            <w:tcW w:w="2970" w:type="dxa"/>
          </w:tcPr>
          <w:p w14:paraId="45AA7CDD" w14:textId="3C1A4219" w:rsidR="00435E3F"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Mínimo da Reserva de Despesas e Encargos</w:t>
            </w:r>
            <w:r w:rsidRPr="00B75E9B">
              <w:rPr>
                <w:rFonts w:ascii="Verdana" w:hAnsi="Verdana" w:cs="Tahoma"/>
                <w:sz w:val="20"/>
                <w:szCs w:val="20"/>
              </w:rPr>
              <w:t>”</w:t>
            </w:r>
          </w:p>
        </w:tc>
        <w:tc>
          <w:tcPr>
            <w:tcW w:w="6316" w:type="dxa"/>
          </w:tcPr>
          <w:p w14:paraId="38850639" w14:textId="7FC606F4" w:rsidR="00435E3F"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de </w:t>
            </w:r>
            <w:r>
              <w:rPr>
                <w:rFonts w:ascii="Verdana" w:hAnsi="Verdana" w:cs="Tahoma"/>
                <w:sz w:val="20"/>
                <w:szCs w:val="20"/>
              </w:rPr>
              <w:t>R$ 20.000,00 (vinte mil reais)</w:t>
            </w:r>
            <w:r w:rsidRPr="00B75E9B">
              <w:rPr>
                <w:rFonts w:ascii="Verdana" w:hAnsi="Verdana" w:cs="Tahoma"/>
                <w:sz w:val="20"/>
                <w:szCs w:val="20"/>
              </w:rPr>
              <w:t>.</w:t>
            </w:r>
          </w:p>
        </w:tc>
      </w:tr>
      <w:tr w:rsidR="00435E3F" w14:paraId="172D1B28" w14:textId="77777777">
        <w:tc>
          <w:tcPr>
            <w:tcW w:w="2970" w:type="dxa"/>
          </w:tcPr>
          <w:p w14:paraId="2DE3FEF0" w14:textId="657CDB24"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Nominal Unitário</w:t>
            </w:r>
            <w:r w:rsidRPr="00B75E9B">
              <w:rPr>
                <w:rFonts w:ascii="Verdana" w:hAnsi="Verdana" w:cs="Tahoma"/>
                <w:sz w:val="20"/>
                <w:szCs w:val="20"/>
              </w:rPr>
              <w:t>”</w:t>
            </w:r>
          </w:p>
        </w:tc>
        <w:tc>
          <w:tcPr>
            <w:tcW w:w="6316" w:type="dxa"/>
          </w:tcPr>
          <w:p w14:paraId="1EB815E8" w14:textId="06D0892C"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 xml:space="preserve">O valor nominal unitário de cada Debênture, que equivale a </w:t>
            </w:r>
            <w:r>
              <w:rPr>
                <w:rFonts w:ascii="Verdana" w:hAnsi="Verdana" w:cs="Tahoma"/>
                <w:sz w:val="20"/>
                <w:szCs w:val="20"/>
              </w:rPr>
              <w:t>R$ 1.000,00 (mil reais)</w:t>
            </w:r>
            <w:r w:rsidRPr="00B75E9B">
              <w:rPr>
                <w:rFonts w:ascii="Verdana" w:hAnsi="Verdana" w:cs="Tahoma"/>
                <w:sz w:val="20"/>
                <w:szCs w:val="20"/>
              </w:rPr>
              <w:t xml:space="preserve"> na Data da de Emissão. </w:t>
            </w:r>
          </w:p>
        </w:tc>
      </w:tr>
      <w:tr w:rsidR="00435E3F" w14:paraId="6ED64DE0" w14:textId="77777777">
        <w:tc>
          <w:tcPr>
            <w:tcW w:w="2970" w:type="dxa"/>
          </w:tcPr>
          <w:p w14:paraId="38779803" w14:textId="6236D8C3"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w:t>
            </w:r>
            <w:r w:rsidRPr="00B75E9B">
              <w:rPr>
                <w:rFonts w:ascii="Verdana" w:hAnsi="Verdana" w:cs="Tahoma"/>
                <w:sz w:val="20"/>
                <w:szCs w:val="20"/>
                <w:u w:val="single"/>
              </w:rPr>
              <w:t>Valor Total da Emissão</w:t>
            </w:r>
            <w:r w:rsidRPr="00B75E9B">
              <w:rPr>
                <w:rFonts w:ascii="Verdana" w:hAnsi="Verdana" w:cs="Tahoma"/>
                <w:sz w:val="20"/>
                <w:szCs w:val="20"/>
              </w:rPr>
              <w:t>”</w:t>
            </w:r>
          </w:p>
        </w:tc>
        <w:tc>
          <w:tcPr>
            <w:tcW w:w="6316" w:type="dxa"/>
          </w:tcPr>
          <w:p w14:paraId="5F0F73B2" w14:textId="001A76CB" w:rsidR="00435E3F" w:rsidRPr="00B75E9B" w:rsidRDefault="00435E3F">
            <w:pPr>
              <w:spacing w:before="120" w:after="120" w:line="280" w:lineRule="exact"/>
              <w:jc w:val="both"/>
              <w:rPr>
                <w:rFonts w:ascii="Verdana" w:hAnsi="Verdana" w:cs="Tahoma"/>
                <w:sz w:val="20"/>
                <w:szCs w:val="20"/>
              </w:rPr>
            </w:pPr>
            <w:r w:rsidRPr="00B75E9B">
              <w:rPr>
                <w:rFonts w:ascii="Verdana" w:hAnsi="Verdana" w:cs="Tahoma"/>
                <w:sz w:val="20"/>
                <w:szCs w:val="20"/>
              </w:rPr>
              <w:t>O valor total da Emissão será de R$</w:t>
            </w:r>
            <w:r>
              <w:rPr>
                <w:rFonts w:ascii="Verdana" w:hAnsi="Verdana" w:cs="Tahoma"/>
                <w:sz w:val="20"/>
                <w:szCs w:val="20"/>
              </w:rPr>
              <w:t>50</w:t>
            </w:r>
            <w:r w:rsidRPr="00B75E9B">
              <w:rPr>
                <w:rFonts w:ascii="Verdana" w:hAnsi="Verdana" w:cs="Tahoma"/>
                <w:sz w:val="20"/>
                <w:szCs w:val="20"/>
              </w:rPr>
              <w:t>.</w:t>
            </w:r>
            <w:r>
              <w:rPr>
                <w:rFonts w:ascii="Verdana" w:hAnsi="Verdana" w:cs="Tahoma"/>
                <w:sz w:val="20"/>
                <w:szCs w:val="20"/>
              </w:rPr>
              <w:t>00</w:t>
            </w:r>
            <w:r w:rsidRPr="00B75E9B">
              <w:rPr>
                <w:rFonts w:ascii="Verdana" w:hAnsi="Verdana" w:cs="Tahoma"/>
                <w:sz w:val="20"/>
                <w:szCs w:val="20"/>
              </w:rPr>
              <w:t>0.000,00 (</w:t>
            </w:r>
            <w:r>
              <w:rPr>
                <w:rFonts w:ascii="Verdana" w:hAnsi="Verdana" w:cs="Tahoma"/>
                <w:sz w:val="20"/>
                <w:szCs w:val="20"/>
              </w:rPr>
              <w:t>cinquenta</w:t>
            </w:r>
            <w:r w:rsidRPr="00B75E9B">
              <w:rPr>
                <w:rFonts w:ascii="Verdana" w:hAnsi="Verdana" w:cs="Tahoma"/>
                <w:sz w:val="20"/>
                <w:szCs w:val="20"/>
              </w:rPr>
              <w:t xml:space="preserve"> milhões</w:t>
            </w:r>
            <w:r>
              <w:rPr>
                <w:rFonts w:ascii="Verdana" w:hAnsi="Verdana" w:cs="Tahoma"/>
                <w:sz w:val="20"/>
                <w:szCs w:val="20"/>
              </w:rPr>
              <w:t xml:space="preserve"> de </w:t>
            </w:r>
            <w:r w:rsidRPr="00B75E9B">
              <w:rPr>
                <w:rFonts w:ascii="Verdana" w:hAnsi="Verdana" w:cs="Tahoma"/>
                <w:sz w:val="20"/>
                <w:szCs w:val="20"/>
              </w:rPr>
              <w:t>reais).</w:t>
            </w:r>
          </w:p>
        </w:tc>
      </w:tr>
      <w:tr w:rsidR="00435E3F" w14:paraId="6ABCF800" w14:textId="77777777">
        <w:tc>
          <w:tcPr>
            <w:tcW w:w="2970" w:type="dxa"/>
          </w:tcPr>
          <w:p w14:paraId="2E767EE4" w14:textId="32DCABED" w:rsidR="00435E3F" w:rsidRPr="00B75E9B" w:rsidRDefault="00435E3F">
            <w:pPr>
              <w:spacing w:before="120" w:after="120" w:line="280" w:lineRule="exact"/>
              <w:jc w:val="both"/>
              <w:rPr>
                <w:rFonts w:ascii="Verdana" w:hAnsi="Verdana" w:cs="Tahoma"/>
                <w:sz w:val="20"/>
                <w:szCs w:val="20"/>
              </w:rPr>
            </w:pPr>
            <w:r w:rsidRPr="000713B1">
              <w:rPr>
                <w:rFonts w:ascii="Verdana" w:hAnsi="Verdana" w:cs="Tahoma"/>
                <w:sz w:val="20"/>
                <w:szCs w:val="20"/>
              </w:rPr>
              <w:t>“</w:t>
            </w:r>
            <w:r w:rsidRPr="000713B1">
              <w:rPr>
                <w:rFonts w:ascii="Verdana" w:hAnsi="Verdana" w:cs="Tahoma"/>
                <w:sz w:val="20"/>
                <w:szCs w:val="20"/>
                <w:u w:val="single"/>
              </w:rPr>
              <w:t>Volume Mínimo da Emissão</w:t>
            </w:r>
            <w:r w:rsidRPr="000713B1">
              <w:rPr>
                <w:rFonts w:ascii="Verdana" w:hAnsi="Verdana" w:cs="Tahoma"/>
                <w:sz w:val="20"/>
                <w:szCs w:val="20"/>
              </w:rPr>
              <w:t>”</w:t>
            </w:r>
          </w:p>
        </w:tc>
        <w:tc>
          <w:tcPr>
            <w:tcW w:w="6316" w:type="dxa"/>
          </w:tcPr>
          <w:p w14:paraId="12EEB5B1" w14:textId="08DF6A15" w:rsidR="00435E3F" w:rsidRPr="00B75E9B" w:rsidRDefault="00435E3F">
            <w:pPr>
              <w:spacing w:before="120" w:after="120" w:line="280" w:lineRule="exact"/>
              <w:jc w:val="both"/>
              <w:rPr>
                <w:rFonts w:ascii="Verdana" w:hAnsi="Verdana" w:cs="Tahoma"/>
                <w:sz w:val="20"/>
                <w:szCs w:val="20"/>
              </w:rPr>
            </w:pPr>
            <w:r w:rsidRPr="000713B1">
              <w:rPr>
                <w:rFonts w:ascii="Verdana" w:hAnsi="Verdana" w:cs="Tahoma"/>
                <w:sz w:val="20"/>
                <w:szCs w:val="20"/>
              </w:rPr>
              <w:t xml:space="preserve">O volume mínimo equivalente </w:t>
            </w:r>
            <w:r>
              <w:rPr>
                <w:rFonts w:ascii="Verdana" w:hAnsi="Verdana" w:cs="Tahoma"/>
                <w:sz w:val="20"/>
                <w:szCs w:val="20"/>
              </w:rPr>
              <w:t xml:space="preserve">a 10.000 (dez mil) </w:t>
            </w:r>
            <w:r w:rsidRPr="000713B1">
              <w:rPr>
                <w:rFonts w:ascii="Verdana" w:hAnsi="Verdana" w:cs="Tahoma"/>
                <w:sz w:val="20"/>
                <w:szCs w:val="20"/>
              </w:rPr>
              <w:t>Debêntures, observado o Volume Mínimo da Primeira Série e o Volume Mínimo da Segunda Série.</w:t>
            </w:r>
          </w:p>
        </w:tc>
      </w:tr>
      <w:tr w:rsidR="00435E3F" w14:paraId="1BC701FD" w14:textId="77777777">
        <w:tc>
          <w:tcPr>
            <w:tcW w:w="2970" w:type="dxa"/>
          </w:tcPr>
          <w:p w14:paraId="6E831ABF" w14:textId="78D68ACA" w:rsidR="00435E3F" w:rsidRPr="000713B1"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Primeira Série</w:t>
            </w:r>
            <w:r>
              <w:rPr>
                <w:rFonts w:ascii="Verdana" w:hAnsi="Verdana" w:cs="Tahoma"/>
                <w:sz w:val="20"/>
                <w:szCs w:val="20"/>
              </w:rPr>
              <w:t>”</w:t>
            </w:r>
          </w:p>
        </w:tc>
        <w:tc>
          <w:tcPr>
            <w:tcW w:w="6316" w:type="dxa"/>
          </w:tcPr>
          <w:p w14:paraId="36A6102B" w14:textId="6DA1492F" w:rsidR="00435E3F" w:rsidRPr="000713B1"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376C6FF7" w14:textId="77777777">
        <w:tc>
          <w:tcPr>
            <w:tcW w:w="2970" w:type="dxa"/>
          </w:tcPr>
          <w:p w14:paraId="3CA3FB83" w14:textId="126125D6"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w:t>
            </w:r>
            <w:r>
              <w:rPr>
                <w:rFonts w:ascii="Verdana" w:hAnsi="Verdana" w:cs="Tahoma"/>
                <w:sz w:val="20"/>
                <w:szCs w:val="20"/>
                <w:u w:val="single"/>
              </w:rPr>
              <w:t>Volume Mínimo da Segunda Série</w:t>
            </w:r>
            <w:r>
              <w:rPr>
                <w:rFonts w:ascii="Verdana" w:hAnsi="Verdana" w:cs="Tahoma"/>
                <w:sz w:val="20"/>
                <w:szCs w:val="20"/>
              </w:rPr>
              <w:t>”</w:t>
            </w:r>
          </w:p>
        </w:tc>
        <w:tc>
          <w:tcPr>
            <w:tcW w:w="6316" w:type="dxa"/>
          </w:tcPr>
          <w:p w14:paraId="79F497B2" w14:textId="1422BA43" w:rsidR="00435E3F" w:rsidRDefault="00435E3F">
            <w:pPr>
              <w:spacing w:before="120" w:after="120" w:line="280" w:lineRule="exact"/>
              <w:jc w:val="both"/>
              <w:rPr>
                <w:rFonts w:ascii="Verdana" w:hAnsi="Verdana" w:cs="Tahoma"/>
                <w:sz w:val="20"/>
                <w:szCs w:val="20"/>
              </w:rPr>
            </w:pPr>
            <w:r>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desta Escritura de Emissão.</w:t>
            </w:r>
          </w:p>
        </w:tc>
      </w:tr>
      <w:tr w:rsidR="00435E3F" w14:paraId="7D536240" w14:textId="77777777">
        <w:tc>
          <w:tcPr>
            <w:tcW w:w="2970" w:type="dxa"/>
          </w:tcPr>
          <w:p w14:paraId="56102A93" w14:textId="644A28F7" w:rsidR="00435E3F" w:rsidRDefault="00435E3F">
            <w:pPr>
              <w:spacing w:before="120" w:after="120" w:line="280" w:lineRule="exact"/>
              <w:jc w:val="both"/>
              <w:rPr>
                <w:rFonts w:ascii="Verdana" w:hAnsi="Verdana" w:cs="Tahoma"/>
                <w:sz w:val="20"/>
                <w:szCs w:val="20"/>
              </w:rPr>
            </w:pPr>
          </w:p>
        </w:tc>
        <w:tc>
          <w:tcPr>
            <w:tcW w:w="6316" w:type="dxa"/>
          </w:tcPr>
          <w:p w14:paraId="453E2D0F" w14:textId="7E9C9D64" w:rsidR="00435E3F" w:rsidRDefault="00435E3F">
            <w:pPr>
              <w:spacing w:before="120" w:after="120" w:line="280" w:lineRule="exact"/>
              <w:jc w:val="both"/>
              <w:rPr>
                <w:rFonts w:ascii="Verdana" w:hAnsi="Verdana" w:cs="Tahoma"/>
                <w:sz w:val="20"/>
                <w:szCs w:val="20"/>
              </w:rPr>
            </w:pPr>
          </w:p>
        </w:tc>
      </w:tr>
    </w:tbl>
    <w:p w14:paraId="6013665F" w14:textId="77777777" w:rsidR="00EB5CDB" w:rsidRDefault="008E55E6">
      <w:pPr>
        <w:autoSpaceDE/>
        <w:autoSpaceDN/>
        <w:adjustRightInd/>
        <w:spacing w:before="120" w:after="120" w:line="280" w:lineRule="exact"/>
        <w:jc w:val="center"/>
        <w:rPr>
          <w:rFonts w:ascii="Verdana" w:eastAsia="MS Mincho" w:hAnsi="Verdana" w:cs="Tahoma"/>
          <w:b/>
          <w:sz w:val="20"/>
          <w:szCs w:val="20"/>
        </w:rPr>
      </w:pPr>
      <w:bookmarkStart w:id="5" w:name="_DV_M23"/>
      <w:bookmarkEnd w:id="5"/>
      <w:r>
        <w:rPr>
          <w:rFonts w:ascii="Verdana" w:eastAsia="MS Mincho" w:hAnsi="Verdana" w:cs="Tahoma"/>
          <w:b/>
          <w:sz w:val="20"/>
          <w:szCs w:val="20"/>
        </w:rPr>
        <w:t xml:space="preserve">CLÁUSULA PRIMEIRA </w:t>
      </w:r>
      <w:bookmarkStart w:id="6" w:name="_DV_M24"/>
      <w:bookmarkEnd w:id="6"/>
      <w:r>
        <w:rPr>
          <w:rFonts w:ascii="Verdana" w:eastAsia="MS Mincho" w:hAnsi="Verdana" w:cs="Tahoma"/>
          <w:b/>
          <w:sz w:val="20"/>
          <w:szCs w:val="20"/>
        </w:rPr>
        <w:t>– AUTORIZAÇÃO</w:t>
      </w:r>
    </w:p>
    <w:p w14:paraId="634B3BA7" w14:textId="7DE81AF3" w:rsidR="00EB5CDB" w:rsidRDefault="008E55E6">
      <w:pPr>
        <w:numPr>
          <w:ilvl w:val="1"/>
          <w:numId w:val="2"/>
        </w:numPr>
        <w:spacing w:before="120" w:after="120" w:line="280" w:lineRule="exact"/>
        <w:jc w:val="both"/>
        <w:rPr>
          <w:rFonts w:ascii="Verdana" w:eastAsia="MS Mincho" w:hAnsi="Verdana" w:cs="Tahoma"/>
          <w:sz w:val="20"/>
          <w:szCs w:val="20"/>
        </w:rPr>
      </w:pPr>
      <w:bookmarkStart w:id="7" w:name="_DV_M25"/>
      <w:bookmarkStart w:id="8" w:name="_DV_M26"/>
      <w:bookmarkEnd w:id="7"/>
      <w:bookmarkEnd w:id="8"/>
      <w:r>
        <w:rPr>
          <w:rFonts w:ascii="Verdana" w:eastAsia="MS Mincho" w:hAnsi="Verdana" w:cs="Tahoma"/>
          <w:sz w:val="20"/>
          <w:szCs w:val="20"/>
        </w:rPr>
        <w:t xml:space="preserve">A presente Escritura de Emissão é celebrada de acordo com a AGE, na qual foram deliberadas e aprovadas </w:t>
      </w:r>
      <w:r>
        <w:rPr>
          <w:rFonts w:ascii="Verdana" w:eastAsia="MS Mincho" w:hAnsi="Verdana" w:cs="Tahoma"/>
          <w:b/>
          <w:sz w:val="20"/>
          <w:szCs w:val="20"/>
        </w:rPr>
        <w:t xml:space="preserve">(i) </w:t>
      </w:r>
      <w:r>
        <w:rPr>
          <w:rFonts w:ascii="Verdana" w:eastAsia="MS Mincho" w:hAnsi="Verdana" w:cs="Tahoma"/>
          <w:sz w:val="20"/>
          <w:szCs w:val="20"/>
        </w:rPr>
        <w:t xml:space="preserve">as condições e as características específicas da </w:t>
      </w:r>
      <w:r w:rsidR="000713B1">
        <w:rPr>
          <w:rFonts w:ascii="Verdana" w:eastAsia="MS Mincho" w:hAnsi="Verdana" w:cs="Tahoma"/>
          <w:sz w:val="20"/>
          <w:szCs w:val="20"/>
        </w:rPr>
        <w:t>2</w:t>
      </w:r>
      <w:r>
        <w:rPr>
          <w:rFonts w:ascii="Verdana" w:eastAsia="MS Mincho" w:hAnsi="Verdana" w:cs="Tahoma"/>
          <w:sz w:val="20"/>
          <w:szCs w:val="20"/>
        </w:rPr>
        <w:t>ª (</w:t>
      </w:r>
      <w:r w:rsidR="000713B1">
        <w:rPr>
          <w:rFonts w:ascii="Verdana" w:eastAsia="MS Mincho" w:hAnsi="Verdana" w:cs="Tahoma"/>
          <w:sz w:val="20"/>
          <w:szCs w:val="20"/>
        </w:rPr>
        <w:t>segunda</w:t>
      </w:r>
      <w:r>
        <w:rPr>
          <w:rFonts w:ascii="Verdana" w:eastAsia="MS Mincho" w:hAnsi="Verdana" w:cs="Tahoma"/>
          <w:sz w:val="20"/>
          <w:szCs w:val="20"/>
        </w:rPr>
        <w:t xml:space="preserve">) emissão de debêntures simples da Emissora, não conversíveis em ações, em duas séries, da espécie com garantia real, nos termos do artigo 59 Lei das Sociedades por Ações, e conforme o disposto no estatuto social da Emissora; </w:t>
      </w:r>
      <w:r>
        <w:rPr>
          <w:rFonts w:ascii="Verdana" w:eastAsia="MS Mincho" w:hAnsi="Verdana" w:cs="Tahoma"/>
          <w:b/>
          <w:sz w:val="20"/>
          <w:szCs w:val="20"/>
        </w:rPr>
        <w:t>(ii)</w:t>
      </w:r>
      <w:r>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 e </w:t>
      </w:r>
      <w:r>
        <w:rPr>
          <w:rFonts w:ascii="Verdana" w:eastAsia="MS Mincho" w:hAnsi="Verdana" w:cs="Tahoma"/>
          <w:b/>
          <w:sz w:val="20"/>
          <w:szCs w:val="20"/>
        </w:rPr>
        <w:t>(iii)</w:t>
      </w:r>
      <w:r>
        <w:rPr>
          <w:rFonts w:ascii="Verdana" w:eastAsia="MS Mincho" w:hAnsi="Verdana" w:cs="Tahoma"/>
          <w:sz w:val="20"/>
          <w:szCs w:val="20"/>
        </w:rPr>
        <w:t xml:space="preserve"> a constituição de garantia real pela Emissora em favor dos Debenturistas</w:t>
      </w:r>
      <w:r>
        <w:rPr>
          <w:rFonts w:ascii="Verdana" w:hAnsi="Verdana"/>
          <w:sz w:val="20"/>
          <w:szCs w:val="20"/>
        </w:rPr>
        <w:t>,</w:t>
      </w:r>
      <w:r>
        <w:rPr>
          <w:rFonts w:ascii="Verdana" w:eastAsia="MS Mincho" w:hAnsi="Verdana" w:cs="Tahoma"/>
          <w:sz w:val="20"/>
          <w:szCs w:val="20"/>
        </w:rPr>
        <w:t xml:space="preserve"> conforme descrita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_Ref481525172 \r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3.28</w:t>
      </w:r>
      <w:r>
        <w:rPr>
          <w:rFonts w:ascii="Verdana" w:eastAsia="MS Mincho" w:hAnsi="Verdana" w:cs="Tahoma"/>
          <w:sz w:val="20"/>
          <w:szCs w:val="20"/>
        </w:rPr>
        <w:fldChar w:fldCharType="end"/>
      </w:r>
      <w:r>
        <w:rPr>
          <w:rFonts w:ascii="Verdana" w:hAnsi="Verdana"/>
          <w:sz w:val="20"/>
          <w:szCs w:val="20"/>
        </w:rPr>
        <w:t xml:space="preserve"> abaixo</w:t>
      </w:r>
      <w:r>
        <w:rPr>
          <w:rFonts w:ascii="Verdana" w:eastAsia="MS Mincho" w:hAnsi="Verdana" w:cs="Tahoma"/>
          <w:sz w:val="20"/>
          <w:szCs w:val="20"/>
        </w:rPr>
        <w:t>.</w:t>
      </w:r>
      <w:bookmarkStart w:id="9" w:name="_DV_M29"/>
      <w:bookmarkEnd w:id="9"/>
    </w:p>
    <w:p w14:paraId="583C7126" w14:textId="77777777" w:rsidR="00EB5CDB" w:rsidRDefault="008E55E6">
      <w:pPr>
        <w:numPr>
          <w:ilvl w:val="1"/>
          <w:numId w:val="2"/>
        </w:numPr>
        <w:spacing w:before="120" w:after="120" w:line="280" w:lineRule="exact"/>
        <w:jc w:val="both"/>
        <w:rPr>
          <w:rFonts w:ascii="Verdana" w:hAnsi="Verdana" w:cs="Tahoma"/>
          <w:sz w:val="20"/>
          <w:szCs w:val="20"/>
        </w:rPr>
      </w:pPr>
      <w:r>
        <w:rPr>
          <w:rFonts w:ascii="Verdana" w:hAnsi="Verdana" w:cs="Tahoma"/>
          <w:sz w:val="20"/>
          <w:szCs w:val="20"/>
        </w:rPr>
        <w:t>Foram delegados poderes à diretoria da Emissora para tomar todas as providências necessárias à implementação da Emissão, da Oferta Restrita e da Garantia.</w:t>
      </w:r>
    </w:p>
    <w:p w14:paraId="21CDA5D5" w14:textId="77777777" w:rsidR="00EB5CDB" w:rsidRDefault="00EB5CDB">
      <w:pPr>
        <w:spacing w:before="120" w:after="120" w:line="280" w:lineRule="exact"/>
        <w:jc w:val="both"/>
        <w:rPr>
          <w:rFonts w:ascii="Verdana" w:hAnsi="Verdana" w:cs="Tahoma"/>
          <w:sz w:val="20"/>
          <w:szCs w:val="20"/>
        </w:rPr>
      </w:pPr>
    </w:p>
    <w:p w14:paraId="695FACDA"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 xml:space="preserve">CLÁUSULA SEGUNDA – </w:t>
      </w:r>
      <w:bookmarkStart w:id="10" w:name="_DV_M30"/>
      <w:bookmarkEnd w:id="10"/>
      <w:r>
        <w:rPr>
          <w:rFonts w:ascii="Verdana" w:eastAsia="MS Mincho" w:hAnsi="Verdana" w:cs="Tahoma"/>
          <w:b/>
          <w:sz w:val="20"/>
          <w:szCs w:val="20"/>
        </w:rPr>
        <w:t>REQUISITOS</w:t>
      </w:r>
    </w:p>
    <w:p w14:paraId="1677042F" w14:textId="77777777" w:rsidR="00EB5CDB" w:rsidRDefault="008E55E6">
      <w:pPr>
        <w:spacing w:before="120" w:after="120" w:line="280" w:lineRule="exact"/>
        <w:jc w:val="both"/>
        <w:rPr>
          <w:rFonts w:ascii="Verdana" w:eastAsia="MS Mincho" w:hAnsi="Verdana" w:cs="Tahoma"/>
          <w:sz w:val="20"/>
          <w:szCs w:val="20"/>
        </w:rPr>
      </w:pPr>
      <w:bookmarkStart w:id="11" w:name="_DV_M31"/>
      <w:bookmarkEnd w:id="11"/>
      <w:r>
        <w:rPr>
          <w:rFonts w:ascii="Verdana" w:eastAsia="MS Mincho" w:hAnsi="Verdana" w:cs="Tahoma"/>
          <w:sz w:val="20"/>
          <w:szCs w:val="20"/>
        </w:rPr>
        <w:t>A Emissão e a Oferta Restrita serão realizadas com observância dos seguintes requisitos:</w:t>
      </w:r>
    </w:p>
    <w:p w14:paraId="6EE84282" w14:textId="77777777" w:rsidR="00EB5CDB" w:rsidRDefault="00EB5CDB">
      <w:pPr>
        <w:spacing w:before="120" w:after="120" w:line="280" w:lineRule="exact"/>
        <w:jc w:val="both"/>
        <w:rPr>
          <w:rFonts w:ascii="Verdana" w:eastAsia="MS Mincho" w:hAnsi="Verdana" w:cs="Tahoma"/>
          <w:sz w:val="20"/>
          <w:szCs w:val="20"/>
        </w:rPr>
      </w:pPr>
    </w:p>
    <w:p w14:paraId="5F4C6159"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Arquivamento e Publicação das Atas das AGE</w:t>
      </w:r>
    </w:p>
    <w:p w14:paraId="103F715F"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A ata da AGE </w:t>
      </w:r>
      <w:r>
        <w:rPr>
          <w:rFonts w:ascii="Verdana" w:eastAsia="SimSun" w:hAnsi="Verdana" w:cs="Tahoma"/>
          <w:sz w:val="20"/>
          <w:szCs w:val="20"/>
        </w:rPr>
        <w:t>que deliberou e aprovou a realização da Emissão e da Oferta Restrita será</w:t>
      </w:r>
      <w:r>
        <w:rPr>
          <w:rFonts w:ascii="Verdana" w:eastAsia="MS Mincho" w:hAnsi="Verdana" w:cs="Tahoma"/>
          <w:sz w:val="20"/>
          <w:szCs w:val="20"/>
        </w:rPr>
        <w:t xml:space="preserve"> arquivada na JUCESP e publicada </w:t>
      </w:r>
      <w:r>
        <w:rPr>
          <w:rFonts w:ascii="Verdana" w:eastAsia="MS Mincho" w:hAnsi="Verdana" w:cs="Tahoma"/>
          <w:b/>
          <w:sz w:val="20"/>
          <w:szCs w:val="20"/>
        </w:rPr>
        <w:t>(i)</w:t>
      </w:r>
      <w:r>
        <w:rPr>
          <w:rFonts w:ascii="Verdana" w:eastAsia="MS Mincho" w:hAnsi="Verdana" w:cs="Tahoma"/>
          <w:sz w:val="20"/>
          <w:szCs w:val="20"/>
        </w:rPr>
        <w:t xml:space="preserve"> no DOESP e </w:t>
      </w:r>
      <w:r>
        <w:rPr>
          <w:rFonts w:ascii="Verdana" w:eastAsia="MS Mincho" w:hAnsi="Verdana" w:cs="Tahoma"/>
          <w:b/>
          <w:sz w:val="20"/>
          <w:szCs w:val="20"/>
        </w:rPr>
        <w:t>(ii)</w:t>
      </w:r>
      <w:r>
        <w:rPr>
          <w:rFonts w:ascii="Verdana" w:eastAsia="MS Mincho" w:hAnsi="Verdana" w:cs="Tahoma"/>
          <w:sz w:val="20"/>
          <w:szCs w:val="20"/>
        </w:rPr>
        <w:t> no Diário Comercial</w:t>
      </w:r>
      <w:r>
        <w:rPr>
          <w:rFonts w:ascii="Verdana" w:hAnsi="Verdana" w:cs="Tahoma"/>
          <w:sz w:val="20"/>
          <w:szCs w:val="20"/>
        </w:rPr>
        <w:t>, nos termos do artigo 62, inciso I, da Lei das Sociedades por Ações, sendo que 1 (uma) cópia eletrônica (PDF) de cada ata, devidamente arquivada na JUCESP, deverá ser encaminhada ao Agente Fiduciário em até 5 (cinco) Dias Úteis após o referido arquivamento, devidamente acompanhada de cópia eletrônica (PDF) das referidas publicações</w:t>
      </w:r>
      <w:r>
        <w:rPr>
          <w:rFonts w:ascii="Verdana" w:eastAsia="MS Mincho" w:hAnsi="Verdana" w:cs="Tahoma"/>
          <w:sz w:val="20"/>
          <w:szCs w:val="20"/>
        </w:rPr>
        <w:t>.</w:t>
      </w:r>
    </w:p>
    <w:p w14:paraId="6CECFB69" w14:textId="77777777" w:rsidR="00EB5CDB" w:rsidRDefault="00EB5CDB">
      <w:pPr>
        <w:spacing w:before="120" w:after="120" w:line="280" w:lineRule="exact"/>
        <w:jc w:val="both"/>
        <w:rPr>
          <w:rFonts w:ascii="Verdana" w:eastAsia="MS Mincho" w:hAnsi="Verdana" w:cs="Tahoma"/>
          <w:sz w:val="20"/>
          <w:szCs w:val="20"/>
        </w:rPr>
      </w:pPr>
    </w:p>
    <w:p w14:paraId="5A75EA4C"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Inscrição desta Escritura de Emissão e averbação de Aditamentos</w:t>
      </w:r>
    </w:p>
    <w:p w14:paraId="78AA48E3" w14:textId="77777777" w:rsidR="00EB5CDB" w:rsidRDefault="008E55E6">
      <w:pPr>
        <w:numPr>
          <w:ilvl w:val="2"/>
          <w:numId w:val="3"/>
        </w:numPr>
        <w:spacing w:before="120" w:after="120" w:line="280" w:lineRule="exact"/>
        <w:jc w:val="both"/>
        <w:rPr>
          <w:rFonts w:ascii="Verdana" w:eastAsia="MS Mincho" w:hAnsi="Verdana" w:cs="Tahoma"/>
          <w:sz w:val="20"/>
          <w:szCs w:val="20"/>
        </w:rPr>
      </w:pPr>
      <w:bookmarkStart w:id="12" w:name="_DV_M38"/>
      <w:bookmarkStart w:id="13" w:name="_Ref422391391"/>
      <w:bookmarkEnd w:id="12"/>
      <w:r>
        <w:rPr>
          <w:rFonts w:ascii="Verdana" w:eastAsia="MS Mincho" w:hAnsi="Verdana" w:cs="Tahoma"/>
          <w:sz w:val="20"/>
          <w:szCs w:val="20"/>
        </w:rPr>
        <w:t>Esta Escritura de Emissão será inscrita na JUCESP, nos termos do artigo 62, inciso II, da Lei das Sociedades por Ações, devendo seus eventuais aditamentos ser averbados na JUCE</w:t>
      </w:r>
      <w:r>
        <w:rPr>
          <w:rFonts w:ascii="Verdana" w:hAnsi="Verdana" w:cs="Tahoma"/>
          <w:sz w:val="20"/>
          <w:szCs w:val="20"/>
        </w:rPr>
        <w:t>SP</w:t>
      </w:r>
      <w:r>
        <w:rPr>
          <w:rFonts w:ascii="Verdana" w:eastAsia="MS Mincho" w:hAnsi="Verdana" w:cs="Tahoma"/>
          <w:sz w:val="20"/>
          <w:szCs w:val="20"/>
        </w:rPr>
        <w:t xml:space="preserve">, nos termos do artigo 62, </w:t>
      </w:r>
      <w:r>
        <w:rPr>
          <w:rFonts w:ascii="Verdana" w:hAnsi="Verdana" w:cs="Tahoma"/>
          <w:sz w:val="20"/>
          <w:szCs w:val="20"/>
        </w:rPr>
        <w:t>parágrafo 3º</w:t>
      </w:r>
      <w:r>
        <w:rPr>
          <w:rFonts w:ascii="Verdana" w:eastAsia="MS Mincho" w:hAnsi="Verdana" w:cs="Tahoma"/>
          <w:sz w:val="20"/>
          <w:szCs w:val="20"/>
        </w:rPr>
        <w:t>, da Lei das Sociedades por Ações.</w:t>
      </w:r>
      <w:bookmarkEnd w:id="13"/>
    </w:p>
    <w:p w14:paraId="37BB2028" w14:textId="77777777" w:rsidR="00EB5CDB" w:rsidRDefault="008E55E6">
      <w:pPr>
        <w:numPr>
          <w:ilvl w:val="2"/>
          <w:numId w:val="3"/>
        </w:numPr>
        <w:spacing w:before="120" w:after="120" w:line="280" w:lineRule="exact"/>
        <w:jc w:val="both"/>
        <w:rPr>
          <w:rFonts w:ascii="Verdana" w:hAnsi="Verdana" w:cs="Tahoma"/>
          <w:sz w:val="20"/>
          <w:szCs w:val="20"/>
        </w:rPr>
      </w:pPr>
      <w:r>
        <w:rPr>
          <w:rFonts w:ascii="Verdana" w:hAnsi="Verdana" w:cs="Tahoma"/>
          <w:sz w:val="20"/>
          <w:szCs w:val="20"/>
        </w:rPr>
        <w:t>Após a inscrição desta Escritura de Emissão na JUCESP, ou da averbação de seus eventuais aditamentos, nos termos do item </w:t>
      </w:r>
      <w:r>
        <w:rPr>
          <w:rFonts w:ascii="Verdana" w:hAnsi="Verdana" w:cs="Tahoma"/>
          <w:sz w:val="20"/>
          <w:szCs w:val="20"/>
        </w:rPr>
        <w:fldChar w:fldCharType="begin"/>
      </w:r>
      <w:r>
        <w:rPr>
          <w:rFonts w:ascii="Verdana" w:hAnsi="Verdana" w:cs="Tahoma"/>
          <w:sz w:val="20"/>
          <w:szCs w:val="20"/>
        </w:rPr>
        <w:instrText xml:space="preserve"> REF _Ref422391391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w:t>
      </w:r>
      <w:r>
        <w:rPr>
          <w:rFonts w:ascii="Verdana" w:eastAsia="MS Mincho" w:hAnsi="Verdana" w:cs="Tahoma"/>
          <w:sz w:val="20"/>
          <w:szCs w:val="20"/>
        </w:rPr>
        <w:t>a Emissora obriga-se a</w:t>
      </w:r>
      <w:r>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0CD6365" w14:textId="77777777" w:rsidR="00EB5CDB" w:rsidRDefault="00EB5CDB">
      <w:pPr>
        <w:spacing w:before="120" w:after="120" w:line="280" w:lineRule="exact"/>
        <w:jc w:val="both"/>
        <w:rPr>
          <w:rFonts w:ascii="Verdana" w:hAnsi="Verdana" w:cs="Tahoma"/>
          <w:sz w:val="20"/>
          <w:szCs w:val="20"/>
        </w:rPr>
      </w:pPr>
    </w:p>
    <w:p w14:paraId="026ACA66" w14:textId="7DF560CC"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4" w:name="_DV_M32"/>
      <w:bookmarkStart w:id="15" w:name="_Ref490743716"/>
      <w:bookmarkStart w:id="16" w:name="_Ref481587098"/>
      <w:bookmarkEnd w:id="14"/>
      <w:r>
        <w:rPr>
          <w:rFonts w:ascii="Verdana" w:eastAsia="MS Mincho" w:hAnsi="Verdana" w:cs="Tahoma"/>
          <w:b/>
          <w:sz w:val="20"/>
          <w:szCs w:val="20"/>
        </w:rPr>
        <w:t>Ausência de Registro na CVM</w:t>
      </w:r>
      <w:r w:rsidR="00312DF9">
        <w:rPr>
          <w:rFonts w:ascii="Verdana" w:eastAsia="MS Mincho" w:hAnsi="Verdana" w:cs="Tahoma"/>
          <w:b/>
          <w:sz w:val="20"/>
          <w:szCs w:val="20"/>
        </w:rPr>
        <w:t xml:space="preserve">. Registro na </w:t>
      </w:r>
      <w:bookmarkEnd w:id="15"/>
      <w:bookmarkEnd w:id="16"/>
      <w:r>
        <w:rPr>
          <w:rFonts w:ascii="Verdana" w:eastAsia="MS Mincho" w:hAnsi="Verdana" w:cs="Tahoma"/>
          <w:b/>
          <w:sz w:val="20"/>
          <w:szCs w:val="20"/>
        </w:rPr>
        <w:t>ANBIMA</w:t>
      </w:r>
    </w:p>
    <w:p w14:paraId="55E36114"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0F1014B0"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hAnsi="Verdana"/>
          <w:sz w:val="20"/>
          <w:szCs w:val="20"/>
        </w:rPr>
        <w:t>Por se tratar de distribuição pública, com esforços restritos, a Oferta Restrita poderá vir a ser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sendo tal registro condicionado à expedição, até a data do Comunicado de Encerramento pelo Coordenador Líder da Oferta Restrita à CVM, de diretrizes específicas nesse sentido pelo Conselho de Regulação e Melhores Práticas da ANBIMA, nos termos do artigo 9º, parágrafo 1º, do referido código.</w:t>
      </w:r>
    </w:p>
    <w:p w14:paraId="76F654F0" w14:textId="77777777" w:rsidR="00EB5CDB" w:rsidRDefault="00EB5CDB">
      <w:pPr>
        <w:spacing w:before="120" w:after="120" w:line="280" w:lineRule="exact"/>
        <w:jc w:val="both"/>
        <w:rPr>
          <w:rFonts w:ascii="Verdana" w:eastAsia="MS Mincho" w:hAnsi="Verdana" w:cs="Tahoma"/>
          <w:sz w:val="20"/>
          <w:szCs w:val="20"/>
        </w:rPr>
      </w:pPr>
    </w:p>
    <w:p w14:paraId="63257372" w14:textId="77777777" w:rsidR="00EB5CDB" w:rsidRDefault="008E55E6">
      <w:pPr>
        <w:keepNext/>
        <w:numPr>
          <w:ilvl w:val="1"/>
          <w:numId w:val="3"/>
        </w:numPr>
        <w:spacing w:before="120" w:after="120" w:line="280" w:lineRule="exact"/>
        <w:jc w:val="both"/>
        <w:rPr>
          <w:rFonts w:ascii="Verdana" w:eastAsia="MS Mincho" w:hAnsi="Verdana" w:cs="Tahoma"/>
          <w:b/>
          <w:sz w:val="20"/>
          <w:szCs w:val="20"/>
        </w:rPr>
      </w:pPr>
      <w:bookmarkStart w:id="17" w:name="_DV_M33"/>
      <w:bookmarkStart w:id="18" w:name="_DV_M34"/>
      <w:bookmarkStart w:id="19" w:name="_DV_M35"/>
      <w:bookmarkStart w:id="20" w:name="_DV_M37"/>
      <w:bookmarkStart w:id="21" w:name="_DV_M42"/>
      <w:bookmarkEnd w:id="17"/>
      <w:bookmarkEnd w:id="18"/>
      <w:bookmarkEnd w:id="19"/>
      <w:bookmarkEnd w:id="20"/>
      <w:bookmarkEnd w:id="21"/>
      <w:r>
        <w:rPr>
          <w:rFonts w:ascii="Verdana" w:eastAsia="MS Mincho" w:hAnsi="Verdana" w:cs="Tahoma"/>
          <w:b/>
          <w:sz w:val="20"/>
          <w:szCs w:val="20"/>
        </w:rPr>
        <w:t>Depósito para Distribuição, Custódia Eletrônica e Liquidação Financeira</w:t>
      </w:r>
    </w:p>
    <w:p w14:paraId="2ECACAC9" w14:textId="77777777" w:rsidR="00EB5CDB" w:rsidRDefault="008E55E6">
      <w:pPr>
        <w:numPr>
          <w:ilvl w:val="2"/>
          <w:numId w:val="3"/>
        </w:numPr>
        <w:spacing w:before="120" w:after="120" w:line="280" w:lineRule="exact"/>
        <w:jc w:val="both"/>
        <w:rPr>
          <w:rFonts w:ascii="Verdana" w:hAnsi="Verdana" w:cs="Tahoma"/>
          <w:sz w:val="20"/>
          <w:szCs w:val="20"/>
        </w:rPr>
      </w:pPr>
      <w:bookmarkStart w:id="22" w:name="_DV_M43"/>
      <w:bookmarkStart w:id="23" w:name="_Ref481569233"/>
      <w:bookmarkEnd w:id="22"/>
      <w:r>
        <w:rPr>
          <w:rFonts w:ascii="Verdana" w:eastAsia="MS Mincho" w:hAnsi="Verdana" w:cs="Tahoma"/>
          <w:sz w:val="20"/>
          <w:szCs w:val="20"/>
        </w:rPr>
        <w:t xml:space="preserve">As Debêntures serão depositadas na B3 para: </w:t>
      </w:r>
      <w:r>
        <w:rPr>
          <w:rFonts w:ascii="Verdana" w:eastAsia="MS Mincho" w:hAnsi="Verdana" w:cs="Tahoma"/>
          <w:b/>
          <w:sz w:val="20"/>
          <w:szCs w:val="20"/>
        </w:rPr>
        <w:t>(i)</w:t>
      </w:r>
      <w:r>
        <w:rPr>
          <w:rFonts w:ascii="Verdana" w:eastAsia="MS Mincho" w:hAnsi="Verdana" w:cs="Tahoma"/>
          <w:sz w:val="20"/>
          <w:szCs w:val="20"/>
        </w:rPr>
        <w:t xml:space="preserve"> distribuição por meio do MDA, administrado e operacionalizado pela B3, sendo as distribuições liquidadas financeiramente por meio da B3, e </w:t>
      </w:r>
      <w:r>
        <w:rPr>
          <w:rFonts w:ascii="Verdana" w:eastAsia="MS Mincho" w:hAnsi="Verdana" w:cs="Tahoma"/>
          <w:b/>
          <w:sz w:val="20"/>
          <w:szCs w:val="20"/>
        </w:rPr>
        <w:t>(ii)</w:t>
      </w:r>
      <w:r>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Pr>
          <w:rFonts w:ascii="Verdana" w:hAnsi="Verdana" w:cs="Tahoma"/>
          <w:sz w:val="20"/>
          <w:szCs w:val="20"/>
        </w:rPr>
        <w:t>B3</w:t>
      </w:r>
      <w:r>
        <w:rPr>
          <w:rFonts w:ascii="Verdana" w:eastAsia="MS Mincho" w:hAnsi="Verdana" w:cs="Tahoma"/>
          <w:sz w:val="20"/>
          <w:szCs w:val="20"/>
        </w:rPr>
        <w:t>.</w:t>
      </w:r>
      <w:bookmarkEnd w:id="23"/>
    </w:p>
    <w:p w14:paraId="34D249DA" w14:textId="77777777" w:rsidR="00EB5CDB" w:rsidRDefault="008E55E6">
      <w:pPr>
        <w:numPr>
          <w:ilvl w:val="2"/>
          <w:numId w:val="3"/>
        </w:numPr>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Não obstante o descrito no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_Ref481569233 \n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2.4.1</w:t>
      </w:r>
      <w:r>
        <w:rPr>
          <w:rFonts w:ascii="Verdana" w:eastAsia="MS Mincho" w:hAnsi="Verdana" w:cs="Tahoma"/>
          <w:sz w:val="20"/>
          <w:szCs w:val="20"/>
        </w:rPr>
        <w:fldChar w:fldCharType="end"/>
      </w:r>
      <w:r>
        <w:rPr>
          <w:rFonts w:ascii="Verdana" w:eastAsia="MS Mincho" w:hAnsi="Verdana" w:cs="Tahoma"/>
          <w:sz w:val="20"/>
          <w:szCs w:val="20"/>
        </w:rPr>
        <w:t xml:space="preserve"> acima, </w:t>
      </w:r>
      <w:r>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Default="00EB5CDB">
      <w:pPr>
        <w:spacing w:before="120" w:after="120" w:line="280" w:lineRule="exact"/>
        <w:jc w:val="both"/>
        <w:rPr>
          <w:rFonts w:ascii="Verdana" w:eastAsia="MS Mincho" w:hAnsi="Verdana" w:cs="Tahoma"/>
          <w:sz w:val="20"/>
          <w:szCs w:val="20"/>
        </w:rPr>
      </w:pPr>
    </w:p>
    <w:p w14:paraId="69C66A6D" w14:textId="77777777" w:rsidR="00EB5CDB" w:rsidRDefault="008E55E6">
      <w:pPr>
        <w:keepNext/>
        <w:spacing w:before="120" w:after="120" w:line="280" w:lineRule="exact"/>
        <w:jc w:val="center"/>
        <w:rPr>
          <w:rFonts w:ascii="Verdana" w:eastAsia="MS Mincho" w:hAnsi="Verdana" w:cs="Tahoma"/>
          <w:b/>
          <w:sz w:val="20"/>
          <w:szCs w:val="20"/>
        </w:rPr>
      </w:pPr>
      <w:bookmarkStart w:id="24" w:name="_DV_M44"/>
      <w:bookmarkEnd w:id="24"/>
      <w:r>
        <w:rPr>
          <w:rFonts w:ascii="Verdana" w:eastAsia="MS Mincho" w:hAnsi="Verdana" w:cs="Tahoma"/>
          <w:b/>
          <w:sz w:val="20"/>
          <w:szCs w:val="20"/>
        </w:rPr>
        <w:t xml:space="preserve">CLÁUSULA TERCEIRA – </w:t>
      </w:r>
      <w:bookmarkStart w:id="25" w:name="_DV_M45"/>
      <w:bookmarkEnd w:id="25"/>
      <w:r>
        <w:rPr>
          <w:rFonts w:ascii="Verdana" w:eastAsia="MS Mincho" w:hAnsi="Verdana" w:cs="Tahoma"/>
          <w:b/>
          <w:sz w:val="20"/>
          <w:szCs w:val="20"/>
        </w:rPr>
        <w:t>CARACTERÍSTICAS DA EMISSÃO E DAS DEBÊNTURES</w:t>
      </w:r>
    </w:p>
    <w:p w14:paraId="7BEDC3DE" w14:textId="77777777" w:rsidR="00EB5CDB" w:rsidRDefault="00EB5CDB">
      <w:pPr>
        <w:keepNext/>
        <w:spacing w:before="120" w:after="120" w:line="280" w:lineRule="exact"/>
        <w:jc w:val="center"/>
        <w:rPr>
          <w:rFonts w:ascii="Verdana" w:eastAsia="MS Mincho" w:hAnsi="Verdana" w:cs="Tahoma"/>
          <w:b/>
          <w:sz w:val="20"/>
          <w:szCs w:val="20"/>
        </w:rPr>
      </w:pPr>
    </w:p>
    <w:p w14:paraId="6B801E8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Objeto Social da Emissora</w:t>
      </w:r>
    </w:p>
    <w:p w14:paraId="2D20C74A" w14:textId="77777777" w:rsidR="00EB5CDB" w:rsidRDefault="008E55E6">
      <w:pPr>
        <w:numPr>
          <w:ilvl w:val="2"/>
          <w:numId w:val="4"/>
        </w:numPr>
        <w:spacing w:before="120" w:after="120" w:line="280" w:lineRule="exact"/>
        <w:jc w:val="both"/>
        <w:rPr>
          <w:rFonts w:ascii="Verdana" w:eastAsia="MS Mincho" w:hAnsi="Verdana" w:cs="Tahoma"/>
          <w:sz w:val="20"/>
          <w:szCs w:val="20"/>
        </w:rPr>
      </w:pPr>
      <w:bookmarkStart w:id="26" w:name="_Ref497551121"/>
      <w:r>
        <w:rPr>
          <w:rFonts w:ascii="Verdana" w:eastAsia="MS Mincho" w:hAnsi="Verdana" w:cs="Tahoma"/>
          <w:sz w:val="20"/>
          <w:szCs w:val="20"/>
        </w:rPr>
        <w:t>De acordo com o artigo </w:t>
      </w:r>
      <w:r>
        <w:rPr>
          <w:rFonts w:ascii="Verdana" w:hAnsi="Verdana" w:cs="Tahoma"/>
          <w:sz w:val="20"/>
          <w:szCs w:val="20"/>
        </w:rPr>
        <w:t>2</w:t>
      </w:r>
      <w:r>
        <w:rPr>
          <w:rFonts w:ascii="Verdana" w:eastAsia="MS Mincho" w:hAnsi="Verdana" w:cs="Tahoma"/>
          <w:sz w:val="20"/>
          <w:szCs w:val="20"/>
        </w:rPr>
        <w:t xml:space="preserve">º do Estatuto Social da Emissora, a Emissora tem por objeto social: </w:t>
      </w:r>
      <w:r>
        <w:rPr>
          <w:rFonts w:ascii="Verdana" w:hAnsi="Verdana"/>
          <w:b/>
          <w:sz w:val="20"/>
          <w:szCs w:val="20"/>
        </w:rPr>
        <w:t>(i)</w:t>
      </w:r>
      <w:r>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Pr>
          <w:rFonts w:ascii="Verdana" w:hAnsi="Verdana"/>
          <w:b/>
          <w:sz w:val="20"/>
          <w:szCs w:val="20"/>
        </w:rPr>
        <w:t>(ii)</w:t>
      </w:r>
      <w:r>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Pr>
          <w:rFonts w:ascii="Verdana" w:hAnsi="Verdana"/>
          <w:b/>
          <w:sz w:val="20"/>
          <w:szCs w:val="20"/>
        </w:rPr>
        <w:t>(iii)</w:t>
      </w:r>
      <w:r>
        <w:rPr>
          <w:rFonts w:ascii="Verdana" w:hAnsi="Verdana"/>
          <w:sz w:val="20"/>
          <w:szCs w:val="20"/>
        </w:rPr>
        <w:t xml:space="preserve"> a realização de negócios e a prestação de serviços relacionados às operações de securitização de créditos supracitadas; e </w:t>
      </w:r>
      <w:r>
        <w:rPr>
          <w:rFonts w:ascii="Verdana" w:hAnsi="Verdana"/>
          <w:b/>
          <w:sz w:val="20"/>
          <w:szCs w:val="20"/>
        </w:rPr>
        <w:t>(iv)</w:t>
      </w:r>
      <w:r>
        <w:rPr>
          <w:rFonts w:ascii="Verdana" w:hAnsi="Verdana"/>
          <w:sz w:val="20"/>
          <w:szCs w:val="20"/>
        </w:rPr>
        <w:t xml:space="preserve"> a realização de operações de hedge em mercados derivativos visando à cobertura de riscos na sua carteira de créditos.</w:t>
      </w:r>
      <w:bookmarkEnd w:id="26"/>
    </w:p>
    <w:p w14:paraId="5D8A210C" w14:textId="77777777" w:rsidR="00EB5CDB" w:rsidRDefault="00EB5CDB">
      <w:pPr>
        <w:spacing w:before="120" w:after="120" w:line="280" w:lineRule="exact"/>
        <w:jc w:val="both"/>
        <w:rPr>
          <w:rFonts w:ascii="Verdana" w:eastAsia="MS Mincho" w:hAnsi="Verdana" w:cs="Tahoma"/>
          <w:sz w:val="20"/>
          <w:szCs w:val="20"/>
        </w:rPr>
      </w:pPr>
    </w:p>
    <w:p w14:paraId="1722A7E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7" w:name="_DV_M46"/>
      <w:bookmarkEnd w:id="27"/>
      <w:r>
        <w:rPr>
          <w:rFonts w:ascii="Verdana" w:eastAsia="MS Mincho" w:hAnsi="Verdana" w:cs="Tahoma"/>
          <w:b/>
          <w:sz w:val="20"/>
          <w:szCs w:val="20"/>
        </w:rPr>
        <w:t>Número da Emissão</w:t>
      </w:r>
    </w:p>
    <w:p w14:paraId="2790C50E" w14:textId="24E579DA" w:rsidR="00EB5CDB" w:rsidRDefault="008E55E6">
      <w:pPr>
        <w:numPr>
          <w:ilvl w:val="2"/>
          <w:numId w:val="4"/>
        </w:numPr>
        <w:spacing w:before="120" w:after="120" w:line="280" w:lineRule="exact"/>
        <w:jc w:val="both"/>
        <w:rPr>
          <w:rFonts w:ascii="Verdana" w:eastAsia="MS Mincho" w:hAnsi="Verdana" w:cs="Tahoma"/>
          <w:sz w:val="20"/>
          <w:szCs w:val="20"/>
        </w:rPr>
      </w:pPr>
      <w:bookmarkStart w:id="28" w:name="_DV_M71"/>
      <w:bookmarkEnd w:id="28"/>
      <w:r>
        <w:rPr>
          <w:rFonts w:ascii="Verdana" w:eastAsia="MS Mincho" w:hAnsi="Verdana" w:cs="Tahoma"/>
          <w:sz w:val="20"/>
          <w:szCs w:val="20"/>
        </w:rPr>
        <w:t xml:space="preserve">Esta Emissão constitui a </w:t>
      </w:r>
      <w:r w:rsidR="006F22B6">
        <w:rPr>
          <w:rFonts w:ascii="Verdana" w:eastAsia="MS Mincho" w:hAnsi="Verdana" w:cs="Tahoma"/>
          <w:sz w:val="20"/>
          <w:szCs w:val="20"/>
        </w:rPr>
        <w:t>2</w:t>
      </w:r>
      <w:r>
        <w:rPr>
          <w:rFonts w:ascii="Verdana" w:eastAsia="MS Mincho" w:hAnsi="Verdana" w:cs="Tahoma"/>
          <w:sz w:val="20"/>
          <w:szCs w:val="20"/>
        </w:rPr>
        <w:t>ª (</w:t>
      </w:r>
      <w:r w:rsidR="006F22B6">
        <w:rPr>
          <w:rFonts w:ascii="Verdana" w:eastAsia="MS Mincho" w:hAnsi="Verdana" w:cs="Tahoma"/>
          <w:sz w:val="20"/>
          <w:szCs w:val="20"/>
        </w:rPr>
        <w:t>segunda</w:t>
      </w:r>
      <w:r>
        <w:rPr>
          <w:rFonts w:ascii="Verdana" w:eastAsia="MS Mincho" w:hAnsi="Verdana" w:cs="Tahoma"/>
          <w:sz w:val="20"/>
          <w:szCs w:val="20"/>
        </w:rPr>
        <w:t>) emissão de debêntures da Emissora.</w:t>
      </w:r>
    </w:p>
    <w:p w14:paraId="77E46607" w14:textId="77777777" w:rsidR="00EB5CDB" w:rsidRDefault="00EB5CDB">
      <w:pPr>
        <w:spacing w:before="120" w:after="120" w:line="280" w:lineRule="exact"/>
        <w:jc w:val="both"/>
        <w:rPr>
          <w:rFonts w:ascii="Verdana" w:eastAsia="MS Mincho" w:hAnsi="Verdana" w:cs="Tahoma"/>
          <w:sz w:val="20"/>
          <w:szCs w:val="20"/>
        </w:rPr>
      </w:pPr>
    </w:p>
    <w:p w14:paraId="102B006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Total da Emissão</w:t>
      </w:r>
    </w:p>
    <w:p w14:paraId="5CBA10A8" w14:textId="316CACC9" w:rsidR="00EB5CDB" w:rsidRDefault="008E55E6">
      <w:pPr>
        <w:numPr>
          <w:ilvl w:val="2"/>
          <w:numId w:val="4"/>
        </w:numPr>
        <w:spacing w:before="120" w:after="120" w:line="280" w:lineRule="exact"/>
        <w:jc w:val="both"/>
        <w:rPr>
          <w:rFonts w:ascii="Verdana" w:eastAsia="MS Mincho" w:hAnsi="Verdana" w:cs="Tahoma"/>
          <w:sz w:val="20"/>
          <w:szCs w:val="20"/>
        </w:rPr>
      </w:pPr>
      <w:bookmarkStart w:id="29" w:name="_Ref495596549"/>
      <w:r>
        <w:rPr>
          <w:rFonts w:ascii="Verdana" w:eastAsia="MS Mincho" w:hAnsi="Verdana" w:cs="Tahoma"/>
          <w:sz w:val="20"/>
          <w:szCs w:val="20"/>
        </w:rPr>
        <w:t xml:space="preserve">O </w:t>
      </w:r>
      <w:r>
        <w:rPr>
          <w:rStyle w:val="Forte"/>
          <w:rFonts w:ascii="Verdana" w:eastAsia="MS Mincho" w:hAnsi="Verdana" w:cs="Tahoma"/>
          <w:b w:val="0"/>
          <w:sz w:val="20"/>
          <w:szCs w:val="20"/>
        </w:rPr>
        <w:t>valor</w:t>
      </w:r>
      <w:r>
        <w:rPr>
          <w:rFonts w:ascii="Verdana" w:eastAsia="MS Mincho" w:hAnsi="Verdana" w:cs="Tahoma"/>
          <w:sz w:val="20"/>
          <w:szCs w:val="20"/>
        </w:rPr>
        <w:t xml:space="preserve"> total da Emissão será de </w:t>
      </w:r>
      <w:r>
        <w:rPr>
          <w:rFonts w:ascii="Verdana" w:hAnsi="Verdana" w:cs="Tahoma"/>
          <w:sz w:val="20"/>
          <w:szCs w:val="20"/>
        </w:rPr>
        <w:t xml:space="preserve">R$ </w:t>
      </w:r>
      <w:r w:rsidR="006F22B6">
        <w:rPr>
          <w:rFonts w:ascii="Verdana" w:hAnsi="Verdana" w:cs="Tahoma"/>
          <w:sz w:val="20"/>
          <w:szCs w:val="20"/>
        </w:rPr>
        <w:t>50</w:t>
      </w:r>
      <w:r>
        <w:rPr>
          <w:rFonts w:ascii="Verdana" w:hAnsi="Verdana" w:cs="Tahoma"/>
          <w:sz w:val="20"/>
          <w:szCs w:val="20"/>
        </w:rPr>
        <w:t>.</w:t>
      </w:r>
      <w:r w:rsidR="006F22B6">
        <w:rPr>
          <w:rFonts w:ascii="Verdana" w:hAnsi="Verdana" w:cs="Tahoma"/>
          <w:sz w:val="20"/>
          <w:szCs w:val="20"/>
        </w:rPr>
        <w:t>00</w:t>
      </w:r>
      <w:r>
        <w:rPr>
          <w:rFonts w:ascii="Verdana" w:hAnsi="Verdana" w:cs="Tahoma"/>
          <w:sz w:val="20"/>
          <w:szCs w:val="20"/>
        </w:rPr>
        <w:t>0.000,00 (</w:t>
      </w:r>
      <w:r w:rsidR="006F22B6">
        <w:rPr>
          <w:rFonts w:ascii="Verdana" w:hAnsi="Verdana" w:cs="Tahoma"/>
          <w:sz w:val="20"/>
          <w:szCs w:val="20"/>
        </w:rPr>
        <w:t>cinquenta</w:t>
      </w:r>
      <w:r>
        <w:rPr>
          <w:rFonts w:ascii="Verdana" w:hAnsi="Verdana" w:cs="Tahoma"/>
          <w:sz w:val="20"/>
          <w:szCs w:val="20"/>
        </w:rPr>
        <w:t xml:space="preserve"> milhões</w:t>
      </w:r>
      <w:r w:rsidR="006F22B6">
        <w:rPr>
          <w:rFonts w:ascii="Verdana" w:hAnsi="Verdana" w:cs="Tahoma"/>
          <w:sz w:val="20"/>
          <w:szCs w:val="20"/>
        </w:rPr>
        <w:t xml:space="preserve"> de</w:t>
      </w:r>
      <w:r>
        <w:rPr>
          <w:rFonts w:ascii="Verdana" w:hAnsi="Verdana" w:cs="Tahoma"/>
          <w:sz w:val="20"/>
          <w:szCs w:val="20"/>
        </w:rPr>
        <w:t xml:space="preserve"> reais)</w:t>
      </w:r>
      <w:r>
        <w:rPr>
          <w:rFonts w:ascii="Verdana" w:eastAsia="MS Mincho" w:hAnsi="Verdana" w:cs="Tahoma"/>
          <w:sz w:val="20"/>
          <w:szCs w:val="20"/>
        </w:rPr>
        <w:t>, na Data de Emissão</w:t>
      </w:r>
      <w:bookmarkEnd w:id="29"/>
      <w:r>
        <w:rPr>
          <w:rFonts w:ascii="Verdana" w:eastAsia="MS Mincho" w:hAnsi="Verdana" w:cs="Tahoma"/>
          <w:sz w:val="20"/>
          <w:szCs w:val="20"/>
        </w:rPr>
        <w:t>.</w:t>
      </w:r>
    </w:p>
    <w:p w14:paraId="691DD632" w14:textId="77777777" w:rsidR="00EB5CDB" w:rsidRDefault="00EB5CDB">
      <w:pPr>
        <w:spacing w:before="120" w:after="120" w:line="280" w:lineRule="exact"/>
        <w:jc w:val="both"/>
        <w:rPr>
          <w:rFonts w:ascii="Verdana" w:eastAsia="MS Mincho" w:hAnsi="Verdana" w:cs="Tahoma"/>
          <w:sz w:val="20"/>
          <w:szCs w:val="20"/>
        </w:rPr>
      </w:pPr>
    </w:p>
    <w:p w14:paraId="38AF1BD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Quantidade de Debêntures</w:t>
      </w:r>
    </w:p>
    <w:p w14:paraId="30CC2BF3" w14:textId="0B32DA61" w:rsidR="00EB5CDB" w:rsidRDefault="008E55E6">
      <w:pPr>
        <w:numPr>
          <w:ilvl w:val="2"/>
          <w:numId w:val="4"/>
        </w:numPr>
        <w:spacing w:before="120" w:after="120" w:line="280" w:lineRule="exact"/>
        <w:jc w:val="both"/>
        <w:rPr>
          <w:rFonts w:ascii="Verdana" w:eastAsia="MS Mincho" w:hAnsi="Verdana" w:cs="Tahoma"/>
          <w:sz w:val="20"/>
          <w:szCs w:val="20"/>
        </w:rPr>
      </w:pPr>
      <w:bookmarkStart w:id="30" w:name="_DV_M58"/>
      <w:bookmarkStart w:id="31" w:name="_DV_M59"/>
      <w:bookmarkStart w:id="32" w:name="_Ref495596607"/>
      <w:bookmarkEnd w:id="30"/>
      <w:bookmarkEnd w:id="31"/>
      <w:r>
        <w:rPr>
          <w:rFonts w:ascii="Verdana" w:eastAsia="MS Mincho" w:hAnsi="Verdana" w:cs="Tahoma"/>
          <w:sz w:val="20"/>
          <w:szCs w:val="20"/>
        </w:rPr>
        <w:t xml:space="preserve">Serão emitidas </w:t>
      </w:r>
      <w:r w:rsidR="004D2F65">
        <w:rPr>
          <w:rFonts w:ascii="Verdana" w:hAnsi="Verdana" w:cs="Tahoma"/>
          <w:sz w:val="20"/>
          <w:szCs w:val="20"/>
        </w:rPr>
        <w:t>50.000 (cinquenta mil)</w:t>
      </w:r>
      <w:r>
        <w:rPr>
          <w:rFonts w:ascii="Verdana" w:eastAsia="MS Mincho" w:hAnsi="Verdana" w:cs="Tahoma"/>
          <w:sz w:val="20"/>
          <w:szCs w:val="20"/>
        </w:rPr>
        <w:t xml:space="preserve"> Debêntures no âmbito da Emissão, sendo </w:t>
      </w:r>
      <w:r w:rsidR="004D2F65">
        <w:rPr>
          <w:rFonts w:ascii="Verdana" w:hAnsi="Verdana" w:cs="Tahoma"/>
          <w:sz w:val="20"/>
          <w:szCs w:val="20"/>
        </w:rPr>
        <w:t>40.000</w:t>
      </w:r>
      <w:r>
        <w:rPr>
          <w:rFonts w:ascii="Verdana" w:eastAsia="MS Mincho" w:hAnsi="Verdana" w:cs="Tahoma"/>
          <w:sz w:val="20"/>
          <w:szCs w:val="20"/>
        </w:rPr>
        <w:t xml:space="preserve"> </w:t>
      </w:r>
      <w:r w:rsidR="004D2F65">
        <w:rPr>
          <w:rFonts w:ascii="Verdana" w:eastAsia="MS Mincho" w:hAnsi="Verdana" w:cs="Tahoma"/>
          <w:sz w:val="20"/>
          <w:szCs w:val="20"/>
        </w:rPr>
        <w:t xml:space="preserve">(quarenta mil) </w:t>
      </w:r>
      <w:r>
        <w:rPr>
          <w:rFonts w:ascii="Verdana" w:eastAsia="MS Mincho" w:hAnsi="Verdana" w:cs="Tahoma"/>
          <w:sz w:val="20"/>
          <w:szCs w:val="20"/>
        </w:rPr>
        <w:t>integrantes da primeira série (“</w:t>
      </w:r>
      <w:r>
        <w:rPr>
          <w:rFonts w:ascii="Verdana" w:eastAsia="MS Mincho" w:hAnsi="Verdana" w:cs="Tahoma"/>
          <w:sz w:val="20"/>
          <w:szCs w:val="20"/>
          <w:u w:val="single"/>
        </w:rPr>
        <w:t>Primeira Série</w:t>
      </w:r>
      <w:r>
        <w:rPr>
          <w:rFonts w:ascii="Verdana" w:eastAsia="MS Mincho" w:hAnsi="Verdana" w:cs="Tahoma"/>
          <w:sz w:val="20"/>
          <w:szCs w:val="20"/>
        </w:rPr>
        <w:t>” e “</w:t>
      </w:r>
      <w:r>
        <w:rPr>
          <w:rFonts w:ascii="Verdana" w:eastAsia="MS Mincho" w:hAnsi="Verdana" w:cs="Tahoma"/>
          <w:sz w:val="20"/>
          <w:szCs w:val="20"/>
          <w:u w:val="single"/>
        </w:rPr>
        <w:t>Debêntures da Primeira Série</w:t>
      </w:r>
      <w:r>
        <w:rPr>
          <w:rFonts w:ascii="Verdana" w:eastAsia="MS Mincho" w:hAnsi="Verdana" w:cs="Tahoma"/>
          <w:sz w:val="20"/>
          <w:szCs w:val="20"/>
        </w:rPr>
        <w:t xml:space="preserve">”) e </w:t>
      </w:r>
      <w:r w:rsidR="004D2F65">
        <w:rPr>
          <w:rFonts w:ascii="Verdana" w:hAnsi="Verdana" w:cs="Tahoma"/>
          <w:sz w:val="20"/>
          <w:szCs w:val="20"/>
        </w:rPr>
        <w:t>10.000 (dez mil)</w:t>
      </w:r>
      <w:r>
        <w:rPr>
          <w:rFonts w:ascii="Verdana" w:eastAsia="MS Mincho" w:hAnsi="Verdana" w:cs="Tahoma"/>
          <w:sz w:val="20"/>
          <w:szCs w:val="20"/>
        </w:rPr>
        <w:t xml:space="preserve"> integrantes da segunda série (“</w:t>
      </w:r>
      <w:r>
        <w:rPr>
          <w:rFonts w:ascii="Verdana" w:eastAsia="MS Mincho" w:hAnsi="Verdana" w:cs="Tahoma"/>
          <w:sz w:val="20"/>
          <w:szCs w:val="20"/>
          <w:u w:val="single"/>
        </w:rPr>
        <w:t>Segunda Série</w:t>
      </w:r>
      <w:r>
        <w:rPr>
          <w:rFonts w:ascii="Verdana" w:eastAsia="MS Mincho" w:hAnsi="Verdana" w:cs="Tahoma"/>
          <w:sz w:val="20"/>
          <w:szCs w:val="20"/>
        </w:rPr>
        <w:t>” e, em conjunto com Primeira Série, “</w:t>
      </w:r>
      <w:r>
        <w:rPr>
          <w:rFonts w:ascii="Verdana" w:eastAsia="MS Mincho" w:hAnsi="Verdana" w:cs="Tahoma"/>
          <w:sz w:val="20"/>
          <w:szCs w:val="20"/>
          <w:u w:val="single"/>
        </w:rPr>
        <w:t>Séries</w:t>
      </w:r>
      <w:r>
        <w:rPr>
          <w:rFonts w:ascii="Verdana" w:eastAsia="MS Mincho" w:hAnsi="Verdana" w:cs="Tahoma"/>
          <w:sz w:val="20"/>
          <w:szCs w:val="20"/>
        </w:rPr>
        <w:t>”, e “</w:t>
      </w:r>
      <w:r>
        <w:rPr>
          <w:rFonts w:ascii="Verdana" w:eastAsia="MS Mincho" w:hAnsi="Verdana" w:cs="Tahoma"/>
          <w:sz w:val="20"/>
          <w:szCs w:val="20"/>
          <w:u w:val="single"/>
        </w:rPr>
        <w:t>Debêntures da Segunda Série</w:t>
      </w:r>
      <w:r>
        <w:rPr>
          <w:rFonts w:ascii="Verdana" w:eastAsia="MS Mincho" w:hAnsi="Verdana" w:cs="Tahoma"/>
          <w:sz w:val="20"/>
          <w:szCs w:val="20"/>
        </w:rPr>
        <w:t>”).</w:t>
      </w:r>
      <w:bookmarkEnd w:id="32"/>
    </w:p>
    <w:p w14:paraId="23BED422" w14:textId="77777777" w:rsidR="00EB5CDB" w:rsidRDefault="00EB5CDB">
      <w:pPr>
        <w:spacing w:before="120" w:after="120" w:line="280" w:lineRule="exact"/>
        <w:jc w:val="both"/>
        <w:rPr>
          <w:rFonts w:ascii="Verdana" w:eastAsia="MS Mincho" w:hAnsi="Verdana" w:cs="Tahoma"/>
          <w:sz w:val="20"/>
          <w:szCs w:val="20"/>
        </w:rPr>
      </w:pPr>
    </w:p>
    <w:p w14:paraId="6ADCE16F" w14:textId="77777777" w:rsidR="00EB5CDB" w:rsidRDefault="008E55E6">
      <w:pPr>
        <w:keepNext/>
        <w:numPr>
          <w:ilvl w:val="1"/>
          <w:numId w:val="4"/>
        </w:numPr>
        <w:spacing w:before="120" w:after="120" w:line="280" w:lineRule="exact"/>
        <w:jc w:val="both"/>
        <w:rPr>
          <w:rFonts w:ascii="Verdana" w:eastAsia="MS Mincho" w:hAnsi="Verdana" w:cs="Tahoma"/>
          <w:b/>
          <w:bCs/>
          <w:sz w:val="20"/>
          <w:szCs w:val="20"/>
        </w:rPr>
      </w:pPr>
      <w:r>
        <w:rPr>
          <w:rFonts w:ascii="Verdana" w:eastAsia="MS Mincho" w:hAnsi="Verdana" w:cs="Tahoma"/>
          <w:b/>
          <w:bCs/>
          <w:sz w:val="20"/>
          <w:szCs w:val="20"/>
        </w:rPr>
        <w:t>Número de Séries</w:t>
      </w:r>
    </w:p>
    <w:p w14:paraId="36C14B4C" w14:textId="01DE4CE7" w:rsidR="00EB5CDB" w:rsidRPr="003A66FD" w:rsidRDefault="008E55E6">
      <w:pPr>
        <w:numPr>
          <w:ilvl w:val="2"/>
          <w:numId w:val="4"/>
        </w:numPr>
        <w:spacing w:before="120" w:after="120" w:line="280" w:lineRule="exact"/>
        <w:jc w:val="both"/>
        <w:rPr>
          <w:rFonts w:ascii="Verdana" w:eastAsia="MS Mincho" w:hAnsi="Verdana" w:cs="Tahoma"/>
          <w:b/>
          <w:sz w:val="20"/>
          <w:szCs w:val="20"/>
        </w:rPr>
      </w:pPr>
      <w:bookmarkStart w:id="33" w:name="_DV_M47"/>
      <w:bookmarkStart w:id="34" w:name="_DV_M48"/>
      <w:bookmarkEnd w:id="33"/>
      <w:bookmarkEnd w:id="34"/>
      <w:r>
        <w:rPr>
          <w:rFonts w:ascii="Verdana" w:eastAsia="MS Mincho" w:hAnsi="Verdana" w:cs="Tahoma"/>
          <w:sz w:val="20"/>
          <w:szCs w:val="20"/>
        </w:rPr>
        <w:t xml:space="preserve">A Emissão será realizada em duas séries. </w:t>
      </w:r>
    </w:p>
    <w:p w14:paraId="4838F5EF" w14:textId="77777777" w:rsidR="003A66FD" w:rsidRDefault="003A66FD" w:rsidP="003A66FD">
      <w:pPr>
        <w:spacing w:before="120" w:after="120" w:line="280" w:lineRule="exact"/>
        <w:jc w:val="both"/>
        <w:rPr>
          <w:rFonts w:ascii="Verdana" w:eastAsia="MS Mincho" w:hAnsi="Verdana" w:cs="Tahoma"/>
          <w:b/>
          <w:sz w:val="20"/>
          <w:szCs w:val="20"/>
        </w:rPr>
      </w:pPr>
    </w:p>
    <w:p w14:paraId="307272B6" w14:textId="14C03674"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35" w:name="_Ref422391421"/>
      <w:r>
        <w:rPr>
          <w:rFonts w:ascii="Verdana" w:eastAsia="MS Mincho" w:hAnsi="Verdana" w:cs="Tahoma"/>
          <w:b/>
          <w:sz w:val="20"/>
          <w:szCs w:val="20"/>
        </w:rPr>
        <w:t>Destinação dos Recursos</w:t>
      </w:r>
      <w:bookmarkEnd w:id="35"/>
      <w:r>
        <w:rPr>
          <w:rFonts w:ascii="Verdana" w:eastAsia="MS Mincho" w:hAnsi="Verdana" w:cs="Tahoma"/>
          <w:b/>
          <w:sz w:val="20"/>
          <w:szCs w:val="20"/>
        </w:rPr>
        <w:t xml:space="preserve"> </w:t>
      </w:r>
      <w:r w:rsidR="000F6B0C">
        <w:rPr>
          <w:rFonts w:ascii="Verdana" w:eastAsia="MS Mincho" w:hAnsi="Verdana" w:cs="Tahoma"/>
          <w:b/>
          <w:sz w:val="20"/>
          <w:szCs w:val="20"/>
        </w:rPr>
        <w:t>e Caráter Social</w:t>
      </w:r>
    </w:p>
    <w:p w14:paraId="31A76A43" w14:textId="4D9FC51F" w:rsidR="00EB5CDB" w:rsidRDefault="008E55E6">
      <w:pPr>
        <w:numPr>
          <w:ilvl w:val="2"/>
          <w:numId w:val="4"/>
        </w:numPr>
        <w:spacing w:before="120" w:after="120" w:line="280" w:lineRule="exact"/>
        <w:jc w:val="both"/>
        <w:rPr>
          <w:rFonts w:ascii="Verdana" w:hAnsi="Verdana" w:cs="Tahoma"/>
          <w:sz w:val="20"/>
          <w:szCs w:val="20"/>
        </w:rPr>
      </w:pPr>
      <w:bookmarkStart w:id="36" w:name="_DV_M61"/>
      <w:bookmarkStart w:id="37" w:name="_DV_M70"/>
      <w:bookmarkStart w:id="38" w:name="_Ref422391407"/>
      <w:bookmarkStart w:id="39" w:name="_Ref454963225"/>
      <w:bookmarkEnd w:id="36"/>
      <w:bookmarkEnd w:id="37"/>
      <w:r>
        <w:rPr>
          <w:rFonts w:ascii="Verdana" w:hAnsi="Verdana" w:cs="Tahoma"/>
          <w:sz w:val="20"/>
          <w:szCs w:val="20"/>
        </w:rPr>
        <w:t>Os recursos obtidos pela Emissora por meio da Emissão serão destinados prioritariamente à aquisição dos Direitos Creditórios Vinculados, 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bookmarkEnd w:id="38"/>
      <w:bookmarkEnd w:id="39"/>
    </w:p>
    <w:p w14:paraId="03ABC77E" w14:textId="1658BD8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0" w:name="_Ref495584033"/>
      <w:r>
        <w:rPr>
          <w:rFonts w:ascii="Verdana" w:hAnsi="Verdana" w:cs="Tahoma"/>
          <w:sz w:val="20"/>
          <w:szCs w:val="20"/>
        </w:rPr>
        <w:t>A atualização do Anexo II deverá ser realizada mensalmente pela Emissora até o 5º (quinto) Dia Útil de cada mês (cada uma de tais datas uma “</w:t>
      </w:r>
      <w:bookmarkStart w:id="41" w:name="_Hlk494399553"/>
      <w:r>
        <w:rPr>
          <w:rFonts w:ascii="Verdana" w:hAnsi="Verdana" w:cs="Tahoma"/>
          <w:sz w:val="20"/>
          <w:szCs w:val="20"/>
          <w:u w:val="single"/>
        </w:rPr>
        <w:t>Data Limite de Atualização de CCB</w:t>
      </w:r>
      <w:bookmarkEnd w:id="41"/>
      <w:r>
        <w:rPr>
          <w:rFonts w:ascii="Verdana" w:hAnsi="Verdana" w:cs="Tahoma"/>
          <w:sz w:val="20"/>
          <w:szCs w:val="20"/>
        </w:rPr>
        <w:t>”)</w:t>
      </w:r>
      <w:r w:rsidR="004D2F65">
        <w:rPr>
          <w:rFonts w:ascii="Verdana" w:hAnsi="Verdana" w:cs="Tahoma"/>
          <w:sz w:val="20"/>
          <w:szCs w:val="20"/>
        </w:rPr>
        <w:t>, sendo que a relação atualizada deverá ser encaminhada mensalmente ao Agente Fiduciária na Data Limite de Atualização de CCB</w:t>
      </w:r>
      <w:r>
        <w:rPr>
          <w:rFonts w:ascii="Verdana" w:hAnsi="Verdana" w:cs="Tahoma"/>
          <w:sz w:val="20"/>
          <w:szCs w:val="20"/>
        </w:rPr>
        <w:t xml:space="preserve">. </w:t>
      </w:r>
    </w:p>
    <w:bookmarkEnd w:id="40"/>
    <w:p w14:paraId="7010CFC3"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Fica desde já estabelecido que, para todos os fins desta Escritura de Emissão, as CCB adquiridas pela Emissora nos termos do item </w:t>
      </w:r>
      <w:r>
        <w:rPr>
          <w:rFonts w:ascii="Verdana" w:hAnsi="Verdana" w:cs="Tahoma"/>
          <w:sz w:val="20"/>
          <w:szCs w:val="20"/>
        </w:rPr>
        <w:fldChar w:fldCharType="begin"/>
      </w:r>
      <w:r>
        <w:rPr>
          <w:rFonts w:ascii="Verdana" w:hAnsi="Verdana" w:cs="Tahoma"/>
          <w:sz w:val="20"/>
          <w:szCs w:val="20"/>
        </w:rPr>
        <w:instrText xml:space="preserve"> REF _Ref454963225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4FFF655F" w14:textId="53240B38"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A obrigação de </w:t>
      </w:r>
      <w:r w:rsidR="004D2F65">
        <w:rPr>
          <w:rFonts w:ascii="Verdana" w:hAnsi="Verdana" w:cs="Tahoma"/>
          <w:sz w:val="20"/>
          <w:szCs w:val="20"/>
        </w:rPr>
        <w:t xml:space="preserve">de atualização </w:t>
      </w:r>
      <w:r>
        <w:rPr>
          <w:rFonts w:ascii="Verdana" w:hAnsi="Verdana" w:cs="Tahoma"/>
          <w:sz w:val="20"/>
          <w:szCs w:val="20"/>
        </w:rPr>
        <w:t xml:space="preserve"> prevista neste item </w:t>
      </w:r>
      <w:r>
        <w:rPr>
          <w:rFonts w:ascii="Verdana" w:hAnsi="Verdana" w:cs="Tahoma"/>
          <w:sz w:val="20"/>
          <w:szCs w:val="20"/>
        </w:rPr>
        <w:fldChar w:fldCharType="begin"/>
      </w:r>
      <w:r>
        <w:rPr>
          <w:rFonts w:ascii="Verdana" w:hAnsi="Verdana" w:cs="Tahoma"/>
          <w:sz w:val="20"/>
          <w:szCs w:val="20"/>
        </w:rPr>
        <w:instrText xml:space="preserve"> REF _Ref422391421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não será aplicável em uma Data Limite de Atualização de CCB caso nenhuma nova CCB tenha sido adquirida pela Emissora desde </w:t>
      </w:r>
      <w:r w:rsidR="004D2F65">
        <w:rPr>
          <w:rFonts w:ascii="Verdana" w:hAnsi="Verdana" w:cs="Tahoma"/>
          <w:sz w:val="20"/>
          <w:szCs w:val="20"/>
        </w:rPr>
        <w:t>a última atualização</w:t>
      </w:r>
      <w:r>
        <w:rPr>
          <w:rFonts w:ascii="Verdana" w:hAnsi="Verdana" w:cs="Tahoma"/>
          <w:sz w:val="20"/>
          <w:szCs w:val="20"/>
        </w:rPr>
        <w:t xml:space="preserve"> do Anexo II, devendo para tanto a Emissora informar o Agente Fiduciário na Data Limite de Atualização a não aquisição de novas CCB.</w:t>
      </w:r>
    </w:p>
    <w:p w14:paraId="13E0DF55" w14:textId="1A6DF5FD" w:rsidR="00EB5CDB" w:rsidRDefault="008E55E6">
      <w:pPr>
        <w:numPr>
          <w:ilvl w:val="2"/>
          <w:numId w:val="4"/>
        </w:numPr>
        <w:spacing w:before="120" w:after="120" w:line="280" w:lineRule="exact"/>
        <w:jc w:val="both"/>
        <w:rPr>
          <w:rFonts w:ascii="Verdana" w:hAnsi="Verdana" w:cs="Tahoma"/>
          <w:sz w:val="20"/>
          <w:szCs w:val="20"/>
        </w:rPr>
      </w:pPr>
      <w:bookmarkStart w:id="42" w:name="_Ref465344335"/>
      <w:bookmarkStart w:id="43" w:name="_Ref518570502"/>
      <w:r>
        <w:rPr>
          <w:rFonts w:ascii="Verdana" w:hAnsi="Verdana" w:cs="Tahoma"/>
          <w:sz w:val="20"/>
          <w:szCs w:val="20"/>
        </w:rPr>
        <w:t>A Emissora deverá alocar recursos decorrentes da integralização das Debêntures, assim como os demais Recursos Exclusivos, na forma indicada no item </w:t>
      </w:r>
      <w:r>
        <w:rPr>
          <w:rFonts w:ascii="Verdana" w:hAnsi="Verdana" w:cs="Tahoma"/>
          <w:sz w:val="20"/>
          <w:szCs w:val="20"/>
        </w:rPr>
        <w:fldChar w:fldCharType="begin"/>
      </w:r>
      <w:r>
        <w:rPr>
          <w:rFonts w:ascii="Verdana" w:hAnsi="Verdana" w:cs="Tahoma"/>
          <w:sz w:val="20"/>
          <w:szCs w:val="20"/>
        </w:rPr>
        <w:instrText xml:space="preserve"> REF _Ref422391407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 acima</w:t>
      </w:r>
      <w:r>
        <w:rPr>
          <w:rFonts w:ascii="Verdana" w:hAnsi="Verdana" w:cs="Tahoma"/>
          <w:sz w:val="20"/>
          <w:szCs w:val="20"/>
        </w:rPr>
        <w:fldChar w:fldCharType="end"/>
      </w:r>
      <w:r>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Pr>
          <w:rFonts w:ascii="Verdana" w:hAnsi="Verdana" w:cs="Tahoma"/>
          <w:sz w:val="20"/>
          <w:szCs w:val="20"/>
          <w:u w:val="single"/>
        </w:rPr>
        <w:t>Limitador para Aquisição de CCB</w:t>
      </w:r>
      <w:r>
        <w:rPr>
          <w:rFonts w:ascii="Verdana" w:hAnsi="Verdana" w:cs="Tahoma"/>
          <w:sz w:val="20"/>
          <w:szCs w:val="20"/>
        </w:rPr>
        <w:t>”) observado, ainda</w:t>
      </w:r>
      <w:r w:rsidR="003A66FD">
        <w:rPr>
          <w:rFonts w:ascii="Verdana" w:hAnsi="Verdana" w:cs="Tahoma"/>
          <w:sz w:val="20"/>
          <w:szCs w:val="20"/>
        </w:rPr>
        <w:t>, a</w:t>
      </w:r>
      <w:r>
        <w:rPr>
          <w:rFonts w:ascii="Verdana" w:hAnsi="Verdana" w:cs="Tahoma"/>
          <w:sz w:val="20"/>
          <w:szCs w:val="20"/>
        </w:rPr>
        <w:t xml:space="preserve"> Ordem de Alocação de Recursos</w:t>
      </w:r>
      <w:bookmarkEnd w:id="42"/>
      <w:r>
        <w:rPr>
          <w:rFonts w:ascii="Verdana" w:hAnsi="Verdana" w:cs="Tahoma"/>
          <w:sz w:val="20"/>
          <w:szCs w:val="20"/>
        </w:rPr>
        <w:t>.</w:t>
      </w:r>
      <w:bookmarkEnd w:id="43"/>
    </w:p>
    <w:p w14:paraId="34E46FF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71700212" w14:textId="28CF53AA" w:rsidR="000F6B0C" w:rsidRPr="000F6B0C" w:rsidRDefault="008E55E6" w:rsidP="000F6B0C">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Pr>
          <w:rFonts w:ascii="Verdana" w:hAnsi="Verdana" w:cs="Tahoma"/>
          <w:sz w:val="20"/>
          <w:szCs w:val="20"/>
        </w:rPr>
        <w:t>, com exceção daqueles recursos depositados na conta de titularidade da Emissora no Agente de Liquidação para fins de operacionalização dos Pagamentos aos Debenturistas</w:t>
      </w:r>
      <w:r>
        <w:rPr>
          <w:rFonts w:ascii="Verdana" w:hAnsi="Verdana" w:cs="Tahoma"/>
          <w:sz w:val="20"/>
          <w:szCs w:val="20"/>
        </w:rPr>
        <w:t xml:space="preserve">. Adicionalmente, os recursos e Investimentos Permitidos disponíveis na Conta Exclusiva não poderão ser utilizados para propósitos que não os especificados no item </w:t>
      </w:r>
      <w:r>
        <w:rPr>
          <w:rFonts w:ascii="Verdana" w:hAnsi="Verdana" w:cs="Tahoma"/>
          <w:sz w:val="20"/>
          <w:szCs w:val="20"/>
        </w:rPr>
        <w:fldChar w:fldCharType="begin"/>
      </w:r>
      <w:r>
        <w:rPr>
          <w:rFonts w:ascii="Verdana" w:hAnsi="Verdana" w:cs="Tahoma"/>
          <w:sz w:val="20"/>
          <w:szCs w:val="20"/>
        </w:rPr>
        <w:instrText xml:space="preserve"> REF _Ref422391407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3.6.1</w:t>
      </w:r>
      <w:r>
        <w:rPr>
          <w:rFonts w:ascii="Verdana" w:hAnsi="Verdana" w:cs="Tahoma"/>
          <w:sz w:val="20"/>
          <w:szCs w:val="20"/>
        </w:rPr>
        <w:fldChar w:fldCharType="end"/>
      </w:r>
      <w:r>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6BDE24B4" w14:textId="6BB90B86" w:rsidR="000F6B0C" w:rsidRDefault="000F6B0C">
      <w:pPr>
        <w:numPr>
          <w:ilvl w:val="3"/>
          <w:numId w:val="4"/>
        </w:numPr>
        <w:spacing w:before="120" w:after="120" w:line="280" w:lineRule="exact"/>
        <w:jc w:val="both"/>
        <w:rPr>
          <w:rFonts w:ascii="Verdana" w:hAnsi="Verdana" w:cs="Tahoma"/>
          <w:sz w:val="20"/>
          <w:szCs w:val="20"/>
        </w:rPr>
      </w:pPr>
      <w:r w:rsidRPr="000F6B0C">
        <w:rPr>
          <w:rFonts w:ascii="Verdana" w:hAnsi="Verdana" w:cs="Tahoma"/>
          <w:sz w:val="20"/>
          <w:szCs w:val="20"/>
        </w:rPr>
        <w:t>A Emissora caracteriza as Debêntures dessa Emissão como 'debêntures sociais', com base em: (i) desempenho socioambiental avaliado por consultoria especializada (SITAWI Finanças do Bem) em parecer independente (“</w:t>
      </w:r>
      <w:r w:rsidRPr="000F6B0C">
        <w:rPr>
          <w:rFonts w:ascii="Verdana" w:hAnsi="Verdana" w:cs="Tahoma"/>
          <w:sz w:val="20"/>
          <w:szCs w:val="20"/>
          <w:u w:val="single"/>
        </w:rPr>
        <w:t>Parecer Independente</w:t>
      </w:r>
      <w:r w:rsidRPr="000F6B0C">
        <w:rPr>
          <w:rFonts w:ascii="Verdana" w:hAnsi="Verdana" w:cs="Tahoma"/>
          <w:sz w:val="20"/>
          <w:szCs w:val="20"/>
        </w:rPr>
        <w:t>”)</w:t>
      </w:r>
      <w:r>
        <w:rPr>
          <w:rFonts w:ascii="Verdana" w:hAnsi="Verdana" w:cs="Tahoma"/>
          <w:sz w:val="20"/>
          <w:szCs w:val="20"/>
        </w:rPr>
        <w:t xml:space="preserve">. </w:t>
      </w:r>
      <w:r w:rsidRPr="000F6B0C">
        <w:rPr>
          <w:rFonts w:ascii="Verdana" w:hAnsi="Verdana" w:cs="Tahoma"/>
          <w:sz w:val="20"/>
          <w:szCs w:val="20"/>
        </w:rPr>
        <w:t xml:space="preserve">O Parecer Independente será disponibilizado na íntegra para </w:t>
      </w:r>
      <w:r>
        <w:rPr>
          <w:rFonts w:ascii="Verdana" w:hAnsi="Verdana" w:cs="Tahoma"/>
          <w:sz w:val="20"/>
          <w:szCs w:val="20"/>
        </w:rPr>
        <w:t>a</w:t>
      </w:r>
      <w:r w:rsidRPr="000F6B0C">
        <w:rPr>
          <w:rFonts w:ascii="Verdana" w:hAnsi="Verdana" w:cs="Tahoma"/>
          <w:sz w:val="20"/>
          <w:szCs w:val="20"/>
        </w:rPr>
        <w:t>os</w:t>
      </w:r>
      <w:r>
        <w:rPr>
          <w:rFonts w:ascii="Verdana" w:hAnsi="Verdana" w:cs="Tahoma"/>
          <w:sz w:val="20"/>
          <w:szCs w:val="20"/>
        </w:rPr>
        <w:t xml:space="preserve"> Debenturistas </w:t>
      </w:r>
      <w:r w:rsidRPr="000F6B0C">
        <w:rPr>
          <w:rFonts w:ascii="Verdana" w:hAnsi="Verdana" w:cs="Tahoma"/>
          <w:sz w:val="20"/>
          <w:szCs w:val="20"/>
        </w:rPr>
        <w:t xml:space="preserve">e </w:t>
      </w:r>
      <w:r>
        <w:rPr>
          <w:rFonts w:ascii="Verdana" w:hAnsi="Verdana" w:cs="Tahoma"/>
          <w:sz w:val="20"/>
          <w:szCs w:val="20"/>
        </w:rPr>
        <w:t>a</w:t>
      </w:r>
      <w:r w:rsidRPr="000F6B0C">
        <w:rPr>
          <w:rFonts w:ascii="Verdana" w:hAnsi="Verdana" w:cs="Tahoma"/>
          <w:sz w:val="20"/>
          <w:szCs w:val="20"/>
        </w:rPr>
        <w:t>o Agente Fiduciário em conjunto com os demais documentos da Oferta Restrita.</w:t>
      </w:r>
    </w:p>
    <w:p w14:paraId="7BE1B13D" w14:textId="77777777" w:rsidR="00EB5CDB" w:rsidRDefault="00EB5CDB">
      <w:pPr>
        <w:spacing w:before="120" w:after="120" w:line="280" w:lineRule="exact"/>
        <w:jc w:val="both"/>
        <w:rPr>
          <w:rFonts w:ascii="Verdana" w:hAnsi="Verdana" w:cs="Tahoma"/>
          <w:sz w:val="20"/>
          <w:szCs w:val="20"/>
        </w:rPr>
      </w:pPr>
    </w:p>
    <w:p w14:paraId="1C597B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4" w:name="_Ref517621787"/>
      <w:r>
        <w:rPr>
          <w:rFonts w:ascii="Verdana" w:eastAsia="MS Mincho" w:hAnsi="Verdana" w:cs="Tahoma"/>
          <w:b/>
          <w:sz w:val="20"/>
          <w:szCs w:val="20"/>
        </w:rPr>
        <w:t>Investimentos Permitidos</w:t>
      </w:r>
      <w:bookmarkEnd w:id="44"/>
    </w:p>
    <w:p w14:paraId="2FDA3D76" w14:textId="34C95EF3"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45" w:name="_Ref422391435"/>
      <w:r>
        <w:rPr>
          <w:rFonts w:ascii="Verdana" w:hAnsi="Verdana" w:cs="Tahoma"/>
          <w:sz w:val="20"/>
          <w:szCs w:val="20"/>
        </w:rPr>
        <w:t>Sem prejuízo do disposto no item </w:t>
      </w:r>
      <w:r>
        <w:rPr>
          <w:rFonts w:ascii="Verdana" w:hAnsi="Verdana" w:cs="Tahoma"/>
          <w:b/>
          <w:sz w:val="20"/>
          <w:szCs w:val="20"/>
        </w:rPr>
        <w:fldChar w:fldCharType="begin"/>
      </w:r>
      <w:r>
        <w:rPr>
          <w:rFonts w:ascii="Verdana" w:hAnsi="Verdana" w:cs="Tahoma"/>
          <w:sz w:val="20"/>
          <w:szCs w:val="20"/>
        </w:rPr>
        <w:instrText xml:space="preserve"> REF _Ref422391421 \n \p \h </w:instrText>
      </w:r>
      <w:r>
        <w:rPr>
          <w:rFonts w:ascii="Verdana" w:hAnsi="Verdana" w:cs="Tahoma"/>
          <w:b/>
          <w:sz w:val="20"/>
          <w:szCs w:val="20"/>
        </w:rPr>
        <w:instrText xml:space="preserve"> \* MERGEFORMAT </w:instrText>
      </w:r>
      <w:r>
        <w:rPr>
          <w:rFonts w:ascii="Verdana" w:hAnsi="Verdana" w:cs="Tahoma"/>
          <w:b/>
          <w:sz w:val="20"/>
          <w:szCs w:val="20"/>
        </w:rPr>
      </w:r>
      <w:r>
        <w:rPr>
          <w:rFonts w:ascii="Verdana" w:hAnsi="Verdana" w:cs="Tahoma"/>
          <w:b/>
          <w:sz w:val="20"/>
          <w:szCs w:val="20"/>
        </w:rPr>
        <w:fldChar w:fldCharType="separate"/>
      </w:r>
      <w:r>
        <w:rPr>
          <w:rFonts w:ascii="Verdana" w:hAnsi="Verdana" w:cs="Tahoma"/>
          <w:sz w:val="20"/>
          <w:szCs w:val="20"/>
        </w:rPr>
        <w:t>3.6 acima</w:t>
      </w:r>
      <w:r>
        <w:rPr>
          <w:rFonts w:ascii="Verdana" w:hAnsi="Verdana" w:cs="Tahoma"/>
          <w:b/>
          <w:sz w:val="20"/>
          <w:szCs w:val="20"/>
        </w:rPr>
        <w:fldChar w:fldCharType="end"/>
      </w:r>
      <w:r>
        <w:rPr>
          <w:rFonts w:ascii="Verdana" w:hAnsi="Verdana" w:cs="Tahoma"/>
          <w:sz w:val="20"/>
          <w:szCs w:val="20"/>
        </w:rPr>
        <w:t xml:space="preserve">, as Partes concordam que os recursos recebidos pela Emissora </w:t>
      </w:r>
      <w:r>
        <w:rPr>
          <w:rFonts w:ascii="Verdana" w:hAnsi="Verdana" w:cs="Tahoma"/>
          <w:b/>
          <w:sz w:val="20"/>
          <w:szCs w:val="20"/>
        </w:rPr>
        <w:t>(i)</w:t>
      </w:r>
      <w:r>
        <w:rPr>
          <w:rFonts w:ascii="Verdana" w:hAnsi="Verdana" w:cs="Tahoma"/>
          <w:sz w:val="20"/>
          <w:szCs w:val="20"/>
        </w:rPr>
        <w:t xml:space="preserve"> a título de integralização das Debêntures e que ainda não forem destinados à aquisição dos Direitos Creditórios Vinculados; e </w:t>
      </w:r>
      <w:r>
        <w:rPr>
          <w:rFonts w:ascii="Verdana" w:hAnsi="Verdana" w:cs="Tahoma"/>
          <w:b/>
          <w:sz w:val="20"/>
          <w:szCs w:val="20"/>
        </w:rPr>
        <w:t>(ii)</w:t>
      </w:r>
      <w:r>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Pr>
          <w:rFonts w:ascii="Verdana" w:hAnsi="Verdana" w:cs="Tahoma"/>
          <w:sz w:val="20"/>
          <w:szCs w:val="20"/>
        </w:rPr>
        <w:t xml:space="preserve">poderão </w:t>
      </w:r>
      <w:r>
        <w:rPr>
          <w:rFonts w:ascii="Verdana" w:hAnsi="Verdana" w:cs="Tahoma"/>
          <w:sz w:val="20"/>
          <w:szCs w:val="20"/>
        </w:rPr>
        <w:t xml:space="preserve">ser alocados em ativos financeiros, </w:t>
      </w:r>
      <w:r>
        <w:rPr>
          <w:rFonts w:ascii="Verdana" w:hAnsi="Verdana"/>
          <w:sz w:val="20"/>
          <w:szCs w:val="20"/>
        </w:rPr>
        <w:t xml:space="preserve">poderão ser mantidos em moeda corrente nacional ou aplicados nos seguintes ativos: </w:t>
      </w:r>
      <w:r>
        <w:rPr>
          <w:rFonts w:ascii="Verdana" w:hAnsi="Verdana"/>
          <w:b/>
          <w:sz w:val="20"/>
          <w:szCs w:val="20"/>
        </w:rPr>
        <w:t>(a)</w:t>
      </w:r>
      <w:r>
        <w:rPr>
          <w:rFonts w:ascii="Verdana" w:hAnsi="Verdana"/>
          <w:sz w:val="20"/>
          <w:szCs w:val="20"/>
        </w:rPr>
        <w:t xml:space="preserve"> </w:t>
      </w:r>
      <w:bookmarkStart w:id="46" w:name="_Ref449679308"/>
      <w:r>
        <w:rPr>
          <w:rFonts w:ascii="Verdana" w:hAnsi="Verdana"/>
          <w:sz w:val="20"/>
          <w:szCs w:val="20"/>
        </w:rPr>
        <w:t>letras financeiras do Tesouro Nacional (LFT);</w:t>
      </w:r>
      <w:bookmarkEnd w:id="46"/>
      <w:r>
        <w:rPr>
          <w:rFonts w:ascii="Verdana" w:hAnsi="Verdana"/>
          <w:sz w:val="20"/>
          <w:szCs w:val="20"/>
        </w:rPr>
        <w:t xml:space="preserve"> </w:t>
      </w:r>
      <w:r>
        <w:rPr>
          <w:rFonts w:ascii="Verdana" w:hAnsi="Verdana"/>
          <w:b/>
          <w:sz w:val="20"/>
          <w:szCs w:val="20"/>
        </w:rPr>
        <w:t>(b)</w:t>
      </w:r>
      <w:r>
        <w:rPr>
          <w:rFonts w:ascii="Verdana" w:hAnsi="Verdana"/>
          <w:sz w:val="20"/>
          <w:szCs w:val="20"/>
        </w:rPr>
        <w:t xml:space="preserve"> </w:t>
      </w:r>
      <w:bookmarkStart w:id="47" w:name="_Ref449908823"/>
      <w:r>
        <w:rPr>
          <w:rFonts w:ascii="Verdana" w:hAnsi="Verdana"/>
          <w:sz w:val="20"/>
          <w:szCs w:val="20"/>
        </w:rPr>
        <w:t>demais títulos de emissão do Tesouro Nacional, com prazo de vencimento máximo de 1 (um) ano;</w:t>
      </w:r>
      <w:bookmarkEnd w:id="47"/>
      <w:r>
        <w:rPr>
          <w:rFonts w:ascii="Verdana" w:hAnsi="Verdana"/>
          <w:sz w:val="20"/>
          <w:szCs w:val="20"/>
        </w:rPr>
        <w:t xml:space="preserve"> </w:t>
      </w:r>
      <w:r>
        <w:rPr>
          <w:rFonts w:ascii="Verdana" w:hAnsi="Verdana"/>
          <w:b/>
          <w:sz w:val="20"/>
          <w:szCs w:val="20"/>
        </w:rPr>
        <w:t>(c)</w:t>
      </w:r>
      <w:r>
        <w:rPr>
          <w:rFonts w:ascii="Verdana" w:hAnsi="Verdana"/>
          <w:sz w:val="20"/>
          <w:szCs w:val="20"/>
        </w:rPr>
        <w:t xml:space="preserve"> operações compromissadas, com liquidez diária, lastreadas em títulos públicos federais, desde que sejam com qualquer das Instituições Autorizadas; </w:t>
      </w:r>
      <w:r>
        <w:rPr>
          <w:rFonts w:ascii="Verdana" w:hAnsi="Verdana"/>
          <w:b/>
          <w:sz w:val="20"/>
          <w:szCs w:val="20"/>
        </w:rPr>
        <w:t>(d)</w:t>
      </w:r>
      <w:r>
        <w:rPr>
          <w:rFonts w:ascii="Verdana" w:hAnsi="Verdana"/>
          <w:sz w:val="20"/>
          <w:szCs w:val="20"/>
        </w:rPr>
        <w:t xml:space="preserve"> </w:t>
      </w:r>
      <w:bookmarkStart w:id="48" w:name="_Ref449679311"/>
      <w:r>
        <w:rPr>
          <w:rFonts w:ascii="Verdana" w:hAnsi="Verdana"/>
          <w:sz w:val="20"/>
          <w:szCs w:val="20"/>
        </w:rPr>
        <w:t>certificados de depósito financeiro, com liquidez diária cujas rentabilidades sejam vinculadas às Taxa DI, emitidos por qualquer das Instituições Autorizadas; e</w:t>
      </w:r>
      <w:bookmarkEnd w:id="48"/>
      <w:r>
        <w:rPr>
          <w:rFonts w:ascii="Verdana" w:hAnsi="Verdana"/>
          <w:sz w:val="20"/>
          <w:szCs w:val="20"/>
        </w:rPr>
        <w:t xml:space="preserve"> </w:t>
      </w:r>
      <w:r>
        <w:rPr>
          <w:rFonts w:ascii="Verdana" w:hAnsi="Verdana"/>
          <w:b/>
          <w:sz w:val="20"/>
          <w:szCs w:val="20"/>
        </w:rPr>
        <w:t>(e)</w:t>
      </w:r>
      <w:r>
        <w:rPr>
          <w:rFonts w:ascii="Verdana" w:hAnsi="Verdana"/>
          <w:sz w:val="20"/>
          <w:szCs w:val="20"/>
        </w:rPr>
        <w:t xml:space="preserve"> cotas de fundos de investimento que invistam exclusivamente nos ativos listados nos itens (a), (b), (c) e/ou (d) acima</w:t>
      </w:r>
      <w:r>
        <w:rPr>
          <w:rFonts w:ascii="Verdana" w:hAnsi="Verdana" w:cs="Tahoma"/>
          <w:sz w:val="20"/>
          <w:szCs w:val="20"/>
        </w:rPr>
        <w:t xml:space="preserve"> (“</w:t>
      </w:r>
      <w:r>
        <w:rPr>
          <w:rFonts w:ascii="Verdana" w:hAnsi="Verdana" w:cs="Tahoma"/>
          <w:sz w:val="20"/>
          <w:szCs w:val="20"/>
          <w:u w:val="single"/>
        </w:rPr>
        <w:t>Investimentos Permitidos</w:t>
      </w:r>
      <w:r>
        <w:rPr>
          <w:rFonts w:ascii="Verdana" w:hAnsi="Verdana" w:cs="Tahoma"/>
          <w:sz w:val="20"/>
          <w:szCs w:val="20"/>
        </w:rPr>
        <w:t xml:space="preserve">”). </w:t>
      </w:r>
    </w:p>
    <w:p w14:paraId="6274B154" w14:textId="77777777" w:rsidR="00EB5CDB" w:rsidRDefault="00EB5CDB">
      <w:pPr>
        <w:pStyle w:val="PargrafodaLista"/>
        <w:spacing w:before="120" w:after="120" w:line="280" w:lineRule="exact"/>
        <w:ind w:left="0"/>
        <w:jc w:val="both"/>
        <w:rPr>
          <w:rFonts w:ascii="Verdana" w:hAnsi="Verdana"/>
          <w:sz w:val="20"/>
          <w:szCs w:val="20"/>
        </w:rPr>
      </w:pPr>
    </w:p>
    <w:p w14:paraId="31C3DF1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49" w:name="_Ref450676472"/>
      <w:bookmarkEnd w:id="45"/>
      <w:r>
        <w:rPr>
          <w:rFonts w:ascii="Verdana" w:eastAsia="MS Mincho" w:hAnsi="Verdana" w:cs="Tahoma"/>
          <w:b/>
          <w:sz w:val="20"/>
          <w:szCs w:val="20"/>
        </w:rPr>
        <w:t>Direitos Creditórios Vinculados às Debêntures</w:t>
      </w:r>
      <w:bookmarkEnd w:id="49"/>
      <w:r>
        <w:rPr>
          <w:rFonts w:ascii="Verdana" w:eastAsia="MS Mincho" w:hAnsi="Verdana" w:cs="Tahoma"/>
          <w:b/>
          <w:sz w:val="20"/>
          <w:szCs w:val="20"/>
        </w:rPr>
        <w:t xml:space="preserve"> </w:t>
      </w:r>
    </w:p>
    <w:p w14:paraId="4251A389" w14:textId="0382602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0" w:name="_Ref495588998"/>
      <w:r>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nos termos da Resolução CMN 2.686.</w:t>
      </w:r>
      <w:bookmarkEnd w:id="50"/>
    </w:p>
    <w:p w14:paraId="50FB8B1F" w14:textId="6B80431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Debenturistas declaram-se cientes de que as CCB são emitidas por </w:t>
      </w:r>
      <w:r>
        <w:rPr>
          <w:rFonts w:ascii="Verdana" w:hAnsi="Verdana" w:cs="Tahoma"/>
          <w:kern w:val="28"/>
          <w:sz w:val="20"/>
          <w:szCs w:val="20"/>
        </w:rPr>
        <w:t xml:space="preserve">Tomadores </w:t>
      </w:r>
      <w:r>
        <w:rPr>
          <w:rFonts w:ascii="Verdana" w:hAnsi="Verdana" w:cs="Tahoma"/>
          <w:sz w:val="20"/>
          <w:szCs w:val="20"/>
        </w:rPr>
        <w:t xml:space="preserve">por meio da Plataforma, atuando como correspondente bancário da Instituição </w:t>
      </w:r>
      <w:r w:rsidR="008D6F6D">
        <w:rPr>
          <w:rFonts w:ascii="Verdana" w:hAnsi="Verdana" w:cs="Tahoma"/>
          <w:sz w:val="20"/>
          <w:szCs w:val="20"/>
        </w:rPr>
        <w:t>Financeira Endossante</w:t>
      </w:r>
      <w:r>
        <w:rPr>
          <w:rFonts w:ascii="Verdana" w:hAnsi="Verdana" w:cs="Tahoma"/>
          <w:sz w:val="20"/>
          <w:szCs w:val="20"/>
        </w:rPr>
        <w:t>.</w:t>
      </w:r>
    </w:p>
    <w:p w14:paraId="5D15019F" w14:textId="4DA1E376"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Instituição Financeira </w:t>
      </w:r>
      <w:r w:rsidR="004D2F65">
        <w:rPr>
          <w:rFonts w:ascii="Verdana" w:hAnsi="Verdana" w:cs="Tahoma"/>
          <w:sz w:val="20"/>
          <w:szCs w:val="20"/>
        </w:rPr>
        <w:t>Endossante</w:t>
      </w:r>
      <w:r>
        <w:rPr>
          <w:rFonts w:ascii="Verdana" w:hAnsi="Verdana" w:cs="Tahoma"/>
          <w:sz w:val="20"/>
          <w:szCs w:val="20"/>
        </w:rPr>
        <w:t>.</w:t>
      </w:r>
      <w:r>
        <w:rPr>
          <w:rStyle w:val="Hyperlink"/>
          <w:rFonts w:ascii="Verdana" w:hAnsi="Verdana" w:cs="Tahoma"/>
          <w:color w:val="auto"/>
          <w:sz w:val="20"/>
          <w:szCs w:val="20"/>
        </w:rPr>
        <w:t xml:space="preserve"> </w:t>
      </w:r>
    </w:p>
    <w:p w14:paraId="09EC170B" w14:textId="569FF9C9"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Uma vez que </w:t>
      </w:r>
      <w:r>
        <w:rPr>
          <w:rFonts w:ascii="Verdana" w:hAnsi="Verdana" w:cs="Tahoma"/>
          <w:b/>
          <w:sz w:val="20"/>
          <w:szCs w:val="20"/>
        </w:rPr>
        <w:t>(i)</w:t>
      </w:r>
      <w:r>
        <w:rPr>
          <w:rFonts w:ascii="Verdana" w:hAnsi="Verdana" w:cs="Tahoma"/>
          <w:sz w:val="20"/>
          <w:szCs w:val="20"/>
        </w:rPr>
        <w:t xml:space="preserve"> sejam atendidos todos os termos de uso constantes da Plataforma, </w:t>
      </w:r>
      <w:r>
        <w:rPr>
          <w:rFonts w:ascii="Verdana" w:hAnsi="Verdana" w:cs="Tahoma"/>
          <w:b/>
          <w:sz w:val="20"/>
          <w:szCs w:val="20"/>
        </w:rPr>
        <w:t>(ii)</w:t>
      </w:r>
      <w:r>
        <w:rPr>
          <w:rFonts w:ascii="Verdana" w:hAnsi="Verdana" w:cs="Tahoma"/>
          <w:sz w:val="20"/>
          <w:szCs w:val="20"/>
        </w:rPr>
        <w:t xml:space="preserve"> seja aceita a proposta do Tomador e </w:t>
      </w:r>
      <w:r>
        <w:rPr>
          <w:rFonts w:ascii="Verdana" w:hAnsi="Verdana" w:cs="Tahoma"/>
          <w:b/>
          <w:sz w:val="20"/>
          <w:szCs w:val="20"/>
        </w:rPr>
        <w:t>(iii)</w:t>
      </w:r>
      <w:r>
        <w:rPr>
          <w:rFonts w:ascii="Verdana" w:hAnsi="Verdana" w:cs="Tahoma"/>
          <w:sz w:val="20"/>
          <w:szCs w:val="20"/>
        </w:rPr>
        <w:t xml:space="preserve"> sejam disponibilizados e analisados os documentos do Tomador, as CCB são disponibilizadas ao Tomador, vinculadas à proposta por ele apresentada, as quais são assinadas eletronicamente e emitidas em favor da Instituição Financeira </w:t>
      </w:r>
      <w:r w:rsidR="004D2F65">
        <w:rPr>
          <w:rFonts w:ascii="Verdana" w:hAnsi="Verdana" w:cs="Tahoma"/>
          <w:sz w:val="20"/>
          <w:szCs w:val="20"/>
        </w:rPr>
        <w:t>Endossante</w:t>
      </w:r>
      <w:r>
        <w:rPr>
          <w:rFonts w:ascii="Verdana" w:hAnsi="Verdana" w:cs="Tahoma"/>
          <w:sz w:val="20"/>
          <w:szCs w:val="20"/>
        </w:rPr>
        <w:t>.</w:t>
      </w:r>
    </w:p>
    <w:p w14:paraId="413CB226" w14:textId="428D45A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transferência da titularidade das CCB da Instituição Financeira </w:t>
      </w:r>
      <w:r w:rsidR="004D2F65">
        <w:rPr>
          <w:rFonts w:ascii="Verdana" w:hAnsi="Verdana" w:cs="Tahoma"/>
          <w:sz w:val="20"/>
          <w:szCs w:val="20"/>
        </w:rPr>
        <w:t xml:space="preserve">Endossante </w:t>
      </w:r>
      <w:r>
        <w:rPr>
          <w:rFonts w:ascii="Verdana" w:hAnsi="Verdana" w:cs="Tahoma"/>
          <w:sz w:val="20"/>
          <w:szCs w:val="20"/>
        </w:rPr>
        <w:t xml:space="preserve">para a Emissora é realizada por meio de endosso em preto, nos termos do artigo 29, §1º, da Lei nº 10.931, a ser realizada eletronicamente nos termos do “Instrumento de Promessa de Alienação e Aquisição de Direitos Creditórios sem Coobrigação e Outras Avenças”, a ser celebrado entre a Emissora e a Instituição Financeira </w:t>
      </w:r>
      <w:r w:rsidR="004D2F65">
        <w:rPr>
          <w:rFonts w:ascii="Verdana" w:hAnsi="Verdana" w:cs="Tahoma"/>
          <w:sz w:val="20"/>
          <w:szCs w:val="20"/>
        </w:rPr>
        <w:t>Endossante</w:t>
      </w:r>
      <w:r>
        <w:rPr>
          <w:rFonts w:ascii="Verdana" w:hAnsi="Verdana" w:cs="Tahoma"/>
          <w:sz w:val="20"/>
          <w:szCs w:val="20"/>
        </w:rPr>
        <w:t>.</w:t>
      </w:r>
    </w:p>
    <w:p w14:paraId="508B3BA3" w14:textId="40B4E21E"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1" w:name="_DV_M49"/>
      <w:bookmarkStart w:id="52" w:name="_DV_M50"/>
      <w:bookmarkStart w:id="53" w:name="_DV_M57"/>
      <w:bookmarkStart w:id="54" w:name="_DV_M60"/>
      <w:bookmarkStart w:id="55" w:name="_Ref465195304"/>
      <w:bookmarkEnd w:id="51"/>
      <w:bookmarkEnd w:id="52"/>
      <w:bookmarkEnd w:id="53"/>
      <w:bookmarkEnd w:id="54"/>
      <w:r>
        <w:rPr>
          <w:rFonts w:ascii="Verdana" w:hAnsi="Verdana" w:cs="Tahoma"/>
          <w:sz w:val="20"/>
          <w:szCs w:val="20"/>
        </w:rPr>
        <w:t xml:space="preserve">A Emissora poderá ceder ou endossar para terceiros as CCB que integram os Direitos Creditórios Vinculados, </w:t>
      </w:r>
      <w:r w:rsidR="004D2F65">
        <w:rPr>
          <w:rFonts w:ascii="Verdana" w:hAnsi="Verdana" w:cs="Tahoma"/>
          <w:sz w:val="20"/>
          <w:szCs w:val="20"/>
        </w:rPr>
        <w:t xml:space="preserve">(i) </w:t>
      </w:r>
      <w:r>
        <w:rPr>
          <w:rFonts w:ascii="Verdana" w:hAnsi="Verdana" w:cs="Tahoma"/>
          <w:sz w:val="20"/>
          <w:szCs w:val="20"/>
        </w:rPr>
        <w:t>que estejam inadimplidas pelos respectivos Tomadores há mais de 180 (cento e oitenta) dias</w:t>
      </w:r>
      <w:r w:rsidR="004D2F65">
        <w:rPr>
          <w:rFonts w:ascii="Verdana" w:hAnsi="Verdana" w:cs="Tahoma"/>
          <w:sz w:val="20"/>
          <w:szCs w:val="20"/>
        </w:rPr>
        <w:t>, independentemente de realização de Assembleia Geral de Debenturistas, de</w:t>
      </w:r>
      <w:r w:rsidR="006E2FA9">
        <w:rPr>
          <w:rFonts w:ascii="Verdana" w:hAnsi="Verdana" w:cs="Tahoma"/>
          <w:sz w:val="20"/>
          <w:szCs w:val="20"/>
        </w:rPr>
        <w:t>s</w:t>
      </w:r>
      <w:r w:rsidR="004D2F65">
        <w:rPr>
          <w:rFonts w:ascii="Verdana" w:hAnsi="Verdana" w:cs="Tahoma"/>
          <w:sz w:val="20"/>
          <w:szCs w:val="20"/>
        </w:rPr>
        <w:t xml:space="preserve">de que </w:t>
      </w:r>
      <w:r w:rsidR="006E2FA9" w:rsidRPr="006E2FA9">
        <w:rPr>
          <w:rFonts w:ascii="Verdana" w:hAnsi="Verdana" w:cs="Tahoma"/>
          <w:sz w:val="20"/>
          <w:szCs w:val="20"/>
        </w:rPr>
        <w:t>as mesmas obedeçam a forma de cálculo de provisão de devedores duvidosos</w:t>
      </w:r>
      <w:r w:rsidR="006E2FA9">
        <w:rPr>
          <w:rFonts w:ascii="Verdana" w:hAnsi="Verdana" w:cs="Tahoma"/>
          <w:sz w:val="20"/>
          <w:szCs w:val="20"/>
        </w:rPr>
        <w:t xml:space="preserve"> prevista no Anexo V</w:t>
      </w:r>
      <w:r>
        <w:rPr>
          <w:rFonts w:ascii="Verdana" w:hAnsi="Verdana" w:cs="Tahoma"/>
          <w:sz w:val="20"/>
          <w:szCs w:val="20"/>
        </w:rPr>
        <w:t>, ou</w:t>
      </w:r>
      <w:r w:rsidR="004D2F65">
        <w:rPr>
          <w:rFonts w:ascii="Verdana" w:hAnsi="Verdana" w:cs="Tahoma"/>
          <w:sz w:val="20"/>
          <w:szCs w:val="20"/>
        </w:rPr>
        <w:t xml:space="preserve"> (ii)</w:t>
      </w:r>
      <w:r>
        <w:rPr>
          <w:rFonts w:ascii="Verdana" w:hAnsi="Verdana" w:cs="Tahoma"/>
          <w:sz w:val="20"/>
          <w:szCs w:val="20"/>
        </w:rPr>
        <w:t xml:space="preserve"> conforme deliberado por Debenturistas em Assembleia Geral de Debenturistas convocada para deliberar sobre um Plano de Ação, nos termos do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 Nesses casos, quaisquer valores recebidos pela Emissora em contrapartida à alienação destas CCB inadimplidas serão utilizados conforme a Ordem de Alocação de Recursos.</w:t>
      </w:r>
      <w:bookmarkEnd w:id="55"/>
    </w:p>
    <w:p w14:paraId="087BC24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56" w:name="_Ref521311289"/>
      <w:r>
        <w:rPr>
          <w:rFonts w:ascii="Verdana" w:hAnsi="Verdana" w:cstheme="minorHAnsi"/>
          <w:sz w:val="20"/>
          <w:szCs w:val="20"/>
        </w:rPr>
        <w:t xml:space="preserve">Na hipótese do item </w:t>
      </w:r>
      <w:r>
        <w:rPr>
          <w:rFonts w:ascii="Verdana" w:hAnsi="Verdana" w:cstheme="minorHAnsi"/>
          <w:sz w:val="20"/>
          <w:szCs w:val="20"/>
        </w:rPr>
        <w:fldChar w:fldCharType="begin"/>
      </w:r>
      <w:r>
        <w:rPr>
          <w:rFonts w:ascii="Verdana" w:hAnsi="Verdana" w:cstheme="minorHAnsi"/>
          <w:sz w:val="20"/>
          <w:szCs w:val="20"/>
        </w:rPr>
        <w:instrText xml:space="preserve"> REF _Ref465195304 \r \h  \* MERGEFORMAT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3.8.6</w:t>
      </w:r>
      <w:r>
        <w:rPr>
          <w:rFonts w:ascii="Verdana" w:hAnsi="Verdana" w:cstheme="minorHAnsi"/>
          <w:sz w:val="20"/>
          <w:szCs w:val="20"/>
        </w:rPr>
        <w:fldChar w:fldCharType="end"/>
      </w:r>
      <w:r>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Pr>
          <w:rFonts w:ascii="Verdana" w:hAnsi="Verdana" w:cs="Tahoma"/>
          <w:sz w:val="20"/>
          <w:szCs w:val="20"/>
        </w:rPr>
        <w:t>.</w:t>
      </w:r>
      <w:bookmarkEnd w:id="56"/>
      <w:r>
        <w:rPr>
          <w:rFonts w:ascii="Verdana" w:hAnsi="Verdana" w:cs="Tahoma"/>
          <w:sz w:val="20"/>
          <w:szCs w:val="20"/>
        </w:rPr>
        <w:t xml:space="preserve"> </w:t>
      </w:r>
    </w:p>
    <w:p w14:paraId="0ED893A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Fica desde já estabelecido que todo e qualquer valor recebido pela Emissora em contrapartida à alienação das CCB inadimplidas será utilizado conforme a Ordem de Alocação de Recursos.</w:t>
      </w:r>
    </w:p>
    <w:p w14:paraId="25A6400C" w14:textId="22F6ACFE"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autoriza o Agente de Cobrança,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Pr>
          <w:rFonts w:ascii="Verdana" w:hAnsi="Verdana" w:cs="Tahoma"/>
          <w:sz w:val="20"/>
          <w:szCs w:val="20"/>
        </w:rPr>
        <w:t>deverão observar o previsto no Contrato de Cobrança</w:t>
      </w:r>
      <w:r>
        <w:rPr>
          <w:rFonts w:ascii="Verdana" w:hAnsi="Verdana" w:cs="Tahoma"/>
          <w:sz w:val="20"/>
          <w:szCs w:val="20"/>
        </w:rPr>
        <w:t>. Neste caso, quaisquer valores recebidos pela Emissora em relação à estas CCB inadimplidas serão utilizados conforme a Ordem de Alocação de Recursos.</w:t>
      </w:r>
    </w:p>
    <w:p w14:paraId="6B67319C" w14:textId="77777777" w:rsidR="001F5F8A" w:rsidRDefault="001F5F8A" w:rsidP="001F5F8A">
      <w:pPr>
        <w:pStyle w:val="PargrafodaLista"/>
        <w:numPr>
          <w:ilvl w:val="2"/>
          <w:numId w:val="4"/>
        </w:numPr>
        <w:spacing w:line="280" w:lineRule="exact"/>
        <w:jc w:val="both"/>
        <w:rPr>
          <w:ins w:id="57" w:author="Gabriel Lopes" w:date="2020-09-17T00:08:00Z"/>
          <w:rFonts w:ascii="Verdana" w:hAnsi="Verdana" w:cs="Tahoma"/>
          <w:sz w:val="20"/>
          <w:szCs w:val="20"/>
        </w:rPr>
      </w:pPr>
      <w:ins w:id="58" w:author="Gabriel Lopes" w:date="2020-09-17T00:08:00Z">
        <w:r w:rsidRPr="00E921F6">
          <w:rPr>
            <w:rFonts w:ascii="Verdana" w:hAnsi="Verdana" w:cs="Tahoma"/>
            <w:sz w:val="20"/>
            <w:szCs w:val="20"/>
          </w:rPr>
          <w:t>Fica desde já acertado entre as Partes</w:t>
        </w:r>
        <w:r>
          <w:rPr>
            <w:rFonts w:ascii="Verdana" w:hAnsi="Verdana" w:cs="Tahoma"/>
            <w:sz w:val="20"/>
            <w:szCs w:val="20"/>
          </w:rPr>
          <w:t>, que os Direitos Creditórios Vinculados deverão</w:t>
        </w:r>
        <w:r w:rsidRPr="00E921F6">
          <w:rPr>
            <w:rFonts w:ascii="Verdana" w:hAnsi="Verdana" w:cs="Tahoma"/>
            <w:sz w:val="20"/>
            <w:szCs w:val="20"/>
          </w:rPr>
          <w:t xml:space="preserve"> </w:t>
        </w:r>
        <w:r>
          <w:rPr>
            <w:rFonts w:ascii="Verdana" w:hAnsi="Verdana" w:cs="Tahoma"/>
            <w:sz w:val="20"/>
            <w:szCs w:val="20"/>
          </w:rPr>
          <w:t>atender aos seguintes critérios de elegibilidade (“</w:t>
        </w:r>
        <w:r w:rsidRPr="0008319B">
          <w:rPr>
            <w:rFonts w:ascii="Verdana" w:hAnsi="Verdana" w:cs="Tahoma"/>
            <w:sz w:val="20"/>
            <w:szCs w:val="20"/>
            <w:u w:val="single"/>
          </w:rPr>
          <w:t>Critérios de Elegibilidade</w:t>
        </w:r>
        <w:r>
          <w:rPr>
            <w:rFonts w:ascii="Verdana" w:hAnsi="Verdana" w:cs="Tahoma"/>
            <w:sz w:val="20"/>
            <w:szCs w:val="20"/>
          </w:rPr>
          <w:t xml:space="preserve">”), conforme verificados pela Emissora: </w:t>
        </w:r>
      </w:ins>
    </w:p>
    <w:p w14:paraId="70E71405" w14:textId="77777777" w:rsidR="001F5F8A" w:rsidRDefault="001F5F8A" w:rsidP="001F5F8A">
      <w:pPr>
        <w:pStyle w:val="PargrafodaLista"/>
        <w:spacing w:line="280" w:lineRule="exact"/>
        <w:ind w:left="0"/>
        <w:jc w:val="both"/>
        <w:rPr>
          <w:ins w:id="59" w:author="Gabriel Lopes" w:date="2020-09-17T00:08:00Z"/>
          <w:rFonts w:ascii="Verdana" w:hAnsi="Verdana" w:cs="Tahoma"/>
          <w:sz w:val="20"/>
          <w:szCs w:val="20"/>
        </w:rPr>
      </w:pPr>
    </w:p>
    <w:p w14:paraId="6BF808D0" w14:textId="77777777" w:rsidR="001F5F8A" w:rsidRPr="00280BC1" w:rsidRDefault="001F5F8A" w:rsidP="001F5F8A">
      <w:pPr>
        <w:spacing w:line="280" w:lineRule="exact"/>
        <w:ind w:left="567"/>
        <w:jc w:val="both"/>
        <w:rPr>
          <w:ins w:id="60" w:author="Gabriel Lopes" w:date="2020-09-17T00:08:00Z"/>
          <w:rFonts w:ascii="Verdana" w:hAnsi="Verdana" w:cs="Tahoma"/>
          <w:sz w:val="20"/>
          <w:szCs w:val="20"/>
        </w:rPr>
      </w:pPr>
      <w:ins w:id="61" w:author="Gabriel Lopes" w:date="2020-09-17T00:08:00Z">
        <w:r w:rsidRPr="00280BC1">
          <w:rPr>
            <w:rFonts w:ascii="Verdana" w:eastAsia="MS Mincho" w:hAnsi="Verdana" w:cs="Tahoma"/>
            <w:b/>
            <w:sz w:val="20"/>
            <w:szCs w:val="20"/>
          </w:rPr>
          <w:t>(i</w:t>
        </w:r>
        <w:r w:rsidRPr="008962AA">
          <w:rPr>
            <w:rFonts w:ascii="Verdana" w:hAnsi="Verdana" w:cs="Tahoma"/>
            <w:b/>
            <w:bCs/>
            <w:sz w:val="20"/>
            <w:szCs w:val="20"/>
          </w:rPr>
          <w:t>)</w:t>
        </w:r>
        <w:r>
          <w:rPr>
            <w:rFonts w:ascii="Verdana" w:hAnsi="Verdana" w:cs="Tahoma"/>
            <w:sz w:val="20"/>
            <w:szCs w:val="20"/>
          </w:rPr>
          <w:t xml:space="preserve"> </w:t>
        </w:r>
        <w:r w:rsidRPr="00280BC1">
          <w:rPr>
            <w:rFonts w:ascii="Verdana" w:hAnsi="Verdana" w:cs="Tahoma"/>
            <w:sz w:val="20"/>
            <w:szCs w:val="20"/>
          </w:rPr>
          <w:t xml:space="preserve">que o saldo devedor total de CCB devidas pelas empresas integrantes do grupo econômico de um determinado Tomador não poderá corresponder a qualquer momento a mais de </w:t>
        </w:r>
        <w:r>
          <w:rPr>
            <w:rFonts w:ascii="Verdana" w:hAnsi="Verdana"/>
            <w:sz w:val="20"/>
          </w:rPr>
          <w:t>1,0</w:t>
        </w:r>
        <w:r w:rsidRPr="00280BC1">
          <w:rPr>
            <w:rFonts w:ascii="Verdana" w:hAnsi="Verdana"/>
            <w:sz w:val="20"/>
          </w:rPr>
          <w:t>% (</w:t>
        </w:r>
        <w:r>
          <w:rPr>
            <w:rFonts w:ascii="Verdana" w:hAnsi="Verdana"/>
            <w:sz w:val="20"/>
          </w:rPr>
          <w:t xml:space="preserve">um por cento </w:t>
        </w:r>
        <w:r w:rsidRPr="00280BC1">
          <w:rPr>
            <w:rFonts w:ascii="Verdana" w:hAnsi="Verdana"/>
            <w:sz w:val="20"/>
          </w:rPr>
          <w:t>por cento)</w:t>
        </w:r>
        <w:r w:rsidRPr="00280BC1">
          <w:rPr>
            <w:rFonts w:ascii="Verdana" w:hAnsi="Verdana" w:cs="Tahoma"/>
            <w:sz w:val="20"/>
            <w:szCs w:val="20"/>
          </w:rPr>
          <w:t xml:space="preserve"> do </w:t>
        </w:r>
        <w:r>
          <w:rPr>
            <w:rFonts w:ascii="Verdana" w:hAnsi="Verdana" w:cs="Tahoma"/>
            <w:sz w:val="20"/>
            <w:szCs w:val="20"/>
          </w:rPr>
          <w:t>V</w:t>
        </w:r>
        <w:r w:rsidRPr="00280BC1">
          <w:rPr>
            <w:rFonts w:ascii="Verdana" w:hAnsi="Verdana" w:cs="Tahoma"/>
            <w:sz w:val="20"/>
            <w:szCs w:val="20"/>
          </w:rPr>
          <w:t xml:space="preserve">alor </w:t>
        </w:r>
        <w:r>
          <w:rPr>
            <w:rFonts w:ascii="Verdana" w:hAnsi="Verdana" w:cs="Tahoma"/>
            <w:sz w:val="20"/>
            <w:szCs w:val="20"/>
          </w:rPr>
          <w:t>T</w:t>
        </w:r>
        <w:r w:rsidRPr="00280BC1">
          <w:rPr>
            <w:rFonts w:ascii="Verdana" w:hAnsi="Verdana" w:cs="Tahoma"/>
            <w:sz w:val="20"/>
            <w:szCs w:val="20"/>
          </w:rPr>
          <w:t xml:space="preserve">otal da Emissão; </w:t>
        </w:r>
      </w:ins>
    </w:p>
    <w:p w14:paraId="2576FD4A" w14:textId="77777777" w:rsidR="001F5F8A" w:rsidRDefault="001F5F8A" w:rsidP="001F5F8A">
      <w:pPr>
        <w:ind w:left="567"/>
        <w:rPr>
          <w:ins w:id="62" w:author="Gabriel Lopes" w:date="2020-09-17T00:08:00Z"/>
        </w:rPr>
      </w:pPr>
    </w:p>
    <w:p w14:paraId="60DFBEBF" w14:textId="77777777" w:rsidR="001F5F8A" w:rsidRDefault="001F5F8A" w:rsidP="001F5F8A">
      <w:pPr>
        <w:pStyle w:val="PargrafodaLista"/>
        <w:spacing w:line="280" w:lineRule="exact"/>
        <w:ind w:left="567"/>
        <w:jc w:val="both"/>
        <w:rPr>
          <w:ins w:id="63" w:author="Gabriel Lopes" w:date="2020-09-17T00:08:00Z"/>
          <w:rFonts w:ascii="Verdana" w:hAnsi="Verdana" w:cs="Tahoma"/>
          <w:sz w:val="20"/>
          <w:szCs w:val="20"/>
        </w:rPr>
      </w:pPr>
      <w:ins w:id="64" w:author="Gabriel Lopes" w:date="2020-09-17T00:08:00Z">
        <w:r w:rsidRPr="00817FB4">
          <w:rPr>
            <w:rFonts w:ascii="Verdana" w:hAnsi="Verdana"/>
            <w:b/>
            <w:sz w:val="20"/>
          </w:rPr>
          <w:t>(ii)</w:t>
        </w:r>
        <w:r w:rsidRPr="00817FB4">
          <w:rPr>
            <w:rFonts w:ascii="Verdana" w:hAnsi="Verdana" w:cs="Tahoma"/>
            <w:sz w:val="20"/>
            <w:szCs w:val="20"/>
          </w:rPr>
          <w:t xml:space="preserve"> </w:t>
        </w:r>
        <w:r>
          <w:rPr>
            <w:rFonts w:ascii="Verdana" w:hAnsi="Verdana" w:cs="Tahoma"/>
            <w:sz w:val="20"/>
            <w:szCs w:val="20"/>
          </w:rPr>
          <w:t xml:space="preserve"> </w:t>
        </w:r>
        <w:r w:rsidRPr="00636953">
          <w:rPr>
            <w:rFonts w:ascii="Verdana" w:hAnsi="Verdana" w:cs="Tahoma"/>
            <w:sz w:val="20"/>
            <w:szCs w:val="20"/>
          </w:rPr>
          <w:t>o saldo devedor total de CCB</w:t>
        </w:r>
        <w:r>
          <w:rPr>
            <w:rFonts w:ascii="Verdana" w:hAnsi="Verdana" w:cs="Tahoma"/>
            <w:sz w:val="20"/>
            <w:szCs w:val="20"/>
          </w:rPr>
          <w:t xml:space="preserve"> devida por um único Tomador não poderá ultrapassar o montante de R$ </w:t>
        </w:r>
        <w:r>
          <w:rPr>
            <w:rFonts w:ascii="Verdana" w:hAnsi="Verdana"/>
            <w:sz w:val="20"/>
          </w:rPr>
          <w:t>250.000,00</w:t>
        </w:r>
        <w:r>
          <w:rPr>
            <w:rFonts w:ascii="Verdana" w:hAnsi="Verdana" w:cs="Tahoma"/>
            <w:sz w:val="20"/>
            <w:szCs w:val="20"/>
          </w:rPr>
          <w:t xml:space="preserve"> (duzentos e cinquenta mil reais);</w:t>
        </w:r>
      </w:ins>
    </w:p>
    <w:p w14:paraId="02A58E71" w14:textId="77777777" w:rsidR="001F5F8A" w:rsidRPr="00422BB1" w:rsidRDefault="001F5F8A" w:rsidP="001F5F8A">
      <w:pPr>
        <w:pStyle w:val="PargrafodaLista"/>
        <w:spacing w:line="280" w:lineRule="exact"/>
        <w:ind w:left="567"/>
        <w:jc w:val="both"/>
        <w:rPr>
          <w:ins w:id="65" w:author="Gabriel Lopes" w:date="2020-09-17T00:08:00Z"/>
          <w:rFonts w:ascii="Verdana" w:hAnsi="Verdana" w:cs="Tahoma"/>
          <w:color w:val="FF0000"/>
          <w:sz w:val="20"/>
          <w:szCs w:val="20"/>
        </w:rPr>
      </w:pPr>
    </w:p>
    <w:p w14:paraId="24562B7E" w14:textId="05B50AFA" w:rsidR="001F5F8A" w:rsidRDefault="001F5F8A" w:rsidP="001F5F8A">
      <w:pPr>
        <w:pStyle w:val="PargrafodaLista"/>
        <w:spacing w:line="280" w:lineRule="exact"/>
        <w:ind w:left="567"/>
        <w:jc w:val="both"/>
        <w:rPr>
          <w:ins w:id="66" w:author="Gabriel Lopes" w:date="2020-09-17T00:08:00Z"/>
          <w:rFonts w:ascii="Verdana" w:hAnsi="Verdana" w:cs="Tahoma"/>
          <w:sz w:val="20"/>
          <w:szCs w:val="20"/>
        </w:rPr>
      </w:pPr>
      <w:ins w:id="67" w:author="Gabriel Lopes" w:date="2020-09-17T00:08:00Z">
        <w:r w:rsidRPr="00817FB4">
          <w:rPr>
            <w:rFonts w:ascii="Verdana" w:hAnsi="Verdana"/>
            <w:b/>
            <w:sz w:val="20"/>
          </w:rPr>
          <w:t>(ii</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w:t>
        </w:r>
        <w:r>
          <w:rPr>
            <w:rFonts w:ascii="Verdana" w:hAnsi="Verdana" w:cs="Tahoma"/>
            <w:sz w:val="20"/>
            <w:szCs w:val="20"/>
          </w:rPr>
          <w:t xml:space="preserve"> </w:t>
        </w:r>
        <w:r w:rsidRPr="00044CC7">
          <w:rPr>
            <w:rFonts w:ascii="Verdana" w:hAnsi="Verdana" w:cs="Tahoma"/>
            <w:sz w:val="20"/>
            <w:szCs w:val="20"/>
          </w:rPr>
          <w:t xml:space="preserve">o saldo devedor total de CCB devidas pelas empresas integrantes do grupo econômico dos </w:t>
        </w:r>
        <w:r>
          <w:rPr>
            <w:rFonts w:ascii="Verdana" w:hAnsi="Verdana"/>
            <w:sz w:val="20"/>
          </w:rPr>
          <w:t>20 (vinte)</w:t>
        </w:r>
        <w:r w:rsidRPr="00044CC7">
          <w:rPr>
            <w:rFonts w:ascii="Verdana" w:hAnsi="Verdana" w:cs="Tahoma"/>
            <w:sz w:val="20"/>
            <w:szCs w:val="20"/>
          </w:rPr>
          <w:t xml:space="preserve"> (</w:t>
        </w:r>
        <w:r>
          <w:rPr>
            <w:rFonts w:ascii="Verdana" w:hAnsi="Verdana" w:cs="Tahoma"/>
            <w:sz w:val="20"/>
            <w:szCs w:val="20"/>
          </w:rPr>
          <w:t>vinte</w:t>
        </w:r>
        <w:r w:rsidRPr="00044CC7">
          <w:rPr>
            <w:rFonts w:ascii="Verdana" w:hAnsi="Verdana" w:cs="Tahoma"/>
            <w:sz w:val="20"/>
            <w:szCs w:val="20"/>
          </w:rPr>
          <w:t xml:space="preserve">) maiores Tomadores não poderá corresponder a qualquer momento a mais de </w:t>
        </w:r>
        <w:r>
          <w:rPr>
            <w:rFonts w:ascii="Verdana" w:hAnsi="Verdana"/>
            <w:sz w:val="20"/>
          </w:rPr>
          <w:t>10</w:t>
        </w:r>
        <w:r w:rsidRPr="00044CC7">
          <w:rPr>
            <w:rFonts w:ascii="Verdana" w:hAnsi="Verdana" w:cs="Tahoma"/>
            <w:sz w:val="20"/>
            <w:szCs w:val="20"/>
          </w:rPr>
          <w:t>% (</w:t>
        </w:r>
        <w:r>
          <w:rPr>
            <w:rFonts w:ascii="Verdana" w:hAnsi="Verdana" w:cs="Tahoma"/>
            <w:sz w:val="20"/>
            <w:szCs w:val="20"/>
          </w:rPr>
          <w:t>dez</w:t>
        </w:r>
        <w:r w:rsidRPr="00044CC7">
          <w:rPr>
            <w:rFonts w:ascii="Verdana" w:hAnsi="Verdana" w:cs="Tahoma"/>
            <w:sz w:val="20"/>
            <w:szCs w:val="20"/>
          </w:rPr>
          <w:t xml:space="preserve"> por cento) do Valor Total da Emissão; </w:t>
        </w:r>
      </w:ins>
    </w:p>
    <w:p w14:paraId="18CF3B39" w14:textId="77777777" w:rsidR="001F5F8A" w:rsidRPr="0088178E" w:rsidRDefault="001F5F8A" w:rsidP="001F5F8A">
      <w:pPr>
        <w:spacing w:line="280" w:lineRule="exact"/>
        <w:jc w:val="both"/>
        <w:rPr>
          <w:ins w:id="68" w:author="Gabriel Lopes" w:date="2020-09-17T00:08:00Z"/>
          <w:rFonts w:ascii="Verdana" w:hAnsi="Verdana" w:cs="Tahoma"/>
          <w:sz w:val="20"/>
          <w:szCs w:val="20"/>
        </w:rPr>
      </w:pPr>
    </w:p>
    <w:p w14:paraId="611FB7E5" w14:textId="77777777" w:rsidR="001F5F8A" w:rsidRDefault="001F5F8A" w:rsidP="001F5F8A">
      <w:pPr>
        <w:pStyle w:val="PargrafodaLista"/>
        <w:spacing w:line="280" w:lineRule="exact"/>
        <w:ind w:left="567"/>
        <w:jc w:val="both"/>
        <w:rPr>
          <w:ins w:id="69" w:author="Gabriel Lopes" w:date="2020-09-17T00:08:00Z"/>
          <w:rFonts w:ascii="Verdana" w:hAnsi="Verdana" w:cs="Tahoma"/>
          <w:sz w:val="20"/>
          <w:szCs w:val="20"/>
        </w:rPr>
      </w:pPr>
      <w:ins w:id="70" w:author="Gabriel Lopes" w:date="2020-09-17T00:08:00Z">
        <w:r w:rsidRPr="00817FB4">
          <w:rPr>
            <w:rFonts w:ascii="Verdana" w:hAnsi="Verdana"/>
            <w:b/>
            <w:sz w:val="20"/>
          </w:rPr>
          <w:t>(i</w:t>
        </w:r>
        <w:r>
          <w:rPr>
            <w:rFonts w:ascii="Verdana" w:hAnsi="Verdana"/>
            <w:b/>
            <w:sz w:val="20"/>
          </w:rPr>
          <w:t>v</w:t>
        </w:r>
        <w:r w:rsidRPr="00817FB4">
          <w:rPr>
            <w:rFonts w:ascii="Verdana" w:hAnsi="Verdana"/>
            <w:b/>
            <w:sz w:val="20"/>
          </w:rPr>
          <w:t>)</w:t>
        </w:r>
        <w:r w:rsidRPr="00817FB4">
          <w:rPr>
            <w:rFonts w:ascii="Verdana" w:hAnsi="Verdana" w:cs="Tahoma"/>
            <w:sz w:val="20"/>
            <w:szCs w:val="20"/>
          </w:rPr>
          <w:t xml:space="preserve"> que as CCB não estejam vencidas em sua data de aquisição; </w:t>
        </w:r>
      </w:ins>
    </w:p>
    <w:p w14:paraId="18DEC341" w14:textId="77777777" w:rsidR="001F5F8A" w:rsidRPr="00280BC1" w:rsidRDefault="001F5F8A" w:rsidP="001F5F8A">
      <w:pPr>
        <w:spacing w:line="280" w:lineRule="exact"/>
        <w:jc w:val="both"/>
        <w:rPr>
          <w:ins w:id="71" w:author="Gabriel Lopes" w:date="2020-09-17T00:08:00Z"/>
          <w:rFonts w:ascii="Verdana" w:hAnsi="Verdana" w:cs="Tahoma"/>
          <w:sz w:val="20"/>
          <w:szCs w:val="20"/>
        </w:rPr>
      </w:pPr>
    </w:p>
    <w:p w14:paraId="34F56024" w14:textId="77777777" w:rsidR="001F5F8A" w:rsidRDefault="001F5F8A" w:rsidP="001F5F8A">
      <w:pPr>
        <w:pStyle w:val="PargrafodaLista"/>
        <w:spacing w:line="280" w:lineRule="exact"/>
        <w:ind w:left="567"/>
        <w:jc w:val="both"/>
        <w:rPr>
          <w:ins w:id="72" w:author="Gabriel Lopes" w:date="2020-09-17T00:08:00Z"/>
          <w:rFonts w:ascii="Verdana" w:hAnsi="Verdana" w:cs="Tahoma"/>
          <w:sz w:val="20"/>
          <w:szCs w:val="20"/>
        </w:rPr>
      </w:pPr>
      <w:ins w:id="73" w:author="Gabriel Lopes" w:date="2020-09-17T00:08:00Z">
        <w:r w:rsidRPr="00817FB4">
          <w:rPr>
            <w:rFonts w:ascii="Verdana" w:hAnsi="Verdana"/>
            <w:b/>
            <w:sz w:val="20"/>
          </w:rPr>
          <w:t>(v)</w:t>
        </w:r>
        <w:r w:rsidRPr="00817FB4">
          <w:rPr>
            <w:rFonts w:ascii="Verdana" w:hAnsi="Verdana" w:cs="Tahoma"/>
            <w:sz w:val="20"/>
            <w:szCs w:val="20"/>
          </w:rPr>
          <w:t xml:space="preserve"> o vencimento das CCB deverá ocorrer em, no máximo, 90 (noventa) dias antes do vencimento das Debêntures; </w:t>
        </w:r>
      </w:ins>
    </w:p>
    <w:p w14:paraId="44762284" w14:textId="77777777" w:rsidR="001F5F8A" w:rsidRDefault="001F5F8A" w:rsidP="001F5F8A">
      <w:pPr>
        <w:pStyle w:val="PargrafodaLista"/>
        <w:spacing w:line="280" w:lineRule="exact"/>
        <w:ind w:left="567"/>
        <w:jc w:val="both"/>
        <w:rPr>
          <w:ins w:id="74" w:author="Gabriel Lopes" w:date="2020-09-17T00:08:00Z"/>
          <w:rFonts w:ascii="Verdana" w:hAnsi="Verdana" w:cs="Tahoma"/>
          <w:sz w:val="20"/>
          <w:szCs w:val="20"/>
        </w:rPr>
      </w:pPr>
    </w:p>
    <w:p w14:paraId="0316E8D7" w14:textId="77777777" w:rsidR="001F5F8A" w:rsidRDefault="001F5F8A" w:rsidP="001F5F8A">
      <w:pPr>
        <w:pStyle w:val="PargrafodaLista"/>
        <w:spacing w:line="280" w:lineRule="exact"/>
        <w:ind w:left="567"/>
        <w:jc w:val="both"/>
        <w:rPr>
          <w:ins w:id="75" w:author="Gabriel Lopes" w:date="2020-09-17T00:08:00Z"/>
          <w:rFonts w:ascii="Verdana" w:hAnsi="Verdana" w:cs="Tahoma"/>
          <w:sz w:val="20"/>
          <w:szCs w:val="20"/>
        </w:rPr>
      </w:pPr>
      <w:ins w:id="76" w:author="Gabriel Lopes" w:date="2020-09-17T00:08:00Z">
        <w:r w:rsidRPr="00817FB4">
          <w:rPr>
            <w:rFonts w:ascii="Verdana" w:hAnsi="Verdana"/>
            <w:b/>
            <w:sz w:val="20"/>
          </w:rPr>
          <w:t>(v</w:t>
        </w:r>
        <w:r>
          <w:rPr>
            <w:rFonts w:ascii="Verdana" w:hAnsi="Verdana"/>
            <w:b/>
            <w:sz w:val="20"/>
          </w:rPr>
          <w:t>i</w:t>
        </w:r>
        <w:r w:rsidRPr="00817FB4">
          <w:rPr>
            <w:rFonts w:ascii="Verdana" w:hAnsi="Verdana"/>
            <w:b/>
            <w:sz w:val="20"/>
          </w:rPr>
          <w:t>)</w:t>
        </w:r>
        <w:r w:rsidRPr="00817FB4">
          <w:rPr>
            <w:rFonts w:ascii="Verdana" w:hAnsi="Verdana" w:cs="Tahoma"/>
            <w:sz w:val="20"/>
            <w:szCs w:val="20"/>
          </w:rPr>
          <w:t xml:space="preserve"> que cada CCB não possua saldo vencido e não pago na respectiva data de aquisição;  </w:t>
        </w:r>
      </w:ins>
    </w:p>
    <w:p w14:paraId="20EF2D24" w14:textId="77777777" w:rsidR="001F5F8A" w:rsidRDefault="001F5F8A" w:rsidP="001F5F8A">
      <w:pPr>
        <w:pStyle w:val="PargrafodaLista"/>
        <w:spacing w:line="280" w:lineRule="exact"/>
        <w:ind w:left="567"/>
        <w:jc w:val="both"/>
        <w:rPr>
          <w:ins w:id="77" w:author="Gabriel Lopes" w:date="2020-09-17T00:08:00Z"/>
          <w:rFonts w:ascii="Verdana" w:hAnsi="Verdana" w:cs="Tahoma"/>
          <w:sz w:val="20"/>
          <w:szCs w:val="20"/>
        </w:rPr>
      </w:pPr>
    </w:p>
    <w:p w14:paraId="12A377EE" w14:textId="77777777" w:rsidR="001F5F8A" w:rsidRDefault="001F5F8A" w:rsidP="001F5F8A">
      <w:pPr>
        <w:pStyle w:val="PargrafodaLista"/>
        <w:spacing w:line="280" w:lineRule="exact"/>
        <w:ind w:left="567"/>
        <w:jc w:val="both"/>
        <w:rPr>
          <w:ins w:id="78" w:author="Gabriel Lopes" w:date="2020-09-17T00:08:00Z"/>
          <w:rFonts w:ascii="Verdana" w:hAnsi="Verdana" w:cs="Tahoma"/>
          <w:sz w:val="20"/>
          <w:szCs w:val="20"/>
        </w:rPr>
      </w:pPr>
      <w:ins w:id="79" w:author="Gabriel Lopes" w:date="2020-09-17T00:08:00Z">
        <w:r w:rsidRPr="00817FB4">
          <w:rPr>
            <w:rFonts w:ascii="Verdana" w:hAnsi="Verdana" w:cs="Tahoma"/>
            <w:b/>
            <w:sz w:val="20"/>
            <w:szCs w:val="20"/>
          </w:rPr>
          <w:t>(vi</w:t>
        </w:r>
        <w:r>
          <w:rPr>
            <w:rFonts w:ascii="Verdana" w:hAnsi="Verdana" w:cs="Tahoma"/>
            <w:b/>
            <w:sz w:val="20"/>
            <w:szCs w:val="20"/>
          </w:rPr>
          <w:t>i</w:t>
        </w:r>
        <w:r w:rsidRPr="00817FB4">
          <w:rPr>
            <w:rFonts w:ascii="Verdana" w:hAnsi="Verdana" w:cs="Tahoma"/>
            <w:b/>
            <w:sz w:val="20"/>
            <w:szCs w:val="20"/>
          </w:rPr>
          <w:t>)</w:t>
        </w:r>
        <w:r w:rsidRPr="00817FB4">
          <w:rPr>
            <w:rFonts w:ascii="Verdana" w:hAnsi="Verdana" w:cs="Tahoma"/>
            <w:sz w:val="20"/>
            <w:szCs w:val="20"/>
          </w:rPr>
          <w:t xml:space="preserve"> </w:t>
        </w:r>
        <w:r>
          <w:rPr>
            <w:rFonts w:ascii="Verdana" w:hAnsi="Verdana" w:cs="Tahoma"/>
            <w:sz w:val="20"/>
            <w:szCs w:val="20"/>
          </w:rPr>
          <w:t xml:space="preserve">as CCB não podem ser emitidas </w:t>
        </w:r>
        <w:r w:rsidRPr="00817FB4">
          <w:rPr>
            <w:rFonts w:ascii="Verdana" w:hAnsi="Verdana" w:cs="Tahoma"/>
            <w:sz w:val="20"/>
            <w:szCs w:val="20"/>
          </w:rPr>
          <w:t>por Tomadores que estejam inadimplentes com suas obrigações perante a Emissora, por prazo superior a 5 (cinco) Dias Úteis</w:t>
        </w:r>
        <w:r>
          <w:rPr>
            <w:rFonts w:ascii="Verdana" w:hAnsi="Verdana" w:cs="Tahoma"/>
            <w:sz w:val="20"/>
            <w:szCs w:val="20"/>
          </w:rPr>
          <w:t xml:space="preserve">; </w:t>
        </w:r>
      </w:ins>
    </w:p>
    <w:p w14:paraId="243C9245" w14:textId="77777777" w:rsidR="001F5F8A" w:rsidRDefault="001F5F8A" w:rsidP="001F5F8A">
      <w:pPr>
        <w:pStyle w:val="PargrafodaLista"/>
        <w:spacing w:line="280" w:lineRule="exact"/>
        <w:ind w:left="567"/>
        <w:jc w:val="both"/>
        <w:rPr>
          <w:ins w:id="80" w:author="Gabriel Lopes" w:date="2020-09-17T00:08:00Z"/>
          <w:rFonts w:ascii="Verdana" w:hAnsi="Verdana" w:cs="Tahoma"/>
          <w:sz w:val="20"/>
          <w:szCs w:val="20"/>
        </w:rPr>
      </w:pPr>
    </w:p>
    <w:p w14:paraId="42C42C5F" w14:textId="77777777" w:rsidR="001F5F8A" w:rsidRDefault="001F5F8A" w:rsidP="001F5F8A">
      <w:pPr>
        <w:pStyle w:val="PargrafodaLista"/>
        <w:spacing w:line="280" w:lineRule="exact"/>
        <w:ind w:left="567"/>
        <w:jc w:val="both"/>
        <w:rPr>
          <w:ins w:id="81" w:author="Gabriel Lopes" w:date="2020-09-17T00:08:00Z"/>
          <w:rFonts w:ascii="Verdana" w:hAnsi="Verdana" w:cs="Tahoma"/>
          <w:color w:val="FF0000"/>
          <w:sz w:val="20"/>
          <w:szCs w:val="20"/>
        </w:rPr>
      </w:pPr>
      <w:ins w:id="82" w:author="Gabriel Lopes" w:date="2020-09-17T00:08:00Z">
        <w:r w:rsidRPr="009C31FD">
          <w:rPr>
            <w:rFonts w:ascii="Verdana" w:hAnsi="Verdana" w:cs="Tahoma"/>
            <w:b/>
            <w:sz w:val="20"/>
            <w:szCs w:val="20"/>
          </w:rPr>
          <w:t>(v</w:t>
        </w:r>
        <w:r>
          <w:rPr>
            <w:rFonts w:ascii="Verdana" w:hAnsi="Verdana" w:cs="Tahoma"/>
            <w:b/>
            <w:sz w:val="20"/>
            <w:szCs w:val="20"/>
          </w:rPr>
          <w:t>iii</w:t>
        </w:r>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a taxa de juros das CCBs deverá observar os seguintes </w:t>
        </w:r>
        <w:r>
          <w:rPr>
            <w:rFonts w:ascii="Verdana" w:hAnsi="Verdana" w:cs="Tahoma"/>
            <w:sz w:val="20"/>
            <w:szCs w:val="20"/>
          </w:rPr>
          <w:t>variações mínimas</w:t>
        </w:r>
        <w:r w:rsidRPr="00FA4680">
          <w:rPr>
            <w:rFonts w:ascii="Verdana" w:hAnsi="Verdana" w:cs="Tahoma"/>
            <w:sz w:val="20"/>
            <w:szCs w:val="20"/>
          </w:rPr>
          <w:t xml:space="preserve"> por níveis de rating de acordo com a Política de Crédito da </w:t>
        </w:r>
        <w:r>
          <w:rPr>
            <w:rFonts w:ascii="Verdana" w:hAnsi="Verdana" w:cs="Tahoma"/>
            <w:sz w:val="20"/>
            <w:szCs w:val="20"/>
          </w:rPr>
          <w:t>Gyra</w:t>
        </w:r>
        <w:r w:rsidRPr="00FA4680">
          <w:rPr>
            <w:rFonts w:ascii="Verdana" w:hAnsi="Verdana" w:cs="Tahoma"/>
            <w:sz w:val="20"/>
            <w:szCs w:val="20"/>
          </w:rPr>
          <w:t xml:space="preserve"> vigente na data de aquisição</w:t>
        </w:r>
        <w:r>
          <w:rPr>
            <w:rFonts w:ascii="Verdana" w:hAnsi="Verdana" w:cs="Tahoma"/>
            <w:sz w:val="20"/>
            <w:szCs w:val="20"/>
          </w:rPr>
          <w:t xml:space="preserve">: </w:t>
        </w:r>
      </w:ins>
    </w:p>
    <w:p w14:paraId="7AE7010A" w14:textId="77777777" w:rsidR="001F5F8A" w:rsidRDefault="001F5F8A" w:rsidP="001F5F8A">
      <w:pPr>
        <w:pStyle w:val="PargrafodaLista"/>
        <w:spacing w:line="280" w:lineRule="exact"/>
        <w:ind w:left="567"/>
        <w:jc w:val="both"/>
        <w:rPr>
          <w:ins w:id="83" w:author="Gabriel Lopes" w:date="2020-09-17T00:08:00Z"/>
          <w:rFonts w:ascii="Verdana" w:hAnsi="Verdana" w:cs="Tahoma"/>
          <w:color w:val="FF0000"/>
          <w:sz w:val="20"/>
          <w:szCs w:val="20"/>
        </w:rPr>
      </w:pPr>
    </w:p>
    <w:p w14:paraId="0B1FD63F" w14:textId="77777777" w:rsidR="001F5F8A" w:rsidRPr="00422BB1" w:rsidRDefault="001F5F8A" w:rsidP="001F5F8A">
      <w:pPr>
        <w:pStyle w:val="PargrafodaLista"/>
        <w:spacing w:line="280" w:lineRule="exact"/>
        <w:ind w:left="567"/>
        <w:jc w:val="both"/>
        <w:rPr>
          <w:ins w:id="84" w:author="Gabriel Lopes" w:date="2020-09-17T00:08:00Z"/>
          <w:rFonts w:ascii="Verdana" w:hAnsi="Verdana" w:cs="Tahoma"/>
          <w:color w:val="FF0000"/>
          <w:sz w:val="20"/>
          <w:szCs w:val="20"/>
        </w:rPr>
      </w:pPr>
    </w:p>
    <w:tbl>
      <w:tblPr>
        <w:tblStyle w:val="Tabelacomgrade"/>
        <w:tblW w:w="0" w:type="auto"/>
        <w:tblInd w:w="567" w:type="dxa"/>
        <w:tblLook w:val="04A0" w:firstRow="1" w:lastRow="0" w:firstColumn="1" w:lastColumn="0" w:noHBand="0" w:noVBand="1"/>
      </w:tblPr>
      <w:tblGrid>
        <w:gridCol w:w="3974"/>
        <w:gridCol w:w="3953"/>
      </w:tblGrid>
      <w:tr w:rsidR="001F5F8A" w14:paraId="4AC093D4" w14:textId="77777777" w:rsidTr="009E7B17">
        <w:trPr>
          <w:ins w:id="85" w:author="Gabriel Lopes" w:date="2020-09-17T00:08:00Z"/>
        </w:trPr>
        <w:tc>
          <w:tcPr>
            <w:tcW w:w="3974" w:type="dxa"/>
          </w:tcPr>
          <w:p w14:paraId="5F6ADADE" w14:textId="77777777" w:rsidR="001F5F8A" w:rsidRPr="00817FB4" w:rsidRDefault="001F5F8A" w:rsidP="009E7B17">
            <w:pPr>
              <w:pStyle w:val="PargrafodaLista"/>
              <w:spacing w:before="120" w:after="120" w:line="280" w:lineRule="exact"/>
              <w:ind w:left="0"/>
              <w:jc w:val="center"/>
              <w:rPr>
                <w:ins w:id="86" w:author="Gabriel Lopes" w:date="2020-09-17T00:08:00Z"/>
                <w:rFonts w:ascii="Verdana" w:hAnsi="Verdana" w:cs="Tahoma"/>
                <w:b/>
                <w:bCs/>
                <w:sz w:val="20"/>
                <w:szCs w:val="20"/>
              </w:rPr>
            </w:pPr>
            <w:ins w:id="87" w:author="Gabriel Lopes" w:date="2020-09-17T00:08:00Z">
              <w:r w:rsidRPr="00817FB4">
                <w:rPr>
                  <w:rFonts w:ascii="Verdana" w:hAnsi="Verdana" w:cs="Tahoma"/>
                  <w:b/>
                  <w:bCs/>
                  <w:sz w:val="20"/>
                  <w:szCs w:val="20"/>
                </w:rPr>
                <w:t>Rating A</w:t>
              </w:r>
            </w:ins>
          </w:p>
        </w:tc>
        <w:tc>
          <w:tcPr>
            <w:tcW w:w="3953" w:type="dxa"/>
          </w:tcPr>
          <w:p w14:paraId="215B6864" w14:textId="77777777" w:rsidR="001F5F8A" w:rsidRPr="00280BC1" w:rsidRDefault="001F5F8A" w:rsidP="009E7B17">
            <w:pPr>
              <w:pStyle w:val="PargrafodaLista"/>
              <w:spacing w:before="120" w:after="120" w:line="280" w:lineRule="exact"/>
              <w:ind w:left="0"/>
              <w:jc w:val="center"/>
              <w:rPr>
                <w:ins w:id="88" w:author="Gabriel Lopes" w:date="2020-09-17T00:08:00Z"/>
                <w:rFonts w:ascii="Verdana" w:hAnsi="Verdana" w:cs="Tahoma"/>
                <w:sz w:val="20"/>
                <w:szCs w:val="20"/>
              </w:rPr>
            </w:pPr>
            <w:ins w:id="89" w:author="Gabriel Lopes" w:date="2020-09-17T00:08:00Z">
              <w:r>
                <w:rPr>
                  <w:rFonts w:ascii="Verdana" w:hAnsi="Verdana"/>
                  <w:sz w:val="20"/>
                </w:rPr>
                <w:t>Entre 2,49% a.m a 3,99 % a.m</w:t>
              </w:r>
            </w:ins>
          </w:p>
        </w:tc>
      </w:tr>
      <w:tr w:rsidR="001F5F8A" w14:paraId="61CFAE75" w14:textId="77777777" w:rsidTr="009E7B17">
        <w:trPr>
          <w:ins w:id="90" w:author="Gabriel Lopes" w:date="2020-09-17T00:08:00Z"/>
        </w:trPr>
        <w:tc>
          <w:tcPr>
            <w:tcW w:w="3974" w:type="dxa"/>
          </w:tcPr>
          <w:p w14:paraId="58F3FB24" w14:textId="77777777" w:rsidR="001F5F8A" w:rsidRPr="00817FB4" w:rsidRDefault="001F5F8A" w:rsidP="009E7B17">
            <w:pPr>
              <w:pStyle w:val="PargrafodaLista"/>
              <w:spacing w:before="120" w:after="120" w:line="280" w:lineRule="exact"/>
              <w:ind w:left="0"/>
              <w:jc w:val="center"/>
              <w:rPr>
                <w:ins w:id="91" w:author="Gabriel Lopes" w:date="2020-09-17T00:08:00Z"/>
                <w:rFonts w:ascii="Verdana" w:hAnsi="Verdana" w:cs="Tahoma"/>
                <w:b/>
                <w:bCs/>
                <w:sz w:val="20"/>
                <w:szCs w:val="20"/>
              </w:rPr>
            </w:pPr>
            <w:ins w:id="92" w:author="Gabriel Lopes" w:date="2020-09-17T00:08:00Z">
              <w:r>
                <w:rPr>
                  <w:rFonts w:ascii="Verdana" w:hAnsi="Verdana" w:cs="Tahoma"/>
                  <w:b/>
                  <w:bCs/>
                  <w:sz w:val="20"/>
                  <w:szCs w:val="20"/>
                </w:rPr>
                <w:t>Rating B</w:t>
              </w:r>
            </w:ins>
          </w:p>
        </w:tc>
        <w:tc>
          <w:tcPr>
            <w:tcW w:w="3953" w:type="dxa"/>
          </w:tcPr>
          <w:p w14:paraId="22F666BA" w14:textId="77777777" w:rsidR="001F5F8A" w:rsidRDefault="001F5F8A" w:rsidP="009E7B17">
            <w:pPr>
              <w:pStyle w:val="PargrafodaLista"/>
              <w:spacing w:before="120" w:after="120" w:line="280" w:lineRule="exact"/>
              <w:ind w:left="0"/>
              <w:jc w:val="center"/>
              <w:rPr>
                <w:ins w:id="93" w:author="Gabriel Lopes" w:date="2020-09-17T00:08:00Z"/>
                <w:rFonts w:ascii="Verdana" w:hAnsi="Verdana" w:cs="Tahoma"/>
                <w:sz w:val="20"/>
                <w:szCs w:val="20"/>
              </w:rPr>
            </w:pPr>
            <w:ins w:id="94" w:author="Gabriel Lopes" w:date="2020-09-17T00:08:00Z">
              <w:r w:rsidRPr="00C21C4A">
                <w:rPr>
                  <w:rFonts w:ascii="Verdana" w:hAnsi="Verdana"/>
                  <w:sz w:val="20"/>
                </w:rPr>
                <w:t xml:space="preserve">Entre </w:t>
              </w:r>
              <w:r>
                <w:rPr>
                  <w:rFonts w:ascii="Verdana" w:hAnsi="Verdana"/>
                  <w:sz w:val="20"/>
                </w:rPr>
                <w:t>2,99% a.m</w:t>
              </w:r>
              <w:r w:rsidRPr="00C21C4A">
                <w:rPr>
                  <w:rFonts w:ascii="Verdana" w:hAnsi="Verdana"/>
                  <w:sz w:val="20"/>
                </w:rPr>
                <w:t xml:space="preserve"> a </w:t>
              </w:r>
              <w:r>
                <w:rPr>
                  <w:rFonts w:ascii="Verdana" w:hAnsi="Verdana"/>
                  <w:sz w:val="20"/>
                </w:rPr>
                <w:t>4,49% a.m</w:t>
              </w:r>
            </w:ins>
          </w:p>
        </w:tc>
      </w:tr>
      <w:tr w:rsidR="001F5F8A" w14:paraId="104CD522" w14:textId="77777777" w:rsidTr="009E7B17">
        <w:trPr>
          <w:ins w:id="95" w:author="Gabriel Lopes" w:date="2020-09-17T00:08:00Z"/>
        </w:trPr>
        <w:tc>
          <w:tcPr>
            <w:tcW w:w="3974" w:type="dxa"/>
          </w:tcPr>
          <w:p w14:paraId="7764A3E1" w14:textId="77777777" w:rsidR="001F5F8A" w:rsidRPr="00817FB4" w:rsidRDefault="001F5F8A" w:rsidP="009E7B17">
            <w:pPr>
              <w:pStyle w:val="PargrafodaLista"/>
              <w:spacing w:before="120" w:after="120" w:line="280" w:lineRule="exact"/>
              <w:ind w:left="0"/>
              <w:jc w:val="center"/>
              <w:rPr>
                <w:ins w:id="96" w:author="Gabriel Lopes" w:date="2020-09-17T00:08:00Z"/>
                <w:rFonts w:ascii="Verdana" w:hAnsi="Verdana" w:cs="Tahoma"/>
                <w:b/>
                <w:bCs/>
                <w:sz w:val="20"/>
                <w:szCs w:val="20"/>
              </w:rPr>
            </w:pPr>
            <w:ins w:id="97" w:author="Gabriel Lopes" w:date="2020-09-17T00:08:00Z">
              <w:r>
                <w:rPr>
                  <w:rFonts w:ascii="Verdana" w:hAnsi="Verdana" w:cs="Tahoma"/>
                  <w:b/>
                  <w:bCs/>
                  <w:sz w:val="20"/>
                  <w:szCs w:val="20"/>
                </w:rPr>
                <w:t>Rating C</w:t>
              </w:r>
            </w:ins>
          </w:p>
        </w:tc>
        <w:tc>
          <w:tcPr>
            <w:tcW w:w="3953" w:type="dxa"/>
          </w:tcPr>
          <w:p w14:paraId="6AEFE5B9" w14:textId="77777777" w:rsidR="001F5F8A" w:rsidRDefault="001F5F8A" w:rsidP="009E7B17">
            <w:pPr>
              <w:pStyle w:val="PargrafodaLista"/>
              <w:spacing w:before="120" w:after="120" w:line="280" w:lineRule="exact"/>
              <w:ind w:left="0"/>
              <w:jc w:val="center"/>
              <w:rPr>
                <w:ins w:id="98" w:author="Gabriel Lopes" w:date="2020-09-17T00:08:00Z"/>
                <w:rFonts w:ascii="Verdana" w:hAnsi="Verdana" w:cs="Tahoma"/>
                <w:sz w:val="20"/>
                <w:szCs w:val="20"/>
              </w:rPr>
            </w:pPr>
            <w:ins w:id="99" w:author="Gabriel Lopes" w:date="2020-09-17T00:08:00Z">
              <w:r w:rsidRPr="00C21C4A">
                <w:rPr>
                  <w:rFonts w:ascii="Verdana" w:hAnsi="Verdana"/>
                  <w:sz w:val="20"/>
                </w:rPr>
                <w:t xml:space="preserve">Entre </w:t>
              </w:r>
              <w:r>
                <w:rPr>
                  <w:rFonts w:ascii="Verdana" w:hAnsi="Verdana"/>
                  <w:sz w:val="20"/>
                </w:rPr>
                <w:t>3,49% a.m</w:t>
              </w:r>
              <w:r w:rsidRPr="00C21C4A">
                <w:rPr>
                  <w:rFonts w:ascii="Verdana" w:hAnsi="Verdana"/>
                  <w:sz w:val="20"/>
                </w:rPr>
                <w:t xml:space="preserve"> a </w:t>
              </w:r>
              <w:r>
                <w:rPr>
                  <w:rFonts w:ascii="Verdana" w:hAnsi="Verdana"/>
                  <w:sz w:val="20"/>
                </w:rPr>
                <w:t>4,99% a.m</w:t>
              </w:r>
            </w:ins>
          </w:p>
        </w:tc>
      </w:tr>
      <w:tr w:rsidR="001F5F8A" w14:paraId="24F8481C" w14:textId="77777777" w:rsidTr="009E7B17">
        <w:trPr>
          <w:ins w:id="100" w:author="Gabriel Lopes" w:date="2020-09-17T00:08:00Z"/>
        </w:trPr>
        <w:tc>
          <w:tcPr>
            <w:tcW w:w="3974" w:type="dxa"/>
          </w:tcPr>
          <w:p w14:paraId="6E99349E" w14:textId="77777777" w:rsidR="001F5F8A" w:rsidRPr="00817FB4" w:rsidRDefault="001F5F8A" w:rsidP="009E7B17">
            <w:pPr>
              <w:pStyle w:val="PargrafodaLista"/>
              <w:spacing w:before="120" w:after="120" w:line="280" w:lineRule="exact"/>
              <w:ind w:left="0"/>
              <w:jc w:val="center"/>
              <w:rPr>
                <w:ins w:id="101" w:author="Gabriel Lopes" w:date="2020-09-17T00:08:00Z"/>
                <w:rFonts w:ascii="Verdana" w:hAnsi="Verdana" w:cs="Tahoma"/>
                <w:b/>
                <w:bCs/>
                <w:sz w:val="20"/>
                <w:szCs w:val="20"/>
              </w:rPr>
            </w:pPr>
            <w:ins w:id="102" w:author="Gabriel Lopes" w:date="2020-09-17T00:08:00Z">
              <w:r>
                <w:rPr>
                  <w:rFonts w:ascii="Verdana" w:hAnsi="Verdana" w:cs="Tahoma"/>
                  <w:b/>
                  <w:bCs/>
                  <w:sz w:val="20"/>
                  <w:szCs w:val="20"/>
                </w:rPr>
                <w:t>Rating D</w:t>
              </w:r>
            </w:ins>
          </w:p>
        </w:tc>
        <w:tc>
          <w:tcPr>
            <w:tcW w:w="3953" w:type="dxa"/>
          </w:tcPr>
          <w:p w14:paraId="0684853E" w14:textId="77777777" w:rsidR="001F5F8A" w:rsidRDefault="001F5F8A" w:rsidP="009E7B17">
            <w:pPr>
              <w:pStyle w:val="PargrafodaLista"/>
              <w:spacing w:before="120" w:after="120" w:line="280" w:lineRule="exact"/>
              <w:ind w:left="0"/>
              <w:jc w:val="center"/>
              <w:rPr>
                <w:ins w:id="103" w:author="Gabriel Lopes" w:date="2020-09-17T00:08:00Z"/>
                <w:rFonts w:ascii="Verdana" w:hAnsi="Verdana" w:cs="Tahoma"/>
                <w:sz w:val="20"/>
                <w:szCs w:val="20"/>
              </w:rPr>
            </w:pPr>
            <w:ins w:id="104" w:author="Gabriel Lopes" w:date="2020-09-17T00:08:00Z">
              <w:r w:rsidRPr="00C21C4A">
                <w:rPr>
                  <w:rFonts w:ascii="Verdana" w:hAnsi="Verdana"/>
                  <w:sz w:val="20"/>
                </w:rPr>
                <w:t xml:space="preserve">Entre </w:t>
              </w:r>
              <w:r>
                <w:rPr>
                  <w:rFonts w:ascii="Verdana" w:hAnsi="Verdana"/>
                  <w:sz w:val="20"/>
                </w:rPr>
                <w:t>4,99% a.m</w:t>
              </w:r>
              <w:r w:rsidRPr="00C21C4A">
                <w:rPr>
                  <w:rFonts w:ascii="Verdana" w:hAnsi="Verdana"/>
                  <w:sz w:val="20"/>
                </w:rPr>
                <w:t xml:space="preserve"> a </w:t>
              </w:r>
              <w:r>
                <w:rPr>
                  <w:rFonts w:ascii="Verdana" w:hAnsi="Verdana"/>
                  <w:sz w:val="20"/>
                </w:rPr>
                <w:t>5,49% a.m</w:t>
              </w:r>
            </w:ins>
          </w:p>
        </w:tc>
      </w:tr>
      <w:tr w:rsidR="001F5F8A" w14:paraId="7A51F3F1" w14:textId="77777777" w:rsidTr="009E7B17">
        <w:trPr>
          <w:ins w:id="105" w:author="Gabriel Lopes" w:date="2020-09-17T00:08:00Z"/>
        </w:trPr>
        <w:tc>
          <w:tcPr>
            <w:tcW w:w="3974" w:type="dxa"/>
          </w:tcPr>
          <w:p w14:paraId="63F31091" w14:textId="77777777" w:rsidR="001F5F8A" w:rsidRPr="00817FB4" w:rsidRDefault="001F5F8A" w:rsidP="009E7B17">
            <w:pPr>
              <w:pStyle w:val="PargrafodaLista"/>
              <w:spacing w:before="120" w:after="120" w:line="280" w:lineRule="exact"/>
              <w:ind w:left="0"/>
              <w:jc w:val="center"/>
              <w:rPr>
                <w:ins w:id="106" w:author="Gabriel Lopes" w:date="2020-09-17T00:08:00Z"/>
                <w:rFonts w:ascii="Verdana" w:hAnsi="Verdana" w:cs="Tahoma"/>
                <w:b/>
                <w:bCs/>
                <w:sz w:val="20"/>
                <w:szCs w:val="20"/>
              </w:rPr>
            </w:pPr>
            <w:ins w:id="107" w:author="Gabriel Lopes" w:date="2020-09-17T00:08:00Z">
              <w:r>
                <w:rPr>
                  <w:rFonts w:ascii="Verdana" w:hAnsi="Verdana" w:cs="Tahoma"/>
                  <w:b/>
                  <w:bCs/>
                  <w:sz w:val="20"/>
                  <w:szCs w:val="20"/>
                </w:rPr>
                <w:t>Rating E</w:t>
              </w:r>
            </w:ins>
          </w:p>
        </w:tc>
        <w:tc>
          <w:tcPr>
            <w:tcW w:w="3953" w:type="dxa"/>
          </w:tcPr>
          <w:p w14:paraId="7ECF85EE" w14:textId="77777777" w:rsidR="001F5F8A" w:rsidRDefault="001F5F8A" w:rsidP="009E7B17">
            <w:pPr>
              <w:pStyle w:val="PargrafodaLista"/>
              <w:spacing w:before="120" w:after="120" w:line="280" w:lineRule="exact"/>
              <w:ind w:left="0"/>
              <w:jc w:val="center"/>
              <w:rPr>
                <w:ins w:id="108" w:author="Gabriel Lopes" w:date="2020-09-17T00:08:00Z"/>
                <w:rFonts w:ascii="Verdana" w:hAnsi="Verdana" w:cs="Tahoma"/>
                <w:sz w:val="20"/>
                <w:szCs w:val="20"/>
              </w:rPr>
            </w:pPr>
            <w:ins w:id="109" w:author="Gabriel Lopes" w:date="2020-09-17T00:08:00Z">
              <w:r w:rsidRPr="00C21C4A">
                <w:rPr>
                  <w:rFonts w:ascii="Verdana" w:hAnsi="Verdana"/>
                  <w:sz w:val="20"/>
                </w:rPr>
                <w:t xml:space="preserve">Entre </w:t>
              </w:r>
              <w:r>
                <w:rPr>
                  <w:rFonts w:ascii="Verdana" w:hAnsi="Verdana"/>
                  <w:sz w:val="20"/>
                </w:rPr>
                <w:t>5,49% a.m</w:t>
              </w:r>
              <w:r w:rsidRPr="00C21C4A">
                <w:rPr>
                  <w:rFonts w:ascii="Verdana" w:hAnsi="Verdana"/>
                  <w:sz w:val="20"/>
                </w:rPr>
                <w:t xml:space="preserve"> a </w:t>
              </w:r>
              <w:r>
                <w:rPr>
                  <w:rFonts w:ascii="Verdana" w:hAnsi="Verdana"/>
                  <w:sz w:val="20"/>
                </w:rPr>
                <w:t>7,49% a.m</w:t>
              </w:r>
            </w:ins>
          </w:p>
        </w:tc>
      </w:tr>
    </w:tbl>
    <w:p w14:paraId="350867C0" w14:textId="77777777" w:rsidR="001F5F8A" w:rsidRDefault="001F5F8A" w:rsidP="001F5F8A">
      <w:pPr>
        <w:pStyle w:val="PargrafodaLista"/>
        <w:spacing w:before="120" w:after="120" w:line="280" w:lineRule="exact"/>
        <w:ind w:left="567"/>
        <w:jc w:val="both"/>
        <w:rPr>
          <w:ins w:id="110" w:author="Gabriel Lopes" w:date="2020-09-17T00:08:00Z"/>
          <w:rFonts w:ascii="Verdana" w:hAnsi="Verdana" w:cs="Tahoma"/>
          <w:b/>
          <w:sz w:val="20"/>
          <w:szCs w:val="20"/>
        </w:rPr>
      </w:pPr>
    </w:p>
    <w:p w14:paraId="1E810CB0" w14:textId="77777777" w:rsidR="001F5F8A" w:rsidRDefault="001F5F8A" w:rsidP="001F5F8A">
      <w:pPr>
        <w:pStyle w:val="PargrafodaLista"/>
        <w:spacing w:before="120" w:after="120" w:line="280" w:lineRule="exact"/>
        <w:ind w:left="567"/>
        <w:jc w:val="both"/>
        <w:rPr>
          <w:ins w:id="111" w:author="Gabriel Lopes" w:date="2020-09-17T00:08:00Z"/>
          <w:rFonts w:ascii="Verdana" w:hAnsi="Verdana" w:cs="Tahoma"/>
          <w:sz w:val="20"/>
          <w:szCs w:val="20"/>
        </w:rPr>
      </w:pPr>
      <w:ins w:id="112" w:author="Gabriel Lopes" w:date="2020-09-17T00:08:00Z">
        <w:r w:rsidRPr="009C31FD">
          <w:rPr>
            <w:rFonts w:ascii="Verdana" w:hAnsi="Verdana" w:cs="Tahoma"/>
            <w:b/>
            <w:sz w:val="20"/>
            <w:szCs w:val="20"/>
          </w:rPr>
          <w:t>(</w:t>
        </w:r>
        <w:r>
          <w:rPr>
            <w:rFonts w:ascii="Verdana" w:hAnsi="Verdana" w:cs="Tahoma"/>
            <w:b/>
            <w:sz w:val="20"/>
            <w:szCs w:val="20"/>
          </w:rPr>
          <w:t>ix</w:t>
        </w:r>
        <w:r w:rsidRPr="009C31FD">
          <w:rPr>
            <w:rFonts w:ascii="Verdana" w:hAnsi="Verdana" w:cs="Tahoma"/>
            <w:b/>
            <w:sz w:val="20"/>
            <w:szCs w:val="20"/>
          </w:rPr>
          <w:t>)</w:t>
        </w:r>
        <w:r w:rsidRPr="009C31FD">
          <w:rPr>
            <w:rFonts w:ascii="Verdana" w:hAnsi="Verdana" w:cs="Tahoma"/>
            <w:sz w:val="20"/>
            <w:szCs w:val="20"/>
          </w:rPr>
          <w:t xml:space="preserve"> </w:t>
        </w:r>
        <w:r w:rsidRPr="00FA4680">
          <w:rPr>
            <w:rFonts w:ascii="Verdana" w:hAnsi="Verdana" w:cs="Tahoma"/>
            <w:sz w:val="20"/>
            <w:szCs w:val="20"/>
          </w:rPr>
          <w:t xml:space="preserve">em cada data de aquisição de CCBs, considerando pro-forma a aquisição de novas CCBs para efeitos de apuração deste critério, os Tomadores deverão observar no máximo os seguintes percentuais de níveis de rating de acordo com a Política de Crédito da </w:t>
        </w:r>
        <w:r>
          <w:rPr>
            <w:rFonts w:ascii="Verdana" w:hAnsi="Verdana" w:cs="Tahoma"/>
            <w:sz w:val="20"/>
            <w:szCs w:val="20"/>
          </w:rPr>
          <w:t>Gyra</w:t>
        </w:r>
        <w:r w:rsidRPr="00FA4680">
          <w:rPr>
            <w:rFonts w:ascii="Verdana" w:hAnsi="Verdana" w:cs="Tahoma"/>
            <w:sz w:val="20"/>
            <w:szCs w:val="20"/>
          </w:rPr>
          <w:t xml:space="preserve"> vigente na data de aquisição</w:t>
        </w:r>
        <w:r>
          <w:rPr>
            <w:rFonts w:ascii="Verdana" w:hAnsi="Verdana" w:cs="Tahoma"/>
            <w:sz w:val="20"/>
            <w:szCs w:val="20"/>
          </w:rPr>
          <w:t>, apurado de acordo com o Valor Total da Emissão:</w:t>
        </w:r>
      </w:ins>
    </w:p>
    <w:p w14:paraId="57D090E8" w14:textId="77777777" w:rsidR="001F5F8A" w:rsidRDefault="001F5F8A" w:rsidP="001F5F8A">
      <w:pPr>
        <w:pStyle w:val="PargrafodaLista"/>
        <w:spacing w:before="120" w:after="120" w:line="280" w:lineRule="exact"/>
        <w:ind w:left="567"/>
        <w:jc w:val="both"/>
        <w:rPr>
          <w:ins w:id="113" w:author="Gabriel Lopes" w:date="2020-09-17T00:08:00Z"/>
          <w:rFonts w:ascii="Verdana" w:hAnsi="Verdana" w:cs="Tahoma"/>
          <w:sz w:val="20"/>
          <w:szCs w:val="20"/>
        </w:rPr>
      </w:pPr>
    </w:p>
    <w:tbl>
      <w:tblPr>
        <w:tblStyle w:val="Tabelacomgrade"/>
        <w:tblW w:w="0" w:type="auto"/>
        <w:tblInd w:w="567" w:type="dxa"/>
        <w:tblLook w:val="04A0" w:firstRow="1" w:lastRow="0" w:firstColumn="1" w:lastColumn="0" w:noHBand="0" w:noVBand="1"/>
      </w:tblPr>
      <w:tblGrid>
        <w:gridCol w:w="4004"/>
        <w:gridCol w:w="3923"/>
      </w:tblGrid>
      <w:tr w:rsidR="001F5F8A" w14:paraId="72E8434E" w14:textId="77777777" w:rsidTr="009E7B17">
        <w:trPr>
          <w:ins w:id="114" w:author="Gabriel Lopes" w:date="2020-09-17T00:08:00Z"/>
        </w:trPr>
        <w:tc>
          <w:tcPr>
            <w:tcW w:w="4004" w:type="dxa"/>
          </w:tcPr>
          <w:p w14:paraId="7753ED5E" w14:textId="77777777" w:rsidR="001F5F8A" w:rsidRPr="009C31FD" w:rsidRDefault="001F5F8A" w:rsidP="009E7B17">
            <w:pPr>
              <w:pStyle w:val="PargrafodaLista"/>
              <w:spacing w:before="120" w:after="120" w:line="280" w:lineRule="exact"/>
              <w:ind w:left="0"/>
              <w:jc w:val="center"/>
              <w:rPr>
                <w:ins w:id="115" w:author="Gabriel Lopes" w:date="2020-09-17T00:08:00Z"/>
                <w:rFonts w:ascii="Verdana" w:hAnsi="Verdana" w:cs="Tahoma"/>
                <w:b/>
                <w:bCs/>
                <w:sz w:val="20"/>
                <w:szCs w:val="20"/>
              </w:rPr>
            </w:pPr>
            <w:ins w:id="116" w:author="Gabriel Lopes" w:date="2020-09-17T00:08:00Z">
              <w:r w:rsidRPr="009C31FD">
                <w:rPr>
                  <w:rFonts w:ascii="Verdana" w:hAnsi="Verdana" w:cs="Tahoma"/>
                  <w:b/>
                  <w:bCs/>
                  <w:sz w:val="20"/>
                  <w:szCs w:val="20"/>
                </w:rPr>
                <w:t xml:space="preserve">Rating </w:t>
              </w:r>
              <w:r>
                <w:rPr>
                  <w:rFonts w:ascii="Verdana" w:hAnsi="Verdana" w:cs="Tahoma"/>
                  <w:b/>
                  <w:bCs/>
                  <w:sz w:val="20"/>
                  <w:szCs w:val="20"/>
                </w:rPr>
                <w:t xml:space="preserve">A </w:t>
              </w:r>
            </w:ins>
          </w:p>
        </w:tc>
        <w:tc>
          <w:tcPr>
            <w:tcW w:w="3923" w:type="dxa"/>
          </w:tcPr>
          <w:p w14:paraId="69C62E39" w14:textId="77777777" w:rsidR="001F5F8A" w:rsidRDefault="001F5F8A" w:rsidP="009E7B17">
            <w:pPr>
              <w:pStyle w:val="PargrafodaLista"/>
              <w:spacing w:before="120" w:after="120" w:line="280" w:lineRule="exact"/>
              <w:ind w:left="0"/>
              <w:jc w:val="center"/>
              <w:rPr>
                <w:ins w:id="117" w:author="Gabriel Lopes" w:date="2020-09-17T00:08:00Z"/>
                <w:rFonts w:ascii="Verdana" w:hAnsi="Verdana" w:cs="Tahoma"/>
                <w:sz w:val="20"/>
                <w:szCs w:val="20"/>
              </w:rPr>
            </w:pPr>
            <w:ins w:id="118" w:author="Gabriel Lopes" w:date="2020-09-17T00:08:00Z">
              <w:r>
                <w:rPr>
                  <w:rFonts w:ascii="Verdana" w:hAnsi="Verdana"/>
                  <w:sz w:val="20"/>
                </w:rPr>
                <w:t>20% (vinte por cento)</w:t>
              </w:r>
            </w:ins>
          </w:p>
        </w:tc>
      </w:tr>
      <w:tr w:rsidR="001F5F8A" w14:paraId="5D074E61" w14:textId="77777777" w:rsidTr="009E7B17">
        <w:trPr>
          <w:ins w:id="119" w:author="Gabriel Lopes" w:date="2020-09-17T00:08:00Z"/>
        </w:trPr>
        <w:tc>
          <w:tcPr>
            <w:tcW w:w="4004" w:type="dxa"/>
          </w:tcPr>
          <w:p w14:paraId="536AF82D" w14:textId="77777777" w:rsidR="001F5F8A" w:rsidRPr="009C31FD" w:rsidRDefault="001F5F8A" w:rsidP="009E7B17">
            <w:pPr>
              <w:pStyle w:val="PargrafodaLista"/>
              <w:spacing w:before="120" w:after="120" w:line="280" w:lineRule="exact"/>
              <w:ind w:left="0"/>
              <w:jc w:val="center"/>
              <w:rPr>
                <w:ins w:id="120" w:author="Gabriel Lopes" w:date="2020-09-17T00:08:00Z"/>
                <w:rFonts w:ascii="Verdana" w:hAnsi="Verdana" w:cs="Tahoma"/>
                <w:b/>
                <w:bCs/>
                <w:sz w:val="20"/>
                <w:szCs w:val="20"/>
              </w:rPr>
            </w:pPr>
            <w:ins w:id="121" w:author="Gabriel Lopes" w:date="2020-09-17T00:08:00Z">
              <w:r w:rsidRPr="00FA4680">
                <w:rPr>
                  <w:rFonts w:ascii="Verdana" w:hAnsi="Verdana" w:cs="Tahoma"/>
                  <w:b/>
                  <w:bCs/>
                  <w:sz w:val="20"/>
                  <w:szCs w:val="20"/>
                </w:rPr>
                <w:t xml:space="preserve">Rating </w:t>
              </w:r>
              <w:r>
                <w:rPr>
                  <w:rFonts w:ascii="Verdana" w:hAnsi="Verdana" w:cs="Tahoma"/>
                  <w:b/>
                  <w:bCs/>
                  <w:sz w:val="20"/>
                  <w:szCs w:val="20"/>
                </w:rPr>
                <w:t xml:space="preserve">B </w:t>
              </w:r>
            </w:ins>
          </w:p>
        </w:tc>
        <w:tc>
          <w:tcPr>
            <w:tcW w:w="3923" w:type="dxa"/>
          </w:tcPr>
          <w:p w14:paraId="49BFC577" w14:textId="77777777" w:rsidR="001F5F8A" w:rsidRDefault="001F5F8A" w:rsidP="009E7B17">
            <w:pPr>
              <w:pStyle w:val="PargrafodaLista"/>
              <w:spacing w:before="120" w:after="120" w:line="280" w:lineRule="exact"/>
              <w:ind w:left="0"/>
              <w:jc w:val="center"/>
              <w:rPr>
                <w:ins w:id="122" w:author="Gabriel Lopes" w:date="2020-09-17T00:08:00Z"/>
                <w:rFonts w:ascii="Verdana" w:hAnsi="Verdana" w:cs="Tahoma"/>
                <w:sz w:val="20"/>
                <w:szCs w:val="20"/>
              </w:rPr>
            </w:pPr>
            <w:ins w:id="123" w:author="Gabriel Lopes" w:date="2020-09-17T00:08:00Z">
              <w:r>
                <w:rPr>
                  <w:rFonts w:ascii="Verdana" w:hAnsi="Verdana"/>
                  <w:sz w:val="20"/>
                </w:rPr>
                <w:t>50% (cinquenta por cento)</w:t>
              </w:r>
            </w:ins>
          </w:p>
        </w:tc>
      </w:tr>
      <w:tr w:rsidR="001F5F8A" w14:paraId="6E2562AD" w14:textId="77777777" w:rsidTr="009E7B17">
        <w:trPr>
          <w:ins w:id="124" w:author="Gabriel Lopes" w:date="2020-09-17T00:08:00Z"/>
        </w:trPr>
        <w:tc>
          <w:tcPr>
            <w:tcW w:w="4004" w:type="dxa"/>
          </w:tcPr>
          <w:p w14:paraId="7C56CB82" w14:textId="77777777" w:rsidR="001F5F8A" w:rsidRPr="009C31FD" w:rsidRDefault="001F5F8A" w:rsidP="009E7B17">
            <w:pPr>
              <w:pStyle w:val="PargrafodaLista"/>
              <w:spacing w:before="120" w:after="120" w:line="280" w:lineRule="exact"/>
              <w:ind w:left="0"/>
              <w:jc w:val="center"/>
              <w:rPr>
                <w:ins w:id="125" w:author="Gabriel Lopes" w:date="2020-09-17T00:08:00Z"/>
                <w:rFonts w:ascii="Verdana" w:hAnsi="Verdana" w:cs="Tahoma"/>
                <w:b/>
                <w:bCs/>
                <w:sz w:val="20"/>
                <w:szCs w:val="20"/>
              </w:rPr>
            </w:pPr>
            <w:ins w:id="126" w:author="Gabriel Lopes" w:date="2020-09-17T00:08:00Z">
              <w:r w:rsidRPr="00FA4680">
                <w:rPr>
                  <w:rFonts w:ascii="Verdana" w:hAnsi="Verdana" w:cs="Tahoma"/>
                  <w:b/>
                  <w:bCs/>
                  <w:sz w:val="20"/>
                  <w:szCs w:val="20"/>
                </w:rPr>
                <w:t>Rating C</w:t>
              </w:r>
            </w:ins>
          </w:p>
        </w:tc>
        <w:tc>
          <w:tcPr>
            <w:tcW w:w="3923" w:type="dxa"/>
          </w:tcPr>
          <w:p w14:paraId="28CA2620" w14:textId="77777777" w:rsidR="001F5F8A" w:rsidRDefault="001F5F8A" w:rsidP="009E7B17">
            <w:pPr>
              <w:pStyle w:val="PargrafodaLista"/>
              <w:spacing w:before="120" w:after="120" w:line="280" w:lineRule="exact"/>
              <w:ind w:left="0"/>
              <w:jc w:val="center"/>
              <w:rPr>
                <w:ins w:id="127" w:author="Gabriel Lopes" w:date="2020-09-17T00:08:00Z"/>
                <w:rFonts w:ascii="Verdana" w:hAnsi="Verdana" w:cs="Tahoma"/>
                <w:sz w:val="20"/>
                <w:szCs w:val="20"/>
              </w:rPr>
            </w:pPr>
            <w:ins w:id="128" w:author="Gabriel Lopes" w:date="2020-09-17T00:08:00Z">
              <w:r>
                <w:rPr>
                  <w:rFonts w:ascii="Verdana" w:hAnsi="Verdana"/>
                  <w:sz w:val="20"/>
                </w:rPr>
                <w:t>20% (vinte por cento)</w:t>
              </w:r>
            </w:ins>
          </w:p>
        </w:tc>
      </w:tr>
      <w:tr w:rsidR="001F5F8A" w14:paraId="1B720740" w14:textId="77777777" w:rsidTr="009E7B17">
        <w:trPr>
          <w:ins w:id="129" w:author="Gabriel Lopes" w:date="2020-09-17T00:08:00Z"/>
        </w:trPr>
        <w:tc>
          <w:tcPr>
            <w:tcW w:w="4004" w:type="dxa"/>
          </w:tcPr>
          <w:p w14:paraId="2B478ADF" w14:textId="77777777" w:rsidR="001F5F8A" w:rsidRPr="009C31FD" w:rsidRDefault="001F5F8A" w:rsidP="009E7B17">
            <w:pPr>
              <w:pStyle w:val="PargrafodaLista"/>
              <w:spacing w:before="120" w:after="120" w:line="280" w:lineRule="exact"/>
              <w:ind w:left="0"/>
              <w:jc w:val="center"/>
              <w:rPr>
                <w:ins w:id="130" w:author="Gabriel Lopes" w:date="2020-09-17T00:08:00Z"/>
                <w:rFonts w:ascii="Verdana" w:hAnsi="Verdana" w:cs="Tahoma"/>
                <w:b/>
                <w:bCs/>
                <w:sz w:val="20"/>
                <w:szCs w:val="20"/>
              </w:rPr>
            </w:pPr>
            <w:ins w:id="131" w:author="Gabriel Lopes" w:date="2020-09-17T00:08:00Z">
              <w:r w:rsidRPr="009C31FD">
                <w:rPr>
                  <w:rFonts w:ascii="Verdana" w:hAnsi="Verdana" w:cs="Tahoma"/>
                  <w:b/>
                  <w:bCs/>
                  <w:sz w:val="20"/>
                  <w:szCs w:val="20"/>
                </w:rPr>
                <w:t>Rating D</w:t>
              </w:r>
            </w:ins>
          </w:p>
        </w:tc>
        <w:tc>
          <w:tcPr>
            <w:tcW w:w="3923" w:type="dxa"/>
          </w:tcPr>
          <w:p w14:paraId="72A768F2" w14:textId="77777777" w:rsidR="001F5F8A" w:rsidRDefault="001F5F8A" w:rsidP="009E7B17">
            <w:pPr>
              <w:pStyle w:val="PargrafodaLista"/>
              <w:spacing w:before="120" w:after="120" w:line="280" w:lineRule="exact"/>
              <w:ind w:left="0"/>
              <w:jc w:val="center"/>
              <w:rPr>
                <w:ins w:id="132" w:author="Gabriel Lopes" w:date="2020-09-17T00:08:00Z"/>
                <w:rFonts w:ascii="Verdana" w:hAnsi="Verdana" w:cs="Tahoma"/>
                <w:sz w:val="20"/>
                <w:szCs w:val="20"/>
              </w:rPr>
            </w:pPr>
            <w:ins w:id="133" w:author="Gabriel Lopes" w:date="2020-09-17T00:08:00Z">
              <w:r>
                <w:rPr>
                  <w:rFonts w:ascii="Verdana" w:hAnsi="Verdana"/>
                  <w:sz w:val="20"/>
                </w:rPr>
                <w:t>6% (seis por cento)</w:t>
              </w:r>
            </w:ins>
          </w:p>
        </w:tc>
      </w:tr>
      <w:tr w:rsidR="001F5F8A" w14:paraId="63C55EC9" w14:textId="77777777" w:rsidTr="009E7B17">
        <w:trPr>
          <w:ins w:id="134" w:author="Gabriel Lopes" w:date="2020-09-17T00:08:00Z"/>
        </w:trPr>
        <w:tc>
          <w:tcPr>
            <w:tcW w:w="4004" w:type="dxa"/>
          </w:tcPr>
          <w:p w14:paraId="008CD521" w14:textId="77777777" w:rsidR="001F5F8A" w:rsidRPr="009C31FD" w:rsidRDefault="001F5F8A" w:rsidP="009E7B17">
            <w:pPr>
              <w:pStyle w:val="PargrafodaLista"/>
              <w:spacing w:before="120" w:after="120" w:line="280" w:lineRule="exact"/>
              <w:ind w:left="0"/>
              <w:jc w:val="center"/>
              <w:rPr>
                <w:ins w:id="135" w:author="Gabriel Lopes" w:date="2020-09-17T00:08:00Z"/>
                <w:rFonts w:ascii="Verdana" w:hAnsi="Verdana" w:cs="Tahoma"/>
                <w:b/>
                <w:bCs/>
                <w:sz w:val="20"/>
                <w:szCs w:val="20"/>
              </w:rPr>
            </w:pPr>
            <w:ins w:id="136" w:author="Gabriel Lopes" w:date="2020-09-17T00:08:00Z">
              <w:r w:rsidRPr="009C31FD">
                <w:rPr>
                  <w:rFonts w:ascii="Verdana" w:hAnsi="Verdana" w:cs="Tahoma"/>
                  <w:b/>
                  <w:bCs/>
                  <w:sz w:val="20"/>
                  <w:szCs w:val="20"/>
                </w:rPr>
                <w:t>Rating E</w:t>
              </w:r>
            </w:ins>
          </w:p>
        </w:tc>
        <w:tc>
          <w:tcPr>
            <w:tcW w:w="3923" w:type="dxa"/>
          </w:tcPr>
          <w:p w14:paraId="35D91347" w14:textId="77777777" w:rsidR="001F5F8A" w:rsidRDefault="001F5F8A" w:rsidP="009E7B17">
            <w:pPr>
              <w:pStyle w:val="PargrafodaLista"/>
              <w:spacing w:before="120" w:after="120" w:line="280" w:lineRule="exact"/>
              <w:ind w:left="0"/>
              <w:jc w:val="center"/>
              <w:rPr>
                <w:ins w:id="137" w:author="Gabriel Lopes" w:date="2020-09-17T00:08:00Z"/>
                <w:rFonts w:ascii="Verdana" w:hAnsi="Verdana" w:cs="Tahoma"/>
                <w:sz w:val="20"/>
                <w:szCs w:val="20"/>
              </w:rPr>
            </w:pPr>
            <w:ins w:id="138" w:author="Gabriel Lopes" w:date="2020-09-17T00:08:00Z">
              <w:r>
                <w:rPr>
                  <w:rFonts w:ascii="Verdana" w:hAnsi="Verdana"/>
                  <w:sz w:val="20"/>
                </w:rPr>
                <w:t>4% (quatro por cento)</w:t>
              </w:r>
            </w:ins>
          </w:p>
        </w:tc>
      </w:tr>
    </w:tbl>
    <w:p w14:paraId="5097D22F" w14:textId="20156BE3" w:rsidR="001F5F8A" w:rsidRDefault="001F5F8A">
      <w:pPr>
        <w:pStyle w:val="PargrafodaLista"/>
        <w:numPr>
          <w:ilvl w:val="2"/>
          <w:numId w:val="4"/>
        </w:numPr>
        <w:spacing w:before="120" w:after="120" w:line="280" w:lineRule="exact"/>
        <w:jc w:val="both"/>
        <w:rPr>
          <w:ins w:id="139" w:author="Gabriel Lopes" w:date="2020-09-17T00:08:00Z"/>
          <w:rFonts w:ascii="Verdana" w:hAnsi="Verdana" w:cs="Tahoma"/>
          <w:sz w:val="20"/>
          <w:szCs w:val="20"/>
        </w:rPr>
      </w:pPr>
      <w:ins w:id="140" w:author="Gabriel Lopes" w:date="2020-09-17T00:08:00Z">
        <w:r w:rsidRPr="002C0D20">
          <w:rPr>
            <w:rFonts w:ascii="Verdana" w:hAnsi="Verdana" w:cs="Tahoma"/>
            <w:sz w:val="20"/>
            <w:szCs w:val="20"/>
          </w:rPr>
          <w:t xml:space="preserve">Para fins da verificação dos critérios indicados nos subitens </w:t>
        </w:r>
        <w:r>
          <w:rPr>
            <w:rFonts w:ascii="Verdana" w:hAnsi="Verdana" w:cs="Tahoma"/>
            <w:sz w:val="20"/>
            <w:szCs w:val="20"/>
          </w:rPr>
          <w:t>(i), (viii) e (ix)</w:t>
        </w:r>
        <w:r w:rsidRPr="002C0D20">
          <w:rPr>
            <w:rFonts w:ascii="Verdana" w:hAnsi="Verdana" w:cs="Tahoma"/>
            <w:sz w:val="20"/>
            <w:szCs w:val="20"/>
          </w:rPr>
          <w:t xml:space="preserve"> acima, a </w:t>
        </w:r>
        <w:r>
          <w:rPr>
            <w:rFonts w:ascii="Verdana" w:hAnsi="Verdana" w:cs="Tahoma"/>
            <w:sz w:val="20"/>
            <w:szCs w:val="20"/>
          </w:rPr>
          <w:t>Gyra</w:t>
        </w:r>
        <w:r w:rsidRPr="002C0D20">
          <w:rPr>
            <w:rFonts w:ascii="Verdana" w:hAnsi="Verdana" w:cs="Tahoma"/>
            <w:sz w:val="20"/>
            <w:szCs w:val="20"/>
          </w:rPr>
          <w:t xml:space="preserve"> deverá fornecer à Emissora, no momento de aquisição de cada CCB, as informações que permitam a realização da referida verificação. Nesta hipótese, a Emissora e o Agente Fiduciário não assumirão qualquer responsabilidade pela veracidade, incompletude, inconsistência ou insuficiência das informações prestadas pela </w:t>
        </w:r>
        <w:r>
          <w:rPr>
            <w:rFonts w:ascii="Verdana" w:hAnsi="Verdana" w:cs="Tahoma"/>
            <w:sz w:val="20"/>
            <w:szCs w:val="20"/>
          </w:rPr>
          <w:t xml:space="preserve">Gyra. </w:t>
        </w:r>
      </w:ins>
    </w:p>
    <w:p w14:paraId="75F3CAEC" w14:textId="77777777" w:rsidR="00EB5CDB" w:rsidRDefault="00EB5CDB">
      <w:pPr>
        <w:pStyle w:val="PargrafodaLista"/>
        <w:spacing w:before="120" w:after="120" w:line="280" w:lineRule="exact"/>
        <w:ind w:left="0"/>
        <w:jc w:val="both"/>
        <w:rPr>
          <w:rFonts w:ascii="Verdana" w:hAnsi="Verdana" w:cs="Tahoma"/>
          <w:sz w:val="20"/>
          <w:szCs w:val="20"/>
        </w:rPr>
      </w:pPr>
    </w:p>
    <w:p w14:paraId="24BCB347"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de Colocação e Plano de Distribuição</w:t>
      </w:r>
    </w:p>
    <w:p w14:paraId="763661DD"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141" w:name="_Ref497551623"/>
      <w:r>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instituição integrante do sistema de distribuição de valores mobiliários (“</w:t>
      </w:r>
      <w:r>
        <w:rPr>
          <w:rFonts w:ascii="Verdana" w:hAnsi="Verdana" w:cs="Tahoma"/>
          <w:sz w:val="20"/>
          <w:szCs w:val="20"/>
          <w:u w:val="single"/>
        </w:rPr>
        <w:t>Coordenador Líder</w:t>
      </w:r>
      <w:r>
        <w:rPr>
          <w:rFonts w:ascii="Verdana" w:hAnsi="Verdana" w:cs="Tahoma"/>
          <w:sz w:val="20"/>
          <w:szCs w:val="20"/>
        </w:rPr>
        <w:t>”), nos termos da Lei do Mercado de Capitais, da Instrução</w:t>
      </w:r>
      <w:r>
        <w:rPr>
          <w:rFonts w:ascii="Verdana" w:hAnsi="Verdana" w:cs="Tahoma"/>
          <w:bCs/>
          <w:sz w:val="20"/>
          <w:szCs w:val="20"/>
        </w:rPr>
        <w:t xml:space="preserve"> </w:t>
      </w:r>
      <w:r>
        <w:rPr>
          <w:rFonts w:ascii="Verdana" w:hAnsi="Verdana" w:cs="Tahoma"/>
          <w:sz w:val="20"/>
          <w:szCs w:val="20"/>
        </w:rPr>
        <w:t>CVM</w:t>
      </w:r>
      <w:r>
        <w:rPr>
          <w:rFonts w:ascii="Verdana" w:hAnsi="Verdana" w:cs="Tahoma"/>
          <w:bCs/>
          <w:sz w:val="20"/>
          <w:szCs w:val="20"/>
        </w:rPr>
        <w:t xml:space="preserve"> </w:t>
      </w:r>
      <w:r>
        <w:rPr>
          <w:rFonts w:ascii="Verdana" w:hAnsi="Verdana" w:cs="Tahoma"/>
          <w:sz w:val="20"/>
          <w:szCs w:val="20"/>
        </w:rPr>
        <w:t xml:space="preserve">476 e das demais disposições legais e regulamentares aplicáveis, e do </w:t>
      </w:r>
      <w:r>
        <w:rPr>
          <w:rFonts w:ascii="Verdana" w:hAnsi="Verdana" w:cs="Tahoma"/>
          <w:spacing w:val="-2"/>
          <w:sz w:val="20"/>
          <w:szCs w:val="20"/>
        </w:rPr>
        <w:t>Contrato de Distribuição.</w:t>
      </w:r>
      <w:bookmarkEnd w:id="141"/>
    </w:p>
    <w:p w14:paraId="1F554888" w14:textId="494D81E8" w:rsidR="00EB5CDB" w:rsidRDefault="008E55E6">
      <w:pPr>
        <w:numPr>
          <w:ilvl w:val="3"/>
          <w:numId w:val="4"/>
        </w:numPr>
        <w:spacing w:before="120" w:after="120" w:line="280" w:lineRule="exact"/>
        <w:jc w:val="both"/>
        <w:rPr>
          <w:rFonts w:ascii="Verdana" w:hAnsi="Verdana" w:cs="Tahoma"/>
          <w:sz w:val="20"/>
          <w:szCs w:val="20"/>
        </w:rPr>
      </w:pPr>
      <w:bookmarkStart w:id="142" w:name="_Ref496534537"/>
      <w:r>
        <w:rPr>
          <w:rFonts w:ascii="Verdana" w:hAnsi="Verdana" w:cs="Tahoma"/>
          <w:sz w:val="20"/>
          <w:szCs w:val="20"/>
        </w:rPr>
        <w:t xml:space="preserve">Será admitida a distribuição parcial das Debêntures, sendo que a manutenção da Oferta Restrita está condicionada à subscrição do Volume Mínimo da Emissão, equivalente a </w:t>
      </w:r>
      <w:r w:rsidR="006E2FA9">
        <w:rPr>
          <w:rFonts w:ascii="Verdana" w:hAnsi="Verdana" w:cs="Tahoma"/>
          <w:sz w:val="20"/>
          <w:szCs w:val="20"/>
        </w:rPr>
        <w:t>10.000 (dez mil)</w:t>
      </w:r>
      <w:r>
        <w:rPr>
          <w:rFonts w:ascii="Verdana" w:eastAsia="MS Mincho" w:hAnsi="Verdana" w:cs="Tahoma"/>
          <w:sz w:val="20"/>
          <w:szCs w:val="20"/>
        </w:rPr>
        <w:t xml:space="preserve"> Debêntures, que correspondem, na Data da 1ª Integralização, ao montante de R$ </w:t>
      </w:r>
      <w:r w:rsidR="006E2FA9">
        <w:rPr>
          <w:rFonts w:ascii="Verdana" w:hAnsi="Verdana" w:cs="Tahoma"/>
          <w:sz w:val="20"/>
          <w:szCs w:val="20"/>
        </w:rPr>
        <w:t>10.000.000,00 (dez milhões de reais)</w:t>
      </w:r>
      <w:r>
        <w:rPr>
          <w:rFonts w:ascii="Verdana" w:eastAsia="MS Mincho" w:hAnsi="Verdana" w:cs="Tahoma"/>
          <w:sz w:val="20"/>
          <w:szCs w:val="20"/>
        </w:rPr>
        <w:t>, observado</w:t>
      </w:r>
      <w:r>
        <w:rPr>
          <w:rFonts w:ascii="Verdana" w:hAnsi="Verdana" w:cs="Tahoma"/>
          <w:sz w:val="20"/>
          <w:szCs w:val="20"/>
        </w:rPr>
        <w:t xml:space="preserve"> o disposto no item </w:t>
      </w:r>
      <w:r>
        <w:rPr>
          <w:rFonts w:ascii="Verdana" w:hAnsi="Verdana" w:cs="Tahoma"/>
          <w:sz w:val="20"/>
          <w:szCs w:val="20"/>
        </w:rPr>
        <w:fldChar w:fldCharType="begin"/>
      </w:r>
      <w:r>
        <w:rPr>
          <w:rFonts w:ascii="Verdana" w:hAnsi="Verdana" w:cs="Tahoma"/>
          <w:sz w:val="20"/>
          <w:szCs w:val="20"/>
        </w:rPr>
        <w:instrText xml:space="preserve"> REF _Ref496534541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3.9.1.2</w:t>
      </w:r>
      <w:r>
        <w:rPr>
          <w:rFonts w:ascii="Verdana" w:hAnsi="Verdana" w:cs="Tahoma"/>
          <w:sz w:val="20"/>
          <w:szCs w:val="20"/>
        </w:rPr>
        <w:fldChar w:fldCharType="end"/>
      </w:r>
      <w:r>
        <w:rPr>
          <w:rFonts w:ascii="Verdana" w:hAnsi="Verdana" w:cs="Tahoma"/>
          <w:sz w:val="20"/>
          <w:szCs w:val="20"/>
        </w:rPr>
        <w:t xml:space="preserve"> abaixo.</w:t>
      </w:r>
      <w:bookmarkEnd w:id="142"/>
    </w:p>
    <w:p w14:paraId="25CC5CF4" w14:textId="03C818B9" w:rsidR="00EB5CDB" w:rsidRDefault="008E55E6">
      <w:pPr>
        <w:numPr>
          <w:ilvl w:val="3"/>
          <w:numId w:val="4"/>
        </w:numPr>
        <w:spacing w:before="120" w:after="120" w:line="280" w:lineRule="exact"/>
        <w:jc w:val="both"/>
        <w:rPr>
          <w:rFonts w:ascii="Verdana" w:hAnsi="Verdana" w:cs="Tahoma"/>
          <w:sz w:val="20"/>
          <w:szCs w:val="20"/>
        </w:rPr>
      </w:pPr>
      <w:bookmarkStart w:id="143" w:name="_Ref496534541"/>
      <w:r>
        <w:rPr>
          <w:rFonts w:ascii="Verdana" w:hAnsi="Verdana" w:cs="Tahoma"/>
          <w:sz w:val="20"/>
          <w:szCs w:val="20"/>
        </w:rPr>
        <w:t>A manutenção da Oferta Restrita está condicionada à subscrição da quantidade mínima de</w:t>
      </w:r>
      <w:r>
        <w:rPr>
          <w:rFonts w:ascii="Verdana" w:hAnsi="Verdana" w:cs="Tahoma"/>
          <w:b/>
          <w:sz w:val="20"/>
          <w:szCs w:val="20"/>
        </w:rPr>
        <w:t xml:space="preserve"> (i) </w:t>
      </w:r>
      <w:r w:rsidR="006E2FA9" w:rsidRPr="008D6F6D">
        <w:rPr>
          <w:rFonts w:ascii="Verdana" w:hAnsi="Verdana" w:cs="Tahoma"/>
          <w:bCs/>
          <w:sz w:val="20"/>
          <w:szCs w:val="20"/>
        </w:rPr>
        <w:t>8.000 (oito mil)</w:t>
      </w:r>
      <w:r>
        <w:rPr>
          <w:rFonts w:ascii="Verdana" w:hAnsi="Verdana" w:cs="Tahoma"/>
          <w:sz w:val="20"/>
          <w:szCs w:val="20"/>
        </w:rPr>
        <w:t xml:space="preserve">Debêntures da Primeira Série, que correspondem a R$ </w:t>
      </w:r>
      <w:r w:rsidR="006E2FA9">
        <w:rPr>
          <w:rFonts w:ascii="Verdana" w:hAnsi="Verdana" w:cs="Tahoma"/>
          <w:sz w:val="20"/>
          <w:szCs w:val="20"/>
        </w:rPr>
        <w:t>R$ 8.000.000,00 (oito milhões de reais)</w:t>
      </w:r>
      <w:r>
        <w:rPr>
          <w:rFonts w:ascii="Verdana" w:hAnsi="Verdana" w:cs="Tahoma"/>
          <w:sz w:val="20"/>
          <w:szCs w:val="20"/>
        </w:rPr>
        <w:t xml:space="preserve"> na Data da 1ª Integralização da Primeira Série (“</w:t>
      </w:r>
      <w:r>
        <w:rPr>
          <w:rFonts w:ascii="Verdana" w:hAnsi="Verdana" w:cs="Tahoma"/>
          <w:sz w:val="20"/>
          <w:szCs w:val="20"/>
          <w:u w:val="single"/>
        </w:rPr>
        <w:t>Volume Mínimo da Primeira Série</w:t>
      </w:r>
      <w:r>
        <w:rPr>
          <w:rFonts w:ascii="Verdana" w:hAnsi="Verdana" w:cs="Tahoma"/>
          <w:sz w:val="20"/>
          <w:szCs w:val="20"/>
        </w:rPr>
        <w:t xml:space="preserve">”), e </w:t>
      </w:r>
      <w:r>
        <w:rPr>
          <w:rFonts w:ascii="Verdana" w:hAnsi="Verdana" w:cs="Tahoma"/>
          <w:b/>
          <w:sz w:val="20"/>
          <w:szCs w:val="20"/>
        </w:rPr>
        <w:t>(ii)</w:t>
      </w:r>
      <w:r>
        <w:rPr>
          <w:rFonts w:ascii="Verdana" w:hAnsi="Verdana" w:cs="Tahoma"/>
          <w:sz w:val="20"/>
          <w:szCs w:val="20"/>
        </w:rPr>
        <w:t xml:space="preserve"> </w:t>
      </w:r>
      <w:r w:rsidR="006E2FA9">
        <w:rPr>
          <w:rFonts w:ascii="Verdana" w:hAnsi="Verdana" w:cs="Tahoma"/>
          <w:sz w:val="20"/>
          <w:szCs w:val="20"/>
        </w:rPr>
        <w:t>a</w:t>
      </w:r>
      <w:r>
        <w:rPr>
          <w:rFonts w:ascii="Verdana" w:hAnsi="Verdana" w:cs="Tahoma"/>
          <w:sz w:val="20"/>
          <w:szCs w:val="20"/>
        </w:rPr>
        <w:t xml:space="preserve"> </w:t>
      </w:r>
      <w:r w:rsidR="006E2FA9">
        <w:rPr>
          <w:rFonts w:ascii="Verdana" w:hAnsi="Verdana" w:cs="Tahoma"/>
          <w:sz w:val="20"/>
          <w:szCs w:val="20"/>
        </w:rPr>
        <w:t>2.000 (duas mil)</w:t>
      </w:r>
      <w:r>
        <w:rPr>
          <w:rFonts w:ascii="Verdana" w:hAnsi="Verdana" w:cs="Tahoma"/>
          <w:sz w:val="20"/>
          <w:szCs w:val="20"/>
        </w:rPr>
        <w:t xml:space="preserve"> Debêntures da Segunda Série, que correspondem a R$ </w:t>
      </w:r>
      <w:r w:rsidR="006E2FA9">
        <w:rPr>
          <w:rFonts w:ascii="Verdana" w:hAnsi="Verdana" w:cs="Tahoma"/>
          <w:sz w:val="20"/>
          <w:szCs w:val="20"/>
        </w:rPr>
        <w:t xml:space="preserve">2.000.000,00 (dois milhões de reais) </w:t>
      </w:r>
      <w:r>
        <w:rPr>
          <w:rFonts w:ascii="Verdana" w:hAnsi="Verdana" w:cs="Tahoma"/>
          <w:sz w:val="20"/>
          <w:szCs w:val="20"/>
        </w:rPr>
        <w:t>na Data da 1ª Integralização da Segunda Série, ou (b) Debêntures da Segunda Série em quantidade suficiente para atendimento à Razão Mínima de Subordinação, o que for maior (“</w:t>
      </w:r>
      <w:r>
        <w:rPr>
          <w:rFonts w:ascii="Verdana" w:hAnsi="Verdana" w:cs="Tahoma"/>
          <w:sz w:val="20"/>
          <w:szCs w:val="20"/>
          <w:u w:val="single"/>
        </w:rPr>
        <w:t>Volume Mínimo da Segunda Série</w:t>
      </w:r>
      <w:r>
        <w:rPr>
          <w:rFonts w:ascii="Verdana" w:hAnsi="Verdana" w:cs="Tahoma"/>
          <w:sz w:val="20"/>
          <w:szCs w:val="20"/>
        </w:rPr>
        <w:t xml:space="preserve">”). </w:t>
      </w:r>
      <w:bookmarkEnd w:id="143"/>
    </w:p>
    <w:p w14:paraId="2C16C46C" w14:textId="77777777" w:rsidR="00EB5CDB" w:rsidRDefault="008E55E6">
      <w:pPr>
        <w:numPr>
          <w:ilvl w:val="3"/>
          <w:numId w:val="4"/>
        </w:numPr>
        <w:spacing w:before="120" w:after="120" w:line="280" w:lineRule="exact"/>
        <w:jc w:val="both"/>
        <w:rPr>
          <w:rFonts w:ascii="Verdana" w:hAnsi="Verdana" w:cs="Tahoma"/>
          <w:sz w:val="20"/>
          <w:szCs w:val="20"/>
        </w:rPr>
      </w:pPr>
      <w:bookmarkStart w:id="144" w:name="_Ref496534543"/>
      <w:r>
        <w:rPr>
          <w:rFonts w:ascii="Verdana" w:hAnsi="Verdana" w:cs="Tahoma"/>
          <w:sz w:val="20"/>
          <w:szCs w:val="20"/>
        </w:rPr>
        <w:t xml:space="preserve">O Debenturista poderá, no ato de aceitação, condicionar sua adesão a que haja distribuição </w:t>
      </w:r>
      <w:r>
        <w:rPr>
          <w:rFonts w:ascii="Verdana" w:hAnsi="Verdana" w:cs="Tahoma"/>
          <w:b/>
          <w:sz w:val="20"/>
          <w:szCs w:val="20"/>
        </w:rPr>
        <w:t>(i)</w:t>
      </w:r>
      <w:r>
        <w:rPr>
          <w:rFonts w:ascii="Verdana" w:hAnsi="Verdana" w:cs="Tahoma"/>
          <w:sz w:val="20"/>
          <w:szCs w:val="20"/>
        </w:rPr>
        <w:t xml:space="preserve"> da totalidade das Debêntures ofertadas da respectiva série; ou </w:t>
      </w:r>
      <w:r>
        <w:rPr>
          <w:rFonts w:ascii="Verdana" w:hAnsi="Verdana" w:cs="Tahoma"/>
          <w:b/>
          <w:sz w:val="20"/>
          <w:szCs w:val="20"/>
        </w:rPr>
        <w:t>(ii)</w:t>
      </w:r>
      <w:r>
        <w:rPr>
          <w:rFonts w:ascii="Verdana" w:hAnsi="Verdana" w:cs="Tahoma"/>
          <w:sz w:val="20"/>
          <w:szCs w:val="20"/>
        </w:rPr>
        <w:t xml:space="preserve"> de uma proporção ou quantidade mínima das Debêntures da respectiva série originalmente objeto da Oferta Restrita, definida a critério do próprio Debenturista, que não poderá ser inferior ao Volume Mínimo da Emissão.</w:t>
      </w:r>
      <w:bookmarkEnd w:id="144"/>
    </w:p>
    <w:p w14:paraId="007A3D87"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No caso do subitem (ii) do item </w:t>
      </w:r>
      <w:r>
        <w:rPr>
          <w:rFonts w:ascii="Verdana" w:hAnsi="Verdana" w:cs="Tahoma"/>
          <w:sz w:val="20"/>
          <w:szCs w:val="20"/>
        </w:rPr>
        <w:fldChar w:fldCharType="begin"/>
      </w:r>
      <w:r>
        <w:rPr>
          <w:rFonts w:ascii="Verdana" w:hAnsi="Verdana" w:cs="Tahoma"/>
          <w:sz w:val="20"/>
          <w:szCs w:val="20"/>
        </w:rPr>
        <w:instrText xml:space="preserve"> REF _Ref496534543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3.9.1.3</w:t>
      </w:r>
      <w:r>
        <w:rPr>
          <w:rFonts w:ascii="Verdana" w:hAnsi="Verdana" w:cs="Tahoma"/>
          <w:sz w:val="20"/>
          <w:szCs w:val="20"/>
        </w:rPr>
        <w:fldChar w:fldCharType="end"/>
      </w:r>
      <w:r>
        <w:rPr>
          <w:rFonts w:ascii="Verdana" w:hAnsi="Verdana" w:cs="Tahoma"/>
          <w:sz w:val="20"/>
          <w:szCs w:val="20"/>
        </w:rPr>
        <w:t xml:space="preserve"> acima, o Debenturista deverá ainda, no momento da aceitação, indicar se, implementando-se a condição prevista, pretende manter </w:t>
      </w:r>
      <w:r>
        <w:rPr>
          <w:rFonts w:ascii="Verdana" w:hAnsi="Verdana" w:cs="Tahoma"/>
          <w:b/>
          <w:sz w:val="20"/>
          <w:szCs w:val="20"/>
        </w:rPr>
        <w:t>(i)</w:t>
      </w:r>
      <w:r>
        <w:rPr>
          <w:rFonts w:ascii="Verdana" w:hAnsi="Verdana" w:cs="Tahoma"/>
          <w:sz w:val="20"/>
          <w:szCs w:val="20"/>
        </w:rPr>
        <w:t xml:space="preserve"> a totalidade das Debêntures por ele subscritas; ou </w:t>
      </w:r>
      <w:r>
        <w:rPr>
          <w:rFonts w:ascii="Verdana" w:hAnsi="Verdana" w:cs="Tahoma"/>
          <w:b/>
          <w:sz w:val="20"/>
          <w:szCs w:val="20"/>
        </w:rPr>
        <w:t>(ii)</w:t>
      </w:r>
      <w:r>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6C9712CC"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p>
    <w:p w14:paraId="7AB90322" w14:textId="77777777" w:rsidR="00EB5CDB" w:rsidRDefault="008E55E6">
      <w:pPr>
        <w:numPr>
          <w:ilvl w:val="3"/>
          <w:numId w:val="4"/>
        </w:numPr>
        <w:spacing w:before="120" w:after="120" w:line="280" w:lineRule="exact"/>
        <w:jc w:val="both"/>
        <w:rPr>
          <w:rFonts w:ascii="Verdana" w:hAnsi="Verdana" w:cs="Tahoma"/>
          <w:sz w:val="20"/>
          <w:szCs w:val="20"/>
        </w:rPr>
      </w:pPr>
      <w:r>
        <w:rPr>
          <w:rFonts w:ascii="Verdana" w:hAnsi="Verdana" w:cs="Tahoma"/>
          <w:sz w:val="20"/>
          <w:szCs w:val="20"/>
        </w:rPr>
        <w:t>Não sendo atingido o Volume Mínimo da Emissão, e/ou não sendo verificadas as demais condições descritas nesta Escritura de Emissão, a Emissão será cancelada pela Emissora, sendo que os Debenturistas deverão ser imediatamente comunicados sobre tal fato pela Emissora e pelo Coordenador Líder. Nesse caso, as Debêntures até então integralizadas pelos Debenturistas serão resgatadas antecipadamente pela Emissora, no prazo de 3 (três) Dias Úteis contados da data em que a Emissão for cancelada, sem nenhum acréscimo ou correção, seguindo os procedimentos operacionais da B3, caso as Debêntures estejam custodiadas eletronicamente na B3.</w:t>
      </w:r>
    </w:p>
    <w:p w14:paraId="26BA31C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Cs/>
          <w:sz w:val="20"/>
          <w:szCs w:val="20"/>
        </w:rPr>
        <w:t>O plano de distribuição das Debêntures seguirá o procedimento descrito na Instrução CVM 476, conforme previsto no Contrato de Distribuição, podendo o Coordenador Líder acessar, no máximo, 75 (setenta e cinco) Investidores Profissionais, sendo possível a subscrição ou aquisição das Debêntures</w:t>
      </w:r>
      <w:bookmarkStart w:id="145" w:name="_DV_M106"/>
      <w:bookmarkEnd w:id="145"/>
      <w:r>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5015687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w:t>
      </w:r>
      <w:r>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05501F4"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O volume da Emissão não poderá ser aumentado em nenhuma hipótese.</w:t>
      </w:r>
    </w:p>
    <w:p w14:paraId="3838E959" w14:textId="2910D82D"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Os Investidores Profissionais assinarão declaração atestando </w:t>
      </w:r>
      <w:r>
        <w:rPr>
          <w:rFonts w:ascii="Verdana" w:hAnsi="Verdana" w:cs="Tahoma"/>
          <w:b/>
          <w:bCs/>
          <w:sz w:val="20"/>
          <w:szCs w:val="20"/>
        </w:rPr>
        <w:t>(i)</w:t>
      </w:r>
      <w:r>
        <w:rPr>
          <w:rFonts w:ascii="Verdana" w:hAnsi="Verdana" w:cs="Tahoma"/>
          <w:bCs/>
          <w:sz w:val="20"/>
          <w:szCs w:val="20"/>
        </w:rPr>
        <w:t xml:space="preserve"> que efetuaram sua própria análise com relação à capacidade de pagamento da Emissora; </w:t>
      </w:r>
      <w:r>
        <w:rPr>
          <w:rFonts w:ascii="Verdana" w:hAnsi="Verdana" w:cs="Tahoma"/>
          <w:b/>
          <w:bCs/>
          <w:sz w:val="20"/>
          <w:szCs w:val="20"/>
        </w:rPr>
        <w:t>(ii)</w:t>
      </w:r>
      <w:r>
        <w:rPr>
          <w:rFonts w:ascii="Verdana" w:hAnsi="Verdana" w:cs="Tahoma"/>
          <w:bCs/>
          <w:sz w:val="20"/>
          <w:szCs w:val="20"/>
        </w:rPr>
        <w:t xml:space="preserve"> sua condição de Investidor Profissional, de acordo com o Anexo 9-A da Instrução CVM 539; </w:t>
      </w:r>
      <w:r>
        <w:rPr>
          <w:rFonts w:ascii="Verdana" w:hAnsi="Verdana" w:cs="Tahoma"/>
          <w:b/>
          <w:bCs/>
          <w:sz w:val="20"/>
          <w:szCs w:val="20"/>
        </w:rPr>
        <w:t>(iii)</w:t>
      </w:r>
      <w:r>
        <w:rPr>
          <w:rFonts w:ascii="Verdana" w:hAnsi="Verdana" w:cs="Tahoma"/>
          <w:bCs/>
          <w:sz w:val="20"/>
          <w:szCs w:val="20"/>
        </w:rPr>
        <w:t xml:space="preserve"> estar cientes, entre outras coisas, de que: (a) a Oferta Restrita não foi registrada perante a CVM, e que poderá vir a ser registrada na ANBIMA apenas para fins de informação de base de dados, nos termos do item</w:t>
      </w:r>
      <w:r>
        <w:rPr>
          <w:rFonts w:ascii="Verdana" w:hAnsi="Verdana" w:cs="Tahoma"/>
          <w:sz w:val="20"/>
          <w:szCs w:val="20"/>
        </w:rPr>
        <w:t xml:space="preserve"> </w:t>
      </w:r>
      <w:r>
        <w:rPr>
          <w:rFonts w:ascii="Verdana" w:hAnsi="Verdana" w:cs="Tahoma"/>
          <w:bCs/>
          <w:sz w:val="20"/>
          <w:szCs w:val="20"/>
        </w:rPr>
        <w:fldChar w:fldCharType="begin"/>
      </w:r>
      <w:r>
        <w:rPr>
          <w:rFonts w:ascii="Verdana" w:hAnsi="Verdana" w:cs="Tahoma"/>
          <w:bCs/>
          <w:sz w:val="20"/>
          <w:szCs w:val="20"/>
        </w:rPr>
        <w:instrText xml:space="preserve"> REF _Ref490743716 \r \p \h  \* MERGEFORMAT </w:instrText>
      </w:r>
      <w:r>
        <w:rPr>
          <w:rFonts w:ascii="Verdana" w:hAnsi="Verdana" w:cs="Tahoma"/>
          <w:bCs/>
          <w:sz w:val="20"/>
          <w:szCs w:val="20"/>
        </w:rPr>
      </w:r>
      <w:r>
        <w:rPr>
          <w:rFonts w:ascii="Verdana" w:hAnsi="Verdana" w:cs="Tahoma"/>
          <w:bCs/>
          <w:sz w:val="20"/>
          <w:szCs w:val="20"/>
        </w:rPr>
        <w:fldChar w:fldCharType="separate"/>
      </w:r>
      <w:r>
        <w:rPr>
          <w:rFonts w:ascii="Verdana" w:hAnsi="Verdana" w:cs="Tahoma"/>
          <w:bCs/>
          <w:sz w:val="20"/>
          <w:szCs w:val="20"/>
        </w:rPr>
        <w:t>2.3 acima</w:t>
      </w:r>
      <w:r>
        <w:rPr>
          <w:rFonts w:ascii="Verdana" w:hAnsi="Verdana" w:cs="Tahoma"/>
          <w:bCs/>
          <w:sz w:val="20"/>
          <w:szCs w:val="20"/>
        </w:rPr>
        <w:fldChar w:fldCharType="end"/>
      </w:r>
      <w:r>
        <w:rPr>
          <w:rFonts w:ascii="Verdana" w:hAnsi="Verdana" w:cs="Tahoma"/>
          <w:bCs/>
          <w:sz w:val="20"/>
          <w:szCs w:val="20"/>
        </w:rPr>
        <w:t xml:space="preserve">, desde que expedidas diretrizes específicas pela ANBIMA até a data da comunicação de encerramento de que trata o artigo 8º da Instrução CVM 476; e (b) as Debêntures estão sujeitas a restrições de negociação previstas na regulamentação aplicável e nesta Escritura de Emissão, devendo, ainda, por meio de tal declaração, manifestar sua concordância expressa a todos os termos e condições desta Escritura de Emissão e </w:t>
      </w:r>
      <w:r>
        <w:rPr>
          <w:rFonts w:ascii="Verdana" w:hAnsi="Verdana" w:cs="Tahoma"/>
          <w:b/>
          <w:bCs/>
          <w:sz w:val="20"/>
          <w:szCs w:val="20"/>
        </w:rPr>
        <w:t>(iv)</w:t>
      </w:r>
      <w:r>
        <w:rPr>
          <w:rFonts w:ascii="Verdana" w:hAnsi="Verdana" w:cs="Tahoma"/>
          <w:bCs/>
          <w:sz w:val="20"/>
          <w:szCs w:val="20"/>
        </w:rPr>
        <w:t xml:space="preserve"> que leram o Anexo </w:t>
      </w:r>
      <w:r w:rsidR="00584983">
        <w:rPr>
          <w:rFonts w:ascii="Verdana" w:hAnsi="Verdana" w:cs="Tahoma"/>
          <w:bCs/>
          <w:sz w:val="20"/>
          <w:szCs w:val="20"/>
        </w:rPr>
        <w:t>IV</w:t>
      </w:r>
      <w:r>
        <w:rPr>
          <w:rFonts w:ascii="Verdana" w:hAnsi="Verdana" w:cs="Tahoma"/>
          <w:bCs/>
          <w:sz w:val="20"/>
          <w:szCs w:val="20"/>
        </w:rPr>
        <w:t xml:space="preserve"> que apresenta os Fatores de Risco da Emissão.</w:t>
      </w:r>
    </w:p>
    <w:p w14:paraId="7A5CD0E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 xml:space="preserve">A Emissora obriga-se a: </w:t>
      </w:r>
      <w:r>
        <w:rPr>
          <w:rFonts w:ascii="Verdana" w:hAnsi="Verdana" w:cs="Tahoma"/>
          <w:b/>
          <w:bCs/>
          <w:sz w:val="20"/>
          <w:szCs w:val="20"/>
        </w:rPr>
        <w:t>(i)</w:t>
      </w:r>
      <w:r>
        <w:rPr>
          <w:rFonts w:ascii="Verdana" w:hAnsi="Verdana" w:cs="Tahoma"/>
          <w:bCs/>
          <w:sz w:val="20"/>
          <w:szCs w:val="20"/>
        </w:rPr>
        <w:t xml:space="preserve"> não contatar ou fornecer informações acerca da Emissão e/ou da Oferta Restrita a qualquer Investidor Profissional, exceto se previamente acordado com o Coordenador Líder; e </w:t>
      </w:r>
      <w:r>
        <w:rPr>
          <w:rFonts w:ascii="Verdana" w:hAnsi="Verdana" w:cs="Tahoma"/>
          <w:b/>
          <w:bCs/>
          <w:sz w:val="20"/>
          <w:szCs w:val="20"/>
        </w:rPr>
        <w:t>(ii)</w:t>
      </w:r>
      <w:r>
        <w:rPr>
          <w:rFonts w:ascii="Verdana" w:hAnsi="Verdana" w:cs="Tahoma"/>
          <w:bCs/>
          <w:sz w:val="20"/>
          <w:szCs w:val="20"/>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5C6F207"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existirão reservas antecipadas, nem fixação de lotes mínimos ou máximos para a Oferta Restrita, independentemente da ordem cronológica.</w:t>
      </w:r>
    </w:p>
    <w:p w14:paraId="4C3FD4BA"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concedido qualquer tipo de desconto pelo Coordenador Líder aos Investidores Profissionais interessados em subscrever as Debêntures.</w:t>
      </w:r>
    </w:p>
    <w:p w14:paraId="47D0C9C6"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2FD9817B" w14:textId="77777777" w:rsidR="00EB5CDB" w:rsidRDefault="008E55E6">
      <w:pPr>
        <w:pStyle w:val="PargrafodaLista"/>
        <w:numPr>
          <w:ilvl w:val="2"/>
          <w:numId w:val="4"/>
        </w:numPr>
        <w:spacing w:before="120" w:after="120" w:line="280" w:lineRule="exact"/>
        <w:jc w:val="both"/>
        <w:rPr>
          <w:rFonts w:ascii="Verdana" w:hAnsi="Verdana" w:cs="Tahoma"/>
          <w:bCs/>
          <w:sz w:val="20"/>
          <w:szCs w:val="20"/>
        </w:rPr>
      </w:pPr>
      <w:r>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Default="00EB5CDB">
      <w:pPr>
        <w:pStyle w:val="PargrafodaLista"/>
        <w:spacing w:before="120" w:after="120" w:line="280" w:lineRule="exact"/>
        <w:ind w:left="0"/>
        <w:jc w:val="both"/>
        <w:rPr>
          <w:rFonts w:ascii="Verdana" w:hAnsi="Verdana" w:cs="Tahoma"/>
          <w:bCs/>
          <w:sz w:val="20"/>
          <w:szCs w:val="20"/>
        </w:rPr>
      </w:pPr>
    </w:p>
    <w:p w14:paraId="7AF5A81B"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Forma, Circulação e Comprovação de Titularidade das Debêntures</w:t>
      </w:r>
    </w:p>
    <w:p w14:paraId="3D3F004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nominativas e escriturais, sem a emissão de cautelas ou certificados, e não serão conversíveis em ações da Emissora. </w:t>
      </w:r>
    </w:p>
    <w:p w14:paraId="34FB8AC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circulação das Debêntures poderá ocorrer por meio de negociação em mercado de balcão organizado, observados os procedimentos adotados pela B3. </w:t>
      </w:r>
    </w:p>
    <w:p w14:paraId="3107B0FC"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Default="00EB5CDB">
      <w:pPr>
        <w:pStyle w:val="PargrafodaLista"/>
        <w:spacing w:before="120" w:after="120" w:line="280" w:lineRule="exact"/>
        <w:ind w:left="0"/>
        <w:jc w:val="both"/>
        <w:rPr>
          <w:rFonts w:ascii="Verdana" w:hAnsi="Verdana" w:cs="Tahoma"/>
          <w:sz w:val="20"/>
          <w:szCs w:val="20"/>
        </w:rPr>
      </w:pPr>
    </w:p>
    <w:p w14:paraId="7C839819"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Espécie</w:t>
      </w:r>
    </w:p>
    <w:p w14:paraId="5F6EF36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As Debêntures serão da espécie com garantia real, conforme descrito no item </w:t>
      </w:r>
      <w:r>
        <w:rPr>
          <w:rFonts w:ascii="Verdana" w:hAnsi="Verdana" w:cs="Tahoma"/>
          <w:sz w:val="20"/>
          <w:szCs w:val="20"/>
        </w:rPr>
        <w:fldChar w:fldCharType="begin"/>
      </w:r>
      <w:r>
        <w:rPr>
          <w:rFonts w:ascii="Verdana" w:hAnsi="Verdana" w:cs="Tahoma"/>
          <w:sz w:val="20"/>
          <w:szCs w:val="20"/>
        </w:rPr>
        <w:instrText xml:space="preserve"> REF _Ref481525172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w:t>
      </w:r>
      <w:r>
        <w:rPr>
          <w:rFonts w:ascii="Verdana" w:hAnsi="Verdana" w:cs="Tahoma"/>
          <w:sz w:val="20"/>
          <w:szCs w:val="20"/>
        </w:rPr>
        <w:fldChar w:fldCharType="end"/>
      </w:r>
      <w:r>
        <w:rPr>
          <w:rFonts w:ascii="Verdana" w:hAnsi="Verdana" w:cs="Tahoma"/>
          <w:sz w:val="20"/>
          <w:szCs w:val="20"/>
        </w:rPr>
        <w:t xml:space="preserve"> desta Escritura de Emissão.</w:t>
      </w:r>
    </w:p>
    <w:p w14:paraId="3E7C03FE" w14:textId="77777777" w:rsidR="00EB5CDB" w:rsidRDefault="00EB5CDB">
      <w:pPr>
        <w:pStyle w:val="PargrafodaLista"/>
        <w:spacing w:before="120" w:after="120" w:line="280" w:lineRule="exact"/>
        <w:ind w:left="0"/>
        <w:jc w:val="both"/>
        <w:rPr>
          <w:rFonts w:ascii="Verdana" w:hAnsi="Verdana" w:cs="Tahoma"/>
          <w:sz w:val="20"/>
          <w:szCs w:val="20"/>
        </w:rPr>
      </w:pPr>
    </w:p>
    <w:p w14:paraId="36B1F7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Valor Nominal Unitário e Atualização do Valor Nominal Unitário</w:t>
      </w:r>
    </w:p>
    <w:p w14:paraId="647A375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6" w:name="_DV_M95"/>
      <w:bookmarkEnd w:id="146"/>
      <w:r>
        <w:rPr>
          <w:rFonts w:ascii="Verdana" w:hAnsi="Verdana" w:cs="Tahoma"/>
          <w:sz w:val="20"/>
          <w:szCs w:val="20"/>
        </w:rPr>
        <w:t>As Debêntures terão Valor Nominal Unitário de R$1.000,00 (mil reais) na Data da 1</w:t>
      </w:r>
      <w:r>
        <w:rPr>
          <w:rFonts w:ascii="Verdana" w:hAnsi="Verdana" w:cs="Tahoma"/>
          <w:sz w:val="20"/>
          <w:szCs w:val="20"/>
          <w:vertAlign w:val="superscript"/>
        </w:rPr>
        <w:t>a</w:t>
      </w:r>
      <w:r>
        <w:rPr>
          <w:rFonts w:ascii="Verdana" w:hAnsi="Verdana" w:cs="Tahoma"/>
          <w:sz w:val="20"/>
          <w:szCs w:val="20"/>
        </w:rPr>
        <w:t xml:space="preserve"> Integralização.</w:t>
      </w:r>
    </w:p>
    <w:p w14:paraId="3FAB215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não terão seu Valor Nominal Unitário atualizado.</w:t>
      </w:r>
    </w:p>
    <w:p w14:paraId="2329BFD3" w14:textId="77777777" w:rsidR="00EB5CDB" w:rsidRDefault="00EB5CDB">
      <w:pPr>
        <w:pStyle w:val="PargrafodaLista"/>
        <w:spacing w:before="120" w:after="120" w:line="280" w:lineRule="exact"/>
        <w:ind w:left="0"/>
        <w:jc w:val="both"/>
        <w:rPr>
          <w:rFonts w:ascii="Verdana" w:hAnsi="Verdana" w:cs="Tahoma"/>
          <w:sz w:val="20"/>
          <w:szCs w:val="20"/>
        </w:rPr>
      </w:pPr>
    </w:p>
    <w:p w14:paraId="13B0B941"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47" w:name="_DV_M132"/>
      <w:bookmarkEnd w:id="147"/>
      <w:r>
        <w:rPr>
          <w:rFonts w:ascii="Verdana" w:eastAsia="MS Mincho" w:hAnsi="Verdana" w:cs="Tahoma"/>
          <w:b/>
          <w:sz w:val="20"/>
          <w:szCs w:val="20"/>
        </w:rPr>
        <w:t>Data de Emissão</w:t>
      </w:r>
    </w:p>
    <w:p w14:paraId="7DBF9D8B" w14:textId="2F9EF12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48" w:name="_DV_M91"/>
      <w:bookmarkStart w:id="149" w:name="_DV_M92"/>
      <w:bookmarkStart w:id="150" w:name="_DV_M93"/>
      <w:bookmarkStart w:id="151" w:name="_DV_M94"/>
      <w:bookmarkEnd w:id="148"/>
      <w:bookmarkEnd w:id="149"/>
      <w:bookmarkEnd w:id="150"/>
      <w:bookmarkEnd w:id="151"/>
      <w:r>
        <w:rPr>
          <w:rFonts w:ascii="Verdana" w:hAnsi="Verdana" w:cs="Tahoma"/>
          <w:sz w:val="20"/>
          <w:szCs w:val="20"/>
        </w:rPr>
        <w:t xml:space="preserve">Para todos os efeitos legais, a Data de Emissão das Debêntures será </w:t>
      </w:r>
      <w:r w:rsidR="007813F3">
        <w:rPr>
          <w:rFonts w:ascii="Verdana" w:hAnsi="Verdana" w:cs="Tahoma"/>
          <w:sz w:val="20"/>
          <w:szCs w:val="20"/>
        </w:rPr>
        <w:t>30</w:t>
      </w:r>
      <w:r>
        <w:rPr>
          <w:rFonts w:ascii="Verdana" w:hAnsi="Verdana" w:cs="Tahoma"/>
          <w:sz w:val="20"/>
          <w:szCs w:val="20"/>
        </w:rPr>
        <w:t xml:space="preserve"> de </w:t>
      </w:r>
      <w:r w:rsidR="007813F3">
        <w:rPr>
          <w:rFonts w:ascii="Verdana" w:hAnsi="Verdana" w:cs="Tahoma"/>
          <w:sz w:val="20"/>
          <w:szCs w:val="20"/>
        </w:rPr>
        <w:t>setembro</w:t>
      </w:r>
      <w:r>
        <w:rPr>
          <w:rFonts w:ascii="Verdana" w:hAnsi="Verdana" w:cs="Tahoma"/>
          <w:sz w:val="20"/>
          <w:szCs w:val="20"/>
        </w:rPr>
        <w:t xml:space="preserve"> de 20</w:t>
      </w:r>
      <w:r w:rsidR="00514413">
        <w:rPr>
          <w:rFonts w:ascii="Verdana" w:hAnsi="Verdana" w:cs="Tahoma"/>
          <w:sz w:val="20"/>
          <w:szCs w:val="20"/>
        </w:rPr>
        <w:t>20</w:t>
      </w:r>
      <w:r>
        <w:rPr>
          <w:rFonts w:ascii="Verdana" w:hAnsi="Verdana" w:cs="Tahoma"/>
          <w:sz w:val="20"/>
          <w:szCs w:val="20"/>
        </w:rPr>
        <w:t>.</w:t>
      </w:r>
    </w:p>
    <w:p w14:paraId="3B0BE0C5" w14:textId="77777777" w:rsidR="00EB5CDB" w:rsidRDefault="00EB5CDB">
      <w:pPr>
        <w:pStyle w:val="PargrafodaLista"/>
        <w:spacing w:before="120" w:after="120" w:line="280" w:lineRule="exact"/>
        <w:ind w:left="0"/>
        <w:jc w:val="both"/>
        <w:rPr>
          <w:rFonts w:ascii="Verdana" w:hAnsi="Verdana" w:cs="Tahoma"/>
          <w:sz w:val="20"/>
          <w:szCs w:val="20"/>
        </w:rPr>
      </w:pPr>
    </w:p>
    <w:p w14:paraId="51BAC865"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Datas de Pagamento</w:t>
      </w:r>
    </w:p>
    <w:p w14:paraId="05A6BAF0" w14:textId="7F96E6EB"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pagamentos de Remuneração das Debêntures, Amortização Extraordinária Obrigatória, </w:t>
      </w:r>
      <w:r w:rsidR="00017F48">
        <w:rPr>
          <w:rFonts w:ascii="Verdana" w:hAnsi="Verdana" w:cs="Tahoma"/>
          <w:sz w:val="20"/>
          <w:szCs w:val="20"/>
        </w:rPr>
        <w:t>Prêmio Sobre a Receita dos Direitos Creditórios Vinculados</w:t>
      </w:r>
      <w:r>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Default="00EB5CDB">
      <w:pPr>
        <w:pStyle w:val="PargrafodaLista"/>
        <w:spacing w:before="120" w:after="120" w:line="280" w:lineRule="exact"/>
        <w:ind w:left="0"/>
        <w:jc w:val="both"/>
        <w:rPr>
          <w:rFonts w:ascii="Verdana" w:hAnsi="Verdana" w:cs="Tahoma"/>
          <w:sz w:val="20"/>
          <w:szCs w:val="20"/>
        </w:rPr>
      </w:pPr>
    </w:p>
    <w:p w14:paraId="02D9D0F8"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Preço e Forma de Subscrição e Integralização</w:t>
      </w:r>
    </w:p>
    <w:p w14:paraId="79325E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Debêntures serão subscritas mediante assinatura, pelo Debenturista, do respectivo Boletim de Subscrição.</w:t>
      </w:r>
    </w:p>
    <w:p w14:paraId="1C6EE510"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152" w:name="_Ref422391547"/>
      <w:bookmarkStart w:id="153" w:name="_Ref477878438"/>
      <w:bookmarkStart w:id="154" w:name="_Ref495596571"/>
      <w:bookmarkStart w:id="155" w:name="_Ref421606727"/>
      <w:r>
        <w:rPr>
          <w:rFonts w:ascii="Verdana" w:hAnsi="Verdana" w:cs="Tahoma"/>
          <w:sz w:val="20"/>
          <w:szCs w:val="20"/>
        </w:rPr>
        <w:t xml:space="preserve">As Debêntures da Primeira Série serão integralizadas em moeda corrente nacional, pelo seu Valor Nominal Unitário, acrescido da Remuneração das Debêntures da Primeira 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Primeira Série (inclusive) até a respectiva data de integralização (exclusive) (“</w:t>
      </w:r>
      <w:r>
        <w:rPr>
          <w:rFonts w:ascii="Verdana" w:hAnsi="Verdana" w:cs="Tahoma"/>
          <w:sz w:val="20"/>
          <w:szCs w:val="20"/>
          <w:u w:val="single"/>
        </w:rPr>
        <w:t>Preço de Integralização das Debêntures da Primeira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Primeira Série</w:t>
      </w:r>
      <w:r>
        <w:rPr>
          <w:rFonts w:ascii="Verdana" w:hAnsi="Verdana" w:cs="Tahoma"/>
          <w:sz w:val="20"/>
          <w:szCs w:val="20"/>
        </w:rPr>
        <w:t>”)</w:t>
      </w:r>
      <w:bookmarkStart w:id="156" w:name="_Ref450673894"/>
      <w:bookmarkEnd w:id="152"/>
      <w:r>
        <w:rPr>
          <w:rFonts w:ascii="Verdana" w:hAnsi="Verdana" w:cs="Tahoma"/>
          <w:sz w:val="20"/>
          <w:szCs w:val="20"/>
        </w:rPr>
        <w:t>.</w:t>
      </w:r>
      <w:bookmarkEnd w:id="153"/>
      <w:bookmarkEnd w:id="156"/>
      <w:r>
        <w:rPr>
          <w:rFonts w:ascii="Verdana" w:hAnsi="Verdana" w:cs="Tahoma"/>
          <w:sz w:val="20"/>
          <w:szCs w:val="20"/>
        </w:rPr>
        <w:t xml:space="preserve"> A Razão Mínima de Subordinação deverá ser observada como condição para a integralização das Debêntures da Primeira Série.</w:t>
      </w:r>
      <w:bookmarkEnd w:id="154"/>
    </w:p>
    <w:p w14:paraId="65566303" w14:textId="5233747F"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157" w:name="_Ref495596580"/>
      <w:r>
        <w:rPr>
          <w:rFonts w:ascii="Verdana" w:eastAsia="Arial Unicode MS" w:hAnsi="Verdana" w:cs="Tahoma"/>
          <w:sz w:val="20"/>
          <w:szCs w:val="20"/>
        </w:rPr>
        <w:t xml:space="preserve">As Debêntures da Segunda Série serão integralizadas em moeda corrente nacional </w:t>
      </w:r>
      <w:r>
        <w:rPr>
          <w:rFonts w:ascii="Verdana" w:hAnsi="Verdana" w:cs="Tahoma"/>
          <w:sz w:val="20"/>
          <w:szCs w:val="20"/>
        </w:rPr>
        <w:t xml:space="preserve">pelo seu Valor Nominal Unitário, acrescido </w:t>
      </w:r>
      <w:r w:rsidR="007813F3">
        <w:rPr>
          <w:rFonts w:ascii="Verdana" w:hAnsi="Verdana" w:cs="Tahoma"/>
          <w:sz w:val="20"/>
          <w:szCs w:val="20"/>
        </w:rPr>
        <w:t>de ágio correspondente à</w:t>
      </w:r>
      <w:r>
        <w:rPr>
          <w:rFonts w:ascii="Verdana" w:hAnsi="Verdana" w:cs="Tahoma"/>
          <w:sz w:val="20"/>
          <w:szCs w:val="20"/>
        </w:rPr>
        <w:t xml:space="preserve"> Remuneração das Debêntures da </w:t>
      </w:r>
      <w:r w:rsidR="007813F3">
        <w:rPr>
          <w:rFonts w:ascii="Verdana" w:hAnsi="Verdana" w:cs="Tahoma"/>
          <w:sz w:val="20"/>
          <w:szCs w:val="20"/>
        </w:rPr>
        <w:t xml:space="preserve">Primeira </w:t>
      </w:r>
      <w:r>
        <w:rPr>
          <w:rFonts w:ascii="Verdana" w:hAnsi="Verdana" w:cs="Tahoma"/>
          <w:sz w:val="20"/>
          <w:szCs w:val="20"/>
        </w:rPr>
        <w:t xml:space="preserve">Série, calculado </w:t>
      </w:r>
      <w:r>
        <w:rPr>
          <w:rFonts w:ascii="Verdana" w:hAnsi="Verdana" w:cs="Tahoma"/>
          <w:i/>
          <w:sz w:val="20"/>
          <w:szCs w:val="20"/>
        </w:rPr>
        <w:t>pro rata</w:t>
      </w:r>
      <w:r>
        <w:rPr>
          <w:rFonts w:ascii="Verdana" w:hAnsi="Verdana" w:cs="Tahoma"/>
          <w:sz w:val="20"/>
          <w:szCs w:val="20"/>
        </w:rPr>
        <w:t xml:space="preserve"> a partir da Data da 1</w:t>
      </w:r>
      <w:r>
        <w:rPr>
          <w:rFonts w:ascii="Verdana" w:hAnsi="Verdana" w:cs="Tahoma"/>
          <w:sz w:val="20"/>
          <w:szCs w:val="20"/>
          <w:vertAlign w:val="superscript"/>
        </w:rPr>
        <w:t>a</w:t>
      </w:r>
      <w:r>
        <w:rPr>
          <w:rFonts w:ascii="Verdana" w:hAnsi="Verdana" w:cs="Tahoma"/>
          <w:sz w:val="20"/>
          <w:szCs w:val="20"/>
        </w:rPr>
        <w:t xml:space="preserve"> Integralização da Segunda Série (inclusive) até a respectiva data de integralização (exclusive) (“</w:t>
      </w:r>
      <w:r>
        <w:rPr>
          <w:rFonts w:ascii="Verdana" w:hAnsi="Verdana" w:cs="Tahoma"/>
          <w:sz w:val="20"/>
          <w:szCs w:val="20"/>
          <w:u w:val="single"/>
        </w:rPr>
        <w:t>Preço de Integralização das Debêntures da Segunda Série</w:t>
      </w:r>
      <w:r>
        <w:rPr>
          <w:rFonts w:ascii="Verdana" w:hAnsi="Verdana" w:cs="Tahoma"/>
          <w:sz w:val="20"/>
          <w:szCs w:val="20"/>
        </w:rPr>
        <w:t>”), nos montantes e em uma ou mais datas indicadas no respectivo Boletim de Subscrição (cada uma, uma “</w:t>
      </w:r>
      <w:r>
        <w:rPr>
          <w:rFonts w:ascii="Verdana" w:hAnsi="Verdana" w:cs="Tahoma"/>
          <w:sz w:val="20"/>
          <w:szCs w:val="20"/>
          <w:u w:val="single"/>
        </w:rPr>
        <w:t>Data de Integralização das Debêntures da Segunda Série</w:t>
      </w:r>
      <w:r>
        <w:rPr>
          <w:rFonts w:ascii="Verdana" w:hAnsi="Verdana" w:cs="Tahoma"/>
          <w:sz w:val="20"/>
          <w:szCs w:val="20"/>
        </w:rPr>
        <w:t>”).</w:t>
      </w:r>
      <w:bookmarkEnd w:id="157"/>
      <w:r>
        <w:rPr>
          <w:rFonts w:ascii="Verdana" w:hAnsi="Verdana" w:cs="Tahoma"/>
          <w:sz w:val="20"/>
          <w:szCs w:val="20"/>
        </w:rPr>
        <w:t xml:space="preserve"> </w:t>
      </w:r>
    </w:p>
    <w:p w14:paraId="3E215FE1"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 xml:space="preserve">Os valores recebidos a partir da </w:t>
      </w:r>
      <w:r>
        <w:rPr>
          <w:rFonts w:ascii="Verdana" w:hAnsi="Verdana" w:cs="Tahoma"/>
          <w:sz w:val="20"/>
          <w:szCs w:val="20"/>
        </w:rPr>
        <w:t>Data da 1</w:t>
      </w:r>
      <w:r>
        <w:rPr>
          <w:rFonts w:ascii="Verdana" w:hAnsi="Verdana" w:cs="Tahoma"/>
          <w:sz w:val="20"/>
          <w:szCs w:val="20"/>
          <w:vertAlign w:val="superscript"/>
        </w:rPr>
        <w:t>a</w:t>
      </w:r>
      <w:r>
        <w:rPr>
          <w:rFonts w:ascii="Verdana" w:hAnsi="Verdana" w:cs="Tahoma"/>
          <w:sz w:val="20"/>
          <w:szCs w:val="20"/>
        </w:rPr>
        <w:t xml:space="preserve"> Integralização</w:t>
      </w:r>
      <w:r>
        <w:rPr>
          <w:rFonts w:ascii="Verdana" w:eastAsia="Arial Unicode MS" w:hAnsi="Verdana" w:cs="Tahoma"/>
          <w:sz w:val="20"/>
          <w:szCs w:val="20"/>
        </w:rPr>
        <w:t xml:space="preserve"> serão automaticamente depositados pela Emissora na Conta Exclusiva indicada no respectivo Boletim de Subscrição.</w:t>
      </w:r>
    </w:p>
    <w:p w14:paraId="216802E5" w14:textId="77777777" w:rsidR="00EB5CDB" w:rsidRDefault="008E55E6">
      <w:pPr>
        <w:pStyle w:val="PargrafodaLista"/>
        <w:numPr>
          <w:ilvl w:val="3"/>
          <w:numId w:val="4"/>
        </w:numPr>
        <w:spacing w:before="120" w:after="120" w:line="280" w:lineRule="exact"/>
        <w:jc w:val="both"/>
        <w:rPr>
          <w:rFonts w:ascii="Verdana" w:eastAsia="Arial Unicode MS" w:hAnsi="Verdana" w:cs="Tahoma"/>
          <w:sz w:val="20"/>
          <w:szCs w:val="20"/>
        </w:rPr>
      </w:pPr>
      <w:r>
        <w:rPr>
          <w:rFonts w:ascii="Verdana" w:eastAsia="Arial Unicode MS" w:hAnsi="Verdana" w:cs="Tahoma"/>
          <w:sz w:val="20"/>
          <w:szCs w:val="20"/>
        </w:rPr>
        <w:t>A subscrição e integralização das Debêntures estarão condicionadas e somente serão efetivadas após o arquivamento da presente Escritura de Emissão na JUCESP e</w:t>
      </w:r>
      <w:r>
        <w:rPr>
          <w:rFonts w:ascii="Verdana" w:hAnsi="Verdana" w:cs="Tahoma"/>
          <w:sz w:val="20"/>
          <w:szCs w:val="20"/>
        </w:rPr>
        <w:t xml:space="preserve"> do registro </w:t>
      </w:r>
      <w:r>
        <w:rPr>
          <w:rFonts w:ascii="Verdana" w:eastAsia="Arial Unicode MS" w:hAnsi="Verdana" w:cs="Tahoma"/>
          <w:sz w:val="20"/>
          <w:szCs w:val="20"/>
        </w:rPr>
        <w:t>do Contrato de Cessão Fiduciária junto ao competente cartório de registro de títulos e documentos e na B3.</w:t>
      </w:r>
    </w:p>
    <w:bookmarkEnd w:id="155"/>
    <w:p w14:paraId="2E43E1F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D405AE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58" w:name="_Ref421605036"/>
      <w:r>
        <w:rPr>
          <w:rFonts w:ascii="Verdana" w:hAnsi="Verdana" w:cs="Tahoma"/>
          <w:sz w:val="20"/>
          <w:szCs w:val="20"/>
        </w:rPr>
        <w:t>Caso não haja a subscrição da totalidade das Debêntures da Emissão durante o Período de Colocação, a Oferta Restrita poderá ser encerrada desde que seja realizada a colocação do Volume Mínimo da Primeira Série e/ou do Volume Mínimo da Segunda Série.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bookmarkEnd w:id="158"/>
    </w:p>
    <w:p w14:paraId="28EB52A4"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 xml:space="preserve">Caso não haja subscrição de Debêntures em montante igual ou superior ao Volume Mínimo da Primeira Série e/ou ao Volume Mínimo da Segunda Série até o término do Período de Colocação, a totalidade das Debêntures será automaticamente cancelada, sendo dispensadas para tanto as formalidades de aprovação pelos Debenturistas reunidos em Assembleia Geral de Debenturistas e aprovação societária pela Emissora. </w:t>
      </w:r>
    </w:p>
    <w:p w14:paraId="66CE1C71"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p>
    <w:p w14:paraId="0C26041B" w14:textId="77777777" w:rsidR="00EB5CDB" w:rsidRDefault="00EB5CDB">
      <w:pPr>
        <w:pStyle w:val="PargrafodaLista"/>
        <w:spacing w:before="120" w:after="120" w:line="280" w:lineRule="exact"/>
        <w:ind w:left="0"/>
        <w:jc w:val="both"/>
        <w:rPr>
          <w:rFonts w:ascii="Verdana" w:hAnsi="Verdana" w:cs="Tahoma"/>
          <w:b/>
          <w:sz w:val="20"/>
          <w:szCs w:val="20"/>
        </w:rPr>
      </w:pPr>
    </w:p>
    <w:p w14:paraId="29782640"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Prazo de Vigência e Data de Vencimento</w:t>
      </w:r>
    </w:p>
    <w:p w14:paraId="01601FB3" w14:textId="0009BF30" w:rsidR="00EB5CDB" w:rsidRDefault="008E55E6">
      <w:pPr>
        <w:pStyle w:val="PargrafodaLista"/>
        <w:numPr>
          <w:ilvl w:val="2"/>
          <w:numId w:val="4"/>
        </w:numPr>
        <w:spacing w:before="120" w:after="120" w:line="280" w:lineRule="exact"/>
        <w:jc w:val="both"/>
        <w:rPr>
          <w:rFonts w:ascii="Verdana" w:hAnsi="Verdana" w:cs="Tahoma"/>
          <w:i/>
          <w:sz w:val="20"/>
          <w:szCs w:val="20"/>
        </w:rPr>
      </w:pPr>
      <w:bookmarkStart w:id="159" w:name="_DV_M146"/>
      <w:bookmarkEnd w:id="159"/>
      <w:r>
        <w:rPr>
          <w:rFonts w:ascii="Verdana" w:eastAsia="Arial Unicode MS" w:hAnsi="Verdana" w:cs="Tahoma"/>
          <w:sz w:val="20"/>
          <w:szCs w:val="20"/>
        </w:rPr>
        <w:t xml:space="preserve">As Debêntures terão prazo de vigência de </w:t>
      </w:r>
      <w:del w:id="160" w:author="Gabriel Lopes" w:date="2020-09-17T00:08:00Z">
        <w:r w:rsidR="008D5596">
          <w:rPr>
            <w:rFonts w:ascii="Verdana" w:hAnsi="Verdana" w:cs="Tahoma"/>
            <w:sz w:val="20"/>
            <w:szCs w:val="20"/>
          </w:rPr>
          <w:delText>[</w:delText>
        </w:r>
        <w:r w:rsidR="008D5596" w:rsidRPr="00B75E9B">
          <w:rPr>
            <w:rFonts w:ascii="Verdana" w:hAnsi="Verdana" w:cs="Tahoma"/>
            <w:b/>
            <w:bCs/>
            <w:i/>
            <w:iCs/>
            <w:sz w:val="20"/>
            <w:szCs w:val="20"/>
            <w:highlight w:val="yellow"/>
          </w:rPr>
          <w:delText>inserir</w:delText>
        </w:r>
        <w:r w:rsidR="008D5596">
          <w:rPr>
            <w:rFonts w:ascii="Verdana" w:hAnsi="Verdana" w:cs="Tahoma"/>
            <w:sz w:val="20"/>
            <w:szCs w:val="20"/>
          </w:rPr>
          <w:delText>]</w:delText>
        </w:r>
      </w:del>
      <w:ins w:id="161" w:author="Gabriel Lopes" w:date="2020-09-17T00:08:00Z">
        <w:r w:rsidR="00773C5E">
          <w:rPr>
            <w:rFonts w:ascii="Verdana" w:hAnsi="Verdana" w:cs="Tahoma"/>
            <w:sz w:val="20"/>
            <w:szCs w:val="20"/>
          </w:rPr>
          <w:t>1277 (mil duzentos e setenta e sete)</w:t>
        </w:r>
      </w:ins>
      <w:r w:rsidR="00773C5E">
        <w:rPr>
          <w:rFonts w:ascii="Verdana" w:hAnsi="Verdana" w:cs="Tahoma"/>
          <w:sz w:val="20"/>
          <w:szCs w:val="20"/>
        </w:rPr>
        <w:t xml:space="preserve"> </w:t>
      </w:r>
      <w:r>
        <w:rPr>
          <w:rFonts w:ascii="Verdana" w:eastAsia="Arial Unicode MS" w:hAnsi="Verdana" w:cs="Tahoma"/>
          <w:sz w:val="20"/>
          <w:szCs w:val="20"/>
        </w:rPr>
        <w:t xml:space="preserve">dias contados da Data de Emissão (exclusive), vencendo-se, portanto, em </w:t>
      </w:r>
      <w:del w:id="162" w:author="Gabriel Lopes" w:date="2020-09-17T00:08:00Z">
        <w:r w:rsidR="007813F3">
          <w:rPr>
            <w:rFonts w:ascii="Verdana" w:hAnsi="Verdana" w:cs="Tahoma"/>
            <w:sz w:val="20"/>
            <w:szCs w:val="20"/>
          </w:rPr>
          <w:delText>[</w:delText>
        </w:r>
      </w:del>
      <w:r w:rsidR="007813F3">
        <w:rPr>
          <w:rFonts w:ascii="Verdana" w:hAnsi="Verdana" w:cs="Tahoma"/>
          <w:sz w:val="20"/>
          <w:szCs w:val="20"/>
        </w:rPr>
        <w:t>30 de março de 2024</w:t>
      </w:r>
      <w:r>
        <w:rPr>
          <w:rFonts w:ascii="Verdana" w:eastAsia="Arial Unicode MS" w:hAnsi="Verdana" w:cs="Tahoma"/>
          <w:sz w:val="20"/>
          <w:szCs w:val="20"/>
        </w:rPr>
        <w:t>.</w:t>
      </w:r>
      <w:r>
        <w:rPr>
          <w:rFonts w:ascii="Verdana" w:eastAsia="Arial Unicode MS" w:hAnsi="Verdana" w:cs="Tahoma"/>
          <w:i/>
          <w:sz w:val="20"/>
          <w:szCs w:val="20"/>
        </w:rPr>
        <w:t xml:space="preserve"> </w:t>
      </w:r>
    </w:p>
    <w:p w14:paraId="5FACBD37" w14:textId="77777777" w:rsidR="00EB5CDB" w:rsidRDefault="00EB5CDB">
      <w:pPr>
        <w:pStyle w:val="PargrafodaLista"/>
        <w:spacing w:before="120" w:after="120" w:line="280" w:lineRule="exact"/>
        <w:ind w:left="0"/>
        <w:jc w:val="both"/>
        <w:rPr>
          <w:rFonts w:ascii="Verdana" w:hAnsi="Verdana" w:cs="Tahoma"/>
          <w:i/>
          <w:sz w:val="20"/>
          <w:szCs w:val="20"/>
        </w:rPr>
      </w:pPr>
    </w:p>
    <w:p w14:paraId="00E3C0C0" w14:textId="77777777" w:rsidR="00EB5CDB" w:rsidRDefault="008E55E6">
      <w:pPr>
        <w:keepNext/>
        <w:numPr>
          <w:ilvl w:val="1"/>
          <w:numId w:val="4"/>
        </w:numPr>
        <w:spacing w:before="120" w:after="120" w:line="280" w:lineRule="exact"/>
        <w:jc w:val="both"/>
        <w:rPr>
          <w:rFonts w:ascii="Verdana" w:hAnsi="Verdana" w:cs="Tahoma"/>
          <w:sz w:val="20"/>
          <w:szCs w:val="20"/>
        </w:rPr>
      </w:pPr>
      <w:bookmarkStart w:id="163" w:name="_Ref422946329"/>
      <w:bookmarkStart w:id="164" w:name="_Ref492045632"/>
      <w:r>
        <w:rPr>
          <w:rFonts w:ascii="Verdana" w:hAnsi="Verdana" w:cs="Tahoma"/>
          <w:b/>
          <w:sz w:val="20"/>
          <w:szCs w:val="20"/>
        </w:rPr>
        <w:t>Remuneração das Debêntures</w:t>
      </w:r>
    </w:p>
    <w:p w14:paraId="3C66358E" w14:textId="07E7AB02"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65" w:name="_Ref497552478"/>
      <w:r>
        <w:rPr>
          <w:rFonts w:ascii="Verdana" w:hAnsi="Verdana" w:cs="Tahoma"/>
          <w:b/>
          <w:i/>
          <w:sz w:val="20"/>
          <w:szCs w:val="20"/>
        </w:rPr>
        <w:t>Remuneração das Debêntures da Primeira Série</w:t>
      </w:r>
      <w:r>
        <w:rPr>
          <w:rFonts w:ascii="Verdana" w:hAnsi="Verdana" w:cs="Tahoma"/>
          <w:b/>
          <w:sz w:val="20"/>
          <w:szCs w:val="20"/>
        </w:rPr>
        <w:t>.</w:t>
      </w:r>
      <w:r>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551D05">
        <w:rPr>
          <w:rFonts w:ascii="Verdana" w:hAnsi="Verdana"/>
          <w:sz w:val="20"/>
          <w:szCs w:val="20"/>
        </w:rPr>
        <w:t>8</w:t>
      </w:r>
      <w:r>
        <w:rPr>
          <w:rFonts w:ascii="Verdana" w:hAnsi="Verdana"/>
          <w:sz w:val="20"/>
          <w:szCs w:val="20"/>
        </w:rPr>
        <w:t>,00% (</w:t>
      </w:r>
      <w:r w:rsidR="00551D05">
        <w:rPr>
          <w:rFonts w:ascii="Verdana" w:hAnsi="Verdana"/>
          <w:sz w:val="20"/>
          <w:szCs w:val="20"/>
        </w:rPr>
        <w:t>oito</w:t>
      </w:r>
      <w:r>
        <w:rPr>
          <w:rFonts w:ascii="Verdana" w:hAnsi="Verdana"/>
          <w:sz w:val="20"/>
          <w:szCs w:val="20"/>
        </w:rPr>
        <w:t xml:space="preserve"> por cento) ao ano, base 252 (duzentos e cinquenta e dois) Dias Úteis (“</w:t>
      </w:r>
      <w:r>
        <w:rPr>
          <w:rFonts w:ascii="Verdana" w:hAnsi="Verdana"/>
          <w:sz w:val="20"/>
          <w:szCs w:val="20"/>
          <w:u w:val="single"/>
        </w:rPr>
        <w:t>Remuneração das Debêntures da Primeira Série</w:t>
      </w:r>
      <w:r>
        <w:rPr>
          <w:rFonts w:ascii="Verdana" w:hAnsi="Verdana"/>
          <w:sz w:val="20"/>
          <w:szCs w:val="20"/>
        </w:rPr>
        <w:t>”).</w:t>
      </w:r>
      <w:bookmarkEnd w:id="165"/>
      <w:r>
        <w:rPr>
          <w:rFonts w:ascii="Verdana" w:hAnsi="Verdana" w:cs="Tahoma"/>
          <w:sz w:val="20"/>
          <w:szCs w:val="20"/>
        </w:rPr>
        <w:t xml:space="preserve"> </w:t>
      </w:r>
    </w:p>
    <w:p w14:paraId="38215E1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66" w:name="_Ref497551838"/>
      <w:bookmarkStart w:id="167" w:name="_Ref476845774"/>
      <w:bookmarkStart w:id="168" w:name="_Ref477141815"/>
      <w:r>
        <w:rPr>
          <w:rFonts w:ascii="Verdana" w:hAnsi="Verdana" w:cs="Tahoma"/>
          <w:sz w:val="20"/>
          <w:szCs w:val="20"/>
        </w:rPr>
        <w:t xml:space="preserve">A Remuneração das Debêntures da Primeira Série será calculada de forma exponencial e cumulativa, </w:t>
      </w:r>
      <w:r>
        <w:rPr>
          <w:rFonts w:ascii="Verdana" w:hAnsi="Verdana" w:cs="Tahoma"/>
          <w:i/>
          <w:sz w:val="20"/>
          <w:szCs w:val="20"/>
        </w:rPr>
        <w:t>pro rata temporis</w:t>
      </w:r>
      <w:r>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166"/>
    </w:p>
    <w:p w14:paraId="7323143B" w14:textId="38E962B9" w:rsidR="00EB5CDB" w:rsidRDefault="008E55E6">
      <w:pPr>
        <w:spacing w:before="120" w:after="120" w:line="280" w:lineRule="exact"/>
        <w:ind w:left="709"/>
        <w:jc w:val="center"/>
        <w:rPr>
          <w:rFonts w:ascii="Verdana" w:hAnsi="Verdana" w:cs="Tahoma"/>
          <w:b/>
          <w:sz w:val="20"/>
          <w:szCs w:val="20"/>
        </w:rPr>
      </w:pPr>
      <w:r>
        <w:rPr>
          <w:rFonts w:ascii="Verdana" w:hAnsi="Verdana" w:cs="Tahoma"/>
          <w:b/>
          <w:sz w:val="20"/>
          <w:szCs w:val="20"/>
        </w:rPr>
        <w:t xml:space="preserve">J = VNe × (Fator </w:t>
      </w:r>
      <w:r w:rsidR="007813F3">
        <w:rPr>
          <w:rFonts w:ascii="Verdana" w:hAnsi="Verdana" w:cs="Tahoma"/>
          <w:b/>
          <w:sz w:val="20"/>
          <w:szCs w:val="20"/>
        </w:rPr>
        <w:t xml:space="preserve">Juros </w:t>
      </w:r>
      <w:r>
        <w:rPr>
          <w:rFonts w:ascii="Verdana" w:hAnsi="Verdana" w:cs="Tahoma"/>
          <w:b/>
          <w:sz w:val="20"/>
          <w:szCs w:val="20"/>
        </w:rPr>
        <w:t>– 1)</w:t>
      </w:r>
    </w:p>
    <w:p w14:paraId="23CC1C03" w14:textId="77777777" w:rsidR="00EB5CDB" w:rsidRDefault="00EB5CDB">
      <w:pPr>
        <w:tabs>
          <w:tab w:val="left" w:pos="2366"/>
        </w:tabs>
        <w:spacing w:before="120" w:after="120" w:line="280" w:lineRule="exact"/>
        <w:ind w:left="709"/>
        <w:rPr>
          <w:rFonts w:ascii="Verdana" w:hAnsi="Verdana"/>
          <w:sz w:val="20"/>
          <w:szCs w:val="20"/>
        </w:rPr>
      </w:pPr>
    </w:p>
    <w:p w14:paraId="685B6D3D" w14:textId="77777777"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onde:</w:t>
      </w:r>
    </w:p>
    <w:p w14:paraId="167AA84F" w14:textId="3965382D"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J = valor unitário da Remuneração</w:t>
      </w:r>
      <w:r w:rsidR="007813F3">
        <w:rPr>
          <w:rFonts w:ascii="Verdana" w:hAnsi="Verdana"/>
          <w:sz w:val="20"/>
          <w:szCs w:val="20"/>
        </w:rPr>
        <w:t xml:space="preserve"> das Debêntures da Primeira Série</w:t>
      </w:r>
      <w:r>
        <w:rPr>
          <w:rFonts w:ascii="Verdana" w:hAnsi="Verdana"/>
          <w:sz w:val="20"/>
          <w:szCs w:val="20"/>
        </w:rPr>
        <w:t xml:space="preserve"> devida em cada Data de Pagamento da Remuneração</w:t>
      </w:r>
      <w:r w:rsidR="007813F3">
        <w:rPr>
          <w:rFonts w:ascii="Verdana" w:hAnsi="Verdana"/>
          <w:sz w:val="20"/>
          <w:szCs w:val="20"/>
        </w:rPr>
        <w:t xml:space="preserve"> das Debêntures da Primeira Série</w:t>
      </w:r>
      <w:r>
        <w:rPr>
          <w:rFonts w:ascii="Verdana" w:hAnsi="Verdana"/>
          <w:sz w:val="20"/>
          <w:szCs w:val="20"/>
        </w:rPr>
        <w:t xml:space="preserve">, calculado com 8 (oito) casas decimais, sem arredondamento; </w:t>
      </w:r>
    </w:p>
    <w:p w14:paraId="7A97AECB" w14:textId="376E69C6" w:rsidR="00EB5CDB" w:rsidRDefault="008E55E6">
      <w:pPr>
        <w:tabs>
          <w:tab w:val="left" w:pos="2366"/>
        </w:tabs>
        <w:spacing w:before="120" w:after="120" w:line="280" w:lineRule="exact"/>
        <w:ind w:left="709"/>
        <w:jc w:val="both"/>
        <w:rPr>
          <w:rFonts w:ascii="Verdana" w:hAnsi="Verdana"/>
          <w:sz w:val="20"/>
          <w:szCs w:val="20"/>
        </w:rPr>
      </w:pPr>
      <w:r>
        <w:rPr>
          <w:rFonts w:ascii="Verdana" w:hAnsi="Verdana"/>
          <w:sz w:val="20"/>
          <w:szCs w:val="20"/>
        </w:rPr>
        <w:t>VNe = Valor Nominal Unitário ou saldo do Valor Nominal Unitário</w:t>
      </w:r>
      <w:r w:rsidR="007813F3">
        <w:rPr>
          <w:rFonts w:ascii="Verdana" w:hAnsi="Verdana"/>
          <w:sz w:val="20"/>
          <w:szCs w:val="20"/>
        </w:rPr>
        <w:t xml:space="preserve"> das Debêntures da Primeira Série</w:t>
      </w:r>
      <w:r>
        <w:rPr>
          <w:rFonts w:ascii="Verdana" w:hAnsi="Verdana"/>
          <w:sz w:val="20"/>
          <w:szCs w:val="20"/>
        </w:rPr>
        <w:t>, conforme o caso, informado/calculado com 8 (oito) casas decimais, sem arredondamento; e</w:t>
      </w:r>
    </w:p>
    <w:p w14:paraId="2819A89E" w14:textId="77777777" w:rsidR="00EB5CDB" w:rsidRDefault="008E55E6">
      <w:pPr>
        <w:tabs>
          <w:tab w:val="left" w:pos="2366"/>
        </w:tabs>
        <w:spacing w:before="120" w:after="120" w:line="280" w:lineRule="exact"/>
        <w:ind w:left="709"/>
        <w:jc w:val="both"/>
        <w:rPr>
          <w:rFonts w:ascii="Verdana" w:hAnsi="Verdana" w:cs="Arial"/>
          <w:color w:val="000000"/>
          <w:sz w:val="20"/>
          <w:szCs w:val="20"/>
        </w:rPr>
      </w:pPr>
      <w:r>
        <w:rPr>
          <w:rFonts w:ascii="Verdana" w:hAnsi="Verdana"/>
          <w:sz w:val="20"/>
          <w:szCs w:val="20"/>
        </w:rPr>
        <w:t>FatorJuros</w:t>
      </w:r>
      <w:r>
        <w:rPr>
          <w:rFonts w:ascii="Verdana" w:hAnsi="Verdana" w:cs="Arial"/>
          <w:color w:val="000000"/>
          <w:sz w:val="20"/>
          <w:szCs w:val="20"/>
        </w:rPr>
        <w:t xml:space="preserve"> =</w:t>
      </w:r>
      <w:r>
        <w:rPr>
          <w:rFonts w:ascii="Verdana" w:hAnsi="Verdana" w:cs="Arial"/>
          <w:color w:val="000000"/>
          <w:sz w:val="20"/>
          <w:szCs w:val="20"/>
        </w:rPr>
        <w:tab/>
        <w:t xml:space="preserve">fator de juros composto pelo parâmetro de flutuação acrescido de </w:t>
      </w:r>
      <w:r>
        <w:rPr>
          <w:rFonts w:ascii="Verdana" w:hAnsi="Verdana" w:cs="Arial"/>
          <w:i/>
          <w:color w:val="000000"/>
          <w:sz w:val="20"/>
          <w:szCs w:val="20"/>
        </w:rPr>
        <w:t>spread</w:t>
      </w:r>
      <w:r>
        <w:rPr>
          <w:rFonts w:ascii="Verdana" w:hAnsi="Verdana" w:cs="Arial"/>
          <w:color w:val="000000"/>
          <w:sz w:val="20"/>
          <w:szCs w:val="20"/>
        </w:rPr>
        <w:t xml:space="preserve"> (sobretaxa), calculado com 9 (nove) casas decimais, com arredondamento, apurado da seguinte forma:</w:t>
      </w:r>
    </w:p>
    <w:p w14:paraId="7B668D70" w14:textId="77777777" w:rsidR="00EB5CDB" w:rsidRDefault="008E55E6">
      <w:pPr>
        <w:suppressAutoHyphens/>
        <w:spacing w:before="120" w:after="120" w:line="280" w:lineRule="exact"/>
        <w:jc w:val="center"/>
        <w:rPr>
          <w:rFonts w:ascii="Verdana" w:hAnsi="Verdana" w:cs="Arial"/>
          <w:b/>
          <w:i/>
          <w:iCs/>
          <w:color w:val="000000"/>
          <w:sz w:val="20"/>
          <w:szCs w:val="20"/>
        </w:rPr>
      </w:pPr>
      <w:r>
        <w:rPr>
          <w:rFonts w:ascii="Verdana" w:hAnsi="Verdana" w:cs="Arial"/>
          <w:b/>
          <w:i/>
          <w:iCs/>
          <w:color w:val="000000"/>
          <w:sz w:val="20"/>
          <w:szCs w:val="20"/>
        </w:rPr>
        <w:t>FatorJuros = FatorDI x FatorSpread</w:t>
      </w:r>
    </w:p>
    <w:p w14:paraId="284CEBF0" w14:textId="77777777" w:rsidR="00EB5CDB" w:rsidRDefault="008E55E6">
      <w:pPr>
        <w:suppressAutoHyphens/>
        <w:spacing w:before="120" w:after="120" w:line="280" w:lineRule="exact"/>
        <w:ind w:left="709"/>
        <w:jc w:val="both"/>
        <w:rPr>
          <w:rFonts w:ascii="Verdana" w:hAnsi="Verdana" w:cs="Arial"/>
          <w:iCs/>
          <w:color w:val="000000"/>
          <w:sz w:val="20"/>
          <w:szCs w:val="20"/>
        </w:rPr>
      </w:pPr>
      <w:r>
        <w:rPr>
          <w:rFonts w:ascii="Verdana" w:hAnsi="Verdana" w:cs="Arial"/>
          <w:iCs/>
          <w:color w:val="000000"/>
          <w:sz w:val="20"/>
          <w:szCs w:val="20"/>
        </w:rPr>
        <w:t>Sendo que:</w:t>
      </w:r>
    </w:p>
    <w:p w14:paraId="2A041F8B" w14:textId="6C7D2D7E" w:rsidR="00EB5CDB" w:rsidRDefault="008E55E6">
      <w:pPr>
        <w:tabs>
          <w:tab w:val="left" w:pos="2366"/>
        </w:tab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FatorDI = produtório das Taxas DI, desde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Default="00F867FB">
      <w:pPr>
        <w:tabs>
          <w:tab w:val="left" w:pos="2366"/>
        </w:tabs>
        <w:spacing w:before="120" w:after="120"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0" o:title=""/>
          </v:shape>
          <o:OLEObject Type="Embed" ProgID="Equation.3" ShapeID="_x0000_s1028" DrawAspect="Content" ObjectID="_1661806519" r:id="rId11"/>
        </w:object>
      </w:r>
    </w:p>
    <w:p w14:paraId="1E496D6D" w14:textId="77777777" w:rsidR="00EB5CDB" w:rsidRDefault="00EB5CDB">
      <w:pPr>
        <w:tabs>
          <w:tab w:val="left" w:pos="2127"/>
          <w:tab w:val="left" w:pos="2366"/>
        </w:tabs>
        <w:spacing w:before="120" w:after="120" w:line="280" w:lineRule="exact"/>
        <w:ind w:left="709"/>
        <w:jc w:val="both"/>
        <w:rPr>
          <w:rFonts w:ascii="Verdana" w:hAnsi="Verdana"/>
          <w:sz w:val="20"/>
          <w:szCs w:val="20"/>
        </w:rPr>
      </w:pPr>
    </w:p>
    <w:p w14:paraId="01F7B735"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173C201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onde</w:t>
      </w:r>
      <w:r>
        <w:rPr>
          <w:rFonts w:ascii="Verdana" w:hAnsi="Verdana" w:cs="Arial"/>
          <w:color w:val="000000"/>
          <w:sz w:val="20"/>
          <w:szCs w:val="20"/>
        </w:rPr>
        <w:t>:</w:t>
      </w:r>
    </w:p>
    <w:p w14:paraId="78A879F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n = Número total de Taxas DI consideradas na apuração do produtório, sendo "n" um número inteiro;</w:t>
      </w:r>
    </w:p>
    <w:p w14:paraId="725BAE27" w14:textId="77777777" w:rsidR="00EB5CDB" w:rsidRDefault="008E55E6">
      <w:pPr>
        <w:suppressAutoHyphens/>
        <w:spacing w:before="120" w:after="120" w:line="280" w:lineRule="exact"/>
        <w:ind w:left="709"/>
        <w:jc w:val="both"/>
        <w:rPr>
          <w:rFonts w:ascii="Verdana" w:hAnsi="Verdana" w:cs="Arial"/>
          <w:color w:val="000000"/>
          <w:sz w:val="20"/>
          <w:szCs w:val="20"/>
          <w:vertAlign w:val="subscript"/>
        </w:rPr>
      </w:pPr>
      <w:r>
        <w:rPr>
          <w:rFonts w:ascii="Verdana" w:hAnsi="Verdana" w:cs="Arial"/>
          <w:color w:val="000000"/>
          <w:sz w:val="20"/>
          <w:szCs w:val="20"/>
        </w:rPr>
        <w:t>k = Corresponde ao número de ordem das Taxas DI, variando de 1 até n</w:t>
      </w:r>
      <w:r>
        <w:rPr>
          <w:rFonts w:ascii="Verdana" w:hAnsi="Verdana" w:cs="Arial"/>
          <w:color w:val="000000"/>
          <w:sz w:val="20"/>
          <w:szCs w:val="20"/>
          <w:vertAlign w:val="subscript"/>
        </w:rPr>
        <w:t>;</w:t>
      </w:r>
    </w:p>
    <w:p w14:paraId="4234FBA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TDI</w:t>
      </w:r>
      <w:r>
        <w:rPr>
          <w:rFonts w:ascii="Verdana" w:hAnsi="Verdana" w:cs="Arial"/>
          <w:color w:val="000000"/>
          <w:sz w:val="20"/>
          <w:szCs w:val="20"/>
          <w:vertAlign w:val="subscript"/>
        </w:rPr>
        <w:t>k</w:t>
      </w:r>
      <w:r>
        <w:rPr>
          <w:rFonts w:ascii="Verdana" w:hAnsi="Verdana" w:cs="Arial"/>
          <w:color w:val="000000"/>
          <w:sz w:val="20"/>
          <w:szCs w:val="20"/>
          <w:vertAlign w:val="subscript"/>
        </w:rPr>
        <w:tab/>
      </w:r>
      <w:r>
        <w:rPr>
          <w:rFonts w:ascii="Verdana" w:hAnsi="Verdana" w:cs="Arial"/>
          <w:color w:val="000000"/>
          <w:sz w:val="20"/>
          <w:szCs w:val="20"/>
        </w:rPr>
        <w:t>=</w:t>
      </w:r>
      <w:r>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Default="00F867FB">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2" o:title=""/>
          </v:shape>
          <o:OLEObject Type="Embed" ProgID="Equation.3" ShapeID="_x0000_s1027" DrawAspect="Content" ObjectID="_1661806520" r:id="rId13"/>
        </w:object>
      </w:r>
    </w:p>
    <w:p w14:paraId="60396FAB" w14:textId="77777777" w:rsidR="00EB5CDB" w:rsidRDefault="00EB5CDB">
      <w:pPr>
        <w:widowControl w:val="0"/>
        <w:suppressAutoHyphens/>
        <w:spacing w:before="120" w:after="120" w:line="280" w:lineRule="exact"/>
        <w:ind w:left="709"/>
        <w:jc w:val="both"/>
        <w:rPr>
          <w:rFonts w:ascii="Verdana" w:hAnsi="Verdana"/>
          <w:sz w:val="20"/>
          <w:szCs w:val="20"/>
        </w:rPr>
      </w:pPr>
    </w:p>
    <w:p w14:paraId="167DD2A8" w14:textId="77777777" w:rsidR="00EB5CDB" w:rsidRDefault="008E55E6">
      <w:pPr>
        <w:widowControl w:val="0"/>
        <w:suppressAutoHyphens/>
        <w:spacing w:before="120" w:after="120" w:line="280" w:lineRule="exact"/>
        <w:ind w:left="709"/>
        <w:jc w:val="both"/>
        <w:rPr>
          <w:rFonts w:ascii="Verdana" w:hAnsi="Verdana"/>
          <w:sz w:val="20"/>
          <w:szCs w:val="20"/>
        </w:rPr>
      </w:pPr>
      <w:r>
        <w:rPr>
          <w:rFonts w:ascii="Verdana" w:hAnsi="Verdana"/>
          <w:sz w:val="20"/>
          <w:szCs w:val="20"/>
          <w:u w:val="single"/>
        </w:rPr>
        <w:t>Sendo que</w:t>
      </w:r>
      <w:r>
        <w:rPr>
          <w:rFonts w:ascii="Verdana" w:hAnsi="Verdana"/>
          <w:sz w:val="20"/>
          <w:szCs w:val="20"/>
        </w:rPr>
        <w:t>:</w:t>
      </w:r>
    </w:p>
    <w:p w14:paraId="74074135" w14:textId="77777777" w:rsidR="00EB5CDB" w:rsidRDefault="00EB5CDB">
      <w:pPr>
        <w:widowControl w:val="0"/>
        <w:suppressAutoHyphens/>
        <w:spacing w:before="120" w:after="120" w:line="280" w:lineRule="exact"/>
        <w:ind w:left="709"/>
        <w:jc w:val="both"/>
        <w:rPr>
          <w:rFonts w:ascii="Verdana" w:hAnsi="Verdana"/>
          <w:sz w:val="20"/>
          <w:szCs w:val="20"/>
        </w:rPr>
      </w:pPr>
    </w:p>
    <w:p w14:paraId="555D87B6"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DI</w:t>
      </w:r>
      <w:r>
        <w:rPr>
          <w:rFonts w:ascii="Verdana" w:hAnsi="Verdana" w:cs="Arial"/>
          <w:color w:val="000000"/>
          <w:sz w:val="20"/>
          <w:szCs w:val="20"/>
          <w:vertAlign w:val="subscript"/>
        </w:rPr>
        <w:t xml:space="preserve">k </w:t>
      </w:r>
      <w:r>
        <w:rPr>
          <w:rFonts w:ascii="Verdana" w:hAnsi="Verdana" w:cs="Arial"/>
          <w:color w:val="000000"/>
          <w:sz w:val="20"/>
          <w:szCs w:val="20"/>
        </w:rPr>
        <w:t>= Taxa DI, de ordem k, divulgada pela B3, utilizada com 2 (duas) casas decimais;</w:t>
      </w:r>
    </w:p>
    <w:p w14:paraId="002C3BE5"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Default="00F867FB">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4" o:title=""/>
          </v:shape>
          <o:OLEObject Type="Embed" ProgID="Equation.3" ShapeID="_x0000_s1026" DrawAspect="Content" ObjectID="_1661806521" r:id="rId15"/>
        </w:object>
      </w:r>
    </w:p>
    <w:p w14:paraId="442DA387"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25E75699" w14:textId="77777777" w:rsidR="00EB5CDB" w:rsidRDefault="00EB5CDB">
      <w:pPr>
        <w:suppressAutoHyphens/>
        <w:spacing w:before="120" w:after="120" w:line="280" w:lineRule="exact"/>
        <w:ind w:left="709"/>
        <w:jc w:val="both"/>
        <w:rPr>
          <w:rFonts w:ascii="Verdana" w:hAnsi="Verdana" w:cs="Arial"/>
          <w:color w:val="000000"/>
          <w:sz w:val="20"/>
          <w:szCs w:val="20"/>
        </w:rPr>
      </w:pPr>
    </w:p>
    <w:p w14:paraId="36F1FC48"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Sendo que</w:t>
      </w:r>
      <w:r>
        <w:rPr>
          <w:rFonts w:ascii="Verdana" w:hAnsi="Verdana" w:cs="Arial"/>
          <w:color w:val="000000"/>
          <w:sz w:val="20"/>
          <w:szCs w:val="20"/>
        </w:rPr>
        <w:t>:</w:t>
      </w:r>
    </w:p>
    <w:p w14:paraId="7C6821AE" w14:textId="5BF942A3" w:rsidR="00EB5CDB" w:rsidRDefault="008E55E6">
      <w:pPr>
        <w:suppressAutoHyphens/>
        <w:spacing w:before="120" w:after="120" w:line="280" w:lineRule="exact"/>
        <w:ind w:left="709"/>
        <w:jc w:val="both"/>
        <w:rPr>
          <w:rFonts w:ascii="Verdana" w:hAnsi="Verdana"/>
          <w:sz w:val="20"/>
          <w:szCs w:val="20"/>
        </w:rPr>
      </w:pPr>
      <w:r>
        <w:rPr>
          <w:rFonts w:ascii="Verdana" w:hAnsi="Verdana" w:cs="Arial"/>
          <w:i/>
          <w:color w:val="000000"/>
          <w:sz w:val="20"/>
          <w:szCs w:val="20"/>
        </w:rPr>
        <w:t>spread</w:t>
      </w:r>
      <w:r>
        <w:rPr>
          <w:rFonts w:ascii="Verdana" w:hAnsi="Verdana" w:cs="Arial"/>
          <w:color w:val="000000"/>
          <w:sz w:val="20"/>
          <w:szCs w:val="20"/>
        </w:rPr>
        <w:t xml:space="preserve"> = </w:t>
      </w:r>
      <w:r w:rsidR="007813F3">
        <w:rPr>
          <w:rFonts w:ascii="Verdana" w:hAnsi="Verdana"/>
          <w:sz w:val="20"/>
          <w:szCs w:val="20"/>
        </w:rPr>
        <w:t>8</w:t>
      </w:r>
      <w:r>
        <w:rPr>
          <w:rFonts w:ascii="Verdana" w:hAnsi="Verdana"/>
          <w:sz w:val="20"/>
          <w:szCs w:val="20"/>
        </w:rPr>
        <w:t>,000</w:t>
      </w:r>
    </w:p>
    <w:p w14:paraId="41E11403" w14:textId="047E5E0E"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n = número de Dias Úteis entre a </w:t>
      </w:r>
      <w:r w:rsidR="007813F3">
        <w:rPr>
          <w:rFonts w:ascii="Verdana" w:hAnsi="Verdana" w:cs="Tahoma"/>
          <w:sz w:val="20"/>
          <w:szCs w:val="20"/>
        </w:rPr>
        <w:t>Data da 1ª Integralização</w:t>
      </w:r>
      <w:r w:rsidR="007813F3" w:rsidRPr="000B7D26">
        <w:rPr>
          <w:rFonts w:ascii="Verdana" w:hAnsi="Verdana"/>
          <w:sz w:val="20"/>
        </w:rPr>
        <w:t xml:space="preserve"> </w:t>
      </w:r>
      <w:r w:rsidR="007813F3">
        <w:rPr>
          <w:rFonts w:ascii="Verdana" w:hAnsi="Verdana" w:cs="Tahoma"/>
          <w:sz w:val="20"/>
          <w:szCs w:val="20"/>
        </w:rPr>
        <w:t>da Primeira Série</w:t>
      </w:r>
      <w:r>
        <w:rPr>
          <w:rFonts w:ascii="Verdana" w:hAnsi="Verdana" w:cs="Arial"/>
          <w:color w:val="000000"/>
          <w:sz w:val="20"/>
          <w:szCs w:val="20"/>
        </w:rPr>
        <w:t xml:space="preserve"> ou a Data de Pagamento da Remuneração</w:t>
      </w:r>
      <w:r w:rsidR="007813F3">
        <w:rPr>
          <w:rFonts w:ascii="Verdana" w:hAnsi="Verdana" w:cs="Arial"/>
          <w:color w:val="000000"/>
          <w:sz w:val="20"/>
          <w:szCs w:val="20"/>
        </w:rPr>
        <w:t xml:space="preserve"> das Debêntures da Primeira Série</w:t>
      </w:r>
      <w:r>
        <w:rPr>
          <w:rFonts w:ascii="Verdana" w:hAnsi="Verdana" w:cs="Arial"/>
          <w:color w:val="000000"/>
          <w:sz w:val="20"/>
          <w:szCs w:val="20"/>
        </w:rPr>
        <w:t xml:space="preserve"> imediatamente anterior, conforme o caso, inclusive, e a data de cálculo, exclusive, sendo "n" um número inteiro. </w:t>
      </w:r>
    </w:p>
    <w:p w14:paraId="72C97E0B"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u w:val="single"/>
        </w:rPr>
        <w:t>Observações</w:t>
      </w:r>
      <w:r>
        <w:rPr>
          <w:rFonts w:ascii="Verdana" w:hAnsi="Verdana" w:cs="Arial"/>
          <w:color w:val="000000"/>
          <w:sz w:val="20"/>
          <w:szCs w:val="20"/>
        </w:rPr>
        <w:t xml:space="preserve">: </w:t>
      </w:r>
    </w:p>
    <w:p w14:paraId="36F56CB9"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1) O fator resultante da expressão (1+ TDI</w:t>
      </w:r>
      <w:r>
        <w:rPr>
          <w:rFonts w:ascii="Verdana" w:hAnsi="Verdana" w:cs="Arial"/>
          <w:color w:val="000000"/>
          <w:sz w:val="20"/>
          <w:szCs w:val="20"/>
          <w:vertAlign w:val="subscript"/>
        </w:rPr>
        <w:t>k</w:t>
      </w:r>
      <w:r>
        <w:rPr>
          <w:rFonts w:ascii="Verdana" w:hAnsi="Verdana" w:cs="Arial"/>
          <w:color w:val="000000"/>
          <w:sz w:val="20"/>
          <w:szCs w:val="20"/>
        </w:rPr>
        <w:t>) será considerado com 16 (dezesseis) casas decimais, sem arredondamento.</w:t>
      </w:r>
    </w:p>
    <w:p w14:paraId="0058D173"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2) Efetua-se o produtório dos fatores (1 + TDI</w:t>
      </w:r>
      <w:r>
        <w:rPr>
          <w:rFonts w:ascii="Verdana" w:hAnsi="Verdana" w:cs="Arial"/>
          <w:color w:val="000000"/>
          <w:sz w:val="20"/>
          <w:szCs w:val="20"/>
          <w:vertAlign w:val="subscript"/>
        </w:rPr>
        <w:t>k</w:t>
      </w:r>
      <w:r>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A67CCE4"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 xml:space="preserve">3) Uma vez os fatores estando acumulados, considera-se o fator resultante “Fator DI” com 8 (oito) casas decimais, com arredondamento. </w:t>
      </w:r>
    </w:p>
    <w:p w14:paraId="2B2C35CD" w14:textId="77777777" w:rsidR="00EB5CDB" w:rsidRDefault="008E55E6">
      <w:pPr>
        <w:suppressAutoHyphens/>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4) O fator resultante da expressão (Fator DI x FatorSpread) deve ser considerado com 9 (nove) casas decimais, com arredondamento.</w:t>
      </w:r>
    </w:p>
    <w:p w14:paraId="5A18BBB5" w14:textId="77777777"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5) A Taxa DI deverá ser utilizada considerando idêntico número de casas decimais divulgado pela entidade responsável pelo seu cálculo.</w:t>
      </w:r>
    </w:p>
    <w:p w14:paraId="01E5FE7A" w14:textId="525EAF58" w:rsidR="00EB5CDB" w:rsidRDefault="008E55E6">
      <w:pPr>
        <w:spacing w:before="120" w:after="120" w:line="280" w:lineRule="exact"/>
        <w:ind w:left="709"/>
        <w:jc w:val="both"/>
        <w:rPr>
          <w:rFonts w:ascii="Verdana" w:hAnsi="Verdana" w:cs="Arial"/>
          <w:color w:val="000000"/>
          <w:sz w:val="20"/>
          <w:szCs w:val="20"/>
        </w:rPr>
      </w:pPr>
      <w:r>
        <w:rPr>
          <w:rFonts w:ascii="Verdana" w:hAnsi="Verdana" w:cs="Arial"/>
          <w:color w:val="000000"/>
          <w:sz w:val="20"/>
          <w:szCs w:val="20"/>
        </w:rPr>
        <w:t>6) Para o 1º (primeiro) “</w:t>
      </w:r>
      <w:r>
        <w:rPr>
          <w:rFonts w:ascii="Verdana" w:hAnsi="Verdana" w:cs="Arial"/>
          <w:color w:val="000000"/>
          <w:sz w:val="20"/>
          <w:szCs w:val="20"/>
          <w:u w:val="single"/>
        </w:rPr>
        <w:t>Período de Capitalização</w:t>
      </w:r>
      <w:r>
        <w:rPr>
          <w:rFonts w:ascii="Verdana" w:hAnsi="Verdana" w:cs="Arial"/>
          <w:color w:val="000000"/>
          <w:sz w:val="20"/>
          <w:szCs w:val="20"/>
        </w:rPr>
        <w:t xml:space="preserve">”, considerar-se-á o intervalo de tempo que se inicia na respectiva </w:t>
      </w:r>
      <w:r w:rsidR="007813F3" w:rsidRPr="000B7D26">
        <w:rPr>
          <w:rFonts w:ascii="Verdana" w:hAnsi="Verdana"/>
          <w:sz w:val="20"/>
        </w:rPr>
        <w:t xml:space="preserve">Data da 1ª Integralização </w:t>
      </w:r>
      <w:r w:rsidR="007813F3">
        <w:rPr>
          <w:rFonts w:ascii="Verdana" w:hAnsi="Verdana" w:cs="Tahoma"/>
          <w:sz w:val="20"/>
          <w:szCs w:val="20"/>
        </w:rPr>
        <w:t>da Primeira Série</w:t>
      </w:r>
      <w:r>
        <w:rPr>
          <w:rFonts w:ascii="Verdana" w:hAnsi="Verdana" w:cs="Arial"/>
          <w:color w:val="000000"/>
          <w:sz w:val="20"/>
          <w:szCs w:val="20"/>
        </w:rPr>
        <w:t xml:space="preserve"> (inclusive) e termina na 1ª (primeira)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(exclusive); e para os demais “Períodos de Capitalização”, considerar-se-á o intervalo de tempo que se inicia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xml:space="preserve"> imediatamente anterior (inclusive) e termina na Data de Pagamento </w:t>
      </w:r>
      <w:r w:rsidR="007813F3">
        <w:rPr>
          <w:rFonts w:ascii="Verdana" w:hAnsi="Verdana" w:cs="Arial"/>
          <w:color w:val="000000"/>
          <w:sz w:val="20"/>
          <w:szCs w:val="20"/>
        </w:rPr>
        <w:t>das Debêntures da Primeira Série</w:t>
      </w:r>
      <w:r>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6F603B20" w14:textId="77777777" w:rsidR="00EB5CDB" w:rsidRDefault="00EB5CDB">
      <w:pPr>
        <w:pStyle w:val="Nvel11a"/>
        <w:numPr>
          <w:ilvl w:val="0"/>
          <w:numId w:val="0"/>
        </w:numPr>
        <w:spacing w:before="120" w:after="120" w:line="280" w:lineRule="exact"/>
        <w:ind w:left="567"/>
        <w:rPr>
          <w:rFonts w:ascii="Verdana" w:hAnsi="Verdana" w:cs="Tahoma"/>
          <w:sz w:val="20"/>
          <w:szCs w:val="20"/>
          <w:lang w:val="pt-BR"/>
        </w:rPr>
      </w:pPr>
    </w:p>
    <w:p w14:paraId="59C92C4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sidRPr="003C450E">
        <w:rPr>
          <w:rFonts w:ascii="Verdana" w:hAnsi="Verdana" w:cs="Tahoma"/>
          <w:b/>
          <w:bCs/>
          <w:i/>
          <w:sz w:val="20"/>
          <w:szCs w:val="20"/>
        </w:rPr>
        <w:t>Pagamento da Remuneração das Debêntures da Primeira Série</w:t>
      </w:r>
      <w:r>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15B518C8"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não disponha de recursos necessários para a realização do pagamento da </w:t>
      </w:r>
      <w:r>
        <w:rPr>
          <w:rFonts w:ascii="Verdana" w:hAnsi="Verdana"/>
          <w:sz w:val="20"/>
          <w:szCs w:val="20"/>
        </w:rPr>
        <w:t>Remuneração das Debêntures da Primeira Série</w:t>
      </w:r>
      <w:r>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Pr>
          <w:rFonts w:ascii="Verdana" w:hAnsi="Verdana"/>
          <w:sz w:val="20"/>
          <w:szCs w:val="20"/>
        </w:rPr>
        <w:t>Remuneração das Debêntures da Primeira Série</w:t>
      </w:r>
      <w:r>
        <w:rPr>
          <w:rFonts w:ascii="Verdana" w:hAnsi="Verdana" w:cs="Tahoma"/>
          <w:sz w:val="20"/>
          <w:szCs w:val="20"/>
        </w:rPr>
        <w:t xml:space="preserve"> continuará a incidir sobre a referida parcela não paga, e deverá ser calculada a partir do primeiro dia do respectivo Período de Capitalização referente à </w:t>
      </w:r>
      <w:r>
        <w:rPr>
          <w:rFonts w:ascii="Verdana" w:hAnsi="Verdana"/>
          <w:sz w:val="20"/>
          <w:szCs w:val="20"/>
        </w:rPr>
        <w:t>Remuneração das Debêntures da Primeira Série</w:t>
      </w:r>
      <w:r>
        <w:rPr>
          <w:rFonts w:ascii="Verdana" w:hAnsi="Verdana" w:cs="Tahoma"/>
          <w:sz w:val="20"/>
          <w:szCs w:val="20"/>
        </w:rPr>
        <w:t xml:space="preserve"> não paga, observada ainda a Ordem de Alocação de Recursos. Sobre eventuais valores da </w:t>
      </w:r>
      <w:r>
        <w:rPr>
          <w:rFonts w:ascii="Verdana" w:hAnsi="Verdana"/>
          <w:sz w:val="20"/>
          <w:szCs w:val="20"/>
        </w:rPr>
        <w:t>Remuneração das Debêntures da Primeira Série</w:t>
      </w:r>
      <w:r>
        <w:rPr>
          <w:rFonts w:ascii="Verdana" w:hAnsi="Verdana" w:cs="Tahoma"/>
          <w:sz w:val="20"/>
          <w:szCs w:val="20"/>
        </w:rPr>
        <w:t xml:space="preserve"> não pagos, não serão devidos Encargos Moratórios.</w:t>
      </w:r>
    </w:p>
    <w:p w14:paraId="5F847AD5" w14:textId="77777777" w:rsidR="00EB5CDB" w:rsidRDefault="00EB5CDB">
      <w:pPr>
        <w:pStyle w:val="PargrafodaLista"/>
        <w:spacing w:before="120" w:after="120" w:line="280" w:lineRule="exact"/>
        <w:ind w:left="0"/>
        <w:jc w:val="both"/>
        <w:rPr>
          <w:rFonts w:ascii="Verdana" w:hAnsi="Verdana" w:cs="Tahoma"/>
          <w:sz w:val="20"/>
          <w:szCs w:val="20"/>
        </w:rPr>
      </w:pPr>
    </w:p>
    <w:p w14:paraId="786936D6" w14:textId="62534CC0" w:rsidR="00EB5CDB" w:rsidRDefault="002B1CAB">
      <w:pPr>
        <w:pStyle w:val="PargrafodaLista"/>
        <w:numPr>
          <w:ilvl w:val="2"/>
          <w:numId w:val="4"/>
        </w:numPr>
        <w:spacing w:before="120" w:after="120" w:line="280" w:lineRule="exact"/>
        <w:jc w:val="both"/>
        <w:rPr>
          <w:rFonts w:ascii="Verdana" w:hAnsi="Verdana" w:cs="Tahoma"/>
          <w:sz w:val="20"/>
          <w:szCs w:val="20"/>
        </w:rPr>
      </w:pPr>
      <w:bookmarkStart w:id="169" w:name="_Ref515465259"/>
      <w:bookmarkEnd w:id="167"/>
      <w:bookmarkEnd w:id="168"/>
      <w:r w:rsidRPr="008D6F6D">
        <w:rPr>
          <w:rFonts w:ascii="Verdana" w:hAnsi="Verdana" w:cs="Tahoma"/>
          <w:sz w:val="20"/>
          <w:szCs w:val="20"/>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 na forma da</w:t>
      </w:r>
      <w:r>
        <w:rPr>
          <w:rFonts w:ascii="Verdana" w:hAnsi="Verdana" w:cs="Tahoma"/>
          <w:sz w:val="20"/>
          <w:szCs w:val="20"/>
        </w:rPr>
        <w:t xml:space="preserve"> Cláusula 3.15.1.2</w:t>
      </w:r>
      <w:r w:rsidRPr="008D6F6D">
        <w:rPr>
          <w:rFonts w:ascii="Verdana" w:hAnsi="Verdana" w:cs="Tahoma"/>
          <w:sz w:val="20"/>
          <w:szCs w:val="20"/>
        </w:rPr>
        <w:t>.</w:t>
      </w:r>
      <w:bookmarkEnd w:id="169"/>
    </w:p>
    <w:p w14:paraId="2956ADB4" w14:textId="49BBBF55" w:rsidR="00EB5CDB" w:rsidRDefault="008E55E6" w:rsidP="008D6F6D">
      <w:pPr>
        <w:pStyle w:val="PargrafodaLista"/>
        <w:spacing w:before="120" w:after="120" w:line="280" w:lineRule="exact"/>
        <w:ind w:left="0"/>
        <w:jc w:val="both"/>
        <w:rPr>
          <w:rFonts w:ascii="Verdana" w:hAnsi="Verdana" w:cs="Tahoma"/>
          <w:sz w:val="20"/>
          <w:szCs w:val="20"/>
        </w:rPr>
      </w:pPr>
      <w:r>
        <w:rPr>
          <w:rFonts w:ascii="Verdana" w:hAnsi="Verdana" w:cs="Tahoma"/>
          <w:sz w:val="20"/>
          <w:szCs w:val="20"/>
        </w:rPr>
        <w:t>.</w:t>
      </w:r>
    </w:p>
    <w:p w14:paraId="7D52A555" w14:textId="0EDBFFA2" w:rsidR="00EB5CDB" w:rsidRDefault="008E55E6">
      <w:pPr>
        <w:pStyle w:val="PargrafodaLista"/>
        <w:numPr>
          <w:ilvl w:val="2"/>
          <w:numId w:val="4"/>
        </w:numPr>
        <w:spacing w:before="120" w:after="120" w:line="280" w:lineRule="exact"/>
        <w:jc w:val="both"/>
        <w:rPr>
          <w:rFonts w:ascii="Verdana" w:eastAsiaTheme="minorHAnsi" w:hAnsi="Verdana" w:cs="Tahoma"/>
          <w:sz w:val="20"/>
          <w:szCs w:val="20"/>
          <w:lang w:eastAsia="en-US"/>
        </w:rPr>
      </w:pPr>
      <w:r w:rsidRPr="003C450E">
        <w:rPr>
          <w:rFonts w:ascii="Verdana" w:hAnsi="Verdana"/>
          <w:b/>
          <w:bCs/>
          <w:i/>
          <w:sz w:val="20"/>
          <w:szCs w:val="20"/>
        </w:rPr>
        <w:t>Indisponibilidade Temporária da Taxa DI</w:t>
      </w:r>
      <w:r>
        <w:rPr>
          <w:rFonts w:ascii="Verdana" w:hAnsi="Verdana"/>
          <w:sz w:val="20"/>
          <w:szCs w:val="20"/>
        </w:rPr>
        <w:t xml:space="preserve">. </w:t>
      </w:r>
      <w:r>
        <w:rPr>
          <w:rFonts w:ascii="Verdana" w:eastAsiaTheme="minorHAnsi" w:hAnsi="Verdana" w:cs="Tahoma"/>
          <w:sz w:val="20"/>
          <w:szCs w:val="20"/>
          <w:lang w:eastAsia="en-US"/>
        </w:rPr>
        <w:t>Observado o disposto nos itens</w:t>
      </w:r>
      <w:r w:rsidR="002B1CAB">
        <w:rPr>
          <w:rFonts w:ascii="Verdana" w:eastAsiaTheme="minorHAnsi" w:hAnsi="Verdana" w:cs="Tahoma"/>
          <w:sz w:val="20"/>
          <w:szCs w:val="20"/>
          <w:lang w:eastAsia="en-US"/>
        </w:rPr>
        <w:t xml:space="preserve"> 3.17.6</w:t>
      </w:r>
      <w:r>
        <w:rPr>
          <w:rFonts w:ascii="Verdana" w:eastAsiaTheme="minorHAnsi" w:hAnsi="Verdana" w:cs="Tahoma"/>
          <w:sz w:val="20"/>
          <w:szCs w:val="20"/>
          <w:lang w:eastAsia="en-US"/>
        </w:rPr>
        <w:t xml:space="preserve"> </w:t>
      </w:r>
      <w:r w:rsidR="002B1CAB">
        <w:rPr>
          <w:rFonts w:ascii="Verdana" w:eastAsiaTheme="minorHAnsi" w:hAnsi="Verdana" w:cs="Tahoma"/>
          <w:sz w:val="20"/>
          <w:szCs w:val="20"/>
          <w:lang w:eastAsia="en-US"/>
        </w:rPr>
        <w:t>e seguintes</w:t>
      </w:r>
      <w:r>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669DB100" w14:textId="64113A25" w:rsidR="00EB5CDB" w:rsidRDefault="002B1CAB">
      <w:pPr>
        <w:pStyle w:val="PargrafodaLista"/>
        <w:numPr>
          <w:ilvl w:val="2"/>
          <w:numId w:val="4"/>
        </w:numPr>
        <w:tabs>
          <w:tab w:val="left" w:pos="4820"/>
        </w:tabs>
        <w:spacing w:before="120" w:after="120" w:line="280" w:lineRule="exact"/>
        <w:jc w:val="both"/>
        <w:rPr>
          <w:rFonts w:ascii="Verdana" w:hAnsi="Verdana" w:cs="Tahoma"/>
          <w:sz w:val="20"/>
          <w:szCs w:val="20"/>
        </w:rPr>
      </w:pPr>
      <w:bookmarkStart w:id="170" w:name="_Ref518572354"/>
      <w:r w:rsidRPr="008D6F6D">
        <w:rPr>
          <w:rFonts w:ascii="Verdana" w:hAnsi="Verdana" w:cs="Tahoma"/>
          <w:sz w:val="20"/>
          <w:szCs w:val="20"/>
        </w:rPr>
        <w:t>Caso a Taxa DI deixe de ser divulgada por prazo superior a 10 (dez) Dias Úteis seguidos</w:t>
      </w:r>
      <w:r w:rsidR="008E55E6">
        <w:rPr>
          <w:rFonts w:ascii="Verdana" w:hAnsi="Verdana" w:cs="Tahoma"/>
          <w:sz w:val="20"/>
          <w:szCs w:val="20"/>
        </w:rPr>
        <w:t>, seja extinta ou haja a impossibilidade legal de aplicação da Taxa DI para o cálculo da Remuneração das Debêntures, será convocada a Assembleia Geral</w:t>
      </w:r>
      <w:r w:rsidR="008E55E6" w:rsidRPr="002B1CAB">
        <w:rPr>
          <w:rFonts w:ascii="Verdana" w:hAnsi="Verdana" w:cs="Tahoma"/>
          <w:sz w:val="20"/>
          <w:szCs w:val="20"/>
        </w:rPr>
        <w:t xml:space="preserve"> </w:t>
      </w:r>
      <w:r w:rsidR="008E55E6">
        <w:rPr>
          <w:rFonts w:ascii="Verdana" w:hAnsi="Verdana" w:cs="Tahoma"/>
          <w:sz w:val="20"/>
          <w:szCs w:val="20"/>
        </w:rPr>
        <w:t>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Pr>
          <w:rFonts w:ascii="Verdana" w:hAnsi="Verdana"/>
          <w:sz w:val="20"/>
          <w:szCs w:val="20"/>
        </w:rPr>
        <w:t xml:space="preserve"> </w:t>
      </w:r>
      <w:r w:rsidR="008E55E6">
        <w:rPr>
          <w:rFonts w:ascii="Verdana" w:hAnsi="Verdana" w:cs="Tahoma"/>
          <w:sz w:val="20"/>
          <w:szCs w:val="20"/>
        </w:rPr>
        <w:t>de Debenturistas defina o novo parâmetro de Remuneração das Debêntures.</w:t>
      </w:r>
      <w:bookmarkEnd w:id="170"/>
    </w:p>
    <w:p w14:paraId="4A9C4868" w14:textId="03F084FF"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71" w:name="_Ref518572392"/>
      <w:r>
        <w:rPr>
          <w:rFonts w:ascii="Verdana" w:hAnsi="Verdana" w:cs="Tahoma"/>
          <w:sz w:val="20"/>
          <w:szCs w:val="20"/>
        </w:rPr>
        <w:t>Caso a Assembleia Geral</w:t>
      </w:r>
      <w:r>
        <w:rPr>
          <w:rFonts w:ascii="Verdana" w:hAnsi="Verdana"/>
          <w:sz w:val="20"/>
          <w:szCs w:val="20"/>
        </w:rPr>
        <w:t xml:space="preserve"> </w:t>
      </w:r>
      <w:r>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w:t>
      </w:r>
      <w:bookmarkEnd w:id="171"/>
      <w:r>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68929DD6" w14:textId="3D2ADF29"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72" w:name="_Ref518572356"/>
      <w:r>
        <w:rPr>
          <w:rFonts w:ascii="Verdana" w:hAnsi="Verdana" w:cs="Tahoma"/>
          <w:sz w:val="20"/>
          <w:szCs w:val="20"/>
        </w:rPr>
        <w:t>Caso a Taxa DI volte a ser divulgada antes da realização da Assembleia Geral</w:t>
      </w:r>
      <w:r>
        <w:rPr>
          <w:rFonts w:ascii="Verdana" w:hAnsi="Verdana"/>
          <w:sz w:val="20"/>
          <w:szCs w:val="20"/>
        </w:rPr>
        <w:t xml:space="preserve"> </w:t>
      </w:r>
      <w:r>
        <w:rPr>
          <w:rFonts w:ascii="Verdana" w:hAnsi="Verdana" w:cs="Tahoma"/>
          <w:sz w:val="20"/>
          <w:szCs w:val="20"/>
        </w:rPr>
        <w:t xml:space="preserve">de Debenturistas referida no item </w:t>
      </w:r>
      <w:r>
        <w:rPr>
          <w:rFonts w:ascii="Verdana" w:hAnsi="Verdana" w:cs="Tahoma"/>
          <w:sz w:val="20"/>
          <w:szCs w:val="20"/>
        </w:rPr>
        <w:fldChar w:fldCharType="begin"/>
      </w:r>
      <w:r>
        <w:rPr>
          <w:rFonts w:ascii="Verdana" w:hAnsi="Verdana" w:cs="Tahoma"/>
          <w:sz w:val="20"/>
          <w:szCs w:val="20"/>
        </w:rPr>
        <w:instrText xml:space="preserve"> REF _Ref518572354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3.17.</w:t>
      </w:r>
      <w:r>
        <w:rPr>
          <w:rFonts w:ascii="Verdana" w:hAnsi="Verdana" w:cs="Tahoma"/>
          <w:sz w:val="20"/>
          <w:szCs w:val="20"/>
        </w:rPr>
        <w:fldChar w:fldCharType="end"/>
      </w:r>
      <w:r w:rsidR="002B1CAB">
        <w:rPr>
          <w:rFonts w:ascii="Verdana" w:hAnsi="Verdana" w:cs="Tahoma"/>
          <w:sz w:val="20"/>
          <w:szCs w:val="20"/>
        </w:rPr>
        <w:t>5</w:t>
      </w:r>
      <w:r>
        <w:rPr>
          <w:rFonts w:ascii="Verdana" w:hAnsi="Verdana" w:cs="Tahoma"/>
          <w:sz w:val="20"/>
          <w:szCs w:val="20"/>
        </w:rPr>
        <w:t xml:space="preserve"> acima, a Assembleia Geral</w:t>
      </w:r>
      <w:r>
        <w:rPr>
          <w:rFonts w:ascii="Verdana" w:hAnsi="Verdana"/>
          <w:sz w:val="20"/>
          <w:szCs w:val="20"/>
        </w:rPr>
        <w:t xml:space="preserve"> </w:t>
      </w:r>
      <w:r>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72"/>
    </w:p>
    <w:p w14:paraId="5BBE15B3" w14:textId="77777777" w:rsidR="00EB5CDB" w:rsidRDefault="00EB5CDB">
      <w:pPr>
        <w:pStyle w:val="PargrafodaLista"/>
        <w:spacing w:before="120" w:after="120" w:line="280" w:lineRule="exact"/>
        <w:ind w:left="0"/>
        <w:jc w:val="both"/>
        <w:rPr>
          <w:rFonts w:ascii="Verdana" w:hAnsi="Verdana" w:cs="Tahoma"/>
          <w:sz w:val="20"/>
          <w:szCs w:val="20"/>
        </w:rPr>
      </w:pPr>
    </w:p>
    <w:p w14:paraId="265350A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Amortização Programada, Amortização Extraordinária</w:t>
      </w:r>
      <w:bookmarkEnd w:id="163"/>
      <w:r>
        <w:rPr>
          <w:rFonts w:ascii="Verdana" w:eastAsia="MS Mincho" w:hAnsi="Verdana" w:cs="Tahoma"/>
          <w:b/>
          <w:sz w:val="20"/>
          <w:szCs w:val="20"/>
        </w:rPr>
        <w:t xml:space="preserve"> Obrigatória</w:t>
      </w:r>
      <w:bookmarkEnd w:id="164"/>
      <w:r>
        <w:rPr>
          <w:rFonts w:ascii="Verdana" w:eastAsia="MS Mincho" w:hAnsi="Verdana" w:cs="Tahoma"/>
          <w:b/>
          <w:sz w:val="20"/>
          <w:szCs w:val="20"/>
        </w:rPr>
        <w:t>, Amortização Final e Aquisição Facultativa.</w:t>
      </w:r>
    </w:p>
    <w:p w14:paraId="65496A89"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73" w:name="_Ref497552677"/>
      <w:r>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173"/>
    </w:p>
    <w:p w14:paraId="4C88E422"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174" w:name="_Ref495583440"/>
      <w:r>
        <w:rPr>
          <w:rFonts w:ascii="Verdana" w:hAnsi="Verdana" w:cs="Tahoma"/>
          <w:sz w:val="20"/>
          <w:szCs w:val="20"/>
        </w:rPr>
        <w:t xml:space="preserve">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 disponíveis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abaixo), e até o limite destes, conforme o disposto neste item (“</w:t>
      </w:r>
      <w:r>
        <w:rPr>
          <w:rFonts w:ascii="Verdana" w:hAnsi="Verdana" w:cs="Tahoma"/>
          <w:sz w:val="20"/>
          <w:szCs w:val="20"/>
          <w:u w:val="single"/>
        </w:rPr>
        <w:t>Amortização Extraordinária Obrigatória</w:t>
      </w:r>
      <w:r>
        <w:rPr>
          <w:rFonts w:ascii="Verdana" w:hAnsi="Verdana" w:cs="Tahoma"/>
          <w:sz w:val="20"/>
          <w:szCs w:val="20"/>
        </w:rPr>
        <w:t>” ou “</w:t>
      </w:r>
      <w:r>
        <w:rPr>
          <w:rFonts w:ascii="Verdana" w:hAnsi="Verdana" w:cs="Tahoma"/>
          <w:sz w:val="20"/>
          <w:szCs w:val="20"/>
          <w:u w:val="single"/>
        </w:rPr>
        <w:t>Amortização Final</w:t>
      </w:r>
      <w:r>
        <w:rPr>
          <w:rFonts w:ascii="Verdana" w:hAnsi="Verdana" w:cs="Tahoma"/>
          <w:sz w:val="20"/>
          <w:szCs w:val="20"/>
        </w:rPr>
        <w:t>”, conforme o caso).</w:t>
      </w:r>
      <w:bookmarkEnd w:id="174"/>
      <w:r>
        <w:rPr>
          <w:rFonts w:ascii="Verdana" w:hAnsi="Verdana" w:cs="Tahoma"/>
          <w:sz w:val="20"/>
          <w:szCs w:val="20"/>
        </w:rPr>
        <w:t xml:space="preserve"> Caso aplicável, se houver antecipação ou postergação do vencimento das Debêntures, a Emissora, deverá, em conjunto com o Agente Fiduciário, enviar notificação para a B3, informando-a (i) da alteração do vencimento das Debêntures, (ii) da respectiva data na qual ocorrerá o pagamento, assim como (iii) seu montante, conforme o caso.</w:t>
      </w:r>
    </w:p>
    <w:p w14:paraId="3AA4C870"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175" w:name="_Ref495599330"/>
      <w:r>
        <w:rPr>
          <w:rFonts w:ascii="Verdana" w:hAnsi="Verdana" w:cs="Tahoma"/>
          <w:b/>
          <w:i/>
          <w:sz w:val="20"/>
          <w:szCs w:val="20"/>
        </w:rPr>
        <w:t>Amortização Extraordinária Obrigatória das Debêntures da Primeira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 acima</w:t>
      </w:r>
      <w:r>
        <w:rPr>
          <w:rFonts w:ascii="Verdana" w:hAnsi="Verdana" w:cs="Tahoma"/>
          <w:sz w:val="20"/>
          <w:szCs w:val="20"/>
        </w:rPr>
        <w:fldChar w:fldCharType="end"/>
      </w:r>
      <w:r>
        <w:rPr>
          <w:rFonts w:ascii="Verdana" w:hAnsi="Verdana" w:cs="Tahoma"/>
          <w:sz w:val="20"/>
          <w:szCs w:val="20"/>
        </w:rPr>
        <w:t>, o Valor Nominal Unitário 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Pr>
          <w:rFonts w:ascii="Verdana" w:hAnsi="Verdana" w:cs="Tahoma"/>
          <w:sz w:val="20"/>
          <w:szCs w:val="20"/>
          <w:u w:val="single"/>
        </w:rPr>
        <w:t>Limite da Amortização Extraordinária Obrigatória da Primeira Série</w:t>
      </w:r>
      <w:r>
        <w:rPr>
          <w:rFonts w:ascii="Verdana" w:hAnsi="Verdana" w:cs="Tahoma"/>
          <w:sz w:val="20"/>
          <w:szCs w:val="20"/>
        </w:rPr>
        <w:t>”).</w:t>
      </w:r>
      <w:bookmarkEnd w:id="175"/>
    </w:p>
    <w:p w14:paraId="5EAA539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176" w:name="_Ref479690860"/>
      <w:bookmarkStart w:id="177" w:name="_Ref495588302"/>
      <w:r>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76"/>
    </w:p>
    <w:p w14:paraId="4755BF11" w14:textId="675ACDB5" w:rsidR="00EB5CDB" w:rsidRDefault="008E55E6">
      <w:pPr>
        <w:pStyle w:val="PargrafodaLista"/>
        <w:numPr>
          <w:ilvl w:val="2"/>
          <w:numId w:val="4"/>
        </w:numPr>
        <w:spacing w:before="120" w:after="120" w:line="280" w:lineRule="exact"/>
        <w:jc w:val="both"/>
        <w:rPr>
          <w:rFonts w:ascii="Verdana" w:hAnsi="Verdana" w:cs="Tahoma"/>
          <w:b/>
          <w:sz w:val="20"/>
          <w:szCs w:val="20"/>
        </w:rPr>
      </w:pPr>
      <w:bookmarkStart w:id="178" w:name="_Ref497581146"/>
      <w:bookmarkEnd w:id="177"/>
      <w:r>
        <w:rPr>
          <w:rFonts w:ascii="Verdana" w:hAnsi="Verdana" w:cs="Tahoma"/>
          <w:b/>
          <w:i/>
          <w:sz w:val="20"/>
          <w:szCs w:val="20"/>
        </w:rPr>
        <w:t>Amortização Extraordinária Obrigatória das Debêntures da Segunda Série</w:t>
      </w:r>
      <w:r>
        <w:rPr>
          <w:rFonts w:ascii="Verdana" w:hAnsi="Verdana" w:cs="Tahoma"/>
          <w:sz w:val="20"/>
          <w:szCs w:val="20"/>
        </w:rPr>
        <w:t xml:space="preserve">. Observado o disposto no item </w:t>
      </w:r>
      <w:r>
        <w:rPr>
          <w:rFonts w:ascii="Verdana" w:hAnsi="Verdana" w:cs="Tahoma"/>
          <w:sz w:val="20"/>
          <w:szCs w:val="20"/>
        </w:rPr>
        <w:fldChar w:fldCharType="begin"/>
      </w:r>
      <w:r>
        <w:rPr>
          <w:rFonts w:ascii="Verdana" w:hAnsi="Verdana" w:cs="Tahoma"/>
          <w:sz w:val="20"/>
          <w:szCs w:val="20"/>
        </w:rPr>
        <w:instrText xml:space="preserve"> REF _Ref495583440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3.18.1.1</w:t>
      </w:r>
      <w:r>
        <w:rPr>
          <w:rFonts w:ascii="Verdana" w:hAnsi="Verdana" w:cs="Tahoma"/>
          <w:sz w:val="20"/>
          <w:szCs w:val="20"/>
        </w:rPr>
        <w:fldChar w:fldCharType="end"/>
      </w:r>
      <w:r>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Pr>
          <w:rFonts w:ascii="Verdana" w:hAnsi="Verdana" w:cs="Tahoma"/>
          <w:sz w:val="20"/>
          <w:szCs w:val="20"/>
          <w:u w:val="single"/>
        </w:rPr>
        <w:t>Limite da Amortização Extraordinária Obrigatória da Segunda Série</w:t>
      </w:r>
      <w:r>
        <w:rPr>
          <w:rFonts w:ascii="Verdana" w:hAnsi="Verdana" w:cs="Tahoma"/>
          <w:sz w:val="20"/>
          <w:szCs w:val="20"/>
        </w:rPr>
        <w:t>” e, quando em conjunto com Limite da Amortização Extraordinária Obrigatória da Primeira Série “</w:t>
      </w:r>
      <w:r>
        <w:rPr>
          <w:rFonts w:ascii="Verdana" w:hAnsi="Verdana" w:cs="Tahoma"/>
          <w:sz w:val="20"/>
          <w:szCs w:val="20"/>
          <w:u w:val="single"/>
        </w:rPr>
        <w:t>Limite da Amortização Extraordinária Obrigatória</w:t>
      </w:r>
      <w:r>
        <w:rPr>
          <w:rFonts w:ascii="Verdana" w:hAnsi="Verdana" w:cs="Tahoma"/>
          <w:sz w:val="20"/>
          <w:szCs w:val="20"/>
        </w:rPr>
        <w:t>”)..</w:t>
      </w:r>
      <w:bookmarkEnd w:id="178"/>
    </w:p>
    <w:p w14:paraId="3F8FC8A4" w14:textId="6552DFB0"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Pr>
          <w:rFonts w:ascii="Verdana" w:hAnsi="Verdana" w:cs="Tahoma"/>
          <w:sz w:val="20"/>
          <w:szCs w:val="20"/>
        </w:rPr>
        <w:t xml:space="preserve">podendo </w:t>
      </w:r>
      <w:r>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p>
    <w:p w14:paraId="0A1110C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bookmarkStart w:id="179" w:name="_Ref496535942"/>
      <w:r>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79"/>
    </w:p>
    <w:p w14:paraId="4BBD4390" w14:textId="77777777" w:rsidR="00EB5CDB" w:rsidRDefault="00EB5CDB">
      <w:pPr>
        <w:pStyle w:val="PargrafodaLista"/>
        <w:spacing w:before="120" w:after="120" w:line="280" w:lineRule="exact"/>
        <w:ind w:left="0"/>
        <w:jc w:val="both"/>
        <w:rPr>
          <w:rFonts w:ascii="Verdana" w:hAnsi="Verdana" w:cs="Tahoma"/>
          <w:sz w:val="20"/>
          <w:szCs w:val="20"/>
        </w:rPr>
      </w:pPr>
    </w:p>
    <w:p w14:paraId="36D5B7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b/>
          <w:i/>
          <w:sz w:val="20"/>
          <w:szCs w:val="20"/>
        </w:rPr>
        <w:t>Aquisição Facultativa.</w:t>
      </w:r>
      <w:r>
        <w:rPr>
          <w:rFonts w:ascii="Verdana" w:hAnsi="Verdana" w:cs="Tahoma"/>
          <w:sz w:val="20"/>
          <w:szCs w:val="20"/>
        </w:rPr>
        <w:t xml:space="preserve"> As Debêntures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Pr>
          <w:rFonts w:ascii="Verdana" w:hAnsi="Verdana" w:cs="Tahoma"/>
          <w:b/>
          <w:sz w:val="20"/>
          <w:szCs w:val="20"/>
        </w:rPr>
        <w:t>(i)</w:t>
      </w:r>
      <w:r>
        <w:rPr>
          <w:rFonts w:ascii="Verdana" w:hAnsi="Verdana" w:cs="Tahoma"/>
          <w:sz w:val="20"/>
          <w:szCs w:val="20"/>
        </w:rPr>
        <w:t xml:space="preserve"> ser canceladas,</w:t>
      </w:r>
      <w:r>
        <w:rPr>
          <w:rFonts w:ascii="Verdana" w:hAnsi="Verdana" w:cs="Tahoma"/>
          <w:b/>
          <w:sz w:val="20"/>
          <w:szCs w:val="20"/>
        </w:rPr>
        <w:t xml:space="preserve"> (ii) </w:t>
      </w:r>
      <w:r>
        <w:rPr>
          <w:rFonts w:ascii="Verdana" w:hAnsi="Verdana" w:cs="Tahoma"/>
          <w:sz w:val="20"/>
          <w:szCs w:val="20"/>
        </w:rPr>
        <w:t xml:space="preserve">permanecer na tesouraria da Emissora ou </w:t>
      </w:r>
      <w:r>
        <w:rPr>
          <w:rFonts w:ascii="Verdana" w:hAnsi="Verdana" w:cs="Tahoma"/>
          <w:b/>
          <w:sz w:val="20"/>
          <w:szCs w:val="20"/>
        </w:rPr>
        <w:t>(iii)</w:t>
      </w:r>
      <w:r>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Default="00EB5CDB">
      <w:pPr>
        <w:pStyle w:val="PargrafodaLista"/>
        <w:spacing w:before="120" w:after="120" w:line="280" w:lineRule="exact"/>
        <w:ind w:left="0"/>
        <w:jc w:val="both"/>
        <w:rPr>
          <w:rFonts w:ascii="Verdana" w:hAnsi="Verdana" w:cs="Tahoma"/>
          <w:sz w:val="20"/>
          <w:szCs w:val="20"/>
        </w:rPr>
      </w:pPr>
    </w:p>
    <w:p w14:paraId="3690D284" w14:textId="4A51DB86" w:rsidR="00EB5CDB" w:rsidRDefault="00017F48">
      <w:pPr>
        <w:keepNext/>
        <w:numPr>
          <w:ilvl w:val="1"/>
          <w:numId w:val="4"/>
        </w:numPr>
        <w:spacing w:before="120" w:after="120" w:line="280" w:lineRule="exact"/>
        <w:jc w:val="both"/>
        <w:rPr>
          <w:rFonts w:ascii="Verdana" w:eastAsia="MS Mincho" w:hAnsi="Verdana" w:cs="Tahoma"/>
          <w:b/>
          <w:sz w:val="20"/>
          <w:szCs w:val="20"/>
        </w:rPr>
      </w:pPr>
      <w:bookmarkStart w:id="180" w:name="_Ref521594228"/>
      <w:bookmarkStart w:id="181" w:name="_Ref517600953"/>
      <w:r>
        <w:rPr>
          <w:rFonts w:ascii="Verdana" w:hAnsi="Verdana" w:cs="Tahoma"/>
          <w:b/>
          <w:sz w:val="20"/>
          <w:szCs w:val="20"/>
        </w:rPr>
        <w:t xml:space="preserve">Prêmio Sobre a Receita dos </w:t>
      </w:r>
      <w:bookmarkEnd w:id="180"/>
      <w:r w:rsidRPr="000B7D26">
        <w:rPr>
          <w:rFonts w:ascii="Verdana" w:eastAsia="MS Mincho" w:hAnsi="Verdana"/>
          <w:b/>
          <w:sz w:val="20"/>
        </w:rPr>
        <w:t xml:space="preserve">Direitos Creditórios </w:t>
      </w:r>
      <w:bookmarkEnd w:id="181"/>
      <w:r w:rsidRPr="000B7D26">
        <w:rPr>
          <w:rFonts w:ascii="Verdana" w:eastAsia="MS Mincho" w:hAnsi="Verdana"/>
          <w:b/>
          <w:sz w:val="20"/>
        </w:rPr>
        <w:t>Vinculados</w:t>
      </w:r>
      <w:r w:rsidR="008E55E6">
        <w:rPr>
          <w:rFonts w:ascii="Verdana" w:eastAsia="MS Mincho" w:hAnsi="Verdana" w:cs="Tahoma"/>
          <w:b/>
          <w:sz w:val="20"/>
          <w:szCs w:val="20"/>
        </w:rPr>
        <w:t xml:space="preserve"> </w:t>
      </w:r>
    </w:p>
    <w:p w14:paraId="6CE8DAB5" w14:textId="7638CFA6" w:rsidR="00EB5CDB" w:rsidRDefault="008E55E6">
      <w:pPr>
        <w:pStyle w:val="PargrafodaLista"/>
        <w:numPr>
          <w:ilvl w:val="2"/>
          <w:numId w:val="4"/>
        </w:numPr>
        <w:spacing w:before="120" w:after="120" w:line="280" w:lineRule="exact"/>
        <w:jc w:val="both"/>
        <w:rPr>
          <w:rFonts w:ascii="Verdana" w:hAnsi="Verdana"/>
          <w:sz w:val="20"/>
          <w:szCs w:val="20"/>
        </w:rPr>
      </w:pPr>
      <w:bookmarkStart w:id="182" w:name="_Ref517600371"/>
      <w:r>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os Debenturista da Segunda Série receberão, nas Datas de Pagamento, um </w:t>
      </w:r>
      <w:r w:rsidR="00017F48">
        <w:rPr>
          <w:rFonts w:ascii="Verdana" w:hAnsi="Verdana" w:cs="Tahoma"/>
          <w:sz w:val="20"/>
          <w:szCs w:val="20"/>
        </w:rPr>
        <w:t>Prêmio Sobre a Receita dos Direitos Creditórios Vinculados</w:t>
      </w:r>
      <w:r>
        <w:rPr>
          <w:rFonts w:ascii="Verdana" w:hAnsi="Verdana" w:cs="Tahoma"/>
          <w:sz w:val="20"/>
          <w:szCs w:val="20"/>
        </w:rPr>
        <w:t>, após consideradas as alocações de recursos mais prioritárias, conforme a Ordem de Alocação de Recursos (“</w:t>
      </w:r>
      <w:r w:rsidR="00017F48">
        <w:rPr>
          <w:rFonts w:ascii="Verdana" w:hAnsi="Verdana" w:cs="Tahoma"/>
          <w:sz w:val="20"/>
          <w:szCs w:val="20"/>
          <w:u w:val="single"/>
        </w:rPr>
        <w:t>Prêmio Sobre a Receita dos Direitos Creditórios Vinculados</w:t>
      </w:r>
      <w:r>
        <w:rPr>
          <w:rFonts w:ascii="Verdana" w:hAnsi="Verdana" w:cs="Tahoma"/>
          <w:sz w:val="20"/>
          <w:szCs w:val="20"/>
        </w:rPr>
        <w:t>”)</w:t>
      </w:r>
      <w:r>
        <w:rPr>
          <w:rFonts w:ascii="Verdana" w:hAnsi="Verdana"/>
          <w:sz w:val="20"/>
          <w:szCs w:val="20"/>
        </w:rPr>
        <w:t>.</w:t>
      </w:r>
      <w:bookmarkEnd w:id="182"/>
      <w:r>
        <w:rPr>
          <w:rFonts w:ascii="Verdana" w:hAnsi="Verdana"/>
          <w:sz w:val="20"/>
          <w:szCs w:val="20"/>
        </w:rPr>
        <w:t xml:space="preserve"> Caso aplicável, a Emissora, com a anuência do Agente Fiduciário, informará a B3 da ocorrência do pagamento de </w:t>
      </w:r>
      <w:r w:rsidR="00017F48">
        <w:rPr>
          <w:rFonts w:ascii="Verdana" w:hAnsi="Verdana"/>
          <w:sz w:val="20"/>
          <w:szCs w:val="20"/>
        </w:rPr>
        <w:t>Prêmio Sobre a Receita dos Direitos Creditórios Vinculados</w:t>
      </w:r>
      <w:r>
        <w:rPr>
          <w:rFonts w:ascii="Verdana" w:hAnsi="Verdana"/>
          <w:sz w:val="20"/>
          <w:szCs w:val="20"/>
        </w:rPr>
        <w:t>, bem como o seu valor, que deverá observar as Cláusulas abaixo.</w:t>
      </w:r>
    </w:p>
    <w:p w14:paraId="1F14F11A" w14:textId="72346E80" w:rsidR="00EB5CDB" w:rsidRDefault="00017F48">
      <w:pPr>
        <w:spacing w:before="120" w:after="120" w:line="280" w:lineRule="exact"/>
        <w:jc w:val="both"/>
        <w:rPr>
          <w:rFonts w:ascii="Verdana" w:hAnsi="Verdana"/>
          <w:sz w:val="20"/>
          <w:szCs w:val="20"/>
        </w:rPr>
      </w:pPr>
      <w:r>
        <w:rPr>
          <w:rFonts w:ascii="Verdana" w:hAnsi="Verdana"/>
          <w:sz w:val="20"/>
          <w:szCs w:val="20"/>
        </w:rPr>
        <w:t>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VinculadosPrêmio Sobre a Receita dos Direitos Creditórios Vinculados</w:t>
      </w:r>
    </w:p>
    <w:p w14:paraId="017229B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83" w:name="_DV_M139"/>
      <w:bookmarkStart w:id="184" w:name="_DV_M141"/>
      <w:bookmarkEnd w:id="183"/>
      <w:bookmarkEnd w:id="184"/>
      <w:r>
        <w:rPr>
          <w:rFonts w:ascii="Verdana" w:eastAsia="MS Mincho" w:hAnsi="Verdana" w:cs="Tahoma"/>
          <w:b/>
          <w:sz w:val="20"/>
          <w:szCs w:val="20"/>
        </w:rPr>
        <w:t>Pagamento Condicionado, Ordem de Alocação dos Recursos e Subordinação das Debêntures da Segunda Série.</w:t>
      </w:r>
    </w:p>
    <w:p w14:paraId="13B839D0" w14:textId="201ABE82"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85" w:name="_Ref474448575"/>
      <w:bookmarkStart w:id="186" w:name="_Ref476852704"/>
      <w:bookmarkStart w:id="187" w:name="_Ref497594495"/>
      <w:r>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Pr>
          <w:rFonts w:ascii="Verdana" w:hAnsi="Verdana" w:cs="Tahoma"/>
          <w:sz w:val="20"/>
          <w:szCs w:val="20"/>
        </w:rPr>
        <w:fldChar w:fldCharType="begin"/>
      </w:r>
      <w:r>
        <w:rPr>
          <w:rFonts w:ascii="Verdana" w:hAnsi="Verdana" w:cs="Tahoma"/>
          <w:sz w:val="20"/>
          <w:szCs w:val="20"/>
        </w:rPr>
        <w:instrText xml:space="preserve"> REF _Ref481525172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3.28 abaixo</w:t>
      </w:r>
      <w:r>
        <w:rPr>
          <w:rFonts w:ascii="Verdana" w:hAnsi="Verdana" w:cs="Tahoma"/>
          <w:sz w:val="20"/>
          <w:szCs w:val="20"/>
        </w:rPr>
        <w:fldChar w:fldCharType="end"/>
      </w:r>
      <w:r>
        <w:rPr>
          <w:rFonts w:ascii="Verdana" w:hAnsi="Verdana" w:cs="Tahoma"/>
          <w:sz w:val="20"/>
          <w:szCs w:val="20"/>
        </w:rPr>
        <w:t xml:space="preserve"> e no Contrato de Cessão Fiduciária.</w:t>
      </w:r>
      <w:bookmarkEnd w:id="185"/>
      <w:bookmarkEnd w:id="186"/>
      <w:r>
        <w:rPr>
          <w:rFonts w:ascii="Verdana" w:hAnsi="Verdana" w:cs="Tahoma"/>
          <w:sz w:val="20"/>
          <w:szCs w:val="20"/>
        </w:rPr>
        <w:t xml:space="preserve"> Deste modo, </w:t>
      </w:r>
      <w:r>
        <w:rPr>
          <w:rFonts w:ascii="Verdana" w:hAnsi="Verdana" w:cstheme="minorHAnsi"/>
          <w:sz w:val="20"/>
          <w:szCs w:val="20"/>
        </w:rPr>
        <w:t xml:space="preserve">a não realização dos pagamentos relacionados à Amortização Extraordinária Obrigatória, à Remuneração, </w:t>
      </w:r>
      <w:r>
        <w:rPr>
          <w:rFonts w:ascii="Verdana" w:hAnsi="Verdana" w:cs="Tahoma"/>
          <w:sz w:val="20"/>
          <w:szCs w:val="20"/>
        </w:rPr>
        <w:t xml:space="preserve">ao </w:t>
      </w:r>
      <w:r w:rsidR="00017F48">
        <w:rPr>
          <w:rFonts w:ascii="Verdana" w:hAnsi="Verdana" w:cs="Tahoma"/>
          <w:sz w:val="20"/>
          <w:szCs w:val="20"/>
        </w:rPr>
        <w:t>Prêmio Sobre a Receita dos Direitos Creditórios Vinculados</w:t>
      </w:r>
      <w:r>
        <w:rPr>
          <w:rFonts w:ascii="Verdana" w:hAnsi="Verdana" w:cs="Tahoma"/>
          <w:sz w:val="20"/>
          <w:szCs w:val="20"/>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ou na Reserva de Liquidação da Segunda Série, nos termos </w:t>
      </w:r>
      <w:r w:rsidR="00017F48">
        <w:rPr>
          <w:rFonts w:ascii="Verdana" w:hAnsi="Verdana" w:cs="Tahoma"/>
          <w:sz w:val="20"/>
          <w:szCs w:val="20"/>
        </w:rPr>
        <w:t>estabelecidos nesta Escritura de Emissão</w:t>
      </w:r>
      <w:r>
        <w:rPr>
          <w:rFonts w:ascii="Verdana" w:hAnsi="Verdana" w:cs="Tahoma"/>
          <w:sz w:val="20"/>
          <w:szCs w:val="20"/>
        </w:rPr>
        <w:t>, também poderão ser utilizados para a realização dos pagamentos devidos pela Emissora aos Debenturistas conforme listados acima.</w:t>
      </w:r>
      <w:bookmarkEnd w:id="187"/>
    </w:p>
    <w:p w14:paraId="04C05F0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88" w:name="_Ref475542670"/>
      <w:bookmarkStart w:id="189" w:name="_Ref478044661"/>
      <w:bookmarkStart w:id="190" w:name="_Ref495348671"/>
      <w:r>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Pr>
          <w:rFonts w:ascii="Verdana" w:hAnsi="Verdana" w:cs="Tahoma"/>
          <w:b/>
          <w:sz w:val="20"/>
          <w:szCs w:val="20"/>
        </w:rPr>
        <w:t>(i)</w:t>
      </w:r>
      <w:r>
        <w:rPr>
          <w:rFonts w:ascii="Verdana" w:hAnsi="Verdana" w:cs="Tahoma"/>
          <w:sz w:val="20"/>
          <w:szCs w:val="20"/>
        </w:rPr>
        <w:t xml:space="preserve"> os recursos obtidos por meio da Emissão, </w:t>
      </w:r>
      <w:r>
        <w:rPr>
          <w:rFonts w:ascii="Verdana" w:hAnsi="Verdana" w:cs="Tahoma"/>
          <w:b/>
          <w:sz w:val="20"/>
          <w:szCs w:val="20"/>
        </w:rPr>
        <w:t>(ii)</w:t>
      </w:r>
      <w:r>
        <w:rPr>
          <w:rFonts w:ascii="Verdana" w:hAnsi="Verdana" w:cs="Tahoma"/>
          <w:sz w:val="20"/>
          <w:szCs w:val="20"/>
        </w:rPr>
        <w:t xml:space="preserve"> os recursos decorrentes do pagamento dos Direitos Creditórios Vinculados, </w:t>
      </w:r>
      <w:r>
        <w:rPr>
          <w:rFonts w:ascii="Verdana" w:hAnsi="Verdana" w:cs="Tahoma"/>
          <w:b/>
          <w:sz w:val="20"/>
          <w:szCs w:val="20"/>
        </w:rPr>
        <w:t>(iii)</w:t>
      </w:r>
      <w:r>
        <w:rPr>
          <w:rFonts w:ascii="Verdana" w:hAnsi="Verdana" w:cs="Tahoma"/>
          <w:sz w:val="20"/>
          <w:szCs w:val="20"/>
        </w:rPr>
        <w:t xml:space="preserve"> os recursos de recebimentos e desinvestimentos referentes ao Investimentos Permitidos, e </w:t>
      </w:r>
      <w:r>
        <w:rPr>
          <w:rFonts w:ascii="Verdana" w:hAnsi="Verdana" w:cs="Tahoma"/>
          <w:b/>
          <w:sz w:val="20"/>
          <w:szCs w:val="20"/>
        </w:rPr>
        <w:t>(iv)</w:t>
      </w:r>
      <w:r>
        <w:rPr>
          <w:rFonts w:ascii="Verdana" w:hAnsi="Verdana" w:cs="Tahoma"/>
          <w:sz w:val="20"/>
          <w:szCs w:val="20"/>
        </w:rPr>
        <w:t xml:space="preserve"> os eventuais recursos disponíveis na Reserva de Liquidação da Primeira Série e/ou na Reserva de Liquidação da Segunda Série, nos termos do item </w:t>
      </w:r>
      <w:r>
        <w:rPr>
          <w:rFonts w:ascii="Verdana" w:hAnsi="Verdana" w:cs="Tahoma"/>
          <w:sz w:val="20"/>
          <w:szCs w:val="20"/>
        </w:rPr>
        <w:fldChar w:fldCharType="begin"/>
      </w:r>
      <w:r>
        <w:rPr>
          <w:rFonts w:ascii="Verdana" w:hAnsi="Verdana" w:cs="Tahoma"/>
          <w:sz w:val="20"/>
          <w:szCs w:val="20"/>
        </w:rPr>
        <w:instrText xml:space="preserve"> REF _Ref496535942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3.18.3.2</w:t>
      </w:r>
      <w:r>
        <w:rPr>
          <w:rFonts w:ascii="Verdana" w:hAnsi="Verdana" w:cs="Tahoma"/>
          <w:sz w:val="20"/>
          <w:szCs w:val="20"/>
        </w:rPr>
        <w:fldChar w:fldCharType="end"/>
      </w:r>
      <w:r>
        <w:rPr>
          <w:rFonts w:ascii="Verdana" w:hAnsi="Verdana" w:cs="Tahoma"/>
          <w:sz w:val="20"/>
          <w:szCs w:val="20"/>
        </w:rPr>
        <w:t xml:space="preserve"> acima, sejam alocados na seguinte ordem de alocação dos recursos (“</w:t>
      </w:r>
      <w:r>
        <w:rPr>
          <w:rFonts w:ascii="Verdana" w:hAnsi="Verdana" w:cs="Tahoma"/>
          <w:sz w:val="20"/>
          <w:szCs w:val="20"/>
          <w:u w:val="single"/>
        </w:rPr>
        <w:t>Ordem de Alocação de Recursos</w:t>
      </w:r>
      <w:r>
        <w:rPr>
          <w:rFonts w:ascii="Verdana" w:hAnsi="Verdana" w:cs="Tahoma"/>
          <w:sz w:val="20"/>
          <w:szCs w:val="20"/>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188"/>
      <w:bookmarkEnd w:id="189"/>
      <w:r>
        <w:rPr>
          <w:rFonts w:ascii="Verdana" w:hAnsi="Verdana" w:cs="Tahoma"/>
          <w:sz w:val="20"/>
          <w:szCs w:val="20"/>
        </w:rPr>
        <w:t>:</w:t>
      </w:r>
      <w:bookmarkEnd w:id="190"/>
    </w:p>
    <w:p w14:paraId="630B5C56"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não sejam Datas de Pagamento</w:t>
      </w:r>
      <w:r>
        <w:rPr>
          <w:rFonts w:ascii="Verdana" w:hAnsi="Verdana" w:cs="Tahoma"/>
          <w:sz w:val="20"/>
          <w:szCs w:val="20"/>
        </w:rPr>
        <w:t>:</w:t>
      </w:r>
    </w:p>
    <w:p w14:paraId="45E232EF"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das Despesas;</w:t>
      </w:r>
    </w:p>
    <w:p w14:paraId="11C8DB56"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619323EB"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aquisição de novas CCB, observados os Limitadores para Aquisição de CCB; e</w:t>
      </w:r>
    </w:p>
    <w:p w14:paraId="64D5D89E" w14:textId="77777777" w:rsidR="00EB5CDB" w:rsidRDefault="008E55E6">
      <w:pPr>
        <w:pStyle w:val="Nvel111a1"/>
        <w:numPr>
          <w:ilvl w:val="0"/>
          <w:numId w:val="26"/>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7AE414F7"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u w:val="single"/>
        </w:rPr>
        <w:t>Quando se tratar de datas que sejam (i) Datas de Pagamento, (ii) Data de Vencimento ou (iii) sejam uma data de vencimento antecipado das Debêntures</w:t>
      </w:r>
      <w:r>
        <w:rPr>
          <w:rFonts w:ascii="Verdana" w:hAnsi="Verdana" w:cs="Tahoma"/>
          <w:sz w:val="20"/>
          <w:szCs w:val="20"/>
        </w:rPr>
        <w:t>:</w:t>
      </w:r>
    </w:p>
    <w:p w14:paraId="1B053354"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bookmarkStart w:id="191" w:name="_DV_M197"/>
      <w:bookmarkStart w:id="192" w:name="_Ref475679731"/>
      <w:bookmarkEnd w:id="191"/>
      <w:r>
        <w:rPr>
          <w:rFonts w:ascii="Verdana" w:hAnsi="Verdana" w:cs="Tahoma"/>
          <w:sz w:val="20"/>
          <w:szCs w:val="20"/>
          <w:lang w:val="pt-BR"/>
        </w:rPr>
        <w:t xml:space="preserve">pagamento das Despesas; </w:t>
      </w:r>
    </w:p>
    <w:p w14:paraId="318EF11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composição e recomposição, conforme o caso, de Reserva de Despesas e Encargos;</w:t>
      </w:r>
    </w:p>
    <w:p w14:paraId="53C2BA9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07D3381"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Remuneração das Debêntures da Primeira Série;</w:t>
      </w:r>
    </w:p>
    <w:p w14:paraId="0E2DD759"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Primeira Série;</w:t>
      </w:r>
    </w:p>
    <w:p w14:paraId="0FAB3200"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35A9D41C" w14:textId="574C8259"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observadas as regras previstas no item </w:t>
      </w:r>
      <w:r>
        <w:rPr>
          <w:rFonts w:ascii="Verdana" w:hAnsi="Verdana" w:cs="Tahoma"/>
          <w:sz w:val="20"/>
          <w:szCs w:val="20"/>
          <w:lang w:val="pt-BR"/>
        </w:rPr>
        <w:fldChar w:fldCharType="begin"/>
      </w:r>
      <w:r>
        <w:rPr>
          <w:rFonts w:ascii="Verdana" w:hAnsi="Verdana" w:cs="Tahoma"/>
          <w:sz w:val="20"/>
          <w:szCs w:val="20"/>
          <w:lang w:val="pt-BR"/>
        </w:rPr>
        <w:instrText xml:space="preserve"> REF _Ref517600953 \r \h  \* MERGEFORMAT </w:instrText>
      </w:r>
      <w:r>
        <w:rPr>
          <w:rFonts w:ascii="Verdana" w:hAnsi="Verdana" w:cs="Tahoma"/>
          <w:sz w:val="20"/>
          <w:szCs w:val="20"/>
          <w:lang w:val="pt-BR"/>
        </w:rPr>
      </w:r>
      <w:r>
        <w:rPr>
          <w:rFonts w:ascii="Verdana" w:hAnsi="Verdana" w:cs="Tahoma"/>
          <w:sz w:val="20"/>
          <w:szCs w:val="20"/>
          <w:lang w:val="pt-BR"/>
        </w:rPr>
        <w:fldChar w:fldCharType="separate"/>
      </w:r>
      <w:r>
        <w:rPr>
          <w:rFonts w:ascii="Verdana" w:hAnsi="Verdana" w:cs="Tahoma"/>
          <w:sz w:val="20"/>
          <w:szCs w:val="20"/>
          <w:lang w:val="pt-BR"/>
        </w:rPr>
        <w:t>3.19</w:t>
      </w:r>
      <w:r>
        <w:rPr>
          <w:rFonts w:ascii="Verdana" w:hAnsi="Verdana" w:cs="Tahoma"/>
          <w:sz w:val="20"/>
          <w:szCs w:val="20"/>
          <w:lang w:val="pt-BR"/>
        </w:rPr>
        <w:fldChar w:fldCharType="end"/>
      </w:r>
      <w:r>
        <w:rPr>
          <w:rFonts w:ascii="Verdana" w:hAnsi="Verdana" w:cs="Tahoma"/>
          <w:sz w:val="20"/>
          <w:szCs w:val="20"/>
          <w:lang w:val="pt-BR"/>
        </w:rPr>
        <w:t xml:space="preserve"> acima, tais pagamentos serão realizados de forma concomitante com o pagamento da Amortização Final;</w:t>
      </w:r>
    </w:p>
    <w:p w14:paraId="4F3B1328"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3ED0B5A3"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pagamento da Amortização Extraordinária Obrigatória das Debêntures da Segunda Série;</w:t>
      </w:r>
    </w:p>
    <w:p w14:paraId="67D50C2C"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7340EBA4" w14:textId="70800EE2"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 xml:space="preserve">pagamento do </w:t>
      </w:r>
      <w:r w:rsidR="00017F48">
        <w:rPr>
          <w:rFonts w:ascii="Verdana" w:hAnsi="Verdana" w:cs="Tahoma"/>
          <w:sz w:val="20"/>
          <w:szCs w:val="20"/>
          <w:lang w:val="pt-BR"/>
        </w:rPr>
        <w:t>Prêmio Sobre a Receita dos Direitos Creditórios Vinculados</w:t>
      </w:r>
      <w:r>
        <w:rPr>
          <w:rFonts w:ascii="Verdana" w:hAnsi="Verdana" w:cs="Tahoma"/>
          <w:sz w:val="20"/>
          <w:szCs w:val="20"/>
          <w:lang w:val="pt-BR"/>
        </w:rPr>
        <w:t xml:space="preserve">; </w:t>
      </w:r>
    </w:p>
    <w:p w14:paraId="1C9CF5DB"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com relação à Data de Pagamento que seja a Data de Vencimento ou uma data de vencimento antecipado, pagamento da Amortização Final referentes às Debêntures da Segunda Série; e</w:t>
      </w:r>
    </w:p>
    <w:p w14:paraId="4C908F06" w14:textId="77777777" w:rsidR="00EB5CDB" w:rsidRDefault="008E55E6">
      <w:pPr>
        <w:pStyle w:val="Nvel111a1"/>
        <w:numPr>
          <w:ilvl w:val="0"/>
          <w:numId w:val="27"/>
        </w:numPr>
        <w:tabs>
          <w:tab w:val="left" w:pos="1701"/>
        </w:tabs>
        <w:spacing w:before="120" w:after="120" w:line="280" w:lineRule="exact"/>
        <w:ind w:left="1701" w:hanging="567"/>
        <w:rPr>
          <w:rFonts w:ascii="Verdana" w:hAnsi="Verdana" w:cs="Tahoma"/>
          <w:sz w:val="20"/>
          <w:szCs w:val="20"/>
          <w:lang w:val="pt-BR"/>
        </w:rPr>
      </w:pPr>
      <w:r>
        <w:rPr>
          <w:rFonts w:ascii="Verdana" w:hAnsi="Verdana" w:cs="Tahoma"/>
          <w:sz w:val="20"/>
          <w:szCs w:val="20"/>
          <w:lang w:val="pt-BR"/>
        </w:rPr>
        <w:t>aplicação em Investimentos Permitidos.</w:t>
      </w:r>
    </w:p>
    <w:p w14:paraId="60CBC96C" w14:textId="77777777" w:rsidR="00EB5CDB" w:rsidRDefault="00EB5CDB">
      <w:pPr>
        <w:pStyle w:val="Nvel111a1"/>
        <w:numPr>
          <w:ilvl w:val="0"/>
          <w:numId w:val="0"/>
        </w:numPr>
        <w:tabs>
          <w:tab w:val="left" w:pos="1701"/>
        </w:tabs>
        <w:spacing w:before="120" w:after="120" w:line="280" w:lineRule="exact"/>
        <w:ind w:left="2126" w:hanging="708"/>
        <w:rPr>
          <w:rFonts w:ascii="Verdana" w:hAnsi="Verdana" w:cs="Tahoma"/>
          <w:sz w:val="20"/>
          <w:szCs w:val="20"/>
          <w:lang w:val="pt-BR"/>
        </w:rPr>
      </w:pPr>
    </w:p>
    <w:bookmarkEnd w:id="192"/>
    <w:p w14:paraId="04FB11D3" w14:textId="77777777" w:rsidR="00EB5CDB" w:rsidRDefault="008E55E6">
      <w:pPr>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Repactuação Programada</w:t>
      </w:r>
    </w:p>
    <w:p w14:paraId="2EE77A1C" w14:textId="77777777" w:rsidR="00EB5CDB" w:rsidRDefault="008E55E6">
      <w:pPr>
        <w:pStyle w:val="PargrafodaLista"/>
        <w:numPr>
          <w:ilvl w:val="2"/>
          <w:numId w:val="4"/>
        </w:numPr>
        <w:spacing w:before="120" w:after="120" w:line="280" w:lineRule="exact"/>
        <w:jc w:val="both"/>
        <w:rPr>
          <w:rFonts w:ascii="Verdana" w:hAnsi="Verdana" w:cs="Tahoma"/>
          <w:b/>
          <w:sz w:val="20"/>
          <w:szCs w:val="20"/>
        </w:rPr>
      </w:pPr>
      <w:r>
        <w:rPr>
          <w:rFonts w:ascii="Verdana" w:hAnsi="Verdana" w:cs="Tahoma"/>
          <w:sz w:val="20"/>
          <w:szCs w:val="20"/>
        </w:rPr>
        <w:t>As Debêntures não serão objeto de repactuação programada.</w:t>
      </w:r>
    </w:p>
    <w:p w14:paraId="01444F54" w14:textId="77777777" w:rsidR="00EB5CDB" w:rsidRDefault="00EB5CDB">
      <w:pPr>
        <w:pStyle w:val="PargrafodaLista"/>
        <w:spacing w:before="120" w:after="120" w:line="280" w:lineRule="exact"/>
        <w:ind w:left="0"/>
        <w:jc w:val="both"/>
        <w:rPr>
          <w:rFonts w:ascii="Verdana" w:hAnsi="Verdana" w:cs="Tahoma"/>
          <w:b/>
          <w:sz w:val="20"/>
          <w:szCs w:val="20"/>
        </w:rPr>
      </w:pPr>
    </w:p>
    <w:p w14:paraId="34A4041C"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193" w:name="_Ref422391479"/>
      <w:r>
        <w:rPr>
          <w:rFonts w:ascii="Verdana" w:hAnsi="Verdana" w:cs="Tahoma"/>
          <w:b/>
          <w:sz w:val="20"/>
          <w:szCs w:val="20"/>
        </w:rPr>
        <w:t>Procedimentos a Serem Adotados em Casos de Não Pagamento até Data de Vencimento</w:t>
      </w:r>
      <w:r>
        <w:rPr>
          <w:rFonts w:ascii="Verdana" w:eastAsia="MS Mincho" w:hAnsi="Verdana" w:cs="Tahoma"/>
          <w:b/>
          <w:sz w:val="20"/>
          <w:szCs w:val="20"/>
        </w:rPr>
        <w:t xml:space="preserve"> e Dação </w:t>
      </w:r>
      <w:r>
        <w:rPr>
          <w:rFonts w:ascii="Verdana" w:hAnsi="Verdana" w:cs="Tahoma"/>
          <w:b/>
          <w:sz w:val="20"/>
          <w:szCs w:val="20"/>
        </w:rPr>
        <w:t>dos Direitos Creditórios Vinculados</w:t>
      </w:r>
      <w:r>
        <w:rPr>
          <w:rFonts w:ascii="Verdana" w:eastAsia="MS Mincho" w:hAnsi="Verdana" w:cs="Tahoma"/>
          <w:b/>
          <w:sz w:val="20"/>
          <w:szCs w:val="20"/>
        </w:rPr>
        <w:t xml:space="preserve"> em Pagamento</w:t>
      </w:r>
      <w:bookmarkEnd w:id="193"/>
    </w:p>
    <w:p w14:paraId="133E81AA"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94" w:name="_Ref498986511"/>
      <w:bookmarkStart w:id="195" w:name="_Ref495593593"/>
      <w:r>
        <w:rPr>
          <w:rFonts w:ascii="Verdana" w:hAnsi="Verdana" w:cs="Tahoma"/>
          <w:sz w:val="20"/>
          <w:szCs w:val="20"/>
        </w:rPr>
        <w:t xml:space="preserve">Nas hipóteses de </w:t>
      </w:r>
      <w:r>
        <w:rPr>
          <w:rFonts w:ascii="Verdana" w:hAnsi="Verdana" w:cs="Tahoma"/>
          <w:b/>
          <w:sz w:val="20"/>
          <w:szCs w:val="20"/>
        </w:rPr>
        <w:t>(i)</w:t>
      </w:r>
      <w:r>
        <w:rPr>
          <w:rFonts w:ascii="Verdana" w:hAnsi="Verdana" w:cs="Tahoma"/>
          <w:sz w:val="20"/>
          <w:szCs w:val="20"/>
        </w:rPr>
        <w:t xml:space="preserve"> não realização dos Direitos Creditórios Vinculados até a Data de Vencimento ou até a data de pagamento das Debêntures, em caso de vencimento antecipado das Debêntures, ou </w:t>
      </w:r>
      <w:r>
        <w:rPr>
          <w:rFonts w:ascii="Verdana" w:hAnsi="Verdana" w:cs="Tahoma"/>
          <w:b/>
          <w:sz w:val="20"/>
          <w:szCs w:val="20"/>
        </w:rPr>
        <w:t>(ii)</w:t>
      </w:r>
      <w:r>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96" w:name="art1365p"/>
      <w:bookmarkEnd w:id="194"/>
      <w:bookmarkEnd w:id="195"/>
      <w:bookmarkEnd w:id="196"/>
      <w:r>
        <w:rPr>
          <w:rFonts w:ascii="Verdana" w:hAnsi="Verdana" w:cs="Tahoma"/>
          <w:sz w:val="20"/>
          <w:szCs w:val="20"/>
        </w:rPr>
        <w:t xml:space="preserve">, conforme indicado no item </w:t>
      </w:r>
      <w:r>
        <w:rPr>
          <w:rFonts w:ascii="Verdana" w:hAnsi="Verdana" w:cs="Tahoma"/>
          <w:sz w:val="20"/>
          <w:szCs w:val="20"/>
        </w:rPr>
        <w:fldChar w:fldCharType="begin"/>
      </w:r>
      <w:r>
        <w:rPr>
          <w:rFonts w:ascii="Verdana" w:hAnsi="Verdana" w:cs="Tahoma"/>
          <w:sz w:val="20"/>
          <w:szCs w:val="20"/>
        </w:rPr>
        <w:instrText xml:space="preserve"> REF _Ref497551749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3.22.2</w:t>
      </w:r>
      <w:r>
        <w:rPr>
          <w:rFonts w:ascii="Verdana" w:hAnsi="Verdana" w:cs="Tahoma"/>
          <w:sz w:val="20"/>
          <w:szCs w:val="20"/>
        </w:rPr>
        <w:fldChar w:fldCharType="end"/>
      </w:r>
      <w:r>
        <w:rPr>
          <w:rFonts w:ascii="Verdana" w:hAnsi="Verdana" w:cs="Tahoma"/>
          <w:sz w:val="20"/>
          <w:szCs w:val="20"/>
        </w:rPr>
        <w:t xml:space="preserve"> abaixo.</w:t>
      </w:r>
    </w:p>
    <w:p w14:paraId="60010D6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197" w:name="_Ref497551749"/>
      <w:bookmarkStart w:id="198" w:name="_Ref495594626"/>
      <w:r>
        <w:rPr>
          <w:rFonts w:ascii="Verdana" w:hAnsi="Verdana" w:cs="Tahoma"/>
          <w:sz w:val="20"/>
          <w:szCs w:val="20"/>
        </w:rPr>
        <w:t>O “</w:t>
      </w:r>
      <w:r>
        <w:rPr>
          <w:rFonts w:ascii="Verdana" w:hAnsi="Verdana" w:cs="Tahoma"/>
          <w:sz w:val="20"/>
          <w:szCs w:val="20"/>
          <w:u w:val="single"/>
        </w:rPr>
        <w:t>Plano de Ação</w:t>
      </w:r>
      <w:r>
        <w:rPr>
          <w:rFonts w:ascii="Verdana" w:hAnsi="Verdana" w:cs="Tahoma"/>
          <w:sz w:val="20"/>
          <w:szCs w:val="20"/>
        </w:rPr>
        <w:t xml:space="preserve">” 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Pr>
          <w:rFonts w:ascii="Verdana" w:hAnsi="Verdana" w:cs="Tahoma"/>
          <w:sz w:val="20"/>
          <w:szCs w:val="20"/>
        </w:rPr>
        <w:fldChar w:fldCharType="begin"/>
      </w:r>
      <w:r>
        <w:rPr>
          <w:rFonts w:ascii="Verdana" w:hAnsi="Verdana" w:cs="Tahoma"/>
          <w:sz w:val="20"/>
          <w:szCs w:val="20"/>
        </w:rPr>
        <w:instrText xml:space="preserve"> REF _Ref495593987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3.22.4 abaixo</w:t>
      </w:r>
      <w:r>
        <w:rPr>
          <w:rFonts w:ascii="Verdana" w:hAnsi="Verdana" w:cs="Tahoma"/>
          <w:sz w:val="20"/>
          <w:szCs w:val="20"/>
        </w:rPr>
        <w:fldChar w:fldCharType="end"/>
      </w:r>
      <w:r>
        <w:rPr>
          <w:rFonts w:ascii="Verdana" w:hAnsi="Verdana" w:cs="Tahoma"/>
          <w:sz w:val="20"/>
          <w:szCs w:val="20"/>
        </w:rPr>
        <w:t xml:space="preserve">, mesmo que a Emissora já tenha iniciado processo de cobrança dos Direitos Creditórios Vinculados; </w:t>
      </w:r>
      <w:r>
        <w:rPr>
          <w:rFonts w:ascii="Verdana" w:hAnsi="Verdana" w:cs="Tahoma"/>
          <w:b/>
          <w:sz w:val="20"/>
          <w:szCs w:val="20"/>
        </w:rPr>
        <w:t>(ii)</w:t>
      </w:r>
      <w:r>
        <w:rPr>
          <w:rFonts w:ascii="Verdana" w:hAnsi="Verdana" w:cs="Tahoma"/>
          <w:sz w:val="20"/>
          <w:szCs w:val="20"/>
        </w:rPr>
        <w:t xml:space="preserve"> a excussão dos Direitos Creditórios Alienados, conforme aplicável, nos termos do Contrato de Cessão Fiduciária; </w:t>
      </w:r>
      <w:bookmarkStart w:id="199" w:name="_Hlk518289971"/>
      <w:r>
        <w:rPr>
          <w:rFonts w:ascii="Verdana" w:hAnsi="Verdana" w:cs="Tahoma"/>
          <w:b/>
          <w:sz w:val="20"/>
          <w:szCs w:val="20"/>
        </w:rPr>
        <w:t>(iii)</w:t>
      </w:r>
      <w:r>
        <w:rPr>
          <w:rFonts w:ascii="Verdana" w:hAnsi="Verdana" w:cs="Tahoma"/>
          <w:sz w:val="20"/>
          <w:szCs w:val="20"/>
        </w:rPr>
        <w:t xml:space="preserve"> a cobrança judicial ou extrajudicial dos Direitos Creditórios Vinculados dados em pagamento pela Emissora</w:t>
      </w:r>
      <w:bookmarkEnd w:id="199"/>
      <w:r>
        <w:rPr>
          <w:rFonts w:ascii="Verdana" w:hAnsi="Verdana" w:cs="Tahoma"/>
          <w:sz w:val="20"/>
          <w:szCs w:val="20"/>
        </w:rPr>
        <w:t xml:space="preserve">; </w:t>
      </w:r>
      <w:r>
        <w:rPr>
          <w:rFonts w:ascii="Verdana" w:hAnsi="Verdana" w:cs="Tahoma"/>
          <w:b/>
          <w:sz w:val="20"/>
          <w:szCs w:val="20"/>
        </w:rPr>
        <w:t>(iv)</w:t>
      </w:r>
      <w:r>
        <w:rPr>
          <w:rFonts w:ascii="Verdana" w:hAnsi="Verdana" w:cs="Tahoma"/>
          <w:sz w:val="20"/>
          <w:szCs w:val="20"/>
        </w:rPr>
        <w:t xml:space="preserve"> a alienação dos Direitos Creditórios Vinculados dados em pagamento pela Emissora;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Emissora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no Contrato de Cessão Fiduciária, conforme o caso.</w:t>
      </w:r>
      <w:bookmarkEnd w:id="197"/>
    </w:p>
    <w:bookmarkEnd w:id="198"/>
    <w:p w14:paraId="236C9BF9"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18A87660"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200" w:name="_Ref495594053"/>
      <w:r>
        <w:rPr>
          <w:rFonts w:ascii="Verdana" w:hAnsi="Verdana" w:cs="Tahoma"/>
          <w:sz w:val="20"/>
          <w:szCs w:val="20"/>
        </w:rPr>
        <w:t xml:space="preserve"> e o Agente Fiduciário assim decidam, não restando qualquer relação entre </w:t>
      </w:r>
      <w:bookmarkEnd w:id="200"/>
      <w:r>
        <w:rPr>
          <w:rFonts w:ascii="Verdana" w:hAnsi="Verdana" w:cs="Tahoma"/>
          <w:sz w:val="20"/>
          <w:szCs w:val="20"/>
        </w:rPr>
        <w:t>o Agente Fiduciário e a Emissora em relação às Debêntures.</w:t>
      </w:r>
    </w:p>
    <w:p w14:paraId="11D20F5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01" w:name="_Ref495594341"/>
      <w:bookmarkStart w:id="202" w:name="_Ref495593987"/>
      <w:r>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42A2C3CF"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201"/>
      <w:r>
        <w:rPr>
          <w:rFonts w:ascii="Verdana" w:hAnsi="Verdana" w:cs="Tahoma"/>
          <w:sz w:val="20"/>
          <w:szCs w:val="20"/>
        </w:rPr>
        <w:t xml:space="preserve"> </w:t>
      </w:r>
    </w:p>
    <w:p w14:paraId="793EC22C" w14:textId="77777777"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p w14:paraId="77AC1A5A" w14:textId="6CAAC99C" w:rsidR="00EB5CDB" w:rsidRDefault="008E55E6">
      <w:pPr>
        <w:pStyle w:val="PargrafodaLista"/>
        <w:numPr>
          <w:ilvl w:val="3"/>
          <w:numId w:val="4"/>
        </w:numPr>
        <w:spacing w:before="120" w:after="120" w:line="280" w:lineRule="exact"/>
        <w:jc w:val="both"/>
        <w:rPr>
          <w:rFonts w:ascii="Verdana" w:hAnsi="Verdana" w:cs="Tahoma"/>
          <w:sz w:val="20"/>
          <w:szCs w:val="20"/>
        </w:rPr>
      </w:pPr>
      <w:r>
        <w:rPr>
          <w:rFonts w:ascii="Verdana" w:hAnsi="Verdana" w:cs="Tahoma"/>
          <w:sz w:val="20"/>
          <w:szCs w:val="20"/>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 da Remuneração,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202"/>
    </w:p>
    <w:p w14:paraId="207BDF04"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Após realizada a efetiva dação em pagamento da totalidade dos Direitos Creditórios Vinculados, nos termos do disposto neste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Default="00EB5CDB">
      <w:pPr>
        <w:pStyle w:val="PargrafodaLista"/>
        <w:spacing w:before="120" w:after="120" w:line="280" w:lineRule="exact"/>
        <w:ind w:left="0"/>
        <w:jc w:val="both"/>
        <w:rPr>
          <w:rFonts w:ascii="Verdana" w:hAnsi="Verdana" w:cs="Tahoma"/>
          <w:sz w:val="20"/>
          <w:szCs w:val="20"/>
        </w:rPr>
      </w:pPr>
    </w:p>
    <w:p w14:paraId="3FD01C8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Local e Forma de Pagamento</w:t>
      </w:r>
    </w:p>
    <w:p w14:paraId="2DE294F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03" w:name="_DV_M211"/>
      <w:bookmarkEnd w:id="203"/>
      <w:r>
        <w:rPr>
          <w:rFonts w:ascii="Verdana" w:hAnsi="Verdana" w:cs="Tahoma"/>
          <w:sz w:val="20"/>
          <w:szCs w:val="20"/>
        </w:rPr>
        <w:t xml:space="preserve">Os pagamentos a que fizerem jus as Debêntures poderão ser efetuados </w:t>
      </w:r>
      <w:r>
        <w:rPr>
          <w:rFonts w:ascii="Verdana" w:hAnsi="Verdana" w:cs="Tahoma"/>
          <w:b/>
          <w:sz w:val="20"/>
          <w:szCs w:val="20"/>
        </w:rPr>
        <w:t>(i)</w:t>
      </w:r>
      <w:r>
        <w:rPr>
          <w:rFonts w:ascii="Verdana" w:hAnsi="Verdana" w:cs="Tahoma"/>
          <w:sz w:val="20"/>
          <w:szCs w:val="20"/>
        </w:rPr>
        <w:t xml:space="preserve"> utilizando-se os procedimentos adotados pela B3, caso as Debêntures estejam custodiadas eletronicamente na B3, </w:t>
      </w:r>
      <w:r>
        <w:rPr>
          <w:rFonts w:ascii="Verdana" w:hAnsi="Verdana" w:cs="Tahoma"/>
          <w:b/>
          <w:sz w:val="20"/>
          <w:szCs w:val="20"/>
        </w:rPr>
        <w:t>(ii)</w:t>
      </w:r>
      <w:r>
        <w:rPr>
          <w:rFonts w:ascii="Verdana" w:hAnsi="Verdana" w:cs="Tahoma"/>
          <w:sz w:val="20"/>
          <w:szCs w:val="20"/>
        </w:rPr>
        <w:t xml:space="preserve"> pelo Escriturador das Debêntures ou </w:t>
      </w:r>
      <w:r>
        <w:rPr>
          <w:rFonts w:ascii="Verdana" w:hAnsi="Verdana" w:cs="Tahoma"/>
          <w:b/>
          <w:sz w:val="20"/>
          <w:szCs w:val="20"/>
        </w:rPr>
        <w:t>(iii)</w:t>
      </w:r>
      <w:r>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Default="00EB5CDB">
      <w:pPr>
        <w:pStyle w:val="PargrafodaLista"/>
        <w:spacing w:before="120" w:after="120" w:line="280" w:lineRule="exact"/>
        <w:ind w:left="0"/>
        <w:jc w:val="both"/>
        <w:rPr>
          <w:rFonts w:ascii="Verdana" w:hAnsi="Verdana" w:cs="Tahoma"/>
          <w:sz w:val="20"/>
          <w:szCs w:val="20"/>
        </w:rPr>
      </w:pPr>
    </w:p>
    <w:p w14:paraId="4BCE7723"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Substituição dos Prestadores de Serviço</w:t>
      </w:r>
    </w:p>
    <w:p w14:paraId="4ABD5ED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O Banco Liquidante e o Escriturador poderão ser substituídos, sem necessidade de aprovação em Assembleia Geral de Debenturistas, nas seguintes hipóteses: </w:t>
      </w:r>
      <w:r>
        <w:rPr>
          <w:rFonts w:ascii="Verdana" w:hAnsi="Verdana"/>
          <w:b/>
          <w:bCs/>
          <w:sz w:val="20"/>
          <w:szCs w:val="20"/>
        </w:rPr>
        <w:t>(i)</w:t>
      </w:r>
      <w:r>
        <w:rPr>
          <w:rFonts w:ascii="Verdana" w:hAnsi="Verdana"/>
          <w:sz w:val="20"/>
          <w:szCs w:val="20"/>
        </w:rPr>
        <w:t xml:space="preserve"> os serviços não sejam prestados de forma satisfatória; e </w:t>
      </w:r>
      <w:r>
        <w:rPr>
          <w:rFonts w:ascii="Verdana" w:hAnsi="Verdana"/>
          <w:b/>
          <w:bCs/>
          <w:sz w:val="20"/>
          <w:szCs w:val="20"/>
        </w:rPr>
        <w:t>(ii)</w:t>
      </w:r>
      <w:r>
        <w:rPr>
          <w:rFonts w:ascii="Verdana" w:hAnsi="Verdana"/>
          <w:sz w:val="20"/>
          <w:szCs w:val="20"/>
        </w:rPr>
        <w:t xml:space="preserve"> caso qualquer um deles esteja, conforme aplicável, impossibilitado de exercer as suas funções ou haja renúncia ao desempenho de suas funções nos termos previstos em contrato</w:t>
      </w:r>
      <w:r>
        <w:rPr>
          <w:rFonts w:ascii="Verdana" w:hAnsi="Verdana" w:cs="Tahoma"/>
          <w:sz w:val="20"/>
          <w:szCs w:val="20"/>
        </w:rPr>
        <w:t xml:space="preserve">. </w:t>
      </w:r>
    </w:p>
    <w:p w14:paraId="5DED4CBA" w14:textId="77777777" w:rsidR="00EB5CDB" w:rsidRDefault="00EB5CDB">
      <w:pPr>
        <w:pStyle w:val="PargrafodaLista"/>
        <w:spacing w:before="120" w:after="120" w:line="280" w:lineRule="exact"/>
        <w:ind w:left="0"/>
        <w:jc w:val="both"/>
        <w:rPr>
          <w:rFonts w:ascii="Verdana" w:hAnsi="Verdana" w:cs="Tahoma"/>
          <w:sz w:val="20"/>
          <w:szCs w:val="20"/>
        </w:rPr>
      </w:pPr>
    </w:p>
    <w:p w14:paraId="73A572DA"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04" w:name="_DV_M212"/>
      <w:bookmarkEnd w:id="204"/>
      <w:r>
        <w:rPr>
          <w:rFonts w:ascii="Verdana" w:eastAsia="MS Mincho" w:hAnsi="Verdana" w:cs="Tahoma"/>
          <w:b/>
          <w:sz w:val="20"/>
          <w:szCs w:val="20"/>
        </w:rPr>
        <w:t>Prorrogação dos Prazos</w:t>
      </w:r>
    </w:p>
    <w:p w14:paraId="2D341BFE"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Default="00EB5CDB">
      <w:pPr>
        <w:pStyle w:val="PargrafodaLista"/>
        <w:spacing w:before="120" w:after="120" w:line="280" w:lineRule="exact"/>
        <w:ind w:left="0"/>
        <w:jc w:val="both"/>
        <w:rPr>
          <w:rFonts w:ascii="Verdana" w:hAnsi="Verdana" w:cs="Tahoma"/>
          <w:sz w:val="20"/>
          <w:szCs w:val="20"/>
        </w:rPr>
      </w:pPr>
    </w:p>
    <w:p w14:paraId="24D6EE36"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05" w:name="_Ref495596651"/>
      <w:r>
        <w:rPr>
          <w:rFonts w:ascii="Verdana" w:eastAsia="MS Mincho" w:hAnsi="Verdana" w:cs="Tahoma"/>
          <w:b/>
          <w:sz w:val="20"/>
          <w:szCs w:val="20"/>
        </w:rPr>
        <w:t>Encargos Moratórios</w:t>
      </w:r>
      <w:bookmarkEnd w:id="205"/>
    </w:p>
    <w:p w14:paraId="647D525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Pr>
          <w:rFonts w:ascii="Verdana" w:hAnsi="Verdana" w:cs="Tahoma"/>
          <w:b/>
          <w:sz w:val="20"/>
          <w:szCs w:val="20"/>
        </w:rPr>
        <w:t>(i)</w:t>
      </w:r>
      <w:r>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Pr>
          <w:rFonts w:ascii="Verdana" w:hAnsi="Verdana" w:cs="Tahoma"/>
          <w:b/>
          <w:sz w:val="20"/>
          <w:szCs w:val="20"/>
        </w:rPr>
        <w:t>(ii)</w:t>
      </w:r>
      <w:r>
        <w:rPr>
          <w:rFonts w:ascii="Verdana" w:hAnsi="Verdana" w:cs="Tahoma"/>
          <w:sz w:val="20"/>
          <w:szCs w:val="20"/>
        </w:rPr>
        <w:t xml:space="preserve"> multa moratória convencional de 2% (dois por cento) sobre o valor devido e não pago.</w:t>
      </w:r>
    </w:p>
    <w:p w14:paraId="36CC29A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Default="00EB5CDB">
      <w:pPr>
        <w:pStyle w:val="PargrafodaLista"/>
        <w:spacing w:before="120" w:after="120" w:line="280" w:lineRule="exact"/>
        <w:ind w:left="0"/>
        <w:jc w:val="both"/>
        <w:rPr>
          <w:rFonts w:ascii="Verdana" w:hAnsi="Verdana" w:cs="Tahoma"/>
          <w:sz w:val="20"/>
          <w:szCs w:val="20"/>
        </w:rPr>
      </w:pPr>
    </w:p>
    <w:p w14:paraId="64D24FB4"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Banco Liquidante e Escriturador</w:t>
      </w:r>
    </w:p>
    <w:p w14:paraId="73489A28" w14:textId="62A3A2B0"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kern w:val="20"/>
          <w:sz w:val="20"/>
          <w:szCs w:val="20"/>
        </w:rPr>
        <w:t xml:space="preserve">O </w:t>
      </w:r>
      <w:r>
        <w:rPr>
          <w:rFonts w:ascii="Verdana" w:hAnsi="Verdana" w:cs="Tahoma"/>
          <w:sz w:val="20"/>
          <w:szCs w:val="20"/>
        </w:rPr>
        <w:t xml:space="preserve">Banco Liquidante e o </w:t>
      </w:r>
      <w:r>
        <w:rPr>
          <w:rFonts w:ascii="Verdana" w:hAnsi="Verdana" w:cs="Tahoma"/>
          <w:kern w:val="20"/>
          <w:sz w:val="20"/>
          <w:szCs w:val="20"/>
        </w:rPr>
        <w:t xml:space="preserve">Escriturador das Debêntures será a </w:t>
      </w:r>
      <w:r>
        <w:rPr>
          <w:rFonts w:ascii="Verdana" w:eastAsia="Arial Unicode MS" w:hAnsi="Verdana"/>
          <w:sz w:val="20"/>
          <w:szCs w:val="20"/>
          <w:lang w:eastAsia="en-US"/>
        </w:rPr>
        <w:t>CM Capital Markets Distribuidora de Títulos e Valores Mobiliários Ltda., com sede na Rua Gomes de Carvalho, nº</w:t>
      </w:r>
      <w:r w:rsidR="00B0751C">
        <w:rPr>
          <w:rFonts w:ascii="Verdana" w:eastAsia="Arial Unicode MS" w:hAnsi="Verdana"/>
          <w:sz w:val="20"/>
          <w:szCs w:val="20"/>
          <w:lang w:eastAsia="en-US"/>
        </w:rPr>
        <w:t> </w:t>
      </w:r>
      <w:r>
        <w:rPr>
          <w:rFonts w:ascii="Verdana" w:eastAsia="Arial Unicode MS" w:hAnsi="Verdana"/>
          <w:sz w:val="20"/>
          <w:szCs w:val="20"/>
          <w:lang w:eastAsia="en-US"/>
        </w:rPr>
        <w:t xml:space="preserve">1.195, 4º andar, CEP 04.547-000, Cidade de São Paulo, Estado de São Paulo, inscrita no CNPJ/MF sob o nº </w:t>
      </w:r>
      <w:r>
        <w:rPr>
          <w:rFonts w:ascii="Verdana" w:hAnsi="Verdana"/>
          <w:sz w:val="20"/>
          <w:szCs w:val="20"/>
        </w:rPr>
        <w:t>02.671.743/0001-19</w:t>
      </w:r>
      <w:r>
        <w:rPr>
          <w:rFonts w:ascii="Verdana" w:hAnsi="Verdana" w:cs="Tahoma"/>
          <w:kern w:val="20"/>
          <w:sz w:val="20"/>
          <w:szCs w:val="20"/>
        </w:rPr>
        <w:t>.</w:t>
      </w:r>
      <w:bookmarkStart w:id="206" w:name="_DV_M96"/>
      <w:bookmarkEnd w:id="206"/>
    </w:p>
    <w:p w14:paraId="434EF4B4" w14:textId="77777777" w:rsidR="00EB5CDB" w:rsidRDefault="00EB5CDB">
      <w:pPr>
        <w:pStyle w:val="PargrafodaLista"/>
        <w:spacing w:before="120" w:after="120" w:line="280" w:lineRule="exact"/>
        <w:ind w:left="0"/>
        <w:jc w:val="both"/>
        <w:rPr>
          <w:rFonts w:ascii="Verdana" w:hAnsi="Verdana" w:cs="Tahoma"/>
          <w:sz w:val="20"/>
          <w:szCs w:val="20"/>
        </w:rPr>
      </w:pPr>
    </w:p>
    <w:p w14:paraId="470E871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07" w:name="_Ref481525172"/>
      <w:r>
        <w:rPr>
          <w:rFonts w:ascii="Verdana" w:eastAsia="MS Mincho" w:hAnsi="Verdana" w:cs="Tahoma"/>
          <w:b/>
          <w:sz w:val="20"/>
          <w:szCs w:val="20"/>
        </w:rPr>
        <w:t>Garantia</w:t>
      </w:r>
      <w:bookmarkEnd w:id="207"/>
    </w:p>
    <w:p w14:paraId="136248B1"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Será constituída, em favor dos Debenturistas, cessão fiduciária da totalidade dos Direitos Creditórios Alienados, que estarão livres de quaisquer ônus ou gravames, nos termos do Contrato de Cessão Fiduciária.</w:t>
      </w:r>
    </w:p>
    <w:p w14:paraId="3C8B6A0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Pr>
          <w:rFonts w:ascii="Verdana" w:hAnsi="Verdana" w:cs="Tahoma"/>
          <w:sz w:val="20"/>
          <w:szCs w:val="20"/>
        </w:rPr>
        <w:fldChar w:fldCharType="begin"/>
      </w:r>
      <w:r>
        <w:rPr>
          <w:rFonts w:ascii="Verdana" w:hAnsi="Verdana" w:cs="Tahoma"/>
          <w:sz w:val="20"/>
          <w:szCs w:val="20"/>
        </w:rPr>
        <w:instrText xml:space="preserve"> REF _Ref495348671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3.20.3</w:t>
      </w:r>
      <w:r>
        <w:rPr>
          <w:rFonts w:ascii="Verdana" w:hAnsi="Verdana" w:cs="Tahoma"/>
          <w:sz w:val="20"/>
          <w:szCs w:val="20"/>
        </w:rPr>
        <w:fldChar w:fldCharType="end"/>
      </w:r>
      <w:r>
        <w:rPr>
          <w:rFonts w:ascii="Verdana" w:hAnsi="Verdana" w:cs="Tahoma"/>
          <w:sz w:val="20"/>
          <w:szCs w:val="20"/>
        </w:rPr>
        <w:t xml:space="preserve"> acima.</w:t>
      </w:r>
    </w:p>
    <w:p w14:paraId="4B6F12BD" w14:textId="3D2BB1E1"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excussão da Garantia poderá ser realizada </w:t>
      </w:r>
      <w:r w:rsidR="00F95482">
        <w:rPr>
          <w:rFonts w:ascii="Verdana" w:hAnsi="Verdana" w:cs="Tahoma"/>
          <w:sz w:val="20"/>
          <w:szCs w:val="20"/>
        </w:rPr>
        <w:t xml:space="preserve">caso </w:t>
      </w:r>
      <w:r>
        <w:rPr>
          <w:rFonts w:ascii="Verdana" w:hAnsi="Verdana" w:cs="Tahoma"/>
          <w:sz w:val="20"/>
          <w:szCs w:val="20"/>
        </w:rPr>
        <w:t xml:space="preserve">em qualquer hipótese de vencimento antecipado, os Debenturistas deliberem pela excussão em Assembleia Geral de Debenturistas a ser convocada nos termos do item </w:t>
      </w:r>
      <w:r>
        <w:rPr>
          <w:rFonts w:ascii="Verdana" w:hAnsi="Verdana" w:cs="Tahoma"/>
          <w:sz w:val="20"/>
          <w:szCs w:val="20"/>
        </w:rPr>
        <w:fldChar w:fldCharType="begin"/>
      </w:r>
      <w:r>
        <w:rPr>
          <w:rFonts w:ascii="Verdana" w:hAnsi="Verdana" w:cs="Tahoma"/>
          <w:sz w:val="20"/>
          <w:szCs w:val="20"/>
        </w:rPr>
        <w:instrText xml:space="preserve"> REF _Ref518574552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abaixo.</w:t>
      </w:r>
    </w:p>
    <w:p w14:paraId="7F2EBD1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Alienados, abrangidos pela Garantia. </w:t>
      </w:r>
    </w:p>
    <w:p w14:paraId="3F1912CB"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Default="00EB5CDB">
      <w:pPr>
        <w:pStyle w:val="PargrafodaLista"/>
        <w:spacing w:before="120" w:after="120" w:line="280" w:lineRule="exact"/>
        <w:ind w:left="0"/>
        <w:jc w:val="both"/>
        <w:rPr>
          <w:rFonts w:ascii="Verdana" w:hAnsi="Verdana" w:cs="Tahoma"/>
          <w:sz w:val="20"/>
          <w:szCs w:val="20"/>
        </w:rPr>
      </w:pPr>
    </w:p>
    <w:p w14:paraId="5E6C1DAF"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bookmarkStart w:id="208" w:name="_DV_M147"/>
      <w:bookmarkStart w:id="209" w:name="_Ref422391862"/>
      <w:bookmarkStart w:id="210" w:name="_Ref491979942"/>
      <w:bookmarkStart w:id="211" w:name="_Ref497553343"/>
      <w:bookmarkEnd w:id="208"/>
      <w:r>
        <w:rPr>
          <w:rFonts w:ascii="Verdana" w:eastAsia="MS Mincho" w:hAnsi="Verdana" w:cs="Tahoma"/>
          <w:b/>
          <w:sz w:val="20"/>
          <w:szCs w:val="20"/>
        </w:rPr>
        <w:t>Eventos de Desalavancagem, Eventos de Aceleração de Vencimento, Eventos de Inadimplemento e Vencimento Antecipado</w:t>
      </w:r>
      <w:bookmarkStart w:id="212" w:name="_DV_M168"/>
      <w:bookmarkEnd w:id="209"/>
      <w:bookmarkEnd w:id="210"/>
      <w:bookmarkEnd w:id="211"/>
      <w:bookmarkEnd w:id="212"/>
    </w:p>
    <w:p w14:paraId="74BBA97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13" w:name="_Ref518568334"/>
      <w:bookmarkStart w:id="214" w:name="_Ref422391983"/>
      <w:r>
        <w:rPr>
          <w:rFonts w:ascii="Verdana" w:hAnsi="Verdana" w:cs="Tahoma"/>
          <w:sz w:val="20"/>
          <w:szCs w:val="20"/>
        </w:rPr>
        <w:t xml:space="preserve">A ocorrência dos Eventos </w:t>
      </w:r>
      <w:r>
        <w:rPr>
          <w:rStyle w:val="DeltaViewInsertion"/>
          <w:rFonts w:ascii="Verdana" w:hAnsi="Verdana" w:cs="Tahoma"/>
          <w:color w:val="auto"/>
          <w:sz w:val="20"/>
          <w:szCs w:val="20"/>
          <w:u w:val="none"/>
        </w:rPr>
        <w:t xml:space="preserve">de Desalavancagem listados abaixo poderá, nos termos dos itens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_Ref518568406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3.29.2</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e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abaixo</w:t>
      </w:r>
      <w:r>
        <w:rPr>
          <w:rFonts w:ascii="Verdana" w:hAnsi="Verdana" w:cs="Tahoma"/>
          <w:sz w:val="20"/>
          <w:szCs w:val="20"/>
        </w:rPr>
        <w:t>, acarretar na declaração do Evento de Aceleração de Vencimento:</w:t>
      </w:r>
      <w:bookmarkEnd w:id="213"/>
    </w:p>
    <w:p w14:paraId="5E6089AD" w14:textId="5053C7F3"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verificação pelo Agente Fiduciário, conforme informado pela Emissora, em uma Data de Verificação, considerando </w:t>
      </w:r>
      <w:r>
        <w:rPr>
          <w:rFonts w:ascii="Verdana" w:hAnsi="Verdana" w:cs="Tahoma"/>
          <w:i/>
          <w:sz w:val="20"/>
          <w:szCs w:val="20"/>
        </w:rPr>
        <w:t>pro forma</w:t>
      </w:r>
      <w:r>
        <w:rPr>
          <w:rFonts w:ascii="Verdana" w:hAnsi="Verdana" w:cs="Tahoma"/>
          <w:sz w:val="20"/>
          <w:szCs w:val="20"/>
        </w:rPr>
        <w:t xml:space="preserve"> o pagamento de Remuneração e Amortização Extraordinária Obrigatória na respectiva Data de Pagamento, conforme aplicável, de que o Índice de Cobertura é menor que 0,</w:t>
      </w:r>
      <w:r w:rsidR="00F95482">
        <w:rPr>
          <w:rFonts w:ascii="Verdana" w:hAnsi="Verdana" w:cs="Tahoma"/>
          <w:sz w:val="20"/>
          <w:szCs w:val="20"/>
        </w:rPr>
        <w:t>8</w:t>
      </w:r>
      <w:r>
        <w:rPr>
          <w:rFonts w:ascii="Verdana" w:hAnsi="Verdana" w:cs="Tahoma"/>
          <w:sz w:val="20"/>
          <w:szCs w:val="20"/>
        </w:rPr>
        <w:t xml:space="preserve"> (</w:t>
      </w:r>
      <w:r w:rsidR="00F95482">
        <w:rPr>
          <w:rFonts w:ascii="Verdana" w:hAnsi="Verdana" w:cs="Tahoma"/>
          <w:sz w:val="20"/>
          <w:szCs w:val="20"/>
        </w:rPr>
        <w:t>oito</w:t>
      </w:r>
      <w:r>
        <w:rPr>
          <w:rFonts w:ascii="Verdana" w:hAnsi="Verdana" w:cs="Tahoma"/>
          <w:sz w:val="20"/>
          <w:szCs w:val="20"/>
        </w:rPr>
        <w:t xml:space="preserve"> décimos); </w:t>
      </w:r>
    </w:p>
    <w:p w14:paraId="1D000972" w14:textId="50197BA9"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durante o Período de Alocação, </w:t>
      </w:r>
      <w:r>
        <w:rPr>
          <w:rFonts w:ascii="Verdana" w:hAnsi="Verdana" w:cs="Tahoma"/>
          <w:b/>
          <w:sz w:val="20"/>
          <w:szCs w:val="20"/>
        </w:rPr>
        <w:t>(a)</w:t>
      </w:r>
      <w:r>
        <w:rPr>
          <w:rFonts w:ascii="Verdana" w:hAnsi="Verdana" w:cs="Tahoma"/>
          <w:sz w:val="20"/>
          <w:szCs w:val="20"/>
        </w:rPr>
        <w:t xml:space="preserve"> a </w:t>
      </w:r>
      <w:r w:rsidR="00BA774E">
        <w:rPr>
          <w:rFonts w:ascii="Verdana" w:hAnsi="Verdana" w:cs="Tahoma"/>
          <w:sz w:val="20"/>
          <w:szCs w:val="20"/>
        </w:rPr>
        <w:t>Gyramais</w:t>
      </w:r>
      <w:r>
        <w:rPr>
          <w:rFonts w:ascii="Verdana" w:hAnsi="Verdana" w:cs="Tahoma"/>
          <w:sz w:val="20"/>
          <w:szCs w:val="20"/>
        </w:rPr>
        <w:t xml:space="preserve"> não seja capaz de operar e originar empréstimos por meio da Plataforma por mais de 30 (trinta) dias consecutivos e </w:t>
      </w:r>
      <w:r>
        <w:rPr>
          <w:rFonts w:ascii="Verdana" w:hAnsi="Verdana" w:cs="Tahoma"/>
          <w:b/>
          <w:sz w:val="20"/>
          <w:szCs w:val="20"/>
        </w:rPr>
        <w:t>(b)</w:t>
      </w:r>
      <w:r>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p>
    <w:p w14:paraId="257714D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6468097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064040BA"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transformação do tipo societário da Emissora, de modo que deixe de ser uma sociedade anônima, nos termos do artigo 220 da Lei das Sociedades por Ações;</w:t>
      </w:r>
    </w:p>
    <w:p w14:paraId="69FFC3E9"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fusão, cisão e incorporação (inclusive de ações) da Emissora, exceto </w:t>
      </w:r>
      <w:r>
        <w:rPr>
          <w:rFonts w:ascii="Verdana" w:hAnsi="Verdana" w:cs="Tahoma"/>
          <w:b/>
          <w:sz w:val="20"/>
          <w:szCs w:val="20"/>
        </w:rPr>
        <w:t>(a)</w:t>
      </w:r>
      <w:r>
        <w:rPr>
          <w:rFonts w:ascii="Verdana" w:hAnsi="Verdana" w:cs="Tahoma"/>
          <w:sz w:val="20"/>
          <w:szCs w:val="20"/>
        </w:rPr>
        <w:t xml:space="preserve"> se prévia e expressamente aprovada pelos Debenturistas; ou </w:t>
      </w:r>
      <w:r>
        <w:rPr>
          <w:rFonts w:ascii="Verdana" w:hAnsi="Verdana" w:cs="Tahoma"/>
          <w:b/>
          <w:sz w:val="20"/>
          <w:szCs w:val="20"/>
        </w:rPr>
        <w:t>(b)</w:t>
      </w:r>
      <w:r>
        <w:rPr>
          <w:rFonts w:ascii="Verdana" w:hAnsi="Verdana" w:cs="Tahoma"/>
          <w:sz w:val="20"/>
          <w:szCs w:val="20"/>
        </w:rPr>
        <w:t xml:space="preserve"> se for assegurado aos Debenturistas o direito de resgate das Debêntures que assim desejar, nos termos do artigo 231 da Lei das Sociedades por Ações;</w:t>
      </w:r>
    </w:p>
    <w:p w14:paraId="140B9F28"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1CE58F62"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redução do capital social da Emissora sem observância do disposto no artigo 174 da Lei das Sociedades por Ações;</w:t>
      </w:r>
    </w:p>
    <w:p w14:paraId="2DBA71E1" w14:textId="21A8BAC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mudança do Objeto Social da Emissora, sem prévia e expressa aprovação dos Debenturistas;</w:t>
      </w:r>
    </w:p>
    <w:p w14:paraId="26731A61" w14:textId="77777777" w:rsidR="006C355A" w:rsidRDefault="006C355A" w:rsidP="006C355A">
      <w:pPr>
        <w:pStyle w:val="ListaColorida-nfase12"/>
        <w:numPr>
          <w:ilvl w:val="0"/>
          <w:numId w:val="62"/>
        </w:numPr>
        <w:spacing w:before="120" w:after="120" w:line="280" w:lineRule="exact"/>
        <w:ind w:right="-23" w:hanging="567"/>
        <w:jc w:val="both"/>
        <w:rPr>
          <w:rFonts w:ascii="Verdana" w:hAnsi="Verdana" w:cs="Tahoma"/>
          <w:sz w:val="20"/>
          <w:szCs w:val="20"/>
        </w:rPr>
      </w:pPr>
      <w:bookmarkStart w:id="215" w:name="_Ref518574648"/>
      <w:r>
        <w:rPr>
          <w:rFonts w:ascii="Verdana" w:hAnsi="Verdana" w:cs="Tahoma"/>
          <w:sz w:val="20"/>
          <w:szCs w:val="20"/>
        </w:rPr>
        <w:t>vencimento antecipado de qualquer obrigação financeira da Emissora, em valor individual ou agregado superior a R$500.000,00 (quinhentos mil reais);</w:t>
      </w:r>
      <w:bookmarkEnd w:id="215"/>
    </w:p>
    <w:p w14:paraId="28C7C2F2" w14:textId="6C987D28"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proposta pela </w:t>
      </w:r>
      <w:del w:id="216" w:author="Gabriel Lopes" w:date="2020-09-17T00:08:00Z">
        <w:r>
          <w:rPr>
            <w:rFonts w:ascii="Verdana" w:hAnsi="Verdana" w:cs="Tahoma"/>
            <w:sz w:val="20"/>
            <w:szCs w:val="20"/>
          </w:rPr>
          <w:delText>Rebel Corban</w:delText>
        </w:r>
      </w:del>
      <w:ins w:id="217" w:author="Gabriel Lopes" w:date="2020-09-17T00:08:00Z">
        <w:r w:rsidR="0059795D">
          <w:rPr>
            <w:rFonts w:ascii="Verdana" w:hAnsi="Verdana" w:cs="Tahoma"/>
            <w:sz w:val="20"/>
            <w:szCs w:val="20"/>
          </w:rPr>
          <w:t>Gyramais</w:t>
        </w:r>
      </w:ins>
      <w:r>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w:t>
      </w:r>
      <w:del w:id="218" w:author="Gabriel Lopes" w:date="2020-09-17T00:08:00Z">
        <w:r>
          <w:rPr>
            <w:rFonts w:ascii="Verdana" w:hAnsi="Verdana" w:cs="Tahoma"/>
            <w:sz w:val="20"/>
            <w:szCs w:val="20"/>
          </w:rPr>
          <w:delText>Rebel Corban</w:delText>
        </w:r>
      </w:del>
      <w:ins w:id="219" w:author="Gabriel Lopes" w:date="2020-09-17T00:08:00Z">
        <w:r w:rsidR="0059795D">
          <w:rPr>
            <w:rFonts w:ascii="Verdana" w:hAnsi="Verdana" w:cs="Tahoma"/>
            <w:sz w:val="20"/>
            <w:szCs w:val="20"/>
          </w:rPr>
          <w:t>Gyramais</w:t>
        </w:r>
      </w:ins>
      <w:r>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del w:id="220" w:author="Gabriel Lopes" w:date="2020-09-17T00:08:00Z">
        <w:r>
          <w:rPr>
            <w:rFonts w:ascii="Verdana" w:hAnsi="Verdana" w:cs="Tahoma"/>
            <w:sz w:val="20"/>
            <w:szCs w:val="20"/>
          </w:rPr>
          <w:delText>Rebel Corban</w:delText>
        </w:r>
      </w:del>
      <w:ins w:id="221" w:author="Gabriel Lopes" w:date="2020-09-17T00:08:00Z">
        <w:r w:rsidR="0059795D">
          <w:rPr>
            <w:rFonts w:ascii="Verdana" w:hAnsi="Verdana" w:cs="Tahoma"/>
            <w:sz w:val="20"/>
            <w:szCs w:val="20"/>
          </w:rPr>
          <w:t>Gyramais</w:t>
        </w:r>
      </w:ins>
      <w:r>
        <w:rPr>
          <w:rFonts w:ascii="Verdana" w:hAnsi="Verdana" w:cs="Tahoma"/>
          <w:sz w:val="20"/>
          <w:szCs w:val="20"/>
        </w:rPr>
        <w:t>;</w:t>
      </w:r>
    </w:p>
    <w:p w14:paraId="128E913D" w14:textId="4B05A20B" w:rsid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b/>
          <w:sz w:val="20"/>
          <w:szCs w:val="20"/>
        </w:rPr>
        <w:t>(a)</w:t>
      </w:r>
      <w:r>
        <w:rPr>
          <w:rFonts w:ascii="Verdana" w:hAnsi="Verdana" w:cs="Tahoma"/>
          <w:sz w:val="20"/>
          <w:szCs w:val="20"/>
        </w:rPr>
        <w:t xml:space="preserve"> decretação de falência da </w:t>
      </w:r>
      <w:del w:id="222" w:author="Gabriel Lopes" w:date="2020-09-17T00:08:00Z">
        <w:r>
          <w:rPr>
            <w:rFonts w:ascii="Verdana" w:hAnsi="Verdana" w:cs="Tahoma"/>
            <w:sz w:val="20"/>
            <w:szCs w:val="20"/>
          </w:rPr>
          <w:delText>Rebel Corban</w:delText>
        </w:r>
      </w:del>
      <w:ins w:id="223" w:author="Gabriel Lopes" w:date="2020-09-17T00:08:00Z">
        <w:r w:rsidR="0059795D">
          <w:rPr>
            <w:rFonts w:ascii="Verdana" w:hAnsi="Verdana" w:cs="Tahoma"/>
            <w:sz w:val="20"/>
            <w:szCs w:val="20"/>
          </w:rPr>
          <w:t>Gyramais</w:t>
        </w:r>
      </w:ins>
      <w:r>
        <w:rPr>
          <w:rFonts w:ascii="Verdana" w:hAnsi="Verdana" w:cs="Tahoma"/>
          <w:sz w:val="20"/>
          <w:szCs w:val="20"/>
        </w:rPr>
        <w:t xml:space="preserve">; </w:t>
      </w:r>
      <w:r>
        <w:rPr>
          <w:rFonts w:ascii="Verdana" w:hAnsi="Verdana" w:cs="Tahoma"/>
          <w:b/>
          <w:sz w:val="20"/>
          <w:szCs w:val="20"/>
        </w:rPr>
        <w:t>(b)</w:t>
      </w:r>
      <w:r>
        <w:rPr>
          <w:rFonts w:ascii="Verdana" w:hAnsi="Verdana" w:cs="Tahoma"/>
          <w:sz w:val="20"/>
          <w:szCs w:val="20"/>
        </w:rPr>
        <w:t xml:space="preserve"> pedido de autofalência formulado pela </w:t>
      </w:r>
      <w:del w:id="224" w:author="Gabriel Lopes" w:date="2020-09-17T00:08:00Z">
        <w:r>
          <w:rPr>
            <w:rFonts w:ascii="Verdana" w:hAnsi="Verdana" w:cs="Tahoma"/>
            <w:sz w:val="20"/>
            <w:szCs w:val="20"/>
          </w:rPr>
          <w:delText>Rebel Corban</w:delText>
        </w:r>
      </w:del>
      <w:ins w:id="225" w:author="Gabriel Lopes" w:date="2020-09-17T00:08:00Z">
        <w:r w:rsidR="0059795D">
          <w:rPr>
            <w:rFonts w:ascii="Verdana" w:hAnsi="Verdana" w:cs="Tahoma"/>
            <w:sz w:val="20"/>
            <w:szCs w:val="20"/>
          </w:rPr>
          <w:t>Gyramais</w:t>
        </w:r>
      </w:ins>
      <w:r>
        <w:rPr>
          <w:rFonts w:ascii="Verdana" w:hAnsi="Verdana" w:cs="Tahoma"/>
          <w:sz w:val="20"/>
          <w:szCs w:val="20"/>
        </w:rPr>
        <w:t xml:space="preserve">; </w:t>
      </w:r>
      <w:r>
        <w:rPr>
          <w:rFonts w:ascii="Verdana" w:hAnsi="Verdana" w:cs="Tahoma"/>
          <w:b/>
          <w:sz w:val="20"/>
          <w:szCs w:val="20"/>
        </w:rPr>
        <w:t>(c)</w:t>
      </w:r>
      <w:r>
        <w:rPr>
          <w:rFonts w:ascii="Verdana" w:hAnsi="Verdana" w:cs="Tahoma"/>
          <w:sz w:val="20"/>
          <w:szCs w:val="20"/>
        </w:rPr>
        <w:t xml:space="preserve"> pedido de falência formulado por terceiros em face da </w:t>
      </w:r>
      <w:del w:id="226" w:author="Gabriel Lopes" w:date="2020-09-17T00:08:00Z">
        <w:r>
          <w:rPr>
            <w:rFonts w:ascii="Verdana" w:hAnsi="Verdana" w:cs="Tahoma"/>
            <w:sz w:val="20"/>
            <w:szCs w:val="20"/>
          </w:rPr>
          <w:delText>Rebel Corban</w:delText>
        </w:r>
      </w:del>
      <w:ins w:id="227" w:author="Gabriel Lopes" w:date="2020-09-17T00:08:00Z">
        <w:r w:rsidR="0059795D">
          <w:rPr>
            <w:rFonts w:ascii="Verdana" w:hAnsi="Verdana" w:cs="Tahoma"/>
            <w:sz w:val="20"/>
            <w:szCs w:val="20"/>
          </w:rPr>
          <w:t>Gyramais</w:t>
        </w:r>
      </w:ins>
      <w:r>
        <w:rPr>
          <w:rFonts w:ascii="Verdana" w:hAnsi="Verdana" w:cs="Tahoma"/>
          <w:sz w:val="20"/>
          <w:szCs w:val="20"/>
        </w:rPr>
        <w:t xml:space="preserve"> e não devidamente elidido no prazo legal;</w:t>
      </w:r>
    </w:p>
    <w:p w14:paraId="6112B9E9" w14:textId="32264E99" w:rsidR="006C355A" w:rsidRPr="006C355A" w:rsidRDefault="006C355A" w:rsidP="006C355A">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cessação pela </w:t>
      </w:r>
      <w:del w:id="228" w:author="Gabriel Lopes" w:date="2020-09-17T00:08:00Z">
        <w:r>
          <w:rPr>
            <w:rFonts w:ascii="Verdana" w:hAnsi="Verdana" w:cs="Tahoma"/>
            <w:sz w:val="20"/>
            <w:szCs w:val="20"/>
          </w:rPr>
          <w:delText>Rebel Corban</w:delText>
        </w:r>
      </w:del>
      <w:ins w:id="229" w:author="Gabriel Lopes" w:date="2020-09-17T00:08:00Z">
        <w:r w:rsidR="0059795D">
          <w:rPr>
            <w:rFonts w:ascii="Verdana" w:hAnsi="Verdana" w:cs="Tahoma"/>
            <w:sz w:val="20"/>
            <w:szCs w:val="20"/>
          </w:rPr>
          <w:t>Gyramais</w:t>
        </w:r>
      </w:ins>
      <w:r>
        <w:rPr>
          <w:rFonts w:ascii="Verdana" w:hAnsi="Verdana" w:cs="Tahoma"/>
          <w:sz w:val="20"/>
          <w:szCs w:val="20"/>
        </w:rPr>
        <w:t xml:space="preserve"> de suas atividades empresariais e/ou adoção de medidas societárias voltadas à sua liquidação, dissolução ou extinção;</w:t>
      </w:r>
    </w:p>
    <w:p w14:paraId="0BDF4BF7"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230" w:name="_Ref518574664"/>
      <w:r>
        <w:rPr>
          <w:rFonts w:ascii="Verdana" w:hAnsi="Verdana" w:cs="Tahoma"/>
          <w:sz w:val="20"/>
          <w:szCs w:val="20"/>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Pr>
          <w:rFonts w:ascii="Verdana" w:hAnsi="Verdana" w:cs="Tahoma"/>
          <w:b/>
          <w:sz w:val="20"/>
          <w:szCs w:val="20"/>
        </w:rPr>
        <w:t>(a)</w:t>
      </w:r>
      <w:r>
        <w:rPr>
          <w:rFonts w:ascii="Verdana" w:hAnsi="Verdana" w:cs="Tahoma"/>
          <w:sz w:val="20"/>
          <w:szCs w:val="20"/>
        </w:rPr>
        <w:t xml:space="preserve"> o protesto foi legalmente sustado, </w:t>
      </w:r>
      <w:r>
        <w:rPr>
          <w:rFonts w:ascii="Verdana" w:hAnsi="Verdana" w:cs="Tahoma"/>
          <w:b/>
          <w:sz w:val="20"/>
          <w:szCs w:val="20"/>
        </w:rPr>
        <w:t>(b)</w:t>
      </w:r>
      <w:r>
        <w:rPr>
          <w:rFonts w:ascii="Verdana" w:hAnsi="Verdana" w:cs="Tahoma"/>
          <w:sz w:val="20"/>
          <w:szCs w:val="20"/>
        </w:rPr>
        <w:t xml:space="preserve"> o protesto foi cancelado, ou </w:t>
      </w:r>
      <w:r>
        <w:rPr>
          <w:rFonts w:ascii="Verdana" w:hAnsi="Verdana" w:cs="Tahoma"/>
          <w:b/>
          <w:sz w:val="20"/>
          <w:szCs w:val="20"/>
        </w:rPr>
        <w:t>(c)</w:t>
      </w:r>
      <w:r>
        <w:rPr>
          <w:rFonts w:ascii="Verdana" w:hAnsi="Verdana" w:cs="Tahoma"/>
          <w:sz w:val="20"/>
          <w:szCs w:val="20"/>
        </w:rPr>
        <w:t xml:space="preserve"> o valor do(s) título(s) protestado(s) foi(foram) depositado(s) em juízo ou prestada caução;</w:t>
      </w:r>
      <w:bookmarkEnd w:id="230"/>
    </w:p>
    <w:p w14:paraId="1071E93F"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bookmarkStart w:id="231" w:name="_Ref518574724"/>
      <w:r>
        <w:rPr>
          <w:rFonts w:ascii="Verdana" w:hAnsi="Verdana" w:cs="Tahoma"/>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bookmarkEnd w:id="231"/>
    </w:p>
    <w:p w14:paraId="7D0DD74C" w14:textId="77777777"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constatação de que as declarações realizadas pela Emissora nesta Escritura de Emissão ou no Contrato de Cessão Fiduciária, eram falsas ou enganosas, ou ainda, de forma relevante, incorretas ou incompletas na data em que foram declaradas; e/ou</w:t>
      </w:r>
    </w:p>
    <w:p w14:paraId="17096E68" w14:textId="1FCFC44B" w:rsidR="00EB5CDB" w:rsidRDefault="008E55E6">
      <w:pPr>
        <w:pStyle w:val="ListaColorida-nfase12"/>
        <w:numPr>
          <w:ilvl w:val="0"/>
          <w:numId w:val="62"/>
        </w:numPr>
        <w:spacing w:before="120" w:after="120" w:line="280" w:lineRule="exact"/>
        <w:ind w:hanging="567"/>
        <w:jc w:val="both"/>
        <w:rPr>
          <w:rFonts w:ascii="Verdana" w:hAnsi="Verdana" w:cs="Tahoma"/>
          <w:sz w:val="20"/>
          <w:szCs w:val="20"/>
        </w:rPr>
      </w:pPr>
      <w:r>
        <w:rPr>
          <w:rFonts w:ascii="Verdana" w:hAnsi="Verdana" w:cs="Tahoma"/>
          <w:sz w:val="20"/>
          <w:szCs w:val="20"/>
        </w:rPr>
        <w:t xml:space="preserve">caso a Emissora e/ou a </w:t>
      </w:r>
      <w:r w:rsidR="00F470F4">
        <w:rPr>
          <w:rFonts w:ascii="Verdana" w:hAnsi="Verdana" w:cs="Tahoma"/>
          <w:sz w:val="20"/>
          <w:szCs w:val="20"/>
        </w:rPr>
        <w:t>Gyramais</w:t>
      </w:r>
      <w:r>
        <w:rPr>
          <w:rFonts w:ascii="Verdana" w:hAnsi="Verdana" w:cs="Tahoma"/>
          <w:sz w:val="20"/>
          <w:szCs w:val="20"/>
        </w:rPr>
        <w:t xml:space="preserve"> não observem os termos do Contrato de Cobrança e/ou caso o referido contrato de cobrança seja rescindido por qualquer das Partes, sem a prévia e expressa anuência dos Debenturistas. </w:t>
      </w:r>
    </w:p>
    <w:p w14:paraId="27969942" w14:textId="5FEB82B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32" w:name="_Ref518568408"/>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Desalavancagem listados no</w:t>
      </w:r>
      <w:r w:rsidR="00F95482">
        <w:rPr>
          <w:rStyle w:val="DeltaViewInsertion"/>
          <w:rFonts w:ascii="Verdana" w:hAnsi="Verdana" w:cs="Tahoma"/>
          <w:color w:val="auto"/>
          <w:sz w:val="20"/>
          <w:szCs w:val="20"/>
          <w:u w:val="none"/>
        </w:rPr>
        <w:t>s</w:t>
      </w:r>
      <w:r>
        <w:rPr>
          <w:rStyle w:val="DeltaViewInsertion"/>
          <w:rFonts w:ascii="Verdana" w:hAnsi="Verdana" w:cs="Tahoma"/>
          <w:color w:val="auto"/>
          <w:sz w:val="20"/>
          <w:szCs w:val="20"/>
          <w:u w:val="none"/>
        </w:rPr>
        <w:t xml:space="preserve"> ite</w:t>
      </w:r>
      <w:r w:rsidR="00F95482">
        <w:rPr>
          <w:rStyle w:val="DeltaViewInsertion"/>
          <w:rFonts w:ascii="Verdana" w:hAnsi="Verdana" w:cs="Tahoma"/>
          <w:color w:val="auto"/>
          <w:sz w:val="20"/>
          <w:szCs w:val="20"/>
          <w:u w:val="none"/>
        </w:rPr>
        <w:t>ns</w:t>
      </w:r>
      <w:r>
        <w:rPr>
          <w:rStyle w:val="DeltaViewInsertion"/>
          <w:rFonts w:ascii="Verdana" w:hAnsi="Verdana" w:cs="Tahoma"/>
          <w:color w:val="auto"/>
          <w:sz w:val="20"/>
          <w:szCs w:val="20"/>
          <w:u w:val="none"/>
        </w:rPr>
        <w:t xml:space="preserve"> </w:t>
      </w:r>
      <w:r w:rsidR="00F95482">
        <w:rPr>
          <w:rStyle w:val="DeltaViewInsertion"/>
          <w:rFonts w:ascii="Verdana" w:hAnsi="Verdana" w:cs="Tahoma"/>
          <w:color w:val="auto"/>
          <w:sz w:val="20"/>
          <w:szCs w:val="20"/>
          <w:u w:val="none"/>
        </w:rPr>
        <w:t xml:space="preserve"> </w:t>
      </w:r>
      <w:r w:rsidR="00017F48">
        <w:rPr>
          <w:rStyle w:val="DeltaViewInsertion"/>
          <w:rFonts w:ascii="Verdana" w:hAnsi="Verdana" w:cs="Tahoma"/>
          <w:color w:val="auto"/>
          <w:sz w:val="20"/>
          <w:szCs w:val="20"/>
          <w:u w:val="none"/>
        </w:rPr>
        <w:t>(v), (vi), (vii), (ix), (xi), (xii) e (xiii)</w:t>
      </w:r>
      <w:r>
        <w:rPr>
          <w:rStyle w:val="DeltaViewInsertion"/>
          <w:rFonts w:ascii="Verdana" w:hAnsi="Verdana" w:cs="Tahoma"/>
          <w:color w:val="auto"/>
          <w:sz w:val="20"/>
          <w:szCs w:val="20"/>
          <w:u w:val="none"/>
        </w:rPr>
        <w:t xml:space="preserve"> acima</w:t>
      </w:r>
      <w:r w:rsidR="00F95482">
        <w:rPr>
          <w:rStyle w:val="DeltaViewInsertion"/>
          <w:rFonts w:ascii="Verdana" w:hAnsi="Verdana" w:cs="Tahoma"/>
          <w:color w:val="auto"/>
          <w:sz w:val="20"/>
          <w:szCs w:val="20"/>
          <w:u w:val="none"/>
        </w:rPr>
        <w:t xml:space="preserve"> será declarado o Evento de Aceleração de Vencimento de forma automática, independentemente de realização de Assembleia Geral de Debenturistas. Nas demais hipóteses previstas na cláusula 3.29.1 acima, </w:t>
      </w:r>
      <w:r>
        <w:rPr>
          <w:rStyle w:val="DeltaViewInsertion"/>
          <w:rFonts w:ascii="Verdana" w:hAnsi="Verdana" w:cs="Tahoma"/>
          <w:color w:val="auto"/>
          <w:sz w:val="20"/>
          <w:szCs w:val="20"/>
          <w:u w:val="none"/>
        </w:rPr>
        <w:t xml:space="preserve"> </w:t>
      </w:r>
      <w:r>
        <w:rPr>
          <w:rFonts w:ascii="Verdana" w:hAnsi="Verdana" w:cs="Tahoma"/>
          <w:sz w:val="20"/>
          <w:szCs w:val="20"/>
        </w:rPr>
        <w:t>o Agente Fiduciário deverá convocar uma Assembleia Geral de Debenturistas, em até 2 (dois) Dias Úteis contados da data em que tomar ciência do referido evento, para deliberar sobre a declaração do Evento de Aceleração de Vencimento.</w:t>
      </w:r>
      <w:bookmarkEnd w:id="232"/>
      <w:r>
        <w:rPr>
          <w:rFonts w:ascii="Verdana" w:hAnsi="Verdana" w:cs="Tahoma"/>
          <w:sz w:val="20"/>
          <w:szCs w:val="20"/>
        </w:rPr>
        <w:t xml:space="preserve"> Tal Assembleia Geral de Debenturistas deverá observar o disposto na Cláusula 4.6 abaixo.</w:t>
      </w:r>
    </w:p>
    <w:p w14:paraId="578248B3"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xml:space="preserve">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_Ref518568408 \r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3.29.3</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acima, ou </w:t>
      </w:r>
      <w:r>
        <w:rPr>
          <w:rStyle w:val="DeltaViewInsertion"/>
          <w:rFonts w:ascii="Verdana" w:hAnsi="Verdana" w:cs="Tahoma"/>
          <w:b/>
          <w:color w:val="auto"/>
          <w:sz w:val="20"/>
          <w:szCs w:val="20"/>
          <w:u w:val="none"/>
        </w:rPr>
        <w:t>(ii)</w:t>
      </w:r>
      <w:r>
        <w:rPr>
          <w:rStyle w:val="DeltaViewInsertion"/>
          <w:rFonts w:ascii="Verdana" w:hAnsi="Verdana" w:cs="Tahoma"/>
          <w:color w:val="auto"/>
          <w:sz w:val="20"/>
          <w:szCs w:val="20"/>
          <w:u w:val="none"/>
        </w:rPr>
        <w:t> de não ser alcançado o quórum mínimo para deliberação acerca da declaração de Evento de Aceleração de Vencimento, o Agente Fiduciário deverá declarar a ocorrência de Evento de Aceleração de Vencimento mediante imediato envio de notificação à Emissora.</w:t>
      </w:r>
    </w:p>
    <w:p w14:paraId="3C2BDF0F" w14:textId="77777777" w:rsidR="00EB5CDB" w:rsidRDefault="008E55E6">
      <w:pPr>
        <w:pStyle w:val="PargrafodaLista"/>
        <w:numPr>
          <w:ilvl w:val="2"/>
          <w:numId w:val="4"/>
        </w:numPr>
        <w:spacing w:before="120" w:after="120" w:line="280" w:lineRule="exact"/>
        <w:jc w:val="both"/>
        <w:rPr>
          <w:rFonts w:ascii="Verdana" w:hAnsi="Verdana" w:cs="Tahoma"/>
          <w:i/>
          <w:sz w:val="20"/>
          <w:szCs w:val="20"/>
        </w:rPr>
      </w:pPr>
      <w:r>
        <w:rPr>
          <w:rFonts w:ascii="Verdana" w:hAnsi="Verdana" w:cs="Tahoma"/>
          <w:sz w:val="20"/>
          <w:szCs w:val="20"/>
        </w:rPr>
        <w:t xml:space="preserve">Na ocorrência dos Eventos </w:t>
      </w:r>
      <w:r>
        <w:rPr>
          <w:rStyle w:val="DeltaViewInsertion"/>
          <w:rFonts w:ascii="Verdana" w:hAnsi="Verdana" w:cs="Tahoma"/>
          <w:color w:val="auto"/>
          <w:sz w:val="20"/>
          <w:szCs w:val="20"/>
          <w:u w:val="none"/>
        </w:rPr>
        <w:t>de Inadimplemento listados abaixo</w:t>
      </w:r>
      <w:r>
        <w:rPr>
          <w:rFonts w:ascii="Verdana" w:hAnsi="Verdana" w:cs="Tahoma"/>
          <w:sz w:val="20"/>
          <w:szCs w:val="20"/>
        </w:rPr>
        <w:t xml:space="preserve">, e observado o disposto </w:t>
      </w:r>
      <w:r>
        <w:rPr>
          <w:rFonts w:ascii="Verdana" w:eastAsia="Calibri" w:hAnsi="Verdana" w:cs="Tahoma"/>
          <w:sz w:val="20"/>
          <w:szCs w:val="20"/>
        </w:rPr>
        <w:t xml:space="preserve">neste </w:t>
      </w:r>
      <w:r>
        <w:rPr>
          <w:rFonts w:ascii="Verdana" w:hAnsi="Verdana" w:cs="Tahoma"/>
          <w:sz w:val="20"/>
          <w:szCs w:val="20"/>
        </w:rPr>
        <w:t xml:space="preserve">item </w:t>
      </w:r>
      <w:r>
        <w:rPr>
          <w:rFonts w:ascii="Verdana" w:hAnsi="Verdana" w:cs="Tahoma"/>
          <w:sz w:val="20"/>
          <w:szCs w:val="20"/>
        </w:rPr>
        <w:fldChar w:fldCharType="begin"/>
      </w:r>
      <w:r>
        <w:rPr>
          <w:rFonts w:ascii="Verdana" w:hAnsi="Verdana" w:cs="Tahoma"/>
          <w:sz w:val="20"/>
          <w:szCs w:val="20"/>
        </w:rPr>
        <w:instrText xml:space="preserve"> REF _Ref497553343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Pr>
          <w:rFonts w:ascii="Verdana" w:hAnsi="Verdana" w:cs="Tahoma"/>
          <w:sz w:val="20"/>
          <w:szCs w:val="20"/>
        </w:rPr>
        <w:fldChar w:fldCharType="end"/>
      </w:r>
      <w:r>
        <w:rPr>
          <w:rFonts w:ascii="Verdana" w:hAnsi="Verdana" w:cs="Tahoma"/>
          <w:sz w:val="20"/>
          <w:szCs w:val="20"/>
        </w:rPr>
        <w:t>, o Agente Fiduciário deverá declarar antecipadamente vencidas</w:t>
      </w:r>
      <w:r>
        <w:rPr>
          <w:rFonts w:ascii="Verdana" w:eastAsia="Calibri" w:hAnsi="Verdana" w:cs="Tahoma"/>
          <w:sz w:val="20"/>
          <w:szCs w:val="20"/>
        </w:rPr>
        <w:t xml:space="preserve"> todas as obrigações da </w:t>
      </w:r>
      <w:r>
        <w:rPr>
          <w:rFonts w:ascii="Verdana" w:hAnsi="Verdana" w:cs="Tahoma"/>
          <w:sz w:val="20"/>
          <w:szCs w:val="20"/>
        </w:rPr>
        <w:t>Emissora</w:t>
      </w:r>
      <w:r>
        <w:rPr>
          <w:rFonts w:ascii="Verdana" w:eastAsia="Calibri" w:hAnsi="Verdana" w:cs="Tahoma"/>
          <w:sz w:val="20"/>
          <w:szCs w:val="20"/>
        </w:rPr>
        <w:t xml:space="preserve"> decorrentes das</w:t>
      </w:r>
      <w:r>
        <w:rPr>
          <w:rFonts w:ascii="Verdana" w:hAnsi="Verdana" w:cs="Tahoma"/>
          <w:sz w:val="20"/>
          <w:szCs w:val="20"/>
        </w:rPr>
        <w:t xml:space="preserve"> Debêntures e exigir os Pagamentos aos Debenturistas, observado o Pagamento Condicionado:</w:t>
      </w:r>
      <w:bookmarkEnd w:id="214"/>
    </w:p>
    <w:p w14:paraId="7A1908BB"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33" w:name="_Ref497553410"/>
      <w:r>
        <w:rPr>
          <w:rFonts w:ascii="Verdana" w:hAnsi="Verdana" w:cs="Tahoma"/>
          <w:sz w:val="20"/>
          <w:szCs w:val="20"/>
        </w:rPr>
        <w:t>descumprimento, pela Emissora, de qualquer obrigação pecuniária prevista nesta Escritura de Emissão, que não seja sanado no prazo de 3 (três) Dias Úteis da data do seu respectivo descumprimento;</w:t>
      </w:r>
      <w:bookmarkEnd w:id="233"/>
    </w:p>
    <w:p w14:paraId="2D70D64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34" w:name="_Ref422392031"/>
      <w:r>
        <w:rPr>
          <w:rFonts w:ascii="Verdana" w:hAnsi="Verdana" w:cs="Tahoma"/>
          <w:b/>
          <w:sz w:val="20"/>
          <w:szCs w:val="20"/>
        </w:rPr>
        <w:t>(a)</w:t>
      </w:r>
      <w:r>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Pr>
          <w:rFonts w:ascii="Verdana" w:hAnsi="Verdana" w:cs="Tahoma"/>
          <w:b/>
          <w:sz w:val="20"/>
          <w:szCs w:val="20"/>
        </w:rPr>
        <w:t>(b)</w:t>
      </w:r>
      <w:r>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234"/>
    </w:p>
    <w:p w14:paraId="5CDA6F9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35" w:name="_Ref422392033"/>
      <w:r>
        <w:rPr>
          <w:rFonts w:ascii="Verdana" w:hAnsi="Verdana" w:cs="Tahoma"/>
          <w:b/>
          <w:sz w:val="20"/>
          <w:szCs w:val="20"/>
        </w:rPr>
        <w:t>(a)</w:t>
      </w:r>
      <w:r>
        <w:rPr>
          <w:rFonts w:ascii="Verdana" w:hAnsi="Verdana" w:cs="Tahoma"/>
          <w:sz w:val="20"/>
          <w:szCs w:val="20"/>
        </w:rPr>
        <w:t xml:space="preserve"> decretação de falência da Emissora; </w:t>
      </w:r>
      <w:r>
        <w:rPr>
          <w:rFonts w:ascii="Verdana" w:hAnsi="Verdana" w:cs="Tahoma"/>
          <w:b/>
          <w:sz w:val="20"/>
          <w:szCs w:val="20"/>
        </w:rPr>
        <w:t>(b)</w:t>
      </w:r>
      <w:r>
        <w:rPr>
          <w:rFonts w:ascii="Verdana" w:hAnsi="Verdana" w:cs="Tahoma"/>
          <w:sz w:val="20"/>
          <w:szCs w:val="20"/>
        </w:rPr>
        <w:t xml:space="preserve"> pedido de autofalência formulado pela Emissora; </w:t>
      </w:r>
      <w:r>
        <w:rPr>
          <w:rFonts w:ascii="Verdana" w:hAnsi="Verdana" w:cs="Tahoma"/>
          <w:b/>
          <w:sz w:val="20"/>
          <w:szCs w:val="20"/>
        </w:rPr>
        <w:t>(c)</w:t>
      </w:r>
      <w:r>
        <w:rPr>
          <w:rFonts w:ascii="Verdana" w:hAnsi="Verdana" w:cs="Tahoma"/>
          <w:sz w:val="20"/>
          <w:szCs w:val="20"/>
        </w:rPr>
        <w:t xml:space="preserve"> pedido de falência formulado por terceiros em face da Emissora e não devidamente elidido no prazo legal;</w:t>
      </w:r>
      <w:bookmarkEnd w:id="235"/>
    </w:p>
    <w:p w14:paraId="42F7B3FF"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36" w:name="_Ref422392046"/>
      <w:r>
        <w:rPr>
          <w:rFonts w:ascii="Verdana" w:hAnsi="Verdana" w:cs="Tahoma"/>
          <w:sz w:val="20"/>
          <w:szCs w:val="20"/>
        </w:rPr>
        <w:t>cessação pela Emissora de suas atividades empresariais e/ou adoção de medidas societárias voltadas à sua liquidação, dissolução ou extinção;</w:t>
      </w:r>
      <w:bookmarkEnd w:id="236"/>
    </w:p>
    <w:p w14:paraId="33C103B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37" w:name="_Ref422819738"/>
      <w:r>
        <w:rPr>
          <w:rFonts w:ascii="Verdana" w:hAnsi="Verdana" w:cs="Tahoma"/>
          <w:sz w:val="20"/>
          <w:szCs w:val="20"/>
        </w:rPr>
        <w:t xml:space="preserve">cessão, alienação ou qualquer forma de transferência de qualquer dos Direitos Creditórios Vinculados a esta Emissão, ou atribuição de qualquer direito sobre os mesmos, a qualquer terceiro, exceto </w:t>
      </w:r>
      <w:r>
        <w:rPr>
          <w:rFonts w:ascii="Verdana" w:hAnsi="Verdana" w:cs="Tahoma"/>
          <w:b/>
          <w:sz w:val="20"/>
          <w:szCs w:val="20"/>
        </w:rPr>
        <w:t>(a)</w:t>
      </w:r>
      <w:r>
        <w:rPr>
          <w:rFonts w:ascii="Verdana" w:hAnsi="Verdana" w:cs="Tahoma"/>
          <w:sz w:val="20"/>
          <w:szCs w:val="20"/>
        </w:rPr>
        <w:t xml:space="preserve"> com relação aos créditos inadimplidos pelos respectivos Tomadores há mais de 180 (cento e oitenta) dias, conforme previsto no item </w:t>
      </w:r>
      <w:r>
        <w:rPr>
          <w:rFonts w:ascii="Verdana" w:hAnsi="Verdana" w:cs="Tahoma"/>
          <w:sz w:val="20"/>
          <w:szCs w:val="20"/>
        </w:rPr>
        <w:fldChar w:fldCharType="begin"/>
      </w:r>
      <w:r>
        <w:rPr>
          <w:rFonts w:ascii="Verdana" w:hAnsi="Verdana" w:cs="Tahoma"/>
          <w:sz w:val="20"/>
          <w:szCs w:val="20"/>
        </w:rPr>
        <w:instrText xml:space="preserve"> REF _Ref465195304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3.8.6 acima</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b/>
          <w:sz w:val="20"/>
          <w:szCs w:val="20"/>
        </w:rPr>
        <w:t xml:space="preserve">(b) </w:t>
      </w:r>
      <w:r>
        <w:rPr>
          <w:rFonts w:ascii="Verdana" w:hAnsi="Verdana" w:cs="Tahoma"/>
          <w:sz w:val="20"/>
          <w:szCs w:val="20"/>
        </w:rPr>
        <w:t>no contexto da excussão da Garantia, ou</w:t>
      </w:r>
      <w:r>
        <w:rPr>
          <w:rFonts w:ascii="Verdana" w:hAnsi="Verdana" w:cs="Tahoma"/>
          <w:b/>
          <w:sz w:val="20"/>
          <w:szCs w:val="20"/>
        </w:rPr>
        <w:t xml:space="preserve"> (c)</w:t>
      </w:r>
      <w:r>
        <w:rPr>
          <w:rFonts w:ascii="Verdana" w:hAnsi="Verdana" w:cs="Tahoma"/>
          <w:sz w:val="20"/>
          <w:szCs w:val="20"/>
        </w:rPr>
        <w:t xml:space="preserve"> se prévia e expressamente aprovado pelos Debenturistas;</w:t>
      </w:r>
      <w:bookmarkEnd w:id="237"/>
    </w:p>
    <w:p w14:paraId="0EB7972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38" w:name="_Ref497553462"/>
      <w:r>
        <w:rPr>
          <w:rFonts w:ascii="Verdana" w:hAnsi="Verdana" w:cs="Tahoma"/>
          <w:sz w:val="20"/>
          <w:szCs w:val="20"/>
        </w:rPr>
        <w:t>se a Garantia prevista nesta Escritura de Emissão não for devidamente constituída, nos termos previstos nesta Escritura de Emissão e no Contrato de Cessão Fiduciária;</w:t>
      </w:r>
    </w:p>
    <w:p w14:paraId="342DDA87" w14:textId="284F62DE"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39" w:name="_Ref518574841"/>
      <w:r>
        <w:rPr>
          <w:rFonts w:ascii="Verdana" w:hAnsi="Verdana" w:cs="Tahoma"/>
          <w:sz w:val="20"/>
          <w:szCs w:val="20"/>
        </w:rPr>
        <w:t xml:space="preserve">se a Garantia prevista nesta Escritura de Emissão for objeto de questionamento judicial pela Emissora, pela Instituição </w:t>
      </w:r>
      <w:r w:rsidR="008D6F6D">
        <w:rPr>
          <w:rFonts w:ascii="Verdana" w:hAnsi="Verdana" w:cs="Tahoma"/>
          <w:sz w:val="20"/>
          <w:szCs w:val="20"/>
        </w:rPr>
        <w:t>Financeira Endossante</w:t>
      </w:r>
      <w:r>
        <w:rPr>
          <w:rFonts w:ascii="Verdana" w:hAnsi="Verdana" w:cs="Tahoma"/>
          <w:sz w:val="20"/>
          <w:szCs w:val="20"/>
        </w:rPr>
        <w:t xml:space="preserve"> e/ou Agente de Cobrança;</w:t>
      </w:r>
      <w:bookmarkEnd w:id="238"/>
      <w:bookmarkEnd w:id="239"/>
    </w:p>
    <w:p w14:paraId="5E254B7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40" w:name="_Ref422392229"/>
      <w:r>
        <w:rPr>
          <w:rFonts w:ascii="Verdana" w:hAnsi="Verdana" w:cs="Tahoma"/>
          <w:sz w:val="20"/>
          <w:szCs w:val="20"/>
        </w:rPr>
        <w:t>transferência, pela Emissora, de qualquer obrigação pecuniária relacionada às Debêntures, exceto se prévia e expressamente aprovado pelos Debenturistas;</w:t>
      </w:r>
      <w:bookmarkEnd w:id="240"/>
    </w:p>
    <w:p w14:paraId="57CC75E2"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41" w:name="_Ref422392038"/>
      <w:bookmarkStart w:id="242" w:name="_Ref498562154"/>
      <w:r>
        <w:rPr>
          <w:rFonts w:ascii="Verdana" w:hAnsi="Verdana" w:cs="Tahoma"/>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241"/>
      <w:r>
        <w:rPr>
          <w:rFonts w:ascii="Verdana" w:hAnsi="Verdana" w:cs="Tahoma"/>
          <w:sz w:val="20"/>
          <w:szCs w:val="20"/>
        </w:rPr>
        <w:t>;</w:t>
      </w:r>
      <w:bookmarkEnd w:id="242"/>
    </w:p>
    <w:p w14:paraId="59D349A6"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r>
        <w:rPr>
          <w:rFonts w:ascii="Verdana" w:hAnsi="Verdana" w:cs="Tahoma"/>
          <w:sz w:val="20"/>
          <w:szCs w:val="20"/>
        </w:rPr>
        <w:t xml:space="preserve">utilização dos Recursos Exclusivos e/ou da Conta Exclusiva em desacordo com os termos desta Escritura de Emissão, especialmente em desacordo com o item </w:t>
      </w:r>
      <w:r>
        <w:rPr>
          <w:rFonts w:ascii="Verdana" w:hAnsi="Verdana" w:cs="Tahoma"/>
          <w:sz w:val="20"/>
          <w:szCs w:val="20"/>
        </w:rPr>
        <w:fldChar w:fldCharType="begin"/>
      </w:r>
      <w:r>
        <w:rPr>
          <w:rFonts w:ascii="Verdana" w:hAnsi="Verdana" w:cs="Tahoma"/>
          <w:sz w:val="20"/>
          <w:szCs w:val="20"/>
        </w:rPr>
        <w:instrText xml:space="preserve"> REF _Ref422391421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3.6</w:t>
      </w:r>
      <w:r>
        <w:rPr>
          <w:rFonts w:ascii="Verdana" w:hAnsi="Verdana" w:cs="Tahoma"/>
          <w:sz w:val="20"/>
          <w:szCs w:val="20"/>
        </w:rPr>
        <w:fldChar w:fldCharType="end"/>
      </w:r>
      <w:r>
        <w:rPr>
          <w:rFonts w:ascii="Verdana" w:hAnsi="Verdana" w:cs="Tahoma"/>
          <w:sz w:val="20"/>
          <w:szCs w:val="20"/>
        </w:rPr>
        <w:t xml:space="preserve"> acima que não tenha sido curada em até 3 (três) dias úteis de sua ciência; e</w:t>
      </w:r>
    </w:p>
    <w:p w14:paraId="19BD4A63" w14:textId="77777777" w:rsidR="00EB5CDB" w:rsidRDefault="008E55E6">
      <w:pPr>
        <w:pStyle w:val="ListaColorida-nfase12"/>
        <w:numPr>
          <w:ilvl w:val="0"/>
          <w:numId w:val="35"/>
        </w:numPr>
        <w:spacing w:before="120" w:after="120" w:line="280" w:lineRule="exact"/>
        <w:ind w:hanging="567"/>
        <w:jc w:val="both"/>
        <w:rPr>
          <w:rFonts w:ascii="Verdana" w:hAnsi="Verdana" w:cs="Tahoma"/>
          <w:sz w:val="20"/>
          <w:szCs w:val="20"/>
        </w:rPr>
      </w:pPr>
      <w:bookmarkStart w:id="243" w:name="_Ref497553476"/>
      <w:r>
        <w:rPr>
          <w:rFonts w:ascii="Verdana" w:hAnsi="Verdana" w:cs="Tahoma"/>
          <w:sz w:val="20"/>
          <w:szCs w:val="20"/>
        </w:rPr>
        <w:t xml:space="preserve">contratação de quaisquer dívidas financeiras ou emissão de </w:t>
      </w:r>
      <w:r>
        <w:rPr>
          <w:rFonts w:ascii="Verdana" w:eastAsia="MS Mincho" w:hAnsi="Verdana" w:cs="Tahoma"/>
          <w:sz w:val="20"/>
          <w:szCs w:val="20"/>
        </w:rPr>
        <w:t xml:space="preserve">títulos de crédito e/ou valores mobiliários, exceto nos casos de </w:t>
      </w:r>
      <w:r>
        <w:rPr>
          <w:rFonts w:ascii="Verdana" w:eastAsia="MS Mincho" w:hAnsi="Verdana" w:cs="Tahoma"/>
          <w:b/>
          <w:sz w:val="20"/>
          <w:szCs w:val="20"/>
        </w:rPr>
        <w:t>(a)</w:t>
      </w:r>
      <w:r>
        <w:rPr>
          <w:rFonts w:ascii="Verdana" w:eastAsia="MS Mincho" w:hAnsi="Verdana" w:cs="Tahoma"/>
          <w:sz w:val="20"/>
          <w:szCs w:val="20"/>
        </w:rPr>
        <w:t xml:space="preserve"> emissão de ações, e </w:t>
      </w:r>
      <w:r>
        <w:rPr>
          <w:rFonts w:ascii="Verdana" w:eastAsia="MS Mincho" w:hAnsi="Verdana" w:cs="Tahoma"/>
          <w:b/>
          <w:sz w:val="20"/>
          <w:szCs w:val="20"/>
        </w:rPr>
        <w:t>(b)</w:t>
      </w:r>
      <w:r>
        <w:rPr>
          <w:rFonts w:ascii="Verdana" w:eastAsia="MS Mincho" w:hAnsi="Verdana" w:cs="Tahoma"/>
          <w:sz w:val="20"/>
          <w:szCs w:val="20"/>
        </w:rPr>
        <w:t xml:space="preserve"> emissão de títulos de crédito ou valores mobiliários que tenham cláusula de pagamentos de obrigações </w:t>
      </w:r>
      <w:r>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243"/>
    </w:p>
    <w:p w14:paraId="0DDB6CB8" w14:textId="7342EEAC"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44" w:name="_DV_M280"/>
      <w:bookmarkStart w:id="245" w:name="_DV_M287"/>
      <w:bookmarkStart w:id="246" w:name="_Ref436843003"/>
      <w:bookmarkEnd w:id="244"/>
      <w:bookmarkEnd w:id="245"/>
      <w:r>
        <w:rPr>
          <w:rFonts w:ascii="Verdana" w:hAnsi="Verdana" w:cs="Tahoma"/>
          <w:sz w:val="20"/>
          <w:szCs w:val="20"/>
        </w:rPr>
        <w:t xml:space="preserve">A ocorrência de quaisquer dos Eventos de Inadimplemento indicados nas alíneas </w:t>
      </w:r>
      <w:r>
        <w:rPr>
          <w:rFonts w:ascii="Verdana" w:hAnsi="Verdana" w:cs="Tahoma"/>
          <w:sz w:val="20"/>
          <w:szCs w:val="20"/>
        </w:rPr>
        <w:fldChar w:fldCharType="begin"/>
      </w:r>
      <w:r>
        <w:rPr>
          <w:rFonts w:ascii="Verdana" w:hAnsi="Verdana" w:cs="Tahoma"/>
          <w:sz w:val="20"/>
          <w:szCs w:val="20"/>
        </w:rPr>
        <w:instrText xml:space="preserve"> REF _Ref422392031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(iii)</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_Ref422392046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(iv)</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_Ref422391983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BA774E">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Pr>
          <w:rFonts w:ascii="Verdana" w:hAnsi="Verdana" w:cs="Tahoma"/>
          <w:sz w:val="20"/>
          <w:szCs w:val="20"/>
        </w:rPr>
        <w:fldChar w:fldCharType="begin"/>
      </w:r>
      <w:r>
        <w:rPr>
          <w:rFonts w:ascii="Verdana" w:hAnsi="Verdana" w:cs="Tahoma"/>
          <w:sz w:val="20"/>
          <w:szCs w:val="20"/>
        </w:rPr>
        <w:instrText xml:space="preserve"> REF _Ref422391911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 abaixo</w:t>
      </w:r>
      <w:r>
        <w:rPr>
          <w:rFonts w:ascii="Verdana" w:hAnsi="Verdana" w:cs="Tahoma"/>
          <w:sz w:val="20"/>
          <w:szCs w:val="20"/>
        </w:rPr>
        <w:fldChar w:fldCharType="end"/>
      </w:r>
      <w:r>
        <w:rPr>
          <w:rFonts w:ascii="Verdana" w:hAnsi="Verdana" w:cs="Tahoma"/>
          <w:sz w:val="20"/>
          <w:szCs w:val="20"/>
        </w:rPr>
        <w:t>.</w:t>
      </w:r>
      <w:bookmarkEnd w:id="246"/>
    </w:p>
    <w:p w14:paraId="35E67D86" w14:textId="42A1FAED"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47" w:name="_Ref422392200"/>
      <w:r>
        <w:rPr>
          <w:rFonts w:ascii="Verdana" w:hAnsi="Verdana" w:cs="Tahoma"/>
          <w:sz w:val="20"/>
          <w:szCs w:val="20"/>
        </w:rPr>
        <w:t>Na ocorrência de quaisquer dos demais Eventos de Inadimplemento previstos no item </w:t>
      </w:r>
      <w:r>
        <w:rPr>
          <w:rFonts w:ascii="Verdana" w:hAnsi="Verdana" w:cs="Tahoma"/>
          <w:sz w:val="20"/>
          <w:szCs w:val="20"/>
        </w:rPr>
        <w:fldChar w:fldCharType="begin"/>
      </w:r>
      <w:r>
        <w:rPr>
          <w:rFonts w:ascii="Verdana" w:hAnsi="Verdana" w:cs="Tahoma"/>
          <w:sz w:val="20"/>
          <w:szCs w:val="20"/>
        </w:rPr>
        <w:instrText xml:space="preserve"> REF _Ref422391983 \n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w:t>
      </w:r>
      <w:r w:rsidR="00EB5B24">
        <w:rPr>
          <w:rFonts w:ascii="Verdana" w:hAnsi="Verdana" w:cs="Tahoma"/>
          <w:sz w:val="20"/>
          <w:szCs w:val="20"/>
        </w:rPr>
        <w:t>4</w:t>
      </w:r>
      <w:r>
        <w:rPr>
          <w:rFonts w:ascii="Verdana" w:hAnsi="Verdana" w:cs="Tahoma"/>
          <w:sz w:val="20"/>
          <w:szCs w:val="20"/>
        </w:rPr>
        <w:t xml:space="preserve"> acima</w:t>
      </w:r>
      <w:r>
        <w:rPr>
          <w:rFonts w:ascii="Verdana" w:hAnsi="Verdana" w:cs="Tahoma"/>
          <w:sz w:val="20"/>
          <w:szCs w:val="20"/>
        </w:rPr>
        <w:fldChar w:fldCharType="end"/>
      </w:r>
      <w:r>
        <w:rPr>
          <w:rFonts w:ascii="Verdana" w:hAnsi="Verdana" w:cs="Tahoma"/>
          <w:sz w:val="20"/>
          <w:szCs w:val="20"/>
        </w:rPr>
        <w:t>, o Agente Fiduciário deverá convocar uma Assembleia Geral de Debenturistas, em até 2 (dois) Dias Úteis contados da data em que tomar ciência do referido evento, para deliberar sobre a declaração do vencimento antecipado das Debêntures.</w:t>
      </w:r>
      <w:bookmarkEnd w:id="247"/>
      <w:r>
        <w:rPr>
          <w:rFonts w:ascii="Verdana" w:hAnsi="Verdana" w:cs="Tahoma"/>
          <w:sz w:val="20"/>
          <w:szCs w:val="20"/>
        </w:rPr>
        <w:t xml:space="preserve"> Tal Assembleia Geral de Debenturistas deverá observar o disposto na Cláusula 4.6 abaixo.</w:t>
      </w:r>
    </w:p>
    <w:p w14:paraId="666A5DBC" w14:textId="77777777" w:rsidR="00EB5CDB" w:rsidRDefault="008E55E6">
      <w:pPr>
        <w:pStyle w:val="PargrafodaLista"/>
        <w:numPr>
          <w:ilvl w:val="2"/>
          <w:numId w:val="4"/>
        </w:numPr>
        <w:spacing w:before="120" w:after="120" w:line="280" w:lineRule="exact"/>
        <w:jc w:val="both"/>
        <w:rPr>
          <w:rStyle w:val="DeltaViewInsertion"/>
          <w:rFonts w:ascii="Verdana" w:hAnsi="Verdana" w:cs="Tahoma"/>
          <w:color w:val="auto"/>
          <w:sz w:val="20"/>
          <w:szCs w:val="20"/>
          <w:u w:val="none"/>
        </w:rPr>
      </w:pPr>
      <w:bookmarkStart w:id="248" w:name="_DV_M189"/>
      <w:bookmarkStart w:id="249" w:name="_DV_M200"/>
      <w:bookmarkEnd w:id="248"/>
      <w:bookmarkEnd w:id="249"/>
      <w:r>
        <w:rPr>
          <w:rStyle w:val="DeltaViewInsertion"/>
          <w:rFonts w:ascii="Verdana" w:hAnsi="Verdana" w:cs="Tahoma"/>
          <w:color w:val="auto"/>
          <w:sz w:val="20"/>
          <w:szCs w:val="20"/>
          <w:u w:val="none"/>
        </w:rPr>
        <w:t xml:space="preserve">Na hipótese </w:t>
      </w:r>
      <w:r>
        <w:rPr>
          <w:rStyle w:val="DeltaViewInsertion"/>
          <w:rFonts w:ascii="Verdana" w:hAnsi="Verdana" w:cs="Tahoma"/>
          <w:b/>
          <w:color w:val="auto"/>
          <w:sz w:val="20"/>
          <w:szCs w:val="20"/>
          <w:u w:val="none"/>
        </w:rPr>
        <w:t>(i)</w:t>
      </w:r>
      <w:r>
        <w:rPr>
          <w:rStyle w:val="DeltaViewInsertion"/>
          <w:rFonts w:ascii="Verdana" w:hAnsi="Verdana" w:cs="Tahoma"/>
          <w:color w:val="auto"/>
          <w:sz w:val="20"/>
          <w:szCs w:val="20"/>
          <w:u w:val="none"/>
        </w:rPr>
        <w:t> de não instalação em segunda convocação da Assembleia Geral de Debenturistas mencionada no item </w:t>
      </w:r>
      <w:r>
        <w:rPr>
          <w:rStyle w:val="DeltaViewInsertion"/>
          <w:rFonts w:ascii="Verdana" w:hAnsi="Verdana" w:cs="Tahoma"/>
          <w:color w:val="auto"/>
          <w:sz w:val="20"/>
          <w:szCs w:val="20"/>
          <w:u w:val="none"/>
        </w:rPr>
        <w:fldChar w:fldCharType="begin"/>
      </w:r>
      <w:r>
        <w:rPr>
          <w:rStyle w:val="DeltaViewInsertion"/>
          <w:rFonts w:ascii="Verdana" w:hAnsi="Verdana" w:cs="Tahoma"/>
          <w:color w:val="auto"/>
          <w:sz w:val="20"/>
          <w:szCs w:val="20"/>
          <w:u w:val="none"/>
        </w:rPr>
        <w:instrText xml:space="preserve"> REF _Ref422392200 \n \p \h  \* MERGEFORMAT </w:instrText>
      </w:r>
      <w:r>
        <w:rPr>
          <w:rStyle w:val="DeltaViewInsertion"/>
          <w:rFonts w:ascii="Verdana" w:hAnsi="Verdana" w:cs="Tahoma"/>
          <w:color w:val="auto"/>
          <w:sz w:val="20"/>
          <w:szCs w:val="20"/>
          <w:u w:val="none"/>
        </w:rPr>
      </w:r>
      <w:r>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3.29.7 acima</w:t>
      </w:r>
      <w:r>
        <w:rPr>
          <w:rStyle w:val="DeltaViewInsertion"/>
          <w:rFonts w:ascii="Verdana" w:hAnsi="Verdana" w:cs="Tahoma"/>
          <w:color w:val="auto"/>
          <w:sz w:val="20"/>
          <w:szCs w:val="20"/>
          <w:u w:val="none"/>
        </w:rPr>
        <w:fldChar w:fldCharType="end"/>
      </w:r>
      <w:r>
        <w:rPr>
          <w:rStyle w:val="DeltaViewInsertion"/>
          <w:rFonts w:ascii="Verdana" w:hAnsi="Verdana" w:cs="Tahoma"/>
          <w:color w:val="auto"/>
          <w:sz w:val="20"/>
          <w:szCs w:val="20"/>
          <w:u w:val="none"/>
        </w:rPr>
        <w:t xml:space="preserve">, ou </w:t>
      </w:r>
      <w:r>
        <w:rPr>
          <w:rStyle w:val="DeltaViewInsertion"/>
          <w:rFonts w:ascii="Verdana" w:hAnsi="Verdana" w:cs="Tahoma"/>
          <w:b/>
          <w:color w:val="auto"/>
          <w:sz w:val="20"/>
          <w:szCs w:val="20"/>
          <w:u w:val="none"/>
        </w:rPr>
        <w:t>(ii)</w:t>
      </w:r>
      <w:r>
        <w:rPr>
          <w:rStyle w:val="DeltaViewInsertion"/>
          <w:rFonts w:ascii="Verdana" w:hAnsi="Verdana" w:cs="Tahoma"/>
          <w:color w:val="auto"/>
          <w:sz w:val="20"/>
          <w:szCs w:val="20"/>
          <w:u w:val="none"/>
        </w:rPr>
        <w:t>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199AF042" w14:textId="2625AB4A"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50" w:name="_Ref422391911"/>
      <w:r>
        <w:rPr>
          <w:rFonts w:ascii="Verdana" w:hAnsi="Verdana" w:cs="Tahoma"/>
          <w:sz w:val="20"/>
          <w:szCs w:val="20"/>
        </w:rPr>
        <w:t xml:space="preserve">Em caso de declaração de vencimento antecipado das Debêntures, observado o Pagamento Condicionado, nos termos do item </w:t>
      </w:r>
      <w:r>
        <w:rPr>
          <w:rFonts w:ascii="Verdana" w:hAnsi="Verdana" w:cs="Tahoma"/>
          <w:sz w:val="20"/>
          <w:szCs w:val="20"/>
        </w:rPr>
        <w:fldChar w:fldCharType="begin"/>
      </w:r>
      <w:r>
        <w:rPr>
          <w:rFonts w:ascii="Verdana" w:hAnsi="Verdana" w:cs="Tahoma"/>
          <w:sz w:val="20"/>
          <w:szCs w:val="20"/>
        </w:rPr>
        <w:instrText xml:space="preserve"> REF _Ref497594495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3.20.1 acima</w:t>
      </w:r>
      <w:r>
        <w:rPr>
          <w:rFonts w:ascii="Verdana" w:hAnsi="Verdana" w:cs="Tahoma"/>
          <w:sz w:val="20"/>
          <w:szCs w:val="20"/>
        </w:rPr>
        <w:fldChar w:fldCharType="end"/>
      </w:r>
      <w:r>
        <w:rPr>
          <w:rFonts w:ascii="Verdana" w:hAnsi="Verdana" w:cs="Tahoma"/>
          <w:sz w:val="20"/>
          <w:szCs w:val="20"/>
        </w:rPr>
        <w:t>, a Emissora obriga-se a</w:t>
      </w:r>
      <w:r w:rsidR="00EB5B24">
        <w:rPr>
          <w:rFonts w:ascii="Verdana" w:hAnsi="Verdana" w:cs="Tahoma"/>
          <w:sz w:val="20"/>
          <w:szCs w:val="20"/>
        </w:rPr>
        <w:t xml:space="preserve">, </w:t>
      </w:r>
      <w:r>
        <w:rPr>
          <w:rFonts w:ascii="Verdana" w:hAnsi="Verdana" w:cs="Tahoma"/>
          <w:sz w:val="20"/>
          <w:szCs w:val="20"/>
        </w:rPr>
        <w:t>em até 5 (cinco) Dias Úteis contados da data em que ocorrer o vencimento antecipado:</w:t>
      </w:r>
    </w:p>
    <w:p w14:paraId="67FFCA39" w14:textId="6F182944" w:rsidR="00EB5CDB" w:rsidRDefault="008E55E6">
      <w:pPr>
        <w:pStyle w:val="PargrafodaLista"/>
        <w:numPr>
          <w:ilvl w:val="4"/>
          <w:numId w:val="4"/>
        </w:numPr>
        <w:spacing w:before="120" w:after="120" w:line="280" w:lineRule="exact"/>
        <w:ind w:left="1134" w:hanging="425"/>
        <w:jc w:val="both"/>
        <w:rPr>
          <w:rFonts w:ascii="Verdana" w:hAnsi="Verdana" w:cs="Tahoma"/>
          <w:sz w:val="20"/>
          <w:szCs w:val="20"/>
        </w:rPr>
      </w:pPr>
      <w:r>
        <w:rPr>
          <w:rFonts w:ascii="Verdana" w:hAnsi="Verdana" w:cs="Tahoma"/>
          <w:sz w:val="20"/>
          <w:szCs w:val="20"/>
        </w:rPr>
        <w:t xml:space="preserve">efetuar o pagamento </w:t>
      </w:r>
      <w:r>
        <w:rPr>
          <w:rFonts w:ascii="Verdana" w:hAnsi="Verdana" w:cs="Tahoma"/>
          <w:b/>
          <w:sz w:val="20"/>
          <w:szCs w:val="20"/>
        </w:rPr>
        <w:t>(x)</w:t>
      </w:r>
      <w:r>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w:t>
      </w:r>
      <w:r w:rsidR="00017F48">
        <w:rPr>
          <w:rFonts w:ascii="Verdana" w:hAnsi="Verdana" w:cs="Tahoma"/>
          <w:sz w:val="20"/>
          <w:szCs w:val="20"/>
        </w:rPr>
        <w:t xml:space="preserve"> </w:t>
      </w:r>
      <w:r>
        <w:rPr>
          <w:rFonts w:ascii="Verdana" w:hAnsi="Verdana" w:cs="Tahoma"/>
          <w:sz w:val="20"/>
          <w:szCs w:val="20"/>
        </w:rPr>
        <w:t xml:space="preserve">(desde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Pr>
          <w:rFonts w:ascii="Verdana" w:hAnsi="Verdana" w:cs="Tahoma"/>
          <w:b/>
          <w:sz w:val="20"/>
          <w:szCs w:val="20"/>
        </w:rPr>
        <w:t>(y)</w:t>
      </w:r>
      <w:r>
        <w:rPr>
          <w:rFonts w:ascii="Verdana" w:hAnsi="Verdana" w:cs="Tahoma"/>
          <w:sz w:val="20"/>
          <w:szCs w:val="20"/>
        </w:rPr>
        <w:t xml:space="preserve"> após realizados integralmente os pagamentos referentes às Debêntures da Primeira Série, do saldo do Valor Nominal Unitário </w:t>
      </w:r>
      <w:r w:rsidR="00017F48">
        <w:rPr>
          <w:rFonts w:ascii="Verdana" w:hAnsi="Verdana" w:cs="Tahoma"/>
          <w:sz w:val="20"/>
          <w:szCs w:val="20"/>
        </w:rPr>
        <w:t xml:space="preserve">e </w:t>
      </w:r>
      <w:r>
        <w:rPr>
          <w:rFonts w:ascii="Verdana" w:hAnsi="Verdana" w:cs="Tahoma"/>
          <w:sz w:val="20"/>
          <w:szCs w:val="20"/>
        </w:rPr>
        <w:t xml:space="preserve">do </w:t>
      </w:r>
      <w:r w:rsidR="00017F48">
        <w:rPr>
          <w:rFonts w:ascii="Verdana" w:hAnsi="Verdana" w:cs="Tahoma"/>
          <w:sz w:val="20"/>
          <w:szCs w:val="20"/>
        </w:rPr>
        <w:t>Prêmio Sobre a Receita dos Direitos Creditórios Vinculados</w:t>
      </w:r>
      <w:r>
        <w:rPr>
          <w:rFonts w:ascii="Verdana" w:hAnsi="Verdana" w:cs="Tahoma"/>
          <w:sz w:val="20"/>
          <w:szCs w:val="20"/>
        </w:rPr>
        <w:t xml:space="preserve"> (desde que a Emissora tenha recebido recursos a título de remuneração dos Direitos Creditórios Vinculados suficientes para tanto), em relação às Debêntures da Segunda Série, bem como quaisquer outros valores eventualmente devidos pela Emissora relativos às Debêntures da Segunda Série nos termos desta Escritura de Emissão, inclusive encargos moratórios, fora do âmbito da B3, sendo certo que os pagamentos previstos nos itens (x) e (y) acima somente poderão ser feitos caso a Emissora, respeitando a Ordem de Alocação de Recursos e nos termos da </w:t>
      </w:r>
      <w:r>
        <w:rPr>
          <w:rFonts w:ascii="Verdana" w:eastAsia="Calibri" w:hAnsi="Verdana" w:cs="Tahoma"/>
          <w:sz w:val="20"/>
          <w:szCs w:val="20"/>
        </w:rPr>
        <w:t xml:space="preserve">Resolução </w:t>
      </w:r>
      <w:r>
        <w:rPr>
          <w:rFonts w:ascii="Verdana" w:hAnsi="Verdana" w:cs="Tahoma"/>
          <w:sz w:val="20"/>
          <w:szCs w:val="20"/>
        </w:rPr>
        <w:t xml:space="preserve">CMN nº 2.686, tenha recebido recursos suficientes para tanto. </w:t>
      </w:r>
    </w:p>
    <w:bookmarkEnd w:id="250"/>
    <w:p w14:paraId="5AFDDA07"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A </w:t>
      </w:r>
      <w:r>
        <w:rPr>
          <w:rStyle w:val="DeltaViewInsertion"/>
          <w:rFonts w:ascii="Verdana" w:hAnsi="Verdana" w:cs="Tahoma"/>
          <w:color w:val="auto"/>
          <w:sz w:val="20"/>
          <w:szCs w:val="20"/>
          <w:u w:val="none"/>
        </w:rPr>
        <w:t>Emissora</w:t>
      </w:r>
      <w:r>
        <w:rPr>
          <w:rFonts w:ascii="Verdana" w:hAnsi="Verdana" w:cs="Tahoma"/>
          <w:sz w:val="20"/>
          <w:szCs w:val="20"/>
        </w:rPr>
        <w:t xml:space="preserve"> obriga-se a comunicar ao Agente Fiduciário e à B3 acerca da ocorrência de um Evento de Inadimplemento imediatamente após a declaração do vencimento antecipado.</w:t>
      </w:r>
    </w:p>
    <w:p w14:paraId="57A218E8"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51" w:name="_Ref518574552"/>
      <w:r>
        <w:rPr>
          <w:rFonts w:ascii="Verdana" w:hAnsi="Verdana" w:cs="Tahoma"/>
          <w:sz w:val="20"/>
          <w:szCs w:val="20"/>
        </w:rPr>
        <w:t xml:space="preserve">Caso o pagamento integral dos montantes devidos aos Debenturistas, nos prazos estabelecidos do item </w:t>
      </w:r>
      <w:r>
        <w:rPr>
          <w:rFonts w:ascii="Verdana" w:hAnsi="Verdana" w:cs="Tahoma"/>
          <w:sz w:val="20"/>
          <w:szCs w:val="20"/>
        </w:rPr>
        <w:fldChar w:fldCharType="begin"/>
      </w:r>
      <w:r>
        <w:rPr>
          <w:rFonts w:ascii="Verdana" w:hAnsi="Verdana" w:cs="Tahoma"/>
          <w:sz w:val="20"/>
          <w:szCs w:val="20"/>
        </w:rPr>
        <w:instrText xml:space="preserve"> REF _Ref422392200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251"/>
      <w:r>
        <w:rPr>
          <w:rFonts w:ascii="Verdana" w:hAnsi="Verdana" w:cs="Tahoma"/>
          <w:sz w:val="20"/>
          <w:szCs w:val="20"/>
        </w:rPr>
        <w:fldChar w:fldCharType="begin"/>
      </w:r>
      <w:r>
        <w:rPr>
          <w:rFonts w:ascii="Verdana" w:hAnsi="Verdana" w:cs="Tahoma"/>
          <w:sz w:val="20"/>
          <w:szCs w:val="20"/>
        </w:rPr>
        <w:instrText xml:space="preserve"> REF _Ref422391479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acima.</w:t>
      </w:r>
    </w:p>
    <w:p w14:paraId="00A2585F" w14:textId="77777777" w:rsidR="00EB5CDB" w:rsidRDefault="00EB5CDB">
      <w:pPr>
        <w:pStyle w:val="PargrafodaLista"/>
        <w:spacing w:before="120" w:after="120" w:line="280" w:lineRule="exact"/>
        <w:ind w:left="0"/>
        <w:jc w:val="both"/>
        <w:rPr>
          <w:rFonts w:ascii="Verdana" w:hAnsi="Verdana" w:cs="Tahoma"/>
          <w:sz w:val="20"/>
          <w:szCs w:val="20"/>
        </w:rPr>
      </w:pPr>
    </w:p>
    <w:p w14:paraId="6F24F10D" w14:textId="77777777" w:rsidR="00EB5CDB" w:rsidRDefault="008E55E6">
      <w:pPr>
        <w:keepNext/>
        <w:numPr>
          <w:ilvl w:val="1"/>
          <w:numId w:val="4"/>
        </w:numPr>
        <w:spacing w:before="120" w:after="120" w:line="280" w:lineRule="exact"/>
        <w:jc w:val="both"/>
        <w:rPr>
          <w:rFonts w:ascii="Verdana" w:eastAsia="MS Mincho" w:hAnsi="Verdana" w:cs="Tahoma"/>
          <w:b/>
          <w:sz w:val="20"/>
          <w:szCs w:val="20"/>
        </w:rPr>
      </w:pPr>
      <w:r>
        <w:rPr>
          <w:rFonts w:ascii="Verdana" w:eastAsia="MS Mincho" w:hAnsi="Verdana" w:cs="Tahoma"/>
          <w:b/>
          <w:sz w:val="20"/>
          <w:szCs w:val="20"/>
        </w:rPr>
        <w:t>Publicidade e Comunicações</w:t>
      </w:r>
    </w:p>
    <w:p w14:paraId="774076EF"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bookmarkStart w:id="252" w:name="_Ref497552857"/>
      <w:r>
        <w:rPr>
          <w:rFonts w:ascii="Verdana" w:hAnsi="Verdana" w:cs="Tahoma"/>
          <w:sz w:val="20"/>
          <w:szCs w:val="20"/>
        </w:rPr>
        <w:t xml:space="preserve">Todos os atos e decisões relevantes decorrentes da Emissão que, de qualquer forma, vierem a envolver, direta ou indiretamente, os interesses dos Debenturistas deverão </w:t>
      </w:r>
      <w:r>
        <w:rPr>
          <w:rFonts w:ascii="Verdana" w:hAnsi="Verdana" w:cs="Tahoma"/>
          <w:b/>
          <w:sz w:val="20"/>
          <w:szCs w:val="20"/>
        </w:rPr>
        <w:t>(i)</w:t>
      </w:r>
      <w:r>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Pr>
          <w:rFonts w:ascii="Verdana" w:hAnsi="Verdana" w:cs="Tahoma"/>
          <w:b/>
          <w:sz w:val="20"/>
          <w:szCs w:val="20"/>
        </w:rPr>
        <w:t>(ii)</w:t>
      </w:r>
      <w:r>
        <w:rPr>
          <w:rFonts w:ascii="Verdana" w:hAnsi="Verdana" w:cs="Tahoma"/>
          <w:sz w:val="20"/>
          <w:szCs w:val="20"/>
        </w:rPr>
        <w:t xml:space="preserve"> comunicados aos Debenturistas, por meio de comunicação escrita (inclusive </w:t>
      </w:r>
      <w:r>
        <w:rPr>
          <w:rFonts w:ascii="Verdana" w:hAnsi="Verdana" w:cs="Tahoma"/>
          <w:i/>
          <w:sz w:val="20"/>
          <w:szCs w:val="20"/>
        </w:rPr>
        <w:t>e-mail</w:t>
      </w:r>
      <w:r>
        <w:rPr>
          <w:rFonts w:ascii="Verdana" w:hAnsi="Verdana" w:cs="Tahoma"/>
          <w:sz w:val="20"/>
          <w:szCs w:val="20"/>
        </w:rPr>
        <w:t>), com cópia para o Agente Fiduciário, bem como disponibilizado na página da Emissora na rede mundial de computadores – internet (</w:t>
      </w:r>
      <w:r>
        <w:rPr>
          <w:rFonts w:ascii="Verdana" w:hAnsi="Verdana"/>
          <w:sz w:val="20"/>
          <w:szCs w:val="20"/>
        </w:rPr>
        <w:t>https://vertfintech.wordpress.com/</w:t>
      </w:r>
      <w:r>
        <w:rPr>
          <w:rFonts w:ascii="Verdana" w:hAnsi="Verdana" w:cs="Tahoma"/>
          <w:sz w:val="20"/>
          <w:szCs w:val="20"/>
        </w:rPr>
        <w:t>).</w:t>
      </w:r>
      <w:bookmarkEnd w:id="252"/>
      <w:r>
        <w:rPr>
          <w:rFonts w:ascii="Verdana" w:hAnsi="Verdana" w:cs="Tahoma"/>
          <w:sz w:val="20"/>
          <w:szCs w:val="20"/>
        </w:rPr>
        <w:t xml:space="preserve"> </w:t>
      </w:r>
    </w:p>
    <w:p w14:paraId="7F1F93E6"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979E01A" w14:textId="4C5F6E35"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0413C18C" w14:textId="77777777" w:rsidR="009C2A92" w:rsidRDefault="009C2A92" w:rsidP="009C2A92">
      <w:pPr>
        <w:pStyle w:val="PargrafodaLista"/>
        <w:spacing w:before="120" w:after="120" w:line="280" w:lineRule="exact"/>
        <w:ind w:left="0"/>
        <w:jc w:val="both"/>
        <w:rPr>
          <w:rFonts w:ascii="Verdana" w:hAnsi="Verdana" w:cs="Tahoma"/>
          <w:sz w:val="20"/>
          <w:szCs w:val="20"/>
        </w:rPr>
      </w:pPr>
    </w:p>
    <w:p w14:paraId="539747E5" w14:textId="77777777" w:rsidR="00EB5CDB" w:rsidRDefault="008E55E6">
      <w:pPr>
        <w:keepNext/>
        <w:keepLines/>
        <w:spacing w:before="120" w:after="120" w:line="280" w:lineRule="exact"/>
        <w:ind w:left="1134"/>
        <w:jc w:val="both"/>
        <w:rPr>
          <w:rFonts w:ascii="Verdana" w:hAnsi="Verdana" w:cs="Tahoma"/>
          <w:i/>
          <w:sz w:val="20"/>
          <w:szCs w:val="20"/>
          <w:u w:val="single"/>
        </w:rPr>
      </w:pPr>
      <w:r>
        <w:rPr>
          <w:rFonts w:ascii="Verdana" w:hAnsi="Verdana" w:cs="Tahoma"/>
          <w:i/>
          <w:sz w:val="20"/>
          <w:szCs w:val="20"/>
          <w:u w:val="single"/>
        </w:rPr>
        <w:t>Para a Emissora:</w:t>
      </w:r>
    </w:p>
    <w:p w14:paraId="6DADFF2B" w14:textId="0F8301FE" w:rsidR="00EB5CDB" w:rsidRDefault="008E55E6">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 xml:space="preserve">Companhia Securitizadora De Créditos Financeiros </w:t>
      </w:r>
      <w:r w:rsidR="00017F48">
        <w:rPr>
          <w:rFonts w:ascii="Verdana" w:hAnsi="Verdana"/>
          <w:b/>
          <w:sz w:val="20"/>
          <w:szCs w:val="20"/>
        </w:rPr>
        <w:t>VERT</w:t>
      </w:r>
      <w:r>
        <w:rPr>
          <w:rFonts w:ascii="Verdana" w:hAnsi="Verdana"/>
          <w:b/>
          <w:sz w:val="20"/>
          <w:szCs w:val="20"/>
        </w:rPr>
        <w:t>-</w:t>
      </w:r>
      <w:r w:rsidR="00EB5B24">
        <w:rPr>
          <w:rFonts w:ascii="Verdana" w:hAnsi="Verdana"/>
          <w:b/>
          <w:sz w:val="20"/>
          <w:szCs w:val="20"/>
        </w:rPr>
        <w:t>Gyra</w:t>
      </w:r>
    </w:p>
    <w:p w14:paraId="472312CD"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Rua Cardeal Arcoverde, nº 2.365, 7º andar, Pinheiros</w:t>
      </w:r>
    </w:p>
    <w:p w14:paraId="279517D1"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05407-003 – São Paulo – SP</w:t>
      </w:r>
    </w:p>
    <w:p w14:paraId="1DBF827F" w14:textId="2FF02E50"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 xml:space="preserve">At.: Sra. Martha de Sá Pessôa / Sra. Fernanda Oliveira Ribeiro Prado de Mello / Sra. Victoria de Sá </w:t>
      </w:r>
    </w:p>
    <w:p w14:paraId="56FE063F" w14:textId="77777777" w:rsidR="00EB5CDB" w:rsidRDefault="008E55E6">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(11) 3385-1800</w:t>
      </w:r>
    </w:p>
    <w:p w14:paraId="6A427CFF" w14:textId="34C0AC06" w:rsidR="00EB5CDB" w:rsidRDefault="008E55E6">
      <w:pPr>
        <w:pStyle w:val="Nvel11a"/>
        <w:numPr>
          <w:ilvl w:val="0"/>
          <w:numId w:val="0"/>
        </w:numPr>
        <w:spacing w:before="120" w:after="120" w:line="280" w:lineRule="exact"/>
        <w:ind w:left="1134"/>
        <w:rPr>
          <w:rStyle w:val="Hyperlink"/>
          <w:rFonts w:ascii="Verdana" w:hAnsi="Verdana"/>
          <w:color w:val="auto"/>
          <w:sz w:val="20"/>
          <w:szCs w:val="20"/>
          <w:u w:val="none"/>
          <w:lang w:val="pt-BR"/>
        </w:rPr>
      </w:pPr>
      <w:r>
        <w:rPr>
          <w:rFonts w:ascii="Verdana" w:hAnsi="Verdana"/>
          <w:sz w:val="20"/>
          <w:szCs w:val="20"/>
          <w:lang w:val="pt-BR"/>
        </w:rPr>
        <w:t xml:space="preserve">E-mail: </w:t>
      </w:r>
      <w:r w:rsidR="00017F48" w:rsidRPr="008D6F6D">
        <w:rPr>
          <w:rFonts w:ascii="Verdana" w:eastAsia="MS Mincho" w:hAnsi="Verdana" w:cs="Times New Roman"/>
          <w:sz w:val="20"/>
          <w:szCs w:val="20"/>
          <w:lang w:val="pt-BR" w:eastAsia="pt-BR"/>
        </w:rPr>
        <w:t>secfin@vert-capital.com</w:t>
      </w:r>
    </w:p>
    <w:p w14:paraId="199A3CAF" w14:textId="77777777" w:rsidR="00EB5CDB" w:rsidRDefault="00EB5CDB" w:rsidP="00A1258F">
      <w:pPr>
        <w:spacing w:before="120" w:after="120" w:line="280" w:lineRule="exact"/>
        <w:ind w:left="1134"/>
        <w:rPr>
          <w:rFonts w:ascii="Verdana" w:hAnsi="Verdana" w:cs="Tahoma"/>
          <w:i/>
          <w:sz w:val="20"/>
          <w:szCs w:val="20"/>
          <w:u w:val="single"/>
        </w:rPr>
      </w:pPr>
    </w:p>
    <w:p w14:paraId="4D16C2CA" w14:textId="5FD7A90B" w:rsidR="00EB5CDB" w:rsidRDefault="008E55E6" w:rsidP="00A1258F">
      <w:pPr>
        <w:spacing w:before="120" w:after="120" w:line="280" w:lineRule="exact"/>
        <w:ind w:left="1134"/>
        <w:rPr>
          <w:rFonts w:ascii="Verdana" w:hAnsi="Verdana" w:cs="Tahoma"/>
          <w:sz w:val="20"/>
          <w:szCs w:val="20"/>
        </w:rPr>
      </w:pPr>
      <w:r>
        <w:rPr>
          <w:rFonts w:ascii="Verdana" w:hAnsi="Verdana" w:cs="Tahoma"/>
          <w:i/>
          <w:sz w:val="20"/>
          <w:szCs w:val="20"/>
          <w:u w:val="single"/>
        </w:rPr>
        <w:t>Para o Agente Fiduciário</w:t>
      </w:r>
      <w:r>
        <w:rPr>
          <w:rFonts w:ascii="Verdana" w:hAnsi="Verdana" w:cs="Tahoma"/>
          <w:i/>
          <w:sz w:val="20"/>
          <w:szCs w:val="20"/>
        </w:rPr>
        <w:t>:</w:t>
      </w:r>
      <w:r>
        <w:rPr>
          <w:rFonts w:ascii="Verdana" w:hAnsi="Verdana" w:cs="Tahoma"/>
          <w:sz w:val="20"/>
          <w:szCs w:val="20"/>
        </w:rPr>
        <w:t xml:space="preserve"> </w:t>
      </w:r>
    </w:p>
    <w:p w14:paraId="6F7CE2CF" w14:textId="3E3D6C63" w:rsidR="00EB5B24" w:rsidRDefault="00EB5B24" w:rsidP="00A1258F">
      <w:pPr>
        <w:spacing w:before="120" w:after="120" w:line="280" w:lineRule="exact"/>
        <w:ind w:left="1134"/>
        <w:rPr>
          <w:rFonts w:ascii="Verdana" w:eastAsia="MS Mincho" w:hAnsi="Verdana"/>
          <w:b/>
          <w:sz w:val="20"/>
          <w:szCs w:val="20"/>
        </w:rPr>
      </w:pPr>
      <w:r w:rsidRPr="00EB5B24">
        <w:rPr>
          <w:rFonts w:ascii="Verdana" w:eastAsia="MS Mincho" w:hAnsi="Verdana"/>
          <w:b/>
          <w:sz w:val="20"/>
          <w:szCs w:val="20"/>
        </w:rPr>
        <w:t>S</w:t>
      </w:r>
      <w:r w:rsidR="00947946">
        <w:rPr>
          <w:rFonts w:ascii="Verdana" w:eastAsia="MS Mincho" w:hAnsi="Verdana"/>
          <w:b/>
          <w:sz w:val="20"/>
          <w:szCs w:val="20"/>
        </w:rPr>
        <w:t>implific</w:t>
      </w:r>
      <w:r w:rsidRPr="00EB5B24">
        <w:rPr>
          <w:rFonts w:ascii="Verdana" w:eastAsia="MS Mincho" w:hAnsi="Verdana"/>
          <w:b/>
          <w:sz w:val="20"/>
          <w:szCs w:val="20"/>
        </w:rPr>
        <w:t xml:space="preserve"> P</w:t>
      </w:r>
      <w:r w:rsidR="00947946">
        <w:rPr>
          <w:rFonts w:ascii="Verdana" w:eastAsia="MS Mincho" w:hAnsi="Verdana"/>
          <w:b/>
          <w:sz w:val="20"/>
          <w:szCs w:val="20"/>
        </w:rPr>
        <w:t>avarini</w:t>
      </w:r>
      <w:r w:rsidRPr="00EB5B24">
        <w:rPr>
          <w:rFonts w:ascii="Verdana" w:eastAsia="MS Mincho" w:hAnsi="Verdana"/>
          <w:b/>
          <w:sz w:val="20"/>
          <w:szCs w:val="20"/>
        </w:rPr>
        <w:t xml:space="preserve"> D</w:t>
      </w:r>
      <w:r w:rsidR="00947946">
        <w:rPr>
          <w:rFonts w:ascii="Verdana" w:eastAsia="MS Mincho" w:hAnsi="Verdana"/>
          <w:b/>
          <w:sz w:val="20"/>
          <w:szCs w:val="20"/>
        </w:rPr>
        <w:t xml:space="preserve">istribuidora de </w:t>
      </w:r>
      <w:r w:rsidRPr="00EB5B24">
        <w:rPr>
          <w:rFonts w:ascii="Verdana" w:eastAsia="MS Mincho" w:hAnsi="Verdana"/>
          <w:b/>
          <w:sz w:val="20"/>
          <w:szCs w:val="20"/>
        </w:rPr>
        <w:t>T</w:t>
      </w:r>
      <w:r w:rsidR="00947946">
        <w:rPr>
          <w:rFonts w:ascii="Verdana" w:eastAsia="MS Mincho" w:hAnsi="Verdana"/>
          <w:b/>
          <w:sz w:val="20"/>
          <w:szCs w:val="20"/>
        </w:rPr>
        <w:t xml:space="preserve">ítulos e </w:t>
      </w:r>
      <w:r w:rsidRPr="00EB5B24">
        <w:rPr>
          <w:rFonts w:ascii="Verdana" w:eastAsia="MS Mincho" w:hAnsi="Verdana"/>
          <w:b/>
          <w:sz w:val="20"/>
          <w:szCs w:val="20"/>
        </w:rPr>
        <w:t>V</w:t>
      </w:r>
      <w:r w:rsidR="00947946">
        <w:rPr>
          <w:rFonts w:ascii="Verdana" w:eastAsia="MS Mincho" w:hAnsi="Verdana"/>
          <w:b/>
          <w:sz w:val="20"/>
          <w:szCs w:val="20"/>
        </w:rPr>
        <w:t xml:space="preserve">alores </w:t>
      </w:r>
      <w:r w:rsidRPr="00EB5B24">
        <w:rPr>
          <w:rFonts w:ascii="Verdana" w:eastAsia="MS Mincho" w:hAnsi="Verdana"/>
          <w:b/>
          <w:sz w:val="20"/>
          <w:szCs w:val="20"/>
        </w:rPr>
        <w:t>M</w:t>
      </w:r>
      <w:r w:rsidR="00947946">
        <w:rPr>
          <w:rFonts w:ascii="Verdana" w:eastAsia="MS Mincho" w:hAnsi="Verdana"/>
          <w:b/>
          <w:sz w:val="20"/>
          <w:szCs w:val="20"/>
        </w:rPr>
        <w:t>obiliários</w:t>
      </w:r>
      <w:r w:rsidRPr="00EB5B24">
        <w:rPr>
          <w:rFonts w:ascii="Verdana" w:eastAsia="MS Mincho" w:hAnsi="Verdana"/>
          <w:b/>
          <w:sz w:val="20"/>
          <w:szCs w:val="20"/>
        </w:rPr>
        <w:t xml:space="preserve"> L</w:t>
      </w:r>
      <w:r w:rsidR="00947946">
        <w:rPr>
          <w:rFonts w:ascii="Verdana" w:eastAsia="MS Mincho" w:hAnsi="Verdana"/>
          <w:b/>
          <w:sz w:val="20"/>
          <w:szCs w:val="20"/>
        </w:rPr>
        <w:t>tda</w:t>
      </w:r>
      <w:r w:rsidRPr="00EB5B24">
        <w:rPr>
          <w:rFonts w:ascii="Verdana" w:eastAsia="MS Mincho" w:hAnsi="Verdana"/>
          <w:b/>
          <w:sz w:val="20"/>
          <w:szCs w:val="20"/>
        </w:rPr>
        <w:t>.</w:t>
      </w:r>
    </w:p>
    <w:p w14:paraId="3DFBC009"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E02FBCC" w14:textId="77777777" w:rsidR="009E7B17"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CEP 04534-002 – São Paulo/SP</w:t>
      </w:r>
    </w:p>
    <w:p w14:paraId="5382BBD7" w14:textId="02A20BD1" w:rsidR="009E7B17" w:rsidRPr="00947946" w:rsidRDefault="009E7B17" w:rsidP="009E7B17">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del w:id="253" w:author="Gabriel Lopes" w:date="2020-09-17T00:08:00Z">
        <w:r w:rsidR="00A1258F">
          <w:rPr>
            <w:rFonts w:ascii="Verdana" w:eastAsia="MS Mincho" w:hAnsi="Verdana"/>
            <w:bCs/>
            <w:sz w:val="20"/>
            <w:szCs w:val="20"/>
          </w:rPr>
          <w:delText>[</w:delText>
        </w:r>
        <w:r w:rsidR="00A1258F" w:rsidRPr="00A1258F">
          <w:rPr>
            <w:rFonts w:ascii="Verdana" w:eastAsia="MS Mincho" w:hAnsi="Verdana"/>
            <w:b/>
            <w:i/>
            <w:iCs/>
            <w:sz w:val="20"/>
            <w:szCs w:val="20"/>
            <w:highlight w:val="yellow"/>
          </w:rPr>
          <w:delText>inserir</w:delText>
        </w:r>
        <w:r w:rsidR="00A1258F">
          <w:rPr>
            <w:rFonts w:ascii="Verdana" w:eastAsia="MS Mincho" w:hAnsi="Verdana"/>
            <w:bCs/>
            <w:sz w:val="20"/>
            <w:szCs w:val="20"/>
          </w:rPr>
          <w:delText>]</w:delText>
        </w:r>
      </w:del>
      <w:ins w:id="254" w:author="Gabriel Lopes" w:date="2020-09-17T00:08:00Z">
        <w:r w:rsidRPr="00885ED6">
          <w:t xml:space="preserve"> </w:t>
        </w:r>
        <w:r w:rsidRPr="00885ED6">
          <w:rPr>
            <w:rFonts w:ascii="Verdana" w:eastAsia="MS Mincho" w:hAnsi="Verdana"/>
            <w:bCs/>
            <w:sz w:val="20"/>
            <w:szCs w:val="20"/>
          </w:rPr>
          <w:t>Sr. Carlos Alberto Bacha / Rinaldo Rabello Ferreira / Matheus Gomes Faria</w:t>
        </w:r>
      </w:ins>
    </w:p>
    <w:p w14:paraId="1DAC084D" w14:textId="77777777" w:rsidR="00EB5CDB" w:rsidRDefault="008E55E6" w:rsidP="00A1258F">
      <w:pPr>
        <w:pStyle w:val="Nvel11a"/>
        <w:numPr>
          <w:ilvl w:val="0"/>
          <w:numId w:val="0"/>
        </w:numPr>
        <w:spacing w:before="120" w:after="120" w:line="280" w:lineRule="exact"/>
        <w:ind w:left="1134"/>
        <w:jc w:val="left"/>
        <w:rPr>
          <w:del w:id="255" w:author="Gabriel Lopes" w:date="2020-09-17T00:08:00Z"/>
          <w:rFonts w:ascii="Verdana" w:eastAsia="MS Mincho" w:hAnsi="Verdana" w:cs="Times New Roman"/>
          <w:sz w:val="20"/>
          <w:szCs w:val="20"/>
          <w:lang w:val="pt-BR" w:eastAsia="pt-BR"/>
        </w:rPr>
      </w:pPr>
      <w:del w:id="256" w:author="Gabriel Lopes" w:date="2020-09-17T00:08:00Z">
        <w:r>
          <w:rPr>
            <w:rFonts w:ascii="Verdana" w:eastAsia="MS Mincho" w:hAnsi="Verdana" w:cs="Times New Roman"/>
            <w:sz w:val="20"/>
            <w:szCs w:val="20"/>
            <w:lang w:val="pt-BR" w:eastAsia="pt-BR"/>
          </w:rPr>
          <w:delText xml:space="preserve">Telefone: </w:delText>
        </w:r>
        <w:r w:rsidR="00A1258F">
          <w:rPr>
            <w:rFonts w:ascii="Verdana" w:eastAsia="MS Mincho" w:hAnsi="Verdana"/>
            <w:bCs/>
            <w:sz w:val="20"/>
            <w:szCs w:val="20"/>
          </w:rPr>
          <w:delText>[</w:delText>
        </w:r>
        <w:r w:rsidR="00A1258F" w:rsidRPr="00A1258F">
          <w:rPr>
            <w:rFonts w:ascii="Verdana" w:eastAsia="MS Mincho" w:hAnsi="Verdana"/>
            <w:b/>
            <w:i/>
            <w:iCs/>
            <w:sz w:val="20"/>
            <w:szCs w:val="20"/>
            <w:highlight w:val="yellow"/>
          </w:rPr>
          <w:delText>inserir</w:delText>
        </w:r>
        <w:r w:rsidR="00A1258F">
          <w:rPr>
            <w:rFonts w:ascii="Verdana" w:eastAsia="MS Mincho" w:hAnsi="Verdana"/>
            <w:bCs/>
            <w:sz w:val="20"/>
            <w:szCs w:val="20"/>
          </w:rPr>
          <w:delText>]</w:delText>
        </w:r>
        <w:r>
          <w:rPr>
            <w:rFonts w:ascii="Verdana" w:eastAsia="MS Mincho" w:hAnsi="Verdana" w:cs="Times New Roman"/>
            <w:sz w:val="20"/>
            <w:szCs w:val="20"/>
            <w:lang w:val="pt-BR" w:eastAsia="pt-BR"/>
          </w:rPr>
          <w:br/>
          <w:delText xml:space="preserve">E-mail: </w:delText>
        </w:r>
        <w:r w:rsidR="00A1258F">
          <w:rPr>
            <w:rFonts w:ascii="Verdana" w:eastAsia="MS Mincho" w:hAnsi="Verdana"/>
            <w:bCs/>
            <w:sz w:val="20"/>
            <w:szCs w:val="20"/>
          </w:rPr>
          <w:delText>[</w:delText>
        </w:r>
        <w:r w:rsidR="00A1258F" w:rsidRPr="00A1258F">
          <w:rPr>
            <w:rFonts w:ascii="Verdana" w:eastAsia="MS Mincho" w:hAnsi="Verdana"/>
            <w:b/>
            <w:i/>
            <w:iCs/>
            <w:sz w:val="20"/>
            <w:szCs w:val="20"/>
            <w:highlight w:val="yellow"/>
          </w:rPr>
          <w:delText>inserir</w:delText>
        </w:r>
        <w:r w:rsidR="00A1258F">
          <w:rPr>
            <w:rFonts w:ascii="Verdana" w:eastAsia="MS Mincho" w:hAnsi="Verdana"/>
            <w:bCs/>
            <w:sz w:val="20"/>
            <w:szCs w:val="20"/>
          </w:rPr>
          <w:delText>]</w:delText>
        </w:r>
      </w:del>
    </w:p>
    <w:p w14:paraId="6BC72E5D" w14:textId="77777777" w:rsidR="00EB5CDB" w:rsidRDefault="008E55E6" w:rsidP="00A1258F">
      <w:pPr>
        <w:pStyle w:val="Nvel11a"/>
        <w:numPr>
          <w:ilvl w:val="0"/>
          <w:numId w:val="0"/>
        </w:numPr>
        <w:spacing w:before="120" w:after="120" w:line="280" w:lineRule="exact"/>
        <w:ind w:left="1134"/>
        <w:rPr>
          <w:del w:id="257" w:author="Gabriel Lopes" w:date="2020-09-17T00:08:00Z"/>
          <w:rFonts w:ascii="Verdana" w:eastAsia="MS Mincho" w:hAnsi="Verdana"/>
          <w:bCs/>
          <w:sz w:val="20"/>
          <w:szCs w:val="20"/>
        </w:rPr>
      </w:pPr>
      <w:del w:id="258" w:author="Gabriel Lopes" w:date="2020-09-17T00:08:00Z">
        <w:r>
          <w:rPr>
            <w:rFonts w:ascii="Verdana" w:eastAsia="MS Mincho" w:hAnsi="Verdana" w:cs="Times New Roman"/>
            <w:sz w:val="20"/>
            <w:szCs w:val="20"/>
            <w:lang w:val="pt-BR" w:eastAsia="pt-BR"/>
          </w:rPr>
          <w:delText>Site:</w:delText>
        </w:r>
        <w:r w:rsidR="00A1258F" w:rsidRPr="00A1258F">
          <w:rPr>
            <w:rFonts w:ascii="Verdana" w:eastAsia="MS Mincho" w:hAnsi="Verdana"/>
            <w:bCs/>
            <w:sz w:val="20"/>
            <w:szCs w:val="20"/>
          </w:rPr>
          <w:delText xml:space="preserve"> </w:delText>
        </w:r>
        <w:r w:rsidR="00A1258F">
          <w:rPr>
            <w:rFonts w:ascii="Verdana" w:eastAsia="MS Mincho" w:hAnsi="Verdana"/>
            <w:bCs/>
            <w:sz w:val="20"/>
            <w:szCs w:val="20"/>
          </w:rPr>
          <w:delText>[</w:delText>
        </w:r>
        <w:r w:rsidR="00A1258F" w:rsidRPr="00A1258F">
          <w:rPr>
            <w:rFonts w:ascii="Verdana" w:eastAsia="MS Mincho" w:hAnsi="Verdana"/>
            <w:b/>
            <w:i/>
            <w:iCs/>
            <w:sz w:val="20"/>
            <w:szCs w:val="20"/>
            <w:highlight w:val="yellow"/>
          </w:rPr>
          <w:delText>inserir</w:delText>
        </w:r>
        <w:r w:rsidR="00A1258F">
          <w:rPr>
            <w:rFonts w:ascii="Verdana" w:eastAsia="MS Mincho" w:hAnsi="Verdana"/>
            <w:bCs/>
            <w:sz w:val="20"/>
            <w:szCs w:val="20"/>
          </w:rPr>
          <w:delText>]</w:delText>
        </w:r>
      </w:del>
    </w:p>
    <w:p w14:paraId="012D35E2" w14:textId="27C19148" w:rsidR="00A1258F" w:rsidRDefault="009E7B17" w:rsidP="009E7B17">
      <w:pPr>
        <w:pStyle w:val="Nvel11a"/>
        <w:numPr>
          <w:ilvl w:val="0"/>
          <w:numId w:val="0"/>
        </w:numPr>
        <w:spacing w:before="120" w:after="120" w:line="280" w:lineRule="exact"/>
        <w:ind w:left="1134"/>
        <w:rPr>
          <w:ins w:id="259" w:author="Gabriel Lopes" w:date="2020-09-17T00:08:00Z"/>
          <w:rFonts w:ascii="Verdana" w:eastAsia="MS Mincho" w:hAnsi="Verdana"/>
          <w:bCs/>
          <w:sz w:val="20"/>
          <w:szCs w:val="20"/>
        </w:rPr>
      </w:pPr>
      <w:ins w:id="260" w:author="Gabriel Lopes" w:date="2020-09-17T00:08:00Z">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r w:rsidR="00F867FB">
          <w:fldChar w:fldCharType="begin"/>
        </w:r>
        <w:r w:rsidR="00F867FB">
          <w:instrText xml:space="preserve"> HYPERLINK "mail</w:instrText>
        </w:r>
        <w:r w:rsidR="00F867FB">
          <w:instrText xml:space="preserve">to:spestruturacao@simplificpavarini.com.br" </w:instrText>
        </w:r>
        <w:r w:rsidR="00F867FB">
          <w:fldChar w:fldCharType="separate"/>
        </w:r>
        <w:r w:rsidRPr="0022316E">
          <w:rPr>
            <w:rStyle w:val="Hyperlink"/>
            <w:rFonts w:ascii="Verdana" w:eastAsia="MS Mincho" w:hAnsi="Verdana"/>
            <w:bCs/>
            <w:sz w:val="20"/>
            <w:szCs w:val="20"/>
          </w:rPr>
          <w:t>spestruturacao@simplificpavarini.com.br</w:t>
        </w:r>
        <w:r w:rsidR="00F867FB">
          <w:rPr>
            <w:rStyle w:val="Hyperlink"/>
            <w:rFonts w:ascii="Verdana" w:eastAsia="MS Mincho" w:hAnsi="Verdana"/>
            <w:bCs/>
            <w:sz w:val="20"/>
            <w:szCs w:val="20"/>
          </w:rPr>
          <w:fldChar w:fldCharType="end"/>
        </w:r>
      </w:ins>
    </w:p>
    <w:p w14:paraId="293AB5A1" w14:textId="77777777" w:rsidR="009E7B17" w:rsidRDefault="009E7B17" w:rsidP="009E7B17">
      <w:pPr>
        <w:pStyle w:val="Nvel11a"/>
        <w:numPr>
          <w:ilvl w:val="0"/>
          <w:numId w:val="0"/>
        </w:numPr>
        <w:spacing w:before="120" w:after="120" w:line="280" w:lineRule="exact"/>
        <w:ind w:left="1134"/>
        <w:rPr>
          <w:rFonts w:ascii="Verdana" w:eastAsia="MS Mincho" w:hAnsi="Verdana" w:cs="Times New Roman"/>
          <w:sz w:val="20"/>
          <w:szCs w:val="20"/>
          <w:lang w:val="pt-BR" w:eastAsia="pt-BR"/>
        </w:rPr>
      </w:pPr>
    </w:p>
    <w:p w14:paraId="7225DB39"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o Banco Liquidante e Escriturador:</w:t>
      </w:r>
    </w:p>
    <w:p w14:paraId="315815A4" w14:textId="77777777" w:rsidR="00EB5CDB" w:rsidRDefault="008E55E6" w:rsidP="00A1258F">
      <w:pPr>
        <w:pStyle w:val="PargrafodaLista"/>
        <w:spacing w:before="120" w:after="120" w:line="280" w:lineRule="exact"/>
        <w:ind w:left="1134"/>
        <w:contextualSpacing/>
        <w:jc w:val="both"/>
        <w:rPr>
          <w:rFonts w:ascii="Verdana" w:eastAsia="Arial Unicode MS" w:hAnsi="Verdana"/>
          <w:b/>
          <w:sz w:val="20"/>
          <w:szCs w:val="20"/>
          <w:lang w:eastAsia="en-US"/>
        </w:rPr>
      </w:pPr>
      <w:r>
        <w:rPr>
          <w:rFonts w:ascii="Verdana" w:eastAsia="Arial Unicode MS" w:hAnsi="Verdana"/>
          <w:b/>
          <w:sz w:val="20"/>
          <w:szCs w:val="20"/>
          <w:lang w:eastAsia="en-US"/>
        </w:rPr>
        <w:t>CM Capital Markets Distribuidora de Títulos e Valores Mobiliários Ltda.</w:t>
      </w:r>
    </w:p>
    <w:p w14:paraId="1B42F8D7"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Arial Unicode MS" w:hAnsi="Verdana"/>
          <w:sz w:val="20"/>
          <w:szCs w:val="20"/>
          <w:lang w:eastAsia="en-US"/>
        </w:rPr>
        <w:t>Rua Gomes de Carvalho, nº 1.195, 4º andar</w:t>
      </w:r>
      <w:r>
        <w:rPr>
          <w:rFonts w:ascii="Verdana" w:hAnsi="Verdana"/>
          <w:sz w:val="20"/>
          <w:szCs w:val="20"/>
        </w:rPr>
        <w:t xml:space="preserve"> </w:t>
      </w:r>
      <w:r>
        <w:rPr>
          <w:rFonts w:ascii="Verdana" w:eastAsia="Arial Unicode MS" w:hAnsi="Verdana"/>
          <w:sz w:val="20"/>
          <w:szCs w:val="20"/>
          <w:lang w:eastAsia="en-US"/>
        </w:rPr>
        <w:t>CEP 04547-000 – São Paulo – SP</w:t>
      </w:r>
    </w:p>
    <w:p w14:paraId="735115C9"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Henrique Noronha</w:t>
      </w:r>
    </w:p>
    <w:p w14:paraId="08BDBD61"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eastAsia="Calibri" w:hAnsi="Verdana"/>
          <w:sz w:val="20"/>
          <w:szCs w:val="20"/>
          <w:lang w:eastAsia="en-US"/>
        </w:rPr>
        <w:t xml:space="preserve">Tel.: </w:t>
      </w:r>
      <w:r>
        <w:rPr>
          <w:rFonts w:ascii="Verdana" w:hAnsi="Verdana"/>
          <w:sz w:val="20"/>
          <w:szCs w:val="20"/>
        </w:rPr>
        <w:t>(11) 3842-1112</w:t>
      </w:r>
    </w:p>
    <w:p w14:paraId="7216E15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E-mail: escrituracao@cmcapital.com.br</w:t>
      </w:r>
      <w:r>
        <w:rPr>
          <w:rFonts w:ascii="Verdana" w:hAnsi="Verdana"/>
          <w:sz w:val="20"/>
          <w:szCs w:val="20"/>
          <w:highlight w:val="yellow"/>
        </w:rPr>
        <w:t xml:space="preserve"> </w:t>
      </w:r>
    </w:p>
    <w:p w14:paraId="72D0B6A7" w14:textId="77777777" w:rsidR="00EB5CDB" w:rsidRDefault="00EB5CDB" w:rsidP="00A1258F">
      <w:pPr>
        <w:keepNext/>
        <w:keepLines/>
        <w:spacing w:before="120" w:after="120" w:line="280" w:lineRule="exact"/>
        <w:ind w:left="1134"/>
        <w:jc w:val="both"/>
        <w:rPr>
          <w:rFonts w:ascii="Verdana" w:hAnsi="Verdana" w:cs="Tahoma"/>
          <w:i/>
          <w:sz w:val="20"/>
          <w:szCs w:val="20"/>
          <w:u w:val="single"/>
        </w:rPr>
      </w:pPr>
    </w:p>
    <w:p w14:paraId="4BFC06E6" w14:textId="77777777" w:rsidR="00EB5CDB" w:rsidRDefault="008E55E6" w:rsidP="00A1258F">
      <w:pPr>
        <w:pStyle w:val="PargrafodaLista"/>
        <w:spacing w:before="120" w:after="120" w:line="280" w:lineRule="exact"/>
        <w:ind w:left="1134"/>
        <w:contextualSpacing/>
        <w:jc w:val="both"/>
        <w:rPr>
          <w:rFonts w:ascii="Verdana" w:hAnsi="Verdana"/>
          <w:i/>
          <w:sz w:val="20"/>
          <w:szCs w:val="20"/>
          <w:u w:val="single"/>
        </w:rPr>
      </w:pPr>
      <w:r>
        <w:rPr>
          <w:rFonts w:ascii="Verdana" w:hAnsi="Verdana"/>
          <w:i/>
          <w:sz w:val="20"/>
          <w:szCs w:val="20"/>
          <w:u w:val="single"/>
        </w:rPr>
        <w:t>Para a B3:</w:t>
      </w:r>
    </w:p>
    <w:p w14:paraId="1EA1847E" w14:textId="77777777" w:rsidR="00EB5CDB" w:rsidRDefault="008E55E6" w:rsidP="00A1258F">
      <w:pPr>
        <w:pStyle w:val="PargrafodaLista"/>
        <w:spacing w:before="120" w:after="120" w:line="280" w:lineRule="exact"/>
        <w:ind w:left="1134"/>
        <w:contextualSpacing/>
        <w:jc w:val="both"/>
        <w:rPr>
          <w:rFonts w:ascii="Verdana" w:hAnsi="Verdana"/>
          <w:b/>
          <w:sz w:val="20"/>
          <w:szCs w:val="20"/>
        </w:rPr>
      </w:pPr>
      <w:r>
        <w:rPr>
          <w:rFonts w:ascii="Verdana" w:hAnsi="Verdana"/>
          <w:b/>
          <w:sz w:val="20"/>
          <w:szCs w:val="20"/>
        </w:rPr>
        <w:t>B3 S.A. – Brasil, Bolsa, Balcão – Segmento CETIP UTVM</w:t>
      </w:r>
    </w:p>
    <w:p w14:paraId="35648E92"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Praça Antônio Prado, nº 48, 4º andar</w:t>
      </w:r>
    </w:p>
    <w:p w14:paraId="6DBE44B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01010-010 – São Paulo– SP</w:t>
      </w:r>
    </w:p>
    <w:p w14:paraId="375FEE5D"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At.: Superintendência de Ofertas de Valores Mobiliários de Renda Fixa</w:t>
      </w:r>
    </w:p>
    <w:p w14:paraId="7648283E" w14:textId="77777777" w:rsidR="00EB5CDB" w:rsidRDefault="008E55E6" w:rsidP="00A1258F">
      <w:pPr>
        <w:pStyle w:val="PargrafodaLista"/>
        <w:spacing w:before="120" w:after="120" w:line="280" w:lineRule="exact"/>
        <w:ind w:left="1134"/>
        <w:contextualSpacing/>
        <w:jc w:val="both"/>
        <w:rPr>
          <w:rFonts w:ascii="Verdana" w:hAnsi="Verdana"/>
          <w:sz w:val="20"/>
          <w:szCs w:val="20"/>
        </w:rPr>
      </w:pPr>
      <w:r>
        <w:rPr>
          <w:rFonts w:ascii="Verdana" w:hAnsi="Verdana"/>
          <w:sz w:val="20"/>
          <w:szCs w:val="20"/>
        </w:rPr>
        <w:t>Tel.: 0300-111-1596</w:t>
      </w:r>
    </w:p>
    <w:p w14:paraId="493CD725" w14:textId="77777777" w:rsidR="00EB5CDB" w:rsidRDefault="00EB5CDB" w:rsidP="00A1258F">
      <w:pPr>
        <w:spacing w:before="120" w:after="120" w:line="280" w:lineRule="exact"/>
        <w:ind w:left="1134"/>
        <w:rPr>
          <w:rFonts w:ascii="Verdana" w:eastAsia="MS Mincho" w:hAnsi="Verdana" w:cs="Tahoma"/>
          <w:sz w:val="20"/>
          <w:szCs w:val="20"/>
        </w:rPr>
      </w:pPr>
    </w:p>
    <w:p w14:paraId="3E1693C3"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032F7A35" w14:textId="7777777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Default="00EB5CDB">
      <w:pPr>
        <w:pStyle w:val="PargrafodaLista"/>
        <w:spacing w:before="120" w:after="120" w:line="280" w:lineRule="exact"/>
        <w:ind w:left="0"/>
        <w:jc w:val="both"/>
        <w:rPr>
          <w:rFonts w:ascii="Verdana" w:hAnsi="Verdana" w:cs="Tahoma"/>
          <w:sz w:val="20"/>
          <w:szCs w:val="20"/>
        </w:rPr>
      </w:pPr>
    </w:p>
    <w:p w14:paraId="15AF71BB" w14:textId="77777777" w:rsidR="00EB5CDB" w:rsidRDefault="008E55E6">
      <w:pPr>
        <w:keepNext/>
        <w:numPr>
          <w:ilvl w:val="1"/>
          <w:numId w:val="4"/>
        </w:numPr>
        <w:spacing w:before="120" w:after="120" w:line="276" w:lineRule="auto"/>
        <w:jc w:val="both"/>
        <w:rPr>
          <w:rFonts w:ascii="Verdana" w:eastAsia="MS Mincho" w:hAnsi="Verdana" w:cs="Tahoma"/>
          <w:b/>
          <w:sz w:val="20"/>
          <w:szCs w:val="20"/>
        </w:rPr>
      </w:pPr>
      <w:r>
        <w:rPr>
          <w:rFonts w:ascii="Verdana" w:eastAsia="MS Mincho" w:hAnsi="Verdana" w:cs="Tahoma"/>
          <w:b/>
          <w:sz w:val="20"/>
          <w:szCs w:val="20"/>
        </w:rPr>
        <w:t xml:space="preserve">Reserva de Despesas e Encargos </w:t>
      </w:r>
    </w:p>
    <w:p w14:paraId="06AAD46D" w14:textId="4CCB5197" w:rsidR="00EB5CDB" w:rsidRDefault="008E55E6">
      <w:pPr>
        <w:pStyle w:val="PargrafodaLista"/>
        <w:numPr>
          <w:ilvl w:val="2"/>
          <w:numId w:val="4"/>
        </w:numPr>
        <w:spacing w:before="120" w:after="120" w:line="280" w:lineRule="exact"/>
        <w:jc w:val="both"/>
        <w:rPr>
          <w:rFonts w:ascii="Verdana" w:hAnsi="Verdana" w:cs="Tahoma"/>
          <w:sz w:val="20"/>
          <w:szCs w:val="20"/>
        </w:rPr>
      </w:pPr>
      <w:r>
        <w:rPr>
          <w:rFonts w:ascii="Verdana" w:hAnsi="Verdana"/>
          <w:sz w:val="20"/>
          <w:szCs w:val="20"/>
        </w:rPr>
        <w:t xml:space="preserve">Será constituído uma Reserva de Despesas e Encargos na Conta Exclusiva pela Emissora para fazer frente às Despesas, mediante retenção dos valores decorrentes dos </w:t>
      </w:r>
      <w:r>
        <w:rPr>
          <w:rFonts w:ascii="Verdana" w:hAnsi="Verdana" w:cs="Tahoma"/>
          <w:sz w:val="20"/>
          <w:szCs w:val="20"/>
        </w:rPr>
        <w:t>pagamentos</w:t>
      </w:r>
      <w:r>
        <w:rPr>
          <w:rFonts w:ascii="Verdana" w:hAnsi="Verdana"/>
          <w:sz w:val="20"/>
          <w:szCs w:val="20"/>
        </w:rPr>
        <w:t xml:space="preserve"> dos Direitos Creditórios Vinculados. O montante da Reserva de Despesas e Encargos deverá ser equivalente ao Valor da Reserva de Despesas e Encargos.  </w:t>
      </w:r>
      <w:r w:rsidR="00017F48" w:rsidRPr="00017F48">
        <w:rPr>
          <w:rFonts w:ascii="Verdana" w:hAnsi="Verdana"/>
          <w:sz w:val="20"/>
          <w:szCs w:val="20"/>
        </w:rPr>
        <w:t xml:space="preserve">A recomposição da Reserva de Despesas e Encargos será realizada a cada 2 (dois) meses e poderá ser promovida pela </w:t>
      </w:r>
      <w:r w:rsidR="00017F48" w:rsidRPr="008D6F6D">
        <w:rPr>
          <w:rFonts w:ascii="Verdana" w:hAnsi="Verdana"/>
          <w:b/>
          <w:bCs/>
          <w:sz w:val="20"/>
          <w:szCs w:val="20"/>
        </w:rPr>
        <w:t>(i)</w:t>
      </w:r>
      <w:r w:rsidR="00017F48" w:rsidRPr="000B7D26">
        <w:rPr>
          <w:rFonts w:ascii="Verdana" w:hAnsi="Verdana"/>
          <w:sz w:val="20"/>
        </w:rPr>
        <w:t xml:space="preserve"> </w:t>
      </w:r>
      <w:r w:rsidR="00017F48" w:rsidRPr="00017F48">
        <w:rPr>
          <w:rFonts w:ascii="Verdana" w:hAnsi="Verdana"/>
          <w:sz w:val="20"/>
          <w:szCs w:val="20"/>
        </w:rPr>
        <w:t xml:space="preserve">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8D6F6D">
        <w:rPr>
          <w:rFonts w:ascii="Verdana" w:hAnsi="Verdana"/>
          <w:b/>
          <w:bCs/>
          <w:sz w:val="20"/>
          <w:szCs w:val="20"/>
        </w:rPr>
        <w:t>(ii)</w:t>
      </w:r>
      <w:r w:rsidR="00017F48" w:rsidRPr="000B7D26">
        <w:rPr>
          <w:rFonts w:ascii="Verdana" w:hAnsi="Verdana"/>
          <w:sz w:val="20"/>
        </w:rPr>
        <w:t xml:space="preserve"> </w:t>
      </w:r>
      <w:r w:rsidR="00017F48" w:rsidRPr="00017F48">
        <w:rPr>
          <w:rFonts w:ascii="Verdana" w:hAnsi="Verdana"/>
          <w:sz w:val="20"/>
          <w:szCs w:val="20"/>
        </w:rPr>
        <w:t xml:space="preserve">Agente de Cobrança, conforme previsto no “Acordo Operacional de Parceira e Outras Avenças”, celebrado entre a Emissora e a </w:t>
      </w:r>
      <w:r w:rsidR="00017F48">
        <w:rPr>
          <w:rFonts w:ascii="Verdana" w:hAnsi="Verdana"/>
          <w:sz w:val="20"/>
          <w:szCs w:val="20"/>
        </w:rPr>
        <w:t>Gyra (“</w:t>
      </w:r>
      <w:r w:rsidR="00017F48" w:rsidRPr="008D6F6D">
        <w:rPr>
          <w:rFonts w:ascii="Verdana" w:hAnsi="Verdana"/>
          <w:sz w:val="20"/>
          <w:szCs w:val="20"/>
          <w:u w:val="single"/>
        </w:rPr>
        <w:t>Acordo Operacional</w:t>
      </w:r>
      <w:r w:rsidR="00017F48">
        <w:rPr>
          <w:rFonts w:ascii="Verdana" w:hAnsi="Verdana"/>
          <w:sz w:val="20"/>
          <w:szCs w:val="20"/>
        </w:rPr>
        <w:t>”)</w:t>
      </w:r>
      <w:r w:rsidR="00017F48" w:rsidRPr="00017F48">
        <w:rPr>
          <w:rFonts w:ascii="Verdana" w:hAnsi="Verdana"/>
          <w:sz w:val="20"/>
          <w:szCs w:val="20"/>
        </w:rPr>
        <w:t xml:space="preserve">. </w:t>
      </w:r>
      <w:r w:rsidR="00017F48" w:rsidRPr="000B7D26">
        <w:rPr>
          <w:rFonts w:ascii="Verdana" w:hAnsi="Verdana"/>
          <w:sz w:val="20"/>
        </w:rPr>
        <w:t xml:space="preserve">Sem prejuízo do mecanismo ora previsto, </w:t>
      </w:r>
      <w:r w:rsidR="00017F48" w:rsidRPr="00017F48">
        <w:rPr>
          <w:rFonts w:ascii="Verdana" w:hAnsi="Verdana"/>
          <w:sz w:val="20"/>
          <w:szCs w:val="20"/>
        </w:rPr>
        <w:t>a recomposição da Reserva de Despesas e Encargos poderá ser realizada antes do prazo previsto sempre que o montante da Reserva de Despesas e Encargos for inferior ao valor de R$</w:t>
      </w:r>
      <w:r w:rsidR="00017F48">
        <w:rPr>
          <w:rFonts w:ascii="Verdana" w:hAnsi="Verdana"/>
          <w:sz w:val="20"/>
          <w:szCs w:val="20"/>
        </w:rPr>
        <w:t>20</w:t>
      </w:r>
      <w:r w:rsidR="00017F48" w:rsidRPr="00017F48">
        <w:rPr>
          <w:rFonts w:ascii="Verdana" w:hAnsi="Verdana"/>
          <w:sz w:val="20"/>
          <w:szCs w:val="20"/>
        </w:rPr>
        <w:t>.000,00 (</w:t>
      </w:r>
      <w:r w:rsidR="00017F48">
        <w:rPr>
          <w:rFonts w:ascii="Verdana" w:hAnsi="Verdana"/>
          <w:sz w:val="20"/>
          <w:szCs w:val="20"/>
        </w:rPr>
        <w:t>vinte</w:t>
      </w:r>
      <w:r w:rsidR="00017F48" w:rsidRPr="00017F48">
        <w:rPr>
          <w:rFonts w:ascii="Verdana" w:hAnsi="Verdana"/>
          <w:sz w:val="20"/>
          <w:szCs w:val="20"/>
        </w:rPr>
        <w:t xml:space="preserve"> mil reais) (“Valor Mínimo da Reserva de Despesas e Encargos”), hipótese em que a recomposição será feita até o Valor da Reserva de Despesas e Encargos e poderá ser realizada </w:t>
      </w:r>
      <w:r w:rsidR="00017F48" w:rsidRPr="000B7D26">
        <w:rPr>
          <w:rFonts w:ascii="Verdana" w:hAnsi="Verdana"/>
          <w:sz w:val="20"/>
        </w:rPr>
        <w:t>(i)</w:t>
      </w:r>
      <w:r w:rsidR="00017F48" w:rsidRPr="00017F48">
        <w:rPr>
          <w:rFonts w:ascii="Verdana" w:hAnsi="Verdana"/>
          <w:sz w:val="20"/>
          <w:szCs w:val="20"/>
        </w:rPr>
        <w:t xml:space="preserve"> pela Emissora diretamente, mediante a retenção dos valores decorrentes dos pagamentos dos Direitos Creditórios Vinculados, ou </w:t>
      </w:r>
      <w:r w:rsidR="00017F48" w:rsidRPr="000B7D26">
        <w:rPr>
          <w:rFonts w:ascii="Verdana" w:hAnsi="Verdana"/>
          <w:sz w:val="20"/>
        </w:rPr>
        <w:t>(ii)</w:t>
      </w:r>
      <w:r w:rsidR="00017F48" w:rsidRPr="00017F48">
        <w:rPr>
          <w:rFonts w:ascii="Verdana" w:hAnsi="Verdana"/>
          <w:sz w:val="20"/>
          <w:szCs w:val="20"/>
        </w:rPr>
        <w:t xml:space="preserve"> pela </w:t>
      </w:r>
      <w:r w:rsidR="00017F48">
        <w:rPr>
          <w:rFonts w:ascii="Verdana" w:hAnsi="Verdana"/>
          <w:sz w:val="20"/>
          <w:szCs w:val="20"/>
        </w:rPr>
        <w:t>Gyra</w:t>
      </w:r>
      <w:r w:rsidR="00017F48" w:rsidRPr="00017F48">
        <w:rPr>
          <w:rFonts w:ascii="Verdana" w:hAnsi="Verdana"/>
          <w:sz w:val="20"/>
          <w:szCs w:val="20"/>
        </w:rPr>
        <w:t>, conforme previsto no</w:t>
      </w:r>
      <w:r w:rsidR="00017F48">
        <w:rPr>
          <w:rFonts w:ascii="Verdana" w:hAnsi="Verdana"/>
          <w:sz w:val="20"/>
          <w:szCs w:val="20"/>
        </w:rPr>
        <w:t xml:space="preserve"> Acordo Operacional</w:t>
      </w:r>
      <w:r>
        <w:rPr>
          <w:rFonts w:ascii="Verdana" w:hAnsi="Verdana"/>
          <w:sz w:val="20"/>
          <w:szCs w:val="20"/>
        </w:rPr>
        <w:t xml:space="preserve">. </w:t>
      </w:r>
    </w:p>
    <w:p w14:paraId="62A403A1" w14:textId="77777777" w:rsidR="00EB5CDB" w:rsidRDefault="00EB5CDB">
      <w:pPr>
        <w:pStyle w:val="PargrafodaLista"/>
        <w:spacing w:before="120" w:after="120" w:line="280" w:lineRule="exact"/>
        <w:ind w:left="0"/>
        <w:jc w:val="both"/>
        <w:rPr>
          <w:rFonts w:ascii="Verdana" w:hAnsi="Verdana" w:cs="Tahoma"/>
          <w:sz w:val="20"/>
          <w:szCs w:val="20"/>
        </w:rPr>
      </w:pPr>
    </w:p>
    <w:p w14:paraId="492C33DE" w14:textId="77777777" w:rsidR="00EB5CDB" w:rsidRDefault="008E55E6">
      <w:pPr>
        <w:keepNext/>
        <w:spacing w:before="120" w:after="120" w:line="280" w:lineRule="exact"/>
        <w:jc w:val="center"/>
        <w:rPr>
          <w:rFonts w:ascii="Verdana" w:eastAsia="MS Mincho" w:hAnsi="Verdana" w:cs="Tahoma"/>
          <w:b/>
          <w:sz w:val="20"/>
          <w:szCs w:val="20"/>
        </w:rPr>
      </w:pPr>
      <w:bookmarkStart w:id="261" w:name="_DV_M299"/>
      <w:bookmarkStart w:id="262" w:name="_DV_M300"/>
      <w:bookmarkStart w:id="263" w:name="_DV_M301"/>
      <w:bookmarkStart w:id="264" w:name="_DV_M303"/>
      <w:bookmarkStart w:id="265" w:name="_DV_M304"/>
      <w:bookmarkStart w:id="266" w:name="_DV_M305"/>
      <w:bookmarkStart w:id="267" w:name="_DV_M306"/>
      <w:bookmarkStart w:id="268" w:name="_DV_M307"/>
      <w:bookmarkStart w:id="269" w:name="_DV_M308"/>
      <w:bookmarkStart w:id="270" w:name="_DV_M309"/>
      <w:bookmarkStart w:id="271" w:name="_DV_M310"/>
      <w:bookmarkStart w:id="272" w:name="_DV_M313"/>
      <w:bookmarkStart w:id="273" w:name="_DV_M314"/>
      <w:bookmarkStart w:id="274" w:name="_DV_M214"/>
      <w:bookmarkStart w:id="275" w:name="_DV_M318"/>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rFonts w:ascii="Verdana" w:eastAsia="MS Mincho" w:hAnsi="Verdana" w:cs="Tahoma"/>
          <w:b/>
          <w:sz w:val="20"/>
          <w:szCs w:val="20"/>
        </w:rPr>
        <w:t xml:space="preserve">CLÁUSULA </w:t>
      </w:r>
      <w:r>
        <w:rPr>
          <w:rFonts w:ascii="Verdana" w:hAnsi="Verdana" w:cs="Tahoma"/>
          <w:b/>
          <w:sz w:val="20"/>
          <w:szCs w:val="20"/>
        </w:rPr>
        <w:t>QUARTA</w:t>
      </w:r>
      <w:r>
        <w:rPr>
          <w:rFonts w:ascii="Verdana" w:eastAsia="MS Mincho" w:hAnsi="Verdana" w:cs="Tahoma"/>
          <w:b/>
          <w:sz w:val="20"/>
          <w:szCs w:val="20"/>
        </w:rPr>
        <w:t xml:space="preserve"> – DA ASSEMBLEIA GERAL DE DEBENTURISTAS</w:t>
      </w:r>
    </w:p>
    <w:p w14:paraId="3FCEB992" w14:textId="71D18C73"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276" w:name="_Ref518566191"/>
      <w:r>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Pr>
          <w:rFonts w:ascii="Verdana" w:hAnsi="Verdana" w:cs="Tahoma"/>
          <w:sz w:val="20"/>
          <w:szCs w:val="20"/>
          <w:u w:val="single"/>
        </w:rPr>
        <w:t>Assembleia Geral de Debenturistas</w:t>
      </w:r>
      <w:r>
        <w:rPr>
          <w:rFonts w:ascii="Verdana" w:hAnsi="Verdana" w:cs="Tahoma"/>
          <w:sz w:val="20"/>
          <w:szCs w:val="20"/>
        </w:rPr>
        <w:t xml:space="preserve">”). As Assembleias Gerais de Debenturistas deverão </w:t>
      </w:r>
      <w:ins w:id="277" w:author="Gabriel Lopes" w:date="2020-09-17T00:08:00Z">
        <w:r w:rsidR="009E7B17">
          <w:rPr>
            <w:rFonts w:ascii="Verdana" w:hAnsi="Verdana" w:cs="Tahoma"/>
            <w:sz w:val="20"/>
            <w:szCs w:val="20"/>
          </w:rPr>
          <w:t xml:space="preserve">poderão </w:t>
        </w:r>
      </w:ins>
      <w:r w:rsidR="009E7B17">
        <w:rPr>
          <w:rFonts w:ascii="Verdana" w:hAnsi="Verdana" w:cs="Tahoma"/>
          <w:sz w:val="20"/>
          <w:szCs w:val="20"/>
        </w:rPr>
        <w:t xml:space="preserve">ser realizadas de forma presencial, </w:t>
      </w:r>
      <w:del w:id="278" w:author="Gabriel Lopes" w:date="2020-09-17T00:08:00Z">
        <w:r>
          <w:rPr>
            <w:rFonts w:ascii="Verdana" w:hAnsi="Verdana" w:cs="Tahoma"/>
            <w:sz w:val="20"/>
            <w:szCs w:val="20"/>
          </w:rPr>
          <w:delText>podendo ser realizadas por conferência telefônica, vídeo conferência</w:delText>
        </w:r>
      </w:del>
      <w:ins w:id="279" w:author="Gabriel Lopes" w:date="2020-09-17T00:08:00Z">
        <w:r w:rsidR="009E7B17">
          <w:rPr>
            <w:rFonts w:ascii="Verdana" w:hAnsi="Verdana" w:cs="Tahoma"/>
            <w:sz w:val="20"/>
            <w:szCs w:val="20"/>
          </w:rPr>
          <w:t>parcial</w:t>
        </w:r>
      </w:ins>
      <w:r w:rsidR="009E7B17">
        <w:rPr>
          <w:rFonts w:ascii="Verdana" w:hAnsi="Verdana" w:cs="Tahoma"/>
          <w:sz w:val="20"/>
          <w:szCs w:val="20"/>
        </w:rPr>
        <w:t xml:space="preserve"> ou </w:t>
      </w:r>
      <w:del w:id="280" w:author="Gabriel Lopes" w:date="2020-09-17T00:08:00Z">
        <w:r>
          <w:rPr>
            <w:rFonts w:ascii="Verdana" w:hAnsi="Verdana" w:cs="Tahoma"/>
            <w:sz w:val="20"/>
            <w:szCs w:val="20"/>
          </w:rPr>
          <w:delText>por qualquer outro meio, desde que assim permitido pela legislação aplicável.</w:delText>
        </w:r>
      </w:del>
      <w:ins w:id="281" w:author="Gabriel Lopes" w:date="2020-09-17T00:08:00Z">
        <w:r w:rsidR="009E7B17">
          <w:rPr>
            <w:rFonts w:ascii="Verdana" w:hAnsi="Verdana" w:cs="Tahoma"/>
            <w:sz w:val="20"/>
            <w:szCs w:val="20"/>
          </w:rPr>
          <w:t>exclusivamente de modo digital, nos termos da Instrução CVM nº 625, de 14 de maio de 2020 (“</w:t>
        </w:r>
        <w:r w:rsidR="009E7B17">
          <w:rPr>
            <w:rFonts w:ascii="Verdana" w:hAnsi="Verdana" w:cs="Tahoma"/>
            <w:sz w:val="20"/>
            <w:szCs w:val="20"/>
            <w:u w:val="single"/>
          </w:rPr>
          <w:t>ICVM 625</w:t>
        </w:r>
        <w:r w:rsidR="009E7B17">
          <w:rPr>
            <w:rFonts w:ascii="Verdana" w:hAnsi="Verdana" w:cs="Tahoma"/>
            <w:sz w:val="20"/>
            <w:szCs w:val="20"/>
          </w:rPr>
          <w:t>”)</w:t>
        </w:r>
        <w:r>
          <w:rPr>
            <w:rFonts w:ascii="Verdana" w:hAnsi="Verdana" w:cs="Tahoma"/>
            <w:sz w:val="20"/>
            <w:szCs w:val="20"/>
          </w:rPr>
          <w:t>.</w:t>
        </w:r>
      </w:ins>
      <w:bookmarkEnd w:id="276"/>
    </w:p>
    <w:p w14:paraId="78B1DB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p>
    <w:p w14:paraId="5A3B9FB7"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3C6B1575"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73230B82"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227D6A8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Exceto pelo disposto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abaixo, as deliberações da Assembleia Geral de Debenturistas serão aprovadas por titulares de Debêntures que representem, no mínimo </w:t>
      </w:r>
      <w:r>
        <w:rPr>
          <w:rFonts w:ascii="Verdana" w:hAnsi="Verdana" w:cs="Tahoma"/>
          <w:b/>
          <w:sz w:val="20"/>
          <w:szCs w:val="20"/>
        </w:rPr>
        <w:t>(i)</w:t>
      </w:r>
      <w:r>
        <w:rPr>
          <w:rFonts w:ascii="Verdana" w:hAnsi="Verdana" w:cs="Tahoma"/>
          <w:sz w:val="20"/>
          <w:szCs w:val="20"/>
        </w:rPr>
        <w:t xml:space="preserve"> a maioria das Debêntures em Circulação, em primeira convocação, e </w:t>
      </w:r>
      <w:r>
        <w:rPr>
          <w:rFonts w:ascii="Verdana" w:hAnsi="Verdana" w:cs="Tahoma"/>
          <w:b/>
          <w:sz w:val="20"/>
          <w:szCs w:val="20"/>
        </w:rPr>
        <w:t>(ii)</w:t>
      </w:r>
      <w:r>
        <w:rPr>
          <w:rFonts w:ascii="Verdana" w:hAnsi="Verdana" w:cs="Tahoma"/>
          <w:sz w:val="20"/>
          <w:szCs w:val="20"/>
        </w:rPr>
        <w:t xml:space="preserve"> 50% (cinquenta por cento) das Debêntures presentes na assembleia mais 1 (uma) Debênture, em segunda convocação. </w:t>
      </w:r>
    </w:p>
    <w:p w14:paraId="406D3B20" w14:textId="2F05DDBB" w:rsidR="00EB5CDB" w:rsidRDefault="008E55E6">
      <w:pPr>
        <w:pStyle w:val="PargrafodaLista"/>
        <w:numPr>
          <w:ilvl w:val="1"/>
          <w:numId w:val="9"/>
        </w:numPr>
        <w:tabs>
          <w:tab w:val="left" w:pos="1134"/>
        </w:tabs>
        <w:spacing w:before="120" w:after="120" w:line="280" w:lineRule="exact"/>
        <w:jc w:val="both"/>
        <w:rPr>
          <w:rFonts w:ascii="Verdana" w:hAnsi="Verdana" w:cs="Tahoma"/>
          <w:sz w:val="20"/>
          <w:szCs w:val="20"/>
        </w:rPr>
      </w:pPr>
      <w:bookmarkStart w:id="282" w:name="_Ref497554208"/>
      <w:bookmarkStart w:id="283" w:name="_Ref422392340"/>
      <w:r>
        <w:rPr>
          <w:rFonts w:ascii="Verdana" w:hAnsi="Verdana" w:cs="Tahoma"/>
          <w:sz w:val="20"/>
          <w:szCs w:val="20"/>
        </w:rPr>
        <w:t xml:space="preserve">As deliberações relativas </w:t>
      </w:r>
      <w:bookmarkStart w:id="284" w:name="_DV_C599"/>
      <w:r>
        <w:rPr>
          <w:rStyle w:val="DeltaViewDeletion"/>
          <w:rFonts w:ascii="Verdana" w:hAnsi="Verdana"/>
          <w:strike w:val="0"/>
          <w:color w:val="000000"/>
          <w:sz w:val="20"/>
          <w:szCs w:val="20"/>
        </w:rPr>
        <w:t xml:space="preserve">às seguintes </w:t>
      </w:r>
      <w:bookmarkStart w:id="285" w:name="_DV_M533"/>
      <w:bookmarkEnd w:id="284"/>
      <w:bookmarkEnd w:id="285"/>
      <w:r>
        <w:rPr>
          <w:rStyle w:val="DeltaViewDeletion"/>
          <w:rFonts w:ascii="Verdana" w:hAnsi="Verdana"/>
          <w:strike w:val="0"/>
          <w:color w:val="000000"/>
          <w:sz w:val="20"/>
          <w:szCs w:val="20"/>
        </w:rPr>
        <w:t>matérias</w:t>
      </w:r>
      <w:r>
        <w:rPr>
          <w:rFonts w:ascii="Verdana" w:hAnsi="Verdana" w:cs="Tahoma"/>
          <w:sz w:val="20"/>
          <w:szCs w:val="20"/>
        </w:rPr>
        <w:t xml:space="preserve"> serão aprovadas por titulares das Debêntures representando, pelo menos, 90% (noventa por cento) das Debêntures em Circulação em primeira</w:t>
      </w:r>
      <w:r w:rsidR="00017F48">
        <w:rPr>
          <w:rFonts w:ascii="Verdana" w:hAnsi="Verdana" w:cs="Tahoma"/>
          <w:sz w:val="20"/>
          <w:szCs w:val="20"/>
        </w:rPr>
        <w:t xml:space="preserve"> convocação</w:t>
      </w:r>
      <w:r>
        <w:rPr>
          <w:rFonts w:ascii="Verdana" w:hAnsi="Verdana" w:cs="Tahoma"/>
          <w:sz w:val="20"/>
          <w:szCs w:val="20"/>
        </w:rPr>
        <w:t xml:space="preserve"> e</w:t>
      </w:r>
      <w:r w:rsidR="00017F48">
        <w:rPr>
          <w:rFonts w:ascii="Verdana" w:hAnsi="Verdana" w:cs="Tahoma"/>
          <w:sz w:val="20"/>
          <w:szCs w:val="20"/>
        </w:rPr>
        <w:t xml:space="preserve"> 90% (noventa) dos presentes</w:t>
      </w:r>
      <w:r>
        <w:rPr>
          <w:rFonts w:ascii="Verdana" w:hAnsi="Verdana" w:cs="Tahoma"/>
          <w:sz w:val="20"/>
          <w:szCs w:val="20"/>
        </w:rPr>
        <w:t xml:space="preserve"> segunda convocação</w:t>
      </w:r>
      <w:bookmarkEnd w:id="282"/>
      <w:r>
        <w:rPr>
          <w:rStyle w:val="DeltaViewDeletion"/>
          <w:rFonts w:ascii="Verdana" w:hAnsi="Verdana"/>
          <w:strike w:val="0"/>
          <w:color w:val="000000"/>
          <w:sz w:val="20"/>
          <w:szCs w:val="20"/>
        </w:rPr>
        <w:t>:</w:t>
      </w:r>
    </w:p>
    <w:p w14:paraId="3982124B" w14:textId="77777777" w:rsidR="00EB5CDB" w:rsidRDefault="008E55E6">
      <w:pPr>
        <w:pStyle w:val="ListaColorida-nfase12"/>
        <w:numPr>
          <w:ilvl w:val="4"/>
          <w:numId w:val="65"/>
        </w:numPr>
        <w:tabs>
          <w:tab w:val="left" w:pos="1134"/>
        </w:tabs>
        <w:spacing w:before="120" w:after="120"/>
        <w:ind w:left="1134" w:hanging="425"/>
        <w:jc w:val="both"/>
        <w:rPr>
          <w:rStyle w:val="DeltaViewDeletion"/>
          <w:rFonts w:ascii="Verdana" w:hAnsi="Verdana" w:cs="Tahoma"/>
          <w:strike w:val="0"/>
          <w:color w:val="auto"/>
          <w:sz w:val="20"/>
          <w:szCs w:val="20"/>
        </w:rPr>
      </w:pPr>
      <w:bookmarkStart w:id="286" w:name="_DV_C605"/>
      <w:bookmarkStart w:id="287" w:name="_DV_X601"/>
      <w:r>
        <w:rPr>
          <w:rStyle w:val="DeltaViewMoveSource"/>
          <w:rFonts w:ascii="Verdana" w:hAnsi="Verdana" w:cs="Tahoma"/>
          <w:strike w:val="0"/>
          <w:color w:val="000000"/>
          <w:sz w:val="20"/>
          <w:szCs w:val="20"/>
        </w:rPr>
        <w:t>modificação da Data de Vencimento das Debêntures</w:t>
      </w:r>
      <w:bookmarkStart w:id="288" w:name="_DV_C606"/>
      <w:bookmarkEnd w:id="286"/>
      <w:bookmarkEnd w:id="287"/>
      <w:r>
        <w:rPr>
          <w:rStyle w:val="DeltaViewDeletion"/>
          <w:rFonts w:ascii="Verdana" w:hAnsi="Verdana"/>
          <w:strike w:val="0"/>
          <w:color w:val="000000"/>
          <w:sz w:val="20"/>
          <w:szCs w:val="20"/>
        </w:rPr>
        <w:t xml:space="preserve">; </w:t>
      </w:r>
    </w:p>
    <w:p w14:paraId="4E048EA7" w14:textId="77777777" w:rsidR="00EB5CDB" w:rsidRDefault="008E55E6">
      <w:pPr>
        <w:pStyle w:val="ListaColorida-nfase12"/>
        <w:numPr>
          <w:ilvl w:val="4"/>
          <w:numId w:val="65"/>
        </w:numPr>
        <w:tabs>
          <w:tab w:val="left" w:pos="1134"/>
        </w:tabs>
        <w:spacing w:before="120" w:after="120"/>
        <w:ind w:left="1134" w:hanging="425"/>
        <w:jc w:val="both"/>
        <w:rPr>
          <w:rFonts w:ascii="Verdana" w:hAnsi="Verdana" w:cs="Tahoma"/>
          <w:sz w:val="20"/>
          <w:szCs w:val="20"/>
        </w:rPr>
      </w:pPr>
      <w:r>
        <w:rPr>
          <w:rStyle w:val="DeltaViewMoveSource"/>
          <w:rFonts w:ascii="Verdana" w:hAnsi="Verdana" w:cs="Tahoma"/>
          <w:strike w:val="0"/>
          <w:color w:val="000000"/>
          <w:sz w:val="20"/>
          <w:szCs w:val="20"/>
        </w:rPr>
        <w:t>modificação da Remuneração das Debêntures;</w:t>
      </w:r>
      <w:r>
        <w:rPr>
          <w:rStyle w:val="DeltaViewDeletion"/>
          <w:rFonts w:ascii="Verdana" w:hAnsi="Verdana"/>
          <w:strike w:val="0"/>
          <w:color w:val="000000"/>
          <w:sz w:val="20"/>
          <w:szCs w:val="20"/>
        </w:rPr>
        <w:t xml:space="preserve"> e</w:t>
      </w:r>
      <w:bookmarkEnd w:id="288"/>
    </w:p>
    <w:p w14:paraId="1FE17A7B" w14:textId="0F181A8A" w:rsidR="00EB5CDB" w:rsidRDefault="008E55E6">
      <w:pPr>
        <w:pStyle w:val="ListaColorida-nfase12"/>
        <w:numPr>
          <w:ilvl w:val="4"/>
          <w:numId w:val="65"/>
        </w:numPr>
        <w:tabs>
          <w:tab w:val="left" w:pos="1134"/>
        </w:tabs>
        <w:spacing w:before="120" w:after="120"/>
        <w:ind w:left="1134" w:hanging="425"/>
        <w:jc w:val="both"/>
        <w:rPr>
          <w:rFonts w:ascii="Verdana" w:eastAsia="MS Mincho" w:hAnsi="Verdana" w:cs="Tahoma"/>
          <w:sz w:val="20"/>
          <w:szCs w:val="20"/>
        </w:rPr>
      </w:pPr>
      <w:bookmarkStart w:id="289" w:name="_DV_C607"/>
      <w:r>
        <w:rPr>
          <w:rStyle w:val="DeltaViewDeletion"/>
          <w:rFonts w:ascii="Verdana" w:hAnsi="Verdana"/>
          <w:strike w:val="0"/>
          <w:color w:val="000000"/>
          <w:sz w:val="20"/>
          <w:szCs w:val="20"/>
        </w:rPr>
        <w:t>alteração de qualquer dos Eventos de Desalavancagem ou Eventos de Inadimplemento listados no item 3.</w:t>
      </w:r>
      <w:r w:rsidR="00017F48">
        <w:rPr>
          <w:rStyle w:val="DeltaViewDeletion"/>
          <w:rFonts w:ascii="Verdana" w:hAnsi="Verdana"/>
          <w:strike w:val="0"/>
          <w:color w:val="000000"/>
          <w:sz w:val="20"/>
          <w:szCs w:val="20"/>
        </w:rPr>
        <w:t>29</w:t>
      </w:r>
      <w:r>
        <w:rPr>
          <w:rStyle w:val="DeltaViewDeletion"/>
          <w:rFonts w:ascii="Verdana" w:hAnsi="Verdana"/>
          <w:strike w:val="0"/>
          <w:color w:val="000000"/>
          <w:sz w:val="20"/>
          <w:szCs w:val="20"/>
        </w:rPr>
        <w:t xml:space="preserve"> acima, inclusive no caso de renúncia ou perdão temporário.</w:t>
      </w:r>
      <w:bookmarkEnd w:id="289"/>
    </w:p>
    <w:p w14:paraId="2824840C"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290" w:name="_Ref497554210"/>
      <w:r>
        <w:rPr>
          <w:rFonts w:ascii="Verdana" w:hAnsi="Verdana" w:cs="Tahoma"/>
          <w:sz w:val="20"/>
          <w:szCs w:val="20"/>
        </w:rPr>
        <w:t>As deliberações relativas às seguintes matérias serão aprovadas por titulares das Debêntures representando, pelo menos, 75% (setenta e cinco por cento) das Debêntures em Circulação em primeira convocação e 75% (setenta e cinco por cento) dos presentes em segunda convocação:</w:t>
      </w:r>
      <w:bookmarkEnd w:id="283"/>
      <w:bookmarkEnd w:id="290"/>
      <w:r>
        <w:rPr>
          <w:rFonts w:ascii="Verdana" w:hAnsi="Verdana" w:cs="Tahoma"/>
          <w:sz w:val="20"/>
          <w:szCs w:val="20"/>
        </w:rPr>
        <w:t xml:space="preserve"> </w:t>
      </w:r>
    </w:p>
    <w:p w14:paraId="1BEA7F27"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substituição do Agente Fiduciário ou do Escriturador;</w:t>
      </w:r>
    </w:p>
    <w:p w14:paraId="0E1CB6E4"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alteração das obrigações do Agente Fiduciário, estabelecidas na Cláusula Sétima; e</w:t>
      </w:r>
    </w:p>
    <w:p w14:paraId="7EA0F362" w14:textId="77777777" w:rsidR="00EB5CDB" w:rsidRDefault="008E55E6">
      <w:pPr>
        <w:pStyle w:val="ListaColorida-nfase12"/>
        <w:numPr>
          <w:ilvl w:val="0"/>
          <w:numId w:val="66"/>
        </w:numPr>
        <w:tabs>
          <w:tab w:val="left" w:pos="1134"/>
        </w:tabs>
        <w:spacing w:before="120" w:after="120"/>
        <w:ind w:left="1134" w:hanging="425"/>
        <w:jc w:val="both"/>
        <w:rPr>
          <w:rStyle w:val="DeltaViewMoveSource"/>
          <w:rFonts w:ascii="Verdana" w:hAnsi="Verdana" w:cs="Tahoma"/>
          <w:strike w:val="0"/>
          <w:color w:val="000000"/>
          <w:sz w:val="20"/>
          <w:szCs w:val="20"/>
        </w:rPr>
      </w:pPr>
      <w:r>
        <w:rPr>
          <w:rStyle w:val="DeltaViewMoveSource"/>
          <w:rFonts w:ascii="Verdana" w:hAnsi="Verdana" w:cs="Tahoma"/>
          <w:strike w:val="0"/>
          <w:color w:val="000000"/>
          <w:sz w:val="20"/>
          <w:szCs w:val="20"/>
        </w:rPr>
        <w:t>deliberação sobre Plano de Ação.</w:t>
      </w:r>
    </w:p>
    <w:p w14:paraId="7FA5FD65" w14:textId="77777777" w:rsidR="00EB5CDB" w:rsidRDefault="008E55E6">
      <w:pPr>
        <w:pStyle w:val="ListaColorida-nfase12"/>
        <w:numPr>
          <w:ilvl w:val="2"/>
          <w:numId w:val="9"/>
        </w:numPr>
        <w:spacing w:before="120" w:after="120" w:line="280" w:lineRule="exact"/>
        <w:ind w:left="0" w:firstLine="0"/>
        <w:jc w:val="both"/>
        <w:rPr>
          <w:rFonts w:ascii="Verdana" w:hAnsi="Verdana" w:cs="Tahoma"/>
          <w:sz w:val="20"/>
          <w:szCs w:val="20"/>
        </w:rPr>
      </w:pPr>
      <w:bookmarkStart w:id="291" w:name="_Ref497584371"/>
      <w:r>
        <w:rPr>
          <w:rFonts w:ascii="Verdana" w:hAnsi="Verdana" w:cs="Tahoma"/>
          <w:sz w:val="20"/>
          <w:szCs w:val="20"/>
        </w:rPr>
        <w:t>A deliberação acerca da divisão, entre os Debenturistas, dos Direitos Creditórios Vinculados a serem dados em pagamento pela Emissora, nos termos do item </w:t>
      </w:r>
      <w:r>
        <w:rPr>
          <w:rFonts w:ascii="Verdana" w:hAnsi="Verdana" w:cs="Tahoma"/>
          <w:sz w:val="20"/>
          <w:szCs w:val="20"/>
        </w:rPr>
        <w:fldChar w:fldCharType="begin"/>
      </w:r>
      <w:r>
        <w:rPr>
          <w:rFonts w:ascii="Verdana" w:hAnsi="Verdana" w:cs="Tahoma"/>
          <w:sz w:val="20"/>
          <w:szCs w:val="20"/>
        </w:rPr>
        <w:instrText xml:space="preserve"> REF _Ref422391479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w:t>
      </w:r>
      <w:r>
        <w:rPr>
          <w:rFonts w:ascii="Verdana" w:hAnsi="Verdana" w:cs="Tahoma"/>
          <w:sz w:val="20"/>
          <w:szCs w:val="20"/>
        </w:rPr>
        <w:fldChar w:fldCharType="end"/>
      </w:r>
      <w:r>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91"/>
    </w:p>
    <w:p w14:paraId="1DF70334"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bookmarkStart w:id="292" w:name="_Ref497584380"/>
      <w:r>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acima, da aprovação por titulares das Debêntures representando, pelo menos, 75% (setenta e cinco por cento) das Debêntures da Primeira Série e Debêntures da Segunda Série em circulação, em primeira e segunda convocação.</w:t>
      </w:r>
      <w:bookmarkEnd w:id="292"/>
    </w:p>
    <w:p w14:paraId="2842B0F1" w14:textId="7114EA4C" w:rsidR="00EB5CDB" w:rsidRDefault="008E55E6">
      <w:pPr>
        <w:pStyle w:val="PargrafodaLista"/>
        <w:numPr>
          <w:ilvl w:val="2"/>
          <w:numId w:val="9"/>
        </w:numPr>
        <w:spacing w:before="120" w:after="120" w:line="280" w:lineRule="exact"/>
        <w:ind w:left="0" w:firstLine="0"/>
        <w:jc w:val="both"/>
        <w:rPr>
          <w:rFonts w:ascii="Verdana" w:hAnsi="Verdana" w:cs="Tahoma"/>
          <w:sz w:val="20"/>
          <w:szCs w:val="20"/>
        </w:rPr>
      </w:pPr>
      <w:bookmarkStart w:id="293" w:name="_Ref497584412"/>
      <w:r>
        <w:rPr>
          <w:rFonts w:ascii="Verdana" w:hAnsi="Verdana" w:cs="Tahoma"/>
          <w:sz w:val="20"/>
          <w:szCs w:val="20"/>
        </w:rPr>
        <w:t xml:space="preserve">As deliberações relativas </w:t>
      </w:r>
      <w:r w:rsidR="00435E3F">
        <w:rPr>
          <w:rFonts w:ascii="Verdana" w:hAnsi="Verdana" w:cs="Tahoma"/>
          <w:sz w:val="20"/>
          <w:szCs w:val="20"/>
        </w:rPr>
        <w:t>a</w:t>
      </w:r>
      <w:r>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Pr>
          <w:rFonts w:ascii="Verdana" w:hAnsi="Verdana" w:cs="Tahoma"/>
          <w:sz w:val="20"/>
          <w:szCs w:val="20"/>
        </w:rPr>
        <w:t>a</w:t>
      </w:r>
      <w:r>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 e Debêntures da Segunda Série em circulação, em primeira e segunda convocação.</w:t>
      </w:r>
      <w:bookmarkEnd w:id="293"/>
    </w:p>
    <w:p w14:paraId="218AD93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Qualquer modificação dos quóruns qualificados previstos na presente Escritura de Emissão, incluindo sem limitação, aqueles descritos nos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dependerão da aprovação por Debenturistas que representem, no mínimo, a quantidade de Debêntures atualmente prevista no respectivo quórum a ser alterado.</w:t>
      </w:r>
    </w:p>
    <w:p w14:paraId="66BC7171"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Quaisquer modificações a esta Escritura de Emissão, inclusive aquelas decorrentes de deliberação dos titulares de Debêntures nos termos dos itens </w:t>
      </w:r>
      <w:r>
        <w:rPr>
          <w:rFonts w:ascii="Verdana" w:hAnsi="Verdana" w:cs="Tahoma"/>
          <w:sz w:val="20"/>
          <w:szCs w:val="20"/>
        </w:rPr>
        <w:fldChar w:fldCharType="begin"/>
      </w:r>
      <w:r>
        <w:rPr>
          <w:rFonts w:ascii="Verdana" w:hAnsi="Verdana" w:cs="Tahoma"/>
          <w:sz w:val="20"/>
          <w:szCs w:val="20"/>
        </w:rPr>
        <w:instrText xml:space="preserve"> REF _Ref497554208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4.7</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_Ref497554210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_Ref497584371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4.8.1</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_Ref497584380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_Ref497584412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4.9.1</w:t>
      </w:r>
      <w:r>
        <w:rPr>
          <w:rFonts w:ascii="Verdana" w:hAnsi="Verdana" w:cs="Tahoma"/>
          <w:sz w:val="20"/>
          <w:szCs w:val="20"/>
        </w:rPr>
        <w:fldChar w:fldCharType="end"/>
      </w:r>
      <w:r>
        <w:rPr>
          <w:rFonts w:ascii="Verdana" w:hAnsi="Verdana" w:cs="Tahoma"/>
          <w:sz w:val="20"/>
          <w:szCs w:val="20"/>
        </w:rPr>
        <w:t xml:space="preserve"> acima, deverão ser formalizadas mediante instrumento particular de aditamento a esta Escritura de Emissão. </w:t>
      </w:r>
    </w:p>
    <w:p w14:paraId="6658E10D"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7ABEAA3A"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7F957298"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deverá comparecer à Assembleia Geral de Debenturistas e prestar aos Debenturistas as informações que lhe forem solicitadas.</w:t>
      </w:r>
    </w:p>
    <w:p w14:paraId="235A376B" w14:textId="77777777" w:rsidR="00EB5CDB" w:rsidRDefault="008E55E6">
      <w:pPr>
        <w:pStyle w:val="PargrafodaLista"/>
        <w:numPr>
          <w:ilvl w:val="1"/>
          <w:numId w:val="9"/>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Default="00EB5CDB">
      <w:pPr>
        <w:pStyle w:val="PargrafodaLista"/>
        <w:spacing w:before="120" w:after="120" w:line="280" w:lineRule="exact"/>
        <w:ind w:left="0"/>
        <w:jc w:val="both"/>
        <w:rPr>
          <w:rFonts w:ascii="Verdana" w:hAnsi="Verdana" w:cs="Tahoma"/>
          <w:sz w:val="20"/>
          <w:szCs w:val="20"/>
        </w:rPr>
      </w:pPr>
    </w:p>
    <w:p w14:paraId="1FBA0DCC"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QUINTA – DECLARAÇÕES E GARANTIAS DA EMISSORA</w:t>
      </w:r>
    </w:p>
    <w:p w14:paraId="3FB00CD2"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neste ato declara e garante aos Debenturistas que:</w:t>
      </w:r>
    </w:p>
    <w:p w14:paraId="5FE8B99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é uma companhia securitizadora de créditos financeiros devidamente organizada, constituída e existente de acordo com as leis brasileiras;</w:t>
      </w:r>
    </w:p>
    <w:p w14:paraId="7E24C5DF"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devidamente autorizada e obteve todas as licenças e autorizações necessárias </w:t>
      </w:r>
      <w:r>
        <w:rPr>
          <w:rFonts w:ascii="Verdana" w:hAnsi="Verdana" w:cs="Tahoma"/>
          <w:b/>
          <w:sz w:val="20"/>
          <w:szCs w:val="20"/>
        </w:rPr>
        <w:t>(a)</w:t>
      </w:r>
      <w:r>
        <w:rPr>
          <w:rFonts w:ascii="Verdana" w:hAnsi="Verdana" w:cs="Tahoma"/>
          <w:sz w:val="20"/>
          <w:szCs w:val="20"/>
        </w:rPr>
        <w:t xml:space="preserve"> à celebração desta Escritura de Emissão e do Contrato de Cessão Fiduciária, </w:t>
      </w:r>
      <w:r>
        <w:rPr>
          <w:rFonts w:ascii="Verdana" w:hAnsi="Verdana" w:cs="Tahoma"/>
          <w:b/>
          <w:sz w:val="20"/>
          <w:szCs w:val="20"/>
        </w:rPr>
        <w:t>(b)</w:t>
      </w:r>
      <w:r>
        <w:rPr>
          <w:rFonts w:ascii="Verdana" w:hAnsi="Verdana" w:cs="Tahoma"/>
          <w:sz w:val="20"/>
          <w:szCs w:val="20"/>
        </w:rPr>
        <w:t xml:space="preserve"> à Emissão das Debêntures e </w:t>
      </w:r>
      <w:r>
        <w:rPr>
          <w:rFonts w:ascii="Verdana" w:hAnsi="Verdana" w:cs="Tahoma"/>
          <w:b/>
          <w:sz w:val="20"/>
          <w:szCs w:val="20"/>
        </w:rPr>
        <w:t xml:space="preserve">(c) </w:t>
      </w:r>
      <w:r>
        <w:rPr>
          <w:rFonts w:ascii="Verdana" w:hAnsi="Verdana" w:cs="Tahoma"/>
          <w:sz w:val="20"/>
          <w:szCs w:val="20"/>
        </w:rPr>
        <w:t>ao cumprimento de suas obrigações, tendo sido satisfeitos todos os requisitos legais e estatutários necessários para tanto;</w:t>
      </w:r>
    </w:p>
    <w:p w14:paraId="63C7EB0E"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791596C"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celebração desta Escritura de Emissão e o cumprimento de suas obrigações previstas, assim como a Emissão das Debêntures, a Oferta Restrita</w:t>
      </w:r>
      <w:r>
        <w:rPr>
          <w:rFonts w:ascii="Verdana" w:eastAsia="MS Mincho" w:hAnsi="Verdana" w:cs="Tahoma"/>
          <w:sz w:val="20"/>
          <w:szCs w:val="20"/>
        </w:rPr>
        <w:t xml:space="preserve"> e a constituição da Garantia</w:t>
      </w:r>
      <w:r>
        <w:rPr>
          <w:rFonts w:ascii="Verdana" w:hAnsi="Verdana" w:cs="Tahoma"/>
          <w:sz w:val="20"/>
          <w:szCs w:val="20"/>
        </w:rPr>
        <w:t xml:space="preserve">, não infringem ou contrariam, sob qualquer aspecto material, </w:t>
      </w:r>
      <w:r>
        <w:rPr>
          <w:rFonts w:ascii="Verdana" w:hAnsi="Verdana" w:cs="Tahoma"/>
          <w:b/>
          <w:sz w:val="20"/>
          <w:szCs w:val="20"/>
        </w:rPr>
        <w:t>(a)</w:t>
      </w:r>
      <w:r>
        <w:rPr>
          <w:rFonts w:ascii="Verdana" w:hAnsi="Verdana" w:cs="Tahoma"/>
          <w:sz w:val="20"/>
          <w:szCs w:val="20"/>
        </w:rPr>
        <w:t xml:space="preserve"> qualquer lei, decreto ou regulamento a que a Emissora ou quaisquer de seus bens e propriedades estejam sujeitos; </w:t>
      </w:r>
      <w:r>
        <w:rPr>
          <w:rFonts w:ascii="Verdana" w:hAnsi="Verdana" w:cs="Tahoma"/>
          <w:b/>
          <w:sz w:val="20"/>
          <w:szCs w:val="20"/>
        </w:rPr>
        <w:t>(b)</w:t>
      </w:r>
      <w:r>
        <w:rPr>
          <w:rFonts w:ascii="Verdana" w:hAnsi="Verdana" w:cs="Tahoma"/>
          <w:sz w:val="20"/>
          <w:szCs w:val="20"/>
        </w:rPr>
        <w:t xml:space="preserve"> qualquer ordem, decisão ou sentença administrativa, judicial ou arbitral que afete a Emissora ou quaisquer de seus bens e propriedades; ou </w:t>
      </w:r>
      <w:r>
        <w:rPr>
          <w:rFonts w:ascii="Verdana" w:hAnsi="Verdana" w:cs="Tahoma"/>
          <w:b/>
          <w:sz w:val="20"/>
          <w:szCs w:val="20"/>
        </w:rPr>
        <w:t>(c)</w:t>
      </w:r>
      <w:r>
        <w:rPr>
          <w:rFonts w:ascii="Verdana" w:hAnsi="Verdana" w:cs="Tahoma"/>
          <w:sz w:val="20"/>
          <w:szCs w:val="20"/>
        </w:rPr>
        <w:t xml:space="preserve"> qualquer contrato ou documento relevante no qual a Emissora seja parte ou pelo qual quaisquer de seus bens e propriedades estejam vinculados, nem irá resultar em </w:t>
      </w:r>
      <w:r>
        <w:rPr>
          <w:rFonts w:ascii="Verdana" w:hAnsi="Verdana" w:cs="Tahoma"/>
          <w:b/>
          <w:sz w:val="20"/>
          <w:szCs w:val="20"/>
        </w:rPr>
        <w:t>(x)</w:t>
      </w:r>
      <w:r>
        <w:rPr>
          <w:rFonts w:ascii="Verdana" w:hAnsi="Verdana" w:cs="Tahoma"/>
          <w:sz w:val="20"/>
          <w:szCs w:val="20"/>
        </w:rPr>
        <w:t xml:space="preserve"> vencimento antecipado de qualquer obrigação relevante estabelecida em qualquer destes contratos ou instrumentos, ou </w:t>
      </w:r>
      <w:r>
        <w:rPr>
          <w:rFonts w:ascii="Verdana" w:hAnsi="Verdana" w:cs="Tahoma"/>
          <w:b/>
          <w:sz w:val="20"/>
          <w:szCs w:val="20"/>
        </w:rPr>
        <w:t>(y)</w:t>
      </w:r>
      <w:r>
        <w:rPr>
          <w:rFonts w:ascii="Verdana" w:hAnsi="Verdana" w:cs="Tahoma"/>
          <w:sz w:val="20"/>
          <w:szCs w:val="20"/>
        </w:rPr>
        <w:t xml:space="preserve"> rescisão de qualquer desses contratos ou instrumentos;</w:t>
      </w:r>
    </w:p>
    <w:p w14:paraId="6E2035D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tem todas as autorizações, registros e licenças relevantes exigidas pelas autoridades federais, estaduais e municipais sendo todas elas válidas para </w:t>
      </w:r>
      <w:r>
        <w:rPr>
          <w:rFonts w:ascii="Verdana" w:hAnsi="Verdana" w:cs="Tahoma"/>
          <w:b/>
          <w:sz w:val="20"/>
          <w:szCs w:val="20"/>
        </w:rPr>
        <w:t>(a)</w:t>
      </w:r>
      <w:r>
        <w:rPr>
          <w:rFonts w:ascii="Verdana" w:hAnsi="Verdana" w:cs="Tahoma"/>
          <w:sz w:val="20"/>
          <w:szCs w:val="20"/>
        </w:rPr>
        <w:t xml:space="preserve"> o exercício de suas atividades e </w:t>
      </w:r>
      <w:r>
        <w:rPr>
          <w:rFonts w:ascii="Verdana" w:hAnsi="Verdana" w:cs="Tahoma"/>
          <w:b/>
          <w:sz w:val="20"/>
          <w:szCs w:val="20"/>
        </w:rPr>
        <w:t>(b)</w:t>
      </w:r>
      <w:r>
        <w:rPr>
          <w:rFonts w:ascii="Verdana" w:hAnsi="Verdana" w:cs="Tahoma"/>
          <w:sz w:val="20"/>
          <w:szCs w:val="20"/>
        </w:rPr>
        <w:t xml:space="preserve"> para a realização da Oferta Restrita e o cumprimento, pela Emissora, de suas obrigações nos termos desta Emissão;</w:t>
      </w:r>
    </w:p>
    <w:p w14:paraId="64BE360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está cumprindo, em todos os aspectos relevantes, todas as leis, regulamentos, normas administrativas e determinações de órgãos governamentais, autarquias ou tribunais, vigentes e aplicáveis à condução de seus negócios; </w:t>
      </w:r>
    </w:p>
    <w:p w14:paraId="702B519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eastAsia="MS Mincho" w:hAnsi="Verdana" w:cs="Tahoma"/>
          <w:sz w:val="20"/>
          <w:szCs w:val="20"/>
        </w:rPr>
      </w:pPr>
      <w:r>
        <w:rPr>
          <w:rFonts w:ascii="Verdana" w:eastAsia="MS Mincho" w:hAnsi="Verdana" w:cs="Tahoma"/>
          <w:sz w:val="20"/>
          <w:szCs w:val="20"/>
        </w:rPr>
        <w:t>é responsável pela validade, origem e existência dos Direitos Creditórios Vinculados, bem como sua correta formalização;</w:t>
      </w:r>
    </w:p>
    <w:p w14:paraId="48E58CF5"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esta Escritura de Emissão constitui uma obrigação legal, válida e vinculativa da Emissora, exequível de acordo com os seus termos e condições; </w:t>
      </w:r>
    </w:p>
    <w:p w14:paraId="295D65F4"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há qualquer ligação entre a Emissora e o Agente Fiduciário que impeça o Agente Fiduciário de exercer plenamente suas funções;</w:t>
      </w:r>
    </w:p>
    <w:p w14:paraId="7F1CF809" w14:textId="45E5C060"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Pr>
          <w:rFonts w:ascii="Verdana" w:hAnsi="Verdana" w:cs="Tahoma"/>
          <w:sz w:val="20"/>
          <w:szCs w:val="20"/>
        </w:rPr>
        <w:t>Gyramais</w:t>
      </w:r>
      <w:r>
        <w:rPr>
          <w:rFonts w:ascii="Verdana" w:hAnsi="Verdana" w:cs="Tahoma"/>
          <w:sz w:val="20"/>
          <w:szCs w:val="20"/>
        </w:rPr>
        <w:t>, que possam causar Efeito Adverso Relevante;</w:t>
      </w:r>
    </w:p>
    <w:p w14:paraId="15646C88"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48A4493D"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619A8CF7"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11EB77A"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omitiu nenhum fato, de qualquer natureza, que seja de seu conhecimento e que possa razoavelmente resultar em Efeito Adverso Relevante;</w:t>
      </w:r>
    </w:p>
    <w:p w14:paraId="12716B56"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242F7592" w14:textId="77777777"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4BBE3146" w14:textId="5CB59D3A"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r w:rsidR="00F470F4">
        <w:rPr>
          <w:rFonts w:ascii="Verdana" w:hAnsi="Verdana" w:cs="Tahoma"/>
          <w:sz w:val="20"/>
          <w:szCs w:val="20"/>
        </w:rPr>
        <w:t>Gyra</w:t>
      </w:r>
      <w:r>
        <w:rPr>
          <w:rFonts w:ascii="Verdana" w:hAnsi="Verdana" w:cs="Tahoma"/>
          <w:sz w:val="20"/>
          <w:szCs w:val="20"/>
        </w:rPr>
        <w:t xml:space="preserve"> e os agentes das Entidades </w:t>
      </w:r>
      <w:r w:rsidR="00F470F4">
        <w:rPr>
          <w:rFonts w:ascii="Verdana" w:hAnsi="Verdana" w:cs="Tahoma"/>
          <w:sz w:val="20"/>
          <w:szCs w:val="20"/>
        </w:rPr>
        <w:t>Gyra</w:t>
      </w:r>
      <w:r>
        <w:rPr>
          <w:rFonts w:ascii="Verdana" w:hAnsi="Verdana" w:cs="Tahoma"/>
          <w:sz w:val="20"/>
          <w:szCs w:val="20"/>
        </w:rPr>
        <w:t xml:space="preserve"> não </w:t>
      </w:r>
      <w:r>
        <w:rPr>
          <w:rFonts w:ascii="Verdana" w:hAnsi="Verdana" w:cs="Tahoma"/>
          <w:b/>
          <w:sz w:val="20"/>
          <w:szCs w:val="20"/>
        </w:rPr>
        <w:t>(a)</w:t>
      </w:r>
      <w:r>
        <w:rPr>
          <w:rFonts w:ascii="Verdana" w:hAnsi="Verdana" w:cs="Tahoma"/>
          <w:sz w:val="20"/>
          <w:szCs w:val="20"/>
        </w:rPr>
        <w:t xml:space="preserve"> estão sujeitos a quaisquer Leis de Sanção ou são detidos ou controlados por pessoa sujeita a quaisquer Leis de Sanção, e </w:t>
      </w:r>
      <w:r>
        <w:rPr>
          <w:rFonts w:ascii="Verdana" w:hAnsi="Verdana" w:cs="Tahoma"/>
          <w:b/>
          <w:sz w:val="20"/>
          <w:szCs w:val="20"/>
        </w:rPr>
        <w:t>(b)</w:t>
      </w:r>
      <w:r>
        <w:rPr>
          <w:rFonts w:ascii="Verdana" w:hAnsi="Verdana" w:cs="Tahoma"/>
          <w:sz w:val="20"/>
          <w:szCs w:val="20"/>
        </w:rPr>
        <w:t xml:space="preserve"> são residentes, domiciliados ou com sede em uma Jurisdição Sancionada;</w:t>
      </w:r>
    </w:p>
    <w:p w14:paraId="5A753AB5" w14:textId="5DB8EE4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no seu melhor conhecimento, as Entidades </w:t>
      </w:r>
      <w:r w:rsidR="00F470F4">
        <w:rPr>
          <w:rFonts w:ascii="Verdana" w:hAnsi="Verdana" w:cs="Tahoma"/>
          <w:sz w:val="20"/>
          <w:szCs w:val="20"/>
        </w:rPr>
        <w:t>Gyra</w:t>
      </w:r>
      <w:r>
        <w:rPr>
          <w:rFonts w:ascii="Verdana" w:hAnsi="Verdana" w:cs="Tahoma"/>
          <w:sz w:val="20"/>
          <w:szCs w:val="20"/>
        </w:rPr>
        <w:t xml:space="preserve"> e os agentes das Entidades </w:t>
      </w:r>
      <w:r w:rsidR="00F470F4">
        <w:rPr>
          <w:rFonts w:ascii="Verdana" w:hAnsi="Verdana" w:cs="Tahoma"/>
          <w:sz w:val="20"/>
          <w:szCs w:val="20"/>
        </w:rPr>
        <w:t>Gyra</w:t>
      </w:r>
      <w:r>
        <w:rPr>
          <w:rFonts w:ascii="Verdana" w:hAnsi="Verdana" w:cs="Tahoma"/>
          <w:sz w:val="20"/>
          <w:szCs w:val="20"/>
        </w:rPr>
        <w:t xml:space="preserve"> estão em conformidade com todas as Leis Anticorrupção e Leis de Combate à Lavagem de Dinheiro a que são sujeitos;</w:t>
      </w:r>
    </w:p>
    <w:p w14:paraId="5E5A260B" w14:textId="32312AF2"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a Conta Exclusiva e a conta utilizada pela Emissora para processar o pagamento e a liquidação de quaisquer valores devidos pela Emissora aos Debenturistas, executados por meio da B3, são as únicas contas bancárias utilizadas pela Emissora em relação a presente Emissão; </w:t>
      </w:r>
    </w:p>
    <w:p w14:paraId="43724A3D" w14:textId="23494169" w:rsidR="00EB5CDB" w:rsidRDefault="008E55E6">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os Direitos Creditórios </w:t>
      </w:r>
      <w:r>
        <w:rPr>
          <w:rFonts w:ascii="Verdana" w:eastAsia="MS Mincho" w:hAnsi="Verdana" w:cs="Tahoma"/>
          <w:sz w:val="20"/>
          <w:szCs w:val="20"/>
        </w:rPr>
        <w:t xml:space="preserve">Alienados </w:t>
      </w:r>
      <w:r>
        <w:rPr>
          <w:rFonts w:ascii="Verdana" w:hAnsi="Verdana" w:cs="Tahoma"/>
          <w:sz w:val="20"/>
          <w:szCs w:val="20"/>
        </w:rPr>
        <w:t>encontram-se livres e desembaraçados de quaisquer ônus ou gravames, com exceção da garantia a ser constituída nos termos do Contrato de Cessão Fiduciária</w:t>
      </w:r>
      <w:r w:rsidR="000F6B0C">
        <w:rPr>
          <w:rFonts w:ascii="Verdana" w:hAnsi="Verdana" w:cs="Tahoma"/>
          <w:sz w:val="20"/>
          <w:szCs w:val="20"/>
        </w:rPr>
        <w:t>; e</w:t>
      </w:r>
    </w:p>
    <w:p w14:paraId="076864CA" w14:textId="77A7FA53" w:rsidR="000F6B0C" w:rsidRDefault="000F6B0C">
      <w:pPr>
        <w:pStyle w:val="ListaColorida-nfase12"/>
        <w:numPr>
          <w:ilvl w:val="0"/>
          <w:numId w:val="5"/>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observa a legislação em vigor, em especial a legislação trabalhista, previdenciária e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socioambiental aplicáve</w:t>
      </w:r>
      <w:r w:rsidR="00CC270D">
        <w:rPr>
          <w:rFonts w:ascii="Verdana" w:hAnsi="Verdana" w:cs="Tahoma"/>
          <w:sz w:val="20"/>
          <w:szCs w:val="20"/>
        </w:rPr>
        <w:t xml:space="preserve">l. </w:t>
      </w:r>
    </w:p>
    <w:p w14:paraId="1296E2A0" w14:textId="77777777" w:rsidR="00EB5CDB" w:rsidRDefault="008E55E6">
      <w:pPr>
        <w:pStyle w:val="PargrafodaLista"/>
        <w:numPr>
          <w:ilvl w:val="1"/>
          <w:numId w:val="10"/>
        </w:numPr>
        <w:spacing w:before="120" w:after="120" w:line="280" w:lineRule="exact"/>
        <w:ind w:left="0" w:firstLine="0"/>
        <w:jc w:val="both"/>
        <w:rPr>
          <w:rFonts w:ascii="Verdana" w:hAnsi="Verdana" w:cs="Tahoma"/>
          <w:sz w:val="20"/>
          <w:szCs w:val="20"/>
        </w:rPr>
      </w:pPr>
      <w:r>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Default="00EB5CDB">
      <w:pPr>
        <w:pStyle w:val="PargrafodaLista"/>
        <w:spacing w:before="120" w:after="120" w:line="280" w:lineRule="exact"/>
        <w:ind w:left="0"/>
        <w:jc w:val="both"/>
        <w:rPr>
          <w:rFonts w:ascii="Verdana" w:hAnsi="Verdana" w:cs="Tahoma"/>
          <w:sz w:val="20"/>
          <w:szCs w:val="20"/>
        </w:rPr>
      </w:pPr>
    </w:p>
    <w:p w14:paraId="054AE70D" w14:textId="77777777" w:rsidR="00EB5CDB" w:rsidRDefault="008E55E6">
      <w:pPr>
        <w:keepNext/>
        <w:spacing w:before="120" w:after="120" w:line="280" w:lineRule="exact"/>
        <w:jc w:val="center"/>
        <w:rPr>
          <w:rFonts w:ascii="Verdana" w:eastAsia="MS Mincho" w:hAnsi="Verdana" w:cs="Tahoma"/>
          <w:b/>
          <w:sz w:val="20"/>
          <w:szCs w:val="20"/>
        </w:rPr>
      </w:pPr>
      <w:r>
        <w:rPr>
          <w:rFonts w:ascii="Verdana" w:eastAsia="MS Mincho" w:hAnsi="Verdana" w:cs="Tahoma"/>
          <w:b/>
          <w:sz w:val="20"/>
          <w:szCs w:val="20"/>
        </w:rPr>
        <w:t>CLÁUSULA SEXTA – DAS OBRIGAÇÕES ADICIONAIS DA EMISSORA</w:t>
      </w:r>
    </w:p>
    <w:p w14:paraId="258E92B3" w14:textId="77777777" w:rsidR="00EB5CDB" w:rsidRDefault="008E55E6">
      <w:pPr>
        <w:numPr>
          <w:ilvl w:val="1"/>
          <w:numId w:val="6"/>
        </w:numPr>
        <w:spacing w:before="120" w:after="120" w:line="280" w:lineRule="exact"/>
        <w:jc w:val="both"/>
        <w:rPr>
          <w:rFonts w:ascii="Verdana" w:eastAsia="MS Mincho" w:hAnsi="Verdana" w:cs="Tahoma"/>
          <w:sz w:val="20"/>
          <w:szCs w:val="20"/>
        </w:rPr>
      </w:pPr>
      <w:bookmarkStart w:id="294" w:name="_DV_M298"/>
      <w:bookmarkStart w:id="295" w:name="_DV_M203"/>
      <w:bookmarkStart w:id="296" w:name="_DV_M209"/>
      <w:bookmarkStart w:id="297" w:name="_DV_M216"/>
      <w:bookmarkStart w:id="298" w:name="_DV_M217"/>
      <w:bookmarkStart w:id="299" w:name="_DV_M218"/>
      <w:bookmarkStart w:id="300" w:name="_DV_M220"/>
      <w:bookmarkStart w:id="301" w:name="_Ref497571040"/>
      <w:bookmarkStart w:id="302" w:name="_Ref497578042"/>
      <w:bookmarkEnd w:id="294"/>
      <w:bookmarkEnd w:id="295"/>
      <w:bookmarkEnd w:id="296"/>
      <w:bookmarkEnd w:id="297"/>
      <w:bookmarkEnd w:id="298"/>
      <w:bookmarkEnd w:id="299"/>
      <w:bookmarkEnd w:id="300"/>
      <w:r>
        <w:rPr>
          <w:rFonts w:ascii="Verdana" w:eastAsia="MS Mincho" w:hAnsi="Verdana" w:cs="Tahoma"/>
          <w:sz w:val="20"/>
          <w:szCs w:val="20"/>
        </w:rPr>
        <w:t>Sem prejuízo das demais obrigações estabelecidas nesta Escritura de Emissão, a Emissora obriga-se a, até a Data de Vencimento das Debêntures (inclusive):</w:t>
      </w:r>
      <w:bookmarkEnd w:id="301"/>
      <w:bookmarkEnd w:id="302"/>
    </w:p>
    <w:p w14:paraId="699EA09C" w14:textId="4C5F152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pagar </w:t>
      </w:r>
      <w:r>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Pr>
          <w:rFonts w:ascii="Verdana" w:hAnsi="Verdana" w:cs="Tahoma"/>
          <w:bCs/>
          <w:sz w:val="20"/>
          <w:szCs w:val="20"/>
        </w:rPr>
        <w:t>Prêmio Sobre a Receita dos Direitos Creditórios Vinculados</w:t>
      </w:r>
      <w:r>
        <w:rPr>
          <w:rFonts w:ascii="Verdana" w:hAnsi="Verdana" w:cs="Tahoma"/>
          <w:bCs/>
          <w:sz w:val="20"/>
          <w:szCs w:val="20"/>
        </w:rPr>
        <w:t>;</w:t>
      </w:r>
    </w:p>
    <w:p w14:paraId="05847AB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bCs/>
          <w:sz w:val="20"/>
          <w:szCs w:val="20"/>
        </w:rPr>
      </w:pPr>
      <w:r>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46652D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todas as leis, portarias, normas, regulamentos e exigências aplicáveis à Emissora;</w:t>
      </w:r>
    </w:p>
    <w:p w14:paraId="329531B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Inadimplemento, as informações e os documentos previstos neste item deverão ser fornecidos em até 3 (três) Dias Úteis, mediante solicitação dos Debenturistas;</w:t>
      </w:r>
    </w:p>
    <w:p w14:paraId="20A10F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contratar e manter contratada uma das seguintes empresas de auditoria para auditar suas demonstrações financeiras: PriceWaterhouseCoopers Auditores Independentes, KPMG Auditores Independentes S.S., Deloitte Brasil Auditores Independentes Ltda. ou Ernst&amp;Young Auditores Independentes S.S.;</w:t>
      </w:r>
    </w:p>
    <w:p w14:paraId="5DD6A95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0F2A560E"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66341174" w14:textId="2D4BA049"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6F482F6A" w14:textId="77777777" w:rsid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divulgar em sua página na rede mundial de computadores, anualmente, as informações referentes aos benefícios sociais indicados no Parecer Independente</w:t>
      </w:r>
      <w:r>
        <w:rPr>
          <w:rFonts w:ascii="Verdana" w:hAnsi="Verdana" w:cs="Tahoma"/>
          <w:sz w:val="20"/>
          <w:szCs w:val="20"/>
        </w:rPr>
        <w:t xml:space="preserve">; </w:t>
      </w:r>
    </w:p>
    <w:p w14:paraId="768E7C15" w14:textId="171DDA30" w:rsidR="00EB5CDB" w:rsidRPr="00CC270D" w:rsidRDefault="00CC270D" w:rsidP="009E7B17">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CC270D">
        <w:rPr>
          <w:rFonts w:ascii="Verdana" w:hAnsi="Verdana" w:cs="Tahoma"/>
          <w:sz w:val="20"/>
          <w:szCs w:val="20"/>
        </w:rPr>
        <w:t xml:space="preserve"> </w:t>
      </w:r>
      <w:r w:rsidR="008E55E6" w:rsidRPr="00CC270D">
        <w:rPr>
          <w:rFonts w:ascii="Verdana" w:hAnsi="Verdana" w:cs="Tahoma"/>
          <w:sz w:val="20"/>
          <w:szCs w:val="20"/>
        </w:rPr>
        <w:t xml:space="preserve">não ceder ou atribuir qualquer direito sobre os Direitos Creditórios Vinculados ao seu controlador ou a qualquer pessoa a ele ligada, em condições distintas das previstas nessa Escritura de Emissão; </w:t>
      </w:r>
    </w:p>
    <w:p w14:paraId="218EC32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enviar </w:t>
      </w:r>
      <w:r>
        <w:rPr>
          <w:rFonts w:ascii="Verdana" w:eastAsia="MS Mincho" w:hAnsi="Verdana" w:cs="Tahoma"/>
          <w:sz w:val="20"/>
          <w:szCs w:val="20"/>
        </w:rPr>
        <w:t xml:space="preserve">ao Agente Fiduciário </w:t>
      </w:r>
      <w:r>
        <w:rPr>
          <w:rFonts w:ascii="Verdana" w:hAnsi="Verdana" w:cs="Tahoma"/>
          <w:sz w:val="20"/>
          <w:szCs w:val="20"/>
        </w:rPr>
        <w:t xml:space="preserve">os dados </w:t>
      </w:r>
      <w:r>
        <w:rPr>
          <w:rFonts w:ascii="Verdana" w:eastAsia="MS Mincho" w:hAnsi="Verdana" w:cs="Tahoma"/>
          <w:sz w:val="20"/>
          <w:szCs w:val="20"/>
        </w:rPr>
        <w:t>financeiros (inclusive as</w:t>
      </w:r>
      <w:r>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Pr>
          <w:rFonts w:ascii="Verdana" w:hAnsi="Verdana" w:cs="Tahoma"/>
          <w:sz w:val="20"/>
          <w:szCs w:val="20"/>
        </w:rPr>
        <w:fldChar w:fldCharType="begin"/>
      </w:r>
      <w:r>
        <w:rPr>
          <w:rFonts w:ascii="Verdana" w:hAnsi="Verdana" w:cs="Tahoma"/>
          <w:sz w:val="20"/>
          <w:szCs w:val="20"/>
        </w:rPr>
        <w:instrText xml:space="preserve"> REF _Ref436983595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no prazo de até 30 (trinta) dias corridos antes do encerramento do prazo previsto no subitem </w:t>
      </w:r>
      <w:r>
        <w:rPr>
          <w:rFonts w:ascii="Verdana" w:hAnsi="Verdana" w:cs="Tahoma"/>
          <w:sz w:val="20"/>
          <w:szCs w:val="20"/>
        </w:rPr>
        <w:fldChar w:fldCharType="begin"/>
      </w:r>
      <w:r>
        <w:rPr>
          <w:rFonts w:ascii="Verdana" w:hAnsi="Verdana" w:cs="Tahoma"/>
          <w:sz w:val="20"/>
          <w:szCs w:val="20"/>
        </w:rPr>
        <w:instrText xml:space="preserve"> REF _Ref436983621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(xiii)</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_Ref477873544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 abaixo</w:t>
      </w:r>
      <w:r>
        <w:rPr>
          <w:rFonts w:ascii="Verdana" w:hAnsi="Verdana" w:cs="Tahoma"/>
          <w:sz w:val="20"/>
          <w:szCs w:val="20"/>
        </w:rPr>
        <w:fldChar w:fldCharType="end"/>
      </w:r>
      <w:r>
        <w:rPr>
          <w:rFonts w:ascii="Verdana" w:hAnsi="Verdana" w:cs="Tahoma"/>
          <w:sz w:val="20"/>
          <w:szCs w:val="20"/>
        </w:rPr>
        <w:t xml:space="preserve">; </w:t>
      </w:r>
    </w:p>
    <w:p w14:paraId="7CE12413"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6431F19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Instrução CVM 583</w:t>
      </w:r>
      <w:r>
        <w:rPr>
          <w:rFonts w:ascii="Verdana" w:eastAsia="MS Mincho" w:hAnsi="Verdana" w:cs="Tahoma"/>
          <w:sz w:val="20"/>
          <w:szCs w:val="20"/>
        </w:rPr>
        <w:t>;</w:t>
      </w:r>
    </w:p>
    <w:p w14:paraId="6B0E6ECB" w14:textId="34FC1382"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45853792" w14:textId="3E675E5B" w:rsidR="000F6B0C" w:rsidRDefault="000F6B0C">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sidRPr="000F6B0C">
        <w:rPr>
          <w:rFonts w:ascii="Verdana" w:hAnsi="Verdana" w:cs="Tahoma"/>
          <w:sz w:val="20"/>
          <w:szCs w:val="20"/>
        </w:rPr>
        <w:t>manter as Debêntures dessa Emissão caracterizadas como “debêntures sociais”</w:t>
      </w:r>
      <w:r>
        <w:rPr>
          <w:rFonts w:ascii="Verdana" w:hAnsi="Verdana" w:cs="Tahoma"/>
          <w:sz w:val="20"/>
          <w:szCs w:val="20"/>
        </w:rPr>
        <w:t xml:space="preserve">; </w:t>
      </w:r>
    </w:p>
    <w:p w14:paraId="23BD5763" w14:textId="5CCCBE1D"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31CE2B56" w14:textId="35A64EA1"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revisar </w:t>
      </w:r>
      <w:r w:rsidR="00017F48">
        <w:rPr>
          <w:rFonts w:ascii="Verdana" w:hAnsi="Verdana" w:cs="Tahoma"/>
          <w:sz w:val="20"/>
          <w:szCs w:val="20"/>
        </w:rPr>
        <w:t xml:space="preserve">periodicamente </w:t>
      </w:r>
      <w:r>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tbl>
      <w:tblPr>
        <w:tblStyle w:val="Tabelacomgrade"/>
        <w:tblW w:w="0" w:type="auto"/>
        <w:tblInd w:w="1696" w:type="dxa"/>
        <w:tblLook w:val="04A0" w:firstRow="1" w:lastRow="0" w:firstColumn="1" w:lastColumn="0" w:noHBand="0" w:noVBand="1"/>
      </w:tblPr>
      <w:tblGrid>
        <w:gridCol w:w="2977"/>
        <w:gridCol w:w="4394"/>
      </w:tblGrid>
      <w:tr w:rsidR="00EB5CDB" w14:paraId="603C0C76" w14:textId="77777777">
        <w:tc>
          <w:tcPr>
            <w:tcW w:w="2977" w:type="dxa"/>
          </w:tcPr>
          <w:p w14:paraId="4D6148D3"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4394" w:type="dxa"/>
          </w:tcPr>
          <w:p w14:paraId="2833A48A"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065139" w14:paraId="3CBA75A4" w14:textId="77777777">
        <w:tc>
          <w:tcPr>
            <w:tcW w:w="2977" w:type="dxa"/>
          </w:tcPr>
          <w:p w14:paraId="7AB6EBE5" w14:textId="48234623"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8D6F6D">
              <w:rPr>
                <w:rFonts w:ascii="Verdana" w:hAnsi="Verdana" w:cs="Tahoma"/>
                <w:sz w:val="20"/>
                <w:szCs w:val="20"/>
                <w:highlight w:val="yellow"/>
              </w:rPr>
              <w:t>--</w:t>
            </w:r>
            <w:r>
              <w:rPr>
                <w:rFonts w:ascii="Verdana" w:hAnsi="Verdana" w:cs="Tahoma"/>
                <w:sz w:val="20"/>
                <w:szCs w:val="20"/>
              </w:rPr>
              <w:t>]</w:t>
            </w:r>
          </w:p>
        </w:tc>
        <w:tc>
          <w:tcPr>
            <w:tcW w:w="4394" w:type="dxa"/>
          </w:tcPr>
          <w:p w14:paraId="5684B902" w14:textId="0C4689C7"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5D9A53FE" w14:textId="77777777">
        <w:tc>
          <w:tcPr>
            <w:tcW w:w="2977" w:type="dxa"/>
          </w:tcPr>
          <w:p w14:paraId="583FEE57" w14:textId="092061B3"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27A770AD" w14:textId="3A50D1AA"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72F5FF27" w14:textId="77777777">
        <w:tc>
          <w:tcPr>
            <w:tcW w:w="2977" w:type="dxa"/>
          </w:tcPr>
          <w:p w14:paraId="04952B7E" w14:textId="49884518"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69B229AF" w14:textId="31280B72"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1F4017EC" w14:textId="77777777">
        <w:tc>
          <w:tcPr>
            <w:tcW w:w="2977" w:type="dxa"/>
          </w:tcPr>
          <w:p w14:paraId="624A808A" w14:textId="684BD2C1"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w:t>
            </w:r>
          </w:p>
        </w:tc>
        <w:tc>
          <w:tcPr>
            <w:tcW w:w="4394" w:type="dxa"/>
          </w:tcPr>
          <w:p w14:paraId="5F321442" w14:textId="3FE114BF"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r w:rsidR="00065139" w14:paraId="0C0BF880" w14:textId="77777777">
        <w:tc>
          <w:tcPr>
            <w:tcW w:w="2977" w:type="dxa"/>
          </w:tcPr>
          <w:p w14:paraId="78E27A71" w14:textId="38E5CD09" w:rsidR="00065139" w:rsidRDefault="00065139" w:rsidP="00065139">
            <w:pPr>
              <w:pStyle w:val="ListaColorida-nfase12"/>
              <w:spacing w:before="120" w:after="120" w:line="280" w:lineRule="exact"/>
              <w:ind w:left="0"/>
              <w:jc w:val="both"/>
              <w:rPr>
                <w:rFonts w:ascii="Verdana" w:hAnsi="Verdana" w:cs="Tahoma"/>
                <w:sz w:val="20"/>
                <w:szCs w:val="20"/>
              </w:rPr>
            </w:pPr>
            <w:r>
              <w:rPr>
                <w:rFonts w:ascii="Verdana" w:hAnsi="Verdana" w:cs="Tahoma"/>
                <w:sz w:val="20"/>
                <w:szCs w:val="20"/>
              </w:rPr>
              <w:t>[</w:t>
            </w:r>
            <w:r w:rsidRPr="000127E2">
              <w:rPr>
                <w:rFonts w:ascii="Verdana" w:hAnsi="Verdana" w:cs="Tahoma"/>
                <w:sz w:val="20"/>
                <w:szCs w:val="20"/>
                <w:highlight w:val="yellow"/>
              </w:rPr>
              <w:t>--</w:t>
            </w:r>
            <w:r>
              <w:rPr>
                <w:rFonts w:ascii="Verdana" w:hAnsi="Verdana" w:cs="Tahoma"/>
                <w:sz w:val="20"/>
                <w:szCs w:val="20"/>
              </w:rPr>
              <w:t xml:space="preserve">] </w:t>
            </w:r>
          </w:p>
        </w:tc>
        <w:tc>
          <w:tcPr>
            <w:tcW w:w="4394" w:type="dxa"/>
          </w:tcPr>
          <w:p w14:paraId="23804CB8" w14:textId="62F7B074" w:rsidR="00065139" w:rsidRDefault="00065139" w:rsidP="00065139">
            <w:pPr>
              <w:pStyle w:val="ListaColorida-nfase12"/>
              <w:spacing w:before="120" w:after="120" w:line="280" w:lineRule="exact"/>
              <w:ind w:left="0"/>
              <w:jc w:val="both"/>
              <w:rPr>
                <w:rFonts w:ascii="Verdana" w:hAnsi="Verdana" w:cs="Tahoma"/>
                <w:sz w:val="20"/>
                <w:szCs w:val="20"/>
              </w:rPr>
            </w:pPr>
            <w:r w:rsidRPr="00D460B5">
              <w:rPr>
                <w:rFonts w:ascii="Verdana" w:hAnsi="Verdana" w:cs="Tahoma"/>
                <w:sz w:val="20"/>
                <w:szCs w:val="20"/>
              </w:rPr>
              <w:t>[</w:t>
            </w:r>
            <w:r w:rsidRPr="00D460B5">
              <w:rPr>
                <w:rFonts w:ascii="Verdana" w:hAnsi="Verdana" w:cs="Tahoma"/>
                <w:sz w:val="20"/>
                <w:szCs w:val="20"/>
                <w:highlight w:val="yellow"/>
              </w:rPr>
              <w:t>--</w:t>
            </w:r>
            <w:r w:rsidRPr="00D460B5">
              <w:rPr>
                <w:rFonts w:ascii="Verdana" w:hAnsi="Verdana" w:cs="Tahoma"/>
                <w:sz w:val="20"/>
                <w:szCs w:val="20"/>
              </w:rPr>
              <w:t>]</w:t>
            </w:r>
          </w:p>
        </w:tc>
      </w:tr>
    </w:tbl>
    <w:p w14:paraId="42490F2E" w14:textId="77777777" w:rsidR="00EB5CDB" w:rsidRDefault="00EB5CDB">
      <w:pPr>
        <w:pStyle w:val="ListaColorida-nfase12"/>
        <w:spacing w:before="120" w:after="120" w:line="280" w:lineRule="exact"/>
        <w:jc w:val="both"/>
        <w:rPr>
          <w:rFonts w:ascii="Verdana" w:hAnsi="Verdana" w:cs="Tahoma"/>
          <w:sz w:val="20"/>
          <w:szCs w:val="20"/>
        </w:rPr>
      </w:pPr>
    </w:p>
    <w:p w14:paraId="07D838E6" w14:textId="581FBAA5"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Banco Liquidante, empresas de cobrança, bem como as empresas relacionadas à assinatura eletrônica das CCB pelo Tomador, os quais deverão ser prestadores de serviço independentes, com exceção aos serviços prestados pela </w:t>
      </w:r>
      <w:r w:rsidR="00933FCF">
        <w:rPr>
          <w:rFonts w:ascii="Verdana" w:hAnsi="Verdana" w:cs="Tahoma"/>
          <w:sz w:val="20"/>
          <w:szCs w:val="20"/>
        </w:rPr>
        <w:t>Gyramais</w:t>
      </w:r>
      <w:r>
        <w:rPr>
          <w:rFonts w:ascii="Verdana" w:hAnsi="Verdana" w:cs="Tahoma"/>
          <w:sz w:val="20"/>
          <w:szCs w:val="20"/>
        </w:rPr>
        <w:t>;</w:t>
      </w:r>
    </w:p>
    <w:p w14:paraId="0D0B733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assegurar que a Conta Exclusiva seja mantida em pleno funcionamento durante todo o curso da Emissão e que nenhuma outra conta bancária seja usada para os mesmos fins;</w:t>
      </w:r>
    </w:p>
    <w:p w14:paraId="0B5016D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6E0FD6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5064FE27" w14:textId="6EAA7DA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manter-se adimplente com relação a todos os tributos, taxas e/ou contribuições decorrentes da Oferta Restrita, exceto aqueles</w:t>
      </w:r>
      <w:r w:rsidR="00933FCF">
        <w:rPr>
          <w:rFonts w:ascii="Verdana" w:hAnsi="Verdana" w:cs="Tahoma"/>
          <w:sz w:val="20"/>
          <w:szCs w:val="20"/>
        </w:rPr>
        <w:t xml:space="preserve"> </w:t>
      </w:r>
      <w:r>
        <w:rPr>
          <w:rFonts w:ascii="Verdana" w:hAnsi="Verdana" w:cs="Tahoma"/>
          <w:sz w:val="20"/>
          <w:szCs w:val="20"/>
        </w:rPr>
        <w:t>objeto de contestação administrativa ou judicial;</w:t>
      </w:r>
    </w:p>
    <w:p w14:paraId="4D76F37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303" w:name="_Ref497553759"/>
      <w:r>
        <w:rPr>
          <w:rFonts w:ascii="Verdana" w:hAnsi="Verdana" w:cs="Tahoma"/>
          <w:sz w:val="20"/>
          <w:szCs w:val="20"/>
        </w:rPr>
        <w:t>preparar as suas demonstrações financeiras de encerramento de exercício, em conformidade com a Lei das Sociedades por Ações e com as regras emitidas pela CVM, e proceder à adequada publicidade dos dados econômico-financeiros, nos termos exigidos pela Lei das Sociedades por Ações, promovendo a publicação das suas demonstrações financeiras anuais;</w:t>
      </w:r>
      <w:bookmarkEnd w:id="303"/>
    </w:p>
    <w:p w14:paraId="6765DE49"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304" w:name="_Ref497553730"/>
      <w:r>
        <w:rPr>
          <w:rFonts w:ascii="Verdana" w:hAnsi="Verdana" w:cs="Tahoma"/>
          <w:sz w:val="20"/>
          <w:szCs w:val="20"/>
        </w:rPr>
        <w:t xml:space="preserve">manter os documentos mencionados no item </w:t>
      </w:r>
      <w:r>
        <w:rPr>
          <w:rFonts w:ascii="Verdana" w:hAnsi="Verdana" w:cs="Tahoma"/>
          <w:sz w:val="20"/>
          <w:szCs w:val="20"/>
        </w:rPr>
        <w:fldChar w:fldCharType="begin"/>
      </w:r>
      <w:r>
        <w:rPr>
          <w:rFonts w:ascii="Verdana" w:hAnsi="Verdana" w:cs="Tahoma"/>
          <w:sz w:val="20"/>
          <w:szCs w:val="20"/>
        </w:rPr>
        <w:instrText xml:space="preserve"> REF _Ref497553759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(xxiv)</w:t>
      </w:r>
      <w:r>
        <w:rPr>
          <w:rFonts w:ascii="Verdana" w:hAnsi="Verdana" w:cs="Tahoma"/>
          <w:sz w:val="20"/>
          <w:szCs w:val="20"/>
        </w:rPr>
        <w:fldChar w:fldCharType="end"/>
      </w:r>
      <w:r>
        <w:rPr>
          <w:rFonts w:ascii="Verdana" w:hAnsi="Verdana" w:cs="Tahoma"/>
          <w:sz w:val="20"/>
          <w:szCs w:val="20"/>
        </w:rPr>
        <w:t xml:space="preserve"> acima em sua página na rede mundial de computadores, por um prazo mínimo de 3 (três) anos;</w:t>
      </w:r>
      <w:bookmarkEnd w:id="304"/>
    </w:p>
    <w:p w14:paraId="4A0D851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03B8874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as disposições da Instrução CVM 358, no tocante a dever de sigilo e vedações à negociação;</w:t>
      </w:r>
    </w:p>
    <w:p w14:paraId="592A44D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fornecer as informações solicitadas pela CVM;</w:t>
      </w:r>
    </w:p>
    <w:p w14:paraId="459F159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divulgar em sua página na rede mundial de computadores o relatório anual e demais comunicações enviadas pelo Agente Fiduciário na mesma data do seu recebimento e mantê-los disponíveis por um prazo mínimo de 3 (três) anos;</w:t>
      </w:r>
    </w:p>
    <w:p w14:paraId="030B1706"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 sua contabilidade atualizada e efetuar os respectivos registros de acordo com os princípios contábeis geralmente aceitos no Brasil;</w:t>
      </w:r>
    </w:p>
    <w:p w14:paraId="5B7EEF4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cumprir com todas as determinações emanadas da CVM, com o envio de documentos, prestando, ainda, as informações que lhes forem solicitadas;</w:t>
      </w:r>
    </w:p>
    <w:p w14:paraId="2FADAC05"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34ACFBA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305" w:name="_DV_M270"/>
      <w:bookmarkStart w:id="306" w:name="_Ref168844079"/>
      <w:bookmarkEnd w:id="305"/>
      <w:r>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306"/>
      <w:r>
        <w:rPr>
          <w:rFonts w:ascii="Verdana" w:hAnsi="Verdana" w:cs="Tahoma"/>
          <w:sz w:val="20"/>
          <w:szCs w:val="20"/>
        </w:rPr>
        <w:t>;</w:t>
      </w:r>
    </w:p>
    <w:p w14:paraId="6B3F2C9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719E0DB8"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notificar, em até 1 (um) Dia Útil, o Agente Fiduciário da convocação de qualquer Assembleia Geral de Debenturistas pela Emissora;</w:t>
      </w:r>
    </w:p>
    <w:p w14:paraId="578131AC"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bookmarkStart w:id="307" w:name="_Ref168844104"/>
      <w:r>
        <w:rPr>
          <w:rFonts w:ascii="Verdana" w:hAnsi="Verdana" w:cs="Tahoma"/>
          <w:sz w:val="20"/>
          <w:szCs w:val="20"/>
        </w:rPr>
        <w:t>comparecer à Assembleia Geral de Debenturistas, exceto se expressamente for informada por escrito pelo Agente Fiduciário de que não deve comparecer</w:t>
      </w:r>
      <w:bookmarkEnd w:id="307"/>
      <w:r>
        <w:rPr>
          <w:rFonts w:ascii="Verdana" w:hAnsi="Verdana" w:cs="Tahoma"/>
          <w:sz w:val="20"/>
          <w:szCs w:val="20"/>
        </w:rPr>
        <w:t>;</w:t>
      </w:r>
    </w:p>
    <w:p w14:paraId="125B67A2"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comunicar o Agente Fiduciário, em até 1 (um) Dia Útil contado da data em que tomar conhecimento, acerca da ocorrência de um Evento de Vencimento Antecipado;</w:t>
      </w:r>
    </w:p>
    <w:p w14:paraId="57A364A7"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32593A5A"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42066D0"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0A15046B"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qualquer operação de mútuo com qualquer de suas partes relacionadas;</w:t>
      </w:r>
    </w:p>
    <w:p w14:paraId="635741F4"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258A199D"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não constituir qualquer ônus ou gravame sobre os Direitos Creditórios </w:t>
      </w:r>
      <w:r>
        <w:rPr>
          <w:rFonts w:ascii="Verdana" w:eastAsia="MS Mincho" w:hAnsi="Verdana" w:cs="Tahoma"/>
          <w:sz w:val="20"/>
          <w:szCs w:val="20"/>
        </w:rPr>
        <w:t>Alienados</w:t>
      </w:r>
      <w:r>
        <w:rPr>
          <w:rFonts w:ascii="Verdana" w:hAnsi="Verdana" w:cs="Tahoma"/>
          <w:sz w:val="20"/>
          <w:szCs w:val="20"/>
        </w:rPr>
        <w:t>, ainda que sob condição suspensiva, exceto a Garantia ou mediante a prévia e expressa autorização da Assembleia Geral de Debenturistas;</w:t>
      </w:r>
    </w:p>
    <w:p w14:paraId="3E056C0F" w14:textId="77777777" w:rsidR="00EB5CDB" w:rsidRDefault="008E55E6">
      <w:pPr>
        <w:pStyle w:val="ListaColorida-nfase12"/>
        <w:numPr>
          <w:ilvl w:val="0"/>
          <w:numId w:val="16"/>
        </w:numPr>
        <w:tabs>
          <w:tab w:val="clear" w:pos="1134"/>
          <w:tab w:val="num" w:pos="1418"/>
        </w:tabs>
        <w:spacing w:before="120" w:after="120" w:line="280" w:lineRule="exact"/>
        <w:ind w:left="1418" w:hanging="851"/>
        <w:jc w:val="both"/>
        <w:rPr>
          <w:rFonts w:ascii="Verdana" w:hAnsi="Verdana" w:cs="Tahoma"/>
          <w:sz w:val="20"/>
          <w:szCs w:val="20"/>
        </w:rPr>
      </w:pPr>
      <w:r>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743C4A12"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As partes encontram-se cientes e de acordo, que o envio das informações previstas no inciso </w:t>
      </w:r>
      <w:r>
        <w:rPr>
          <w:rFonts w:ascii="Verdana" w:hAnsi="Verdana" w:cs="Tahoma"/>
          <w:sz w:val="20"/>
          <w:szCs w:val="20"/>
        </w:rPr>
        <w:fldChar w:fldCharType="begin"/>
      </w:r>
      <w:r>
        <w:rPr>
          <w:rFonts w:ascii="Verdana" w:hAnsi="Verdana" w:cs="Tahoma"/>
          <w:sz w:val="20"/>
          <w:szCs w:val="20"/>
        </w:rPr>
        <w:instrText xml:space="preserve"> REF _Ref497578006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do item </w:t>
      </w:r>
      <w:r>
        <w:rPr>
          <w:rFonts w:ascii="Verdana" w:hAnsi="Verdana" w:cs="Tahoma"/>
          <w:sz w:val="20"/>
          <w:szCs w:val="20"/>
        </w:rPr>
        <w:fldChar w:fldCharType="begin"/>
      </w:r>
      <w:r>
        <w:rPr>
          <w:rFonts w:ascii="Verdana" w:hAnsi="Verdana" w:cs="Tahoma"/>
          <w:sz w:val="20"/>
          <w:szCs w:val="20"/>
        </w:rPr>
        <w:instrText xml:space="preserve"> REF _Ref497578042 \n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6.1</w:t>
      </w:r>
      <w:r>
        <w:rPr>
          <w:rFonts w:ascii="Verdana" w:hAnsi="Verdana" w:cs="Tahoma"/>
          <w:sz w:val="20"/>
          <w:szCs w:val="20"/>
        </w:rPr>
        <w:fldChar w:fldCharType="end"/>
      </w:r>
      <w:r>
        <w:rPr>
          <w:rFonts w:ascii="Verdana" w:hAnsi="Verdana" w:cs="Tahoma"/>
          <w:sz w:val="20"/>
          <w:szCs w:val="20"/>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informações dos incisos mencionados neste item.</w:t>
      </w:r>
    </w:p>
    <w:p w14:paraId="47F27E90" w14:textId="77777777" w:rsidR="00EB5CDB" w:rsidRDefault="008E55E6">
      <w:pPr>
        <w:numPr>
          <w:ilvl w:val="2"/>
          <w:numId w:val="6"/>
        </w:numPr>
        <w:spacing w:before="120" w:after="120" w:line="280" w:lineRule="exact"/>
        <w:jc w:val="both"/>
        <w:rPr>
          <w:rFonts w:ascii="Verdana" w:eastAsia="MS Mincho" w:hAnsi="Verdana" w:cs="Tahoma"/>
          <w:sz w:val="20"/>
          <w:szCs w:val="20"/>
        </w:rPr>
      </w:pPr>
      <w:r>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Pr>
          <w:rFonts w:ascii="Verdana" w:hAnsi="Verdana" w:cs="Tahoma"/>
          <w:bCs/>
          <w:sz w:val="20"/>
          <w:szCs w:val="20"/>
        </w:rPr>
        <w:t>desrespeito</w:t>
      </w:r>
      <w:r>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Default="00EB5CDB">
      <w:pPr>
        <w:spacing w:before="120" w:after="120" w:line="280" w:lineRule="exact"/>
        <w:jc w:val="both"/>
        <w:rPr>
          <w:rFonts w:ascii="Verdana" w:eastAsia="MS Mincho" w:hAnsi="Verdana" w:cs="Tahoma"/>
          <w:sz w:val="20"/>
          <w:szCs w:val="20"/>
        </w:rPr>
      </w:pPr>
    </w:p>
    <w:p w14:paraId="19760C4A" w14:textId="77777777" w:rsidR="00EB5CDB" w:rsidRDefault="008E55E6">
      <w:pPr>
        <w:pStyle w:val="Ttulo1"/>
        <w:spacing w:before="120" w:after="120" w:line="280" w:lineRule="exact"/>
        <w:jc w:val="center"/>
        <w:rPr>
          <w:rFonts w:ascii="Verdana" w:hAnsi="Verdana" w:cs="Tahoma"/>
          <w:color w:val="auto"/>
          <w:w w:val="0"/>
          <w:sz w:val="20"/>
          <w:szCs w:val="20"/>
        </w:rPr>
      </w:pPr>
      <w:r>
        <w:rPr>
          <w:rFonts w:ascii="Verdana" w:hAnsi="Verdana" w:cs="Tahoma"/>
          <w:color w:val="auto"/>
          <w:w w:val="0"/>
          <w:sz w:val="20"/>
          <w:szCs w:val="20"/>
        </w:rPr>
        <w:t>CLÁUSULA SÉTIMA – DO AGENTE FIDUCIÁRIO</w:t>
      </w:r>
      <w:bookmarkStart w:id="308" w:name="_Toc499990371"/>
    </w:p>
    <w:p w14:paraId="60C2412E"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Nomeação</w:t>
      </w:r>
      <w:bookmarkEnd w:id="308"/>
    </w:p>
    <w:p w14:paraId="174B7ACC" w14:textId="74C414FA"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Emissora constitui e nomeia como agente fiduciário dos Debenturistas desta Emissão a </w:t>
      </w:r>
      <w:r w:rsidR="00933FCF">
        <w:rPr>
          <w:rFonts w:ascii="Verdana" w:hAnsi="Verdana" w:cs="Tahoma"/>
          <w:sz w:val="20"/>
          <w:szCs w:val="20"/>
        </w:rPr>
        <w:t>Simplific Pavarini Distribuidora de Títulos e Valores Mobiliários Ltda.</w:t>
      </w:r>
      <w:r>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Default="00EB5CDB">
      <w:pPr>
        <w:pStyle w:val="PargrafodaLista"/>
        <w:spacing w:before="120" w:after="120" w:line="280" w:lineRule="exact"/>
        <w:ind w:left="0"/>
        <w:jc w:val="both"/>
        <w:rPr>
          <w:rFonts w:ascii="Verdana" w:hAnsi="Verdana" w:cs="Tahoma"/>
          <w:sz w:val="20"/>
          <w:szCs w:val="20"/>
        </w:rPr>
      </w:pPr>
    </w:p>
    <w:p w14:paraId="727C03FC"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Remuneração do Agente Fiduciário</w:t>
      </w:r>
      <w:bookmarkStart w:id="309" w:name="_Ref436688104"/>
    </w:p>
    <w:p w14:paraId="1AB1D1E9" w14:textId="25D5345C" w:rsidR="00EB5CDB" w:rsidRDefault="009E7B17">
      <w:pPr>
        <w:pStyle w:val="PargrafodaLista"/>
        <w:numPr>
          <w:ilvl w:val="2"/>
          <w:numId w:val="11"/>
        </w:numPr>
        <w:spacing w:before="120" w:after="120" w:line="280" w:lineRule="exact"/>
        <w:ind w:left="0" w:firstLine="0"/>
        <w:jc w:val="both"/>
        <w:rPr>
          <w:rFonts w:ascii="Verdana" w:hAnsi="Verdana" w:cs="Tahoma"/>
          <w:sz w:val="20"/>
          <w:szCs w:val="20"/>
        </w:rPr>
      </w:pPr>
      <w:bookmarkStart w:id="310" w:name="_Ref495595902"/>
      <w:bookmarkEnd w:id="309"/>
      <w:r>
        <w:rPr>
          <w:rFonts w:ascii="Verdana" w:hAnsi="Verdana" w:cs="Tahoma"/>
          <w:sz w:val="20"/>
          <w:szCs w:val="20"/>
        </w:rPr>
        <w:t xml:space="preserve">A título de remuneração pelos serviços prestados pelo Agente Fiduciário serão devidas parcelas anuais de </w:t>
      </w:r>
      <w:r>
        <w:rPr>
          <w:rFonts w:ascii="Verdana" w:hAnsi="Verdana" w:cs="Tahoma"/>
          <w:bCs/>
          <w:sz w:val="20"/>
          <w:szCs w:val="20"/>
        </w:rPr>
        <w:t>R</w:t>
      </w:r>
      <w:del w:id="311" w:author="Gabriel Lopes" w:date="2020-09-17T00:08:00Z">
        <w:r w:rsidR="00933FCF">
          <w:rPr>
            <w:rFonts w:ascii="Verdana" w:hAnsi="Verdana" w:cs="Tahoma"/>
            <w:bCs/>
            <w:sz w:val="20"/>
            <w:szCs w:val="20"/>
          </w:rPr>
          <w:delText xml:space="preserve"> </w:delText>
        </w:r>
        <w:r w:rsidR="00933FCF">
          <w:rPr>
            <w:rFonts w:ascii="Verdana" w:hAnsi="Verdana"/>
            <w:bCs/>
            <w:sz w:val="20"/>
            <w:szCs w:val="20"/>
          </w:rPr>
          <w:delText>[</w:delText>
        </w:r>
        <w:r w:rsidR="00933FCF" w:rsidRPr="00A1258F">
          <w:rPr>
            <w:rFonts w:ascii="Verdana" w:hAnsi="Verdana"/>
            <w:b/>
            <w:i/>
            <w:iCs/>
            <w:sz w:val="20"/>
            <w:szCs w:val="20"/>
            <w:highlight w:val="yellow"/>
          </w:rPr>
          <w:delText>inserir</w:delText>
        </w:r>
        <w:r w:rsidR="00933FCF">
          <w:rPr>
            <w:rFonts w:ascii="Verdana" w:hAnsi="Verdana"/>
            <w:bCs/>
            <w:sz w:val="20"/>
            <w:szCs w:val="20"/>
          </w:rPr>
          <w:delText>]</w:delText>
        </w:r>
        <w:r w:rsidR="008E55E6">
          <w:rPr>
            <w:rFonts w:ascii="Verdana" w:hAnsi="Verdana" w:cs="Tahoma"/>
            <w:sz w:val="20"/>
            <w:szCs w:val="20"/>
          </w:rPr>
          <w:delText>,</w:delText>
        </w:r>
      </w:del>
      <w:ins w:id="312" w:author="Gabriel Lopes" w:date="2020-09-17T00:08:00Z">
        <w:r>
          <w:rPr>
            <w:rFonts w:ascii="Verdana" w:hAnsi="Verdana"/>
            <w:bCs/>
            <w:sz w:val="20"/>
            <w:szCs w:val="20"/>
          </w:rPr>
          <w:t>$ 12.000,00 (doze mil reais)</w:t>
        </w:r>
        <w:r>
          <w:rPr>
            <w:rFonts w:ascii="Verdana" w:hAnsi="Verdana" w:cs="Tahoma"/>
            <w:sz w:val="20"/>
            <w:szCs w:val="20"/>
          </w:rPr>
          <w:t>,</w:t>
        </w:r>
      </w:ins>
      <w:r>
        <w:rPr>
          <w:rFonts w:ascii="Verdana" w:hAnsi="Verdana" w:cs="Tahoma"/>
          <w:sz w:val="20"/>
          <w:szCs w:val="20"/>
        </w:rPr>
        <w:t xml:space="preserve"> sendo que o primeiro pagamento deverá ser realizado </w:t>
      </w:r>
      <w:del w:id="313" w:author="Gabriel Lopes" w:date="2020-09-17T00:08:00Z">
        <w:r w:rsidR="008E55E6">
          <w:rPr>
            <w:rFonts w:ascii="Verdana" w:hAnsi="Verdana" w:cs="Tahoma"/>
            <w:sz w:val="20"/>
            <w:szCs w:val="20"/>
          </w:rPr>
          <w:delText xml:space="preserve">em </w:delText>
        </w:r>
      </w:del>
      <w:r>
        <w:rPr>
          <w:rFonts w:ascii="Verdana" w:hAnsi="Verdana" w:cs="Tahoma"/>
          <w:sz w:val="20"/>
          <w:szCs w:val="20"/>
        </w:rPr>
        <w:t xml:space="preserve">até </w:t>
      </w:r>
      <w:del w:id="314" w:author="Gabriel Lopes" w:date="2020-09-17T00:08:00Z">
        <w:r w:rsidR="00933FCF">
          <w:rPr>
            <w:rFonts w:ascii="Verdana" w:hAnsi="Verdana"/>
            <w:bCs/>
            <w:sz w:val="20"/>
            <w:szCs w:val="20"/>
          </w:rPr>
          <w:delText>[</w:delText>
        </w:r>
        <w:r w:rsidR="00933FCF" w:rsidRPr="00A1258F">
          <w:rPr>
            <w:rFonts w:ascii="Verdana" w:hAnsi="Verdana"/>
            <w:b/>
            <w:i/>
            <w:iCs/>
            <w:sz w:val="20"/>
            <w:szCs w:val="20"/>
            <w:highlight w:val="yellow"/>
          </w:rPr>
          <w:delText>inserir</w:delText>
        </w:r>
        <w:r w:rsidR="00933FCF">
          <w:rPr>
            <w:rFonts w:ascii="Verdana" w:hAnsi="Verdana"/>
            <w:bCs/>
            <w:sz w:val="20"/>
            <w:szCs w:val="20"/>
          </w:rPr>
          <w:delText xml:space="preserve">] </w:delText>
        </w:r>
        <w:r w:rsidR="008E55E6">
          <w:rPr>
            <w:rFonts w:ascii="Verdana" w:hAnsi="Verdana" w:cs="Tahoma"/>
            <w:sz w:val="20"/>
            <w:szCs w:val="20"/>
          </w:rPr>
          <w:delText>dias corridos da</w:delText>
        </w:r>
      </w:del>
      <w:ins w:id="315" w:author="Gabriel Lopes" w:date="2020-09-17T00:08:00Z">
        <w:r>
          <w:rPr>
            <w:rFonts w:ascii="Verdana" w:hAnsi="Verdana" w:cs="Tahoma"/>
            <w:sz w:val="20"/>
            <w:szCs w:val="20"/>
          </w:rPr>
          <w:t>o 5º (quinto) Dia Útil após a</w:t>
        </w:r>
      </w:ins>
      <w:r>
        <w:rPr>
          <w:rFonts w:ascii="Verdana" w:hAnsi="Verdana" w:cs="Tahoma"/>
          <w:sz w:val="20"/>
          <w:szCs w:val="20"/>
        </w:rPr>
        <w:t xml:space="preserve"> data de assinatura dos documentos da Emissão, e as demais parcelas serão devidas nas mesmas datas dos anos subsequentes. Tais pagamentos serão devidos até a liquidação integral das Debêntures, caso estas não sejam quitadas na data de seu vencimento</w:t>
      </w:r>
      <w:r w:rsidR="008E55E6">
        <w:rPr>
          <w:rFonts w:ascii="Verdana" w:hAnsi="Verdana" w:cs="Tahoma"/>
          <w:sz w:val="20"/>
          <w:szCs w:val="20"/>
        </w:rPr>
        <w:t>.</w:t>
      </w:r>
      <w:bookmarkEnd w:id="310"/>
      <w:r w:rsidR="008E55E6">
        <w:rPr>
          <w:rFonts w:ascii="Verdana" w:hAnsi="Verdana" w:cs="Tahoma"/>
          <w:sz w:val="20"/>
          <w:szCs w:val="20"/>
        </w:rPr>
        <w:t xml:space="preserve"> </w:t>
      </w:r>
    </w:p>
    <w:p w14:paraId="32CE98C2" w14:textId="2648BF7D"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Pr>
          <w:rFonts w:ascii="Verdana" w:hAnsi="Verdana" w:cs="Tahoma"/>
          <w:sz w:val="20"/>
          <w:szCs w:val="20"/>
        </w:rPr>
        <w:t>Simplific Pavarini</w:t>
      </w:r>
      <w:r>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3AC71E6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Pr>
          <w:rFonts w:ascii="Verdana" w:hAnsi="Verdana" w:cs="Tahoma"/>
          <w:bCs/>
          <w:sz w:val="20"/>
          <w:szCs w:val="20"/>
        </w:rPr>
        <w:t>R$500,00 (quinhentos reais)</w:t>
      </w:r>
      <w:r>
        <w:rPr>
          <w:rFonts w:ascii="Verdana" w:hAnsi="Verdana" w:cs="Tahoma"/>
          <w:sz w:val="20"/>
          <w:szCs w:val="20"/>
        </w:rPr>
        <w:t xml:space="preserve"> por hora-homem de trabalho dedicado a tais alterações/serviços.</w:t>
      </w:r>
    </w:p>
    <w:p w14:paraId="03E5F35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Pr>
          <w:rFonts w:ascii="Verdana" w:hAnsi="Verdana" w:cs="Tahoma"/>
          <w:i/>
          <w:sz w:val="20"/>
          <w:szCs w:val="20"/>
        </w:rPr>
        <w:t>pro rata die</w:t>
      </w:r>
      <w:r>
        <w:rPr>
          <w:rFonts w:ascii="Verdana" w:hAnsi="Verdana" w:cs="Tahoma"/>
          <w:sz w:val="20"/>
          <w:szCs w:val="20"/>
        </w:rPr>
        <w:t>.</w:t>
      </w:r>
    </w:p>
    <w:p w14:paraId="27B4301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impostos incidentes sobre a remuneração serão acrescidos as parcelas mencionadas acima nas datas de pagamento. Além disso, todos os valores mencionados acima serão atualizados pelo IGP-M, sempre na menor periodicidade permitida em lei, a partir da data de assinatura do instrumento de emissão.</w:t>
      </w:r>
    </w:p>
    <w:p w14:paraId="46A6792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B8315AC"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Default="00EB5CDB">
      <w:pPr>
        <w:pStyle w:val="PargrafodaLista"/>
        <w:spacing w:before="120" w:after="120" w:line="280" w:lineRule="exact"/>
        <w:ind w:left="0"/>
        <w:jc w:val="both"/>
        <w:rPr>
          <w:rFonts w:ascii="Verdana" w:hAnsi="Verdana" w:cs="Tahoma"/>
          <w:sz w:val="20"/>
          <w:szCs w:val="20"/>
        </w:rPr>
      </w:pPr>
    </w:p>
    <w:p w14:paraId="25751808"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jc w:val="left"/>
        <w:rPr>
          <w:rFonts w:ascii="Verdana" w:hAnsi="Verdana" w:cs="Tahoma"/>
          <w:b/>
          <w:w w:val="0"/>
          <w:sz w:val="20"/>
          <w:szCs w:val="20"/>
        </w:rPr>
      </w:pPr>
      <w:r>
        <w:rPr>
          <w:rFonts w:ascii="Verdana" w:hAnsi="Verdana" w:cs="Tahoma"/>
          <w:b/>
          <w:w w:val="0"/>
          <w:sz w:val="20"/>
          <w:szCs w:val="20"/>
        </w:rPr>
        <w:t>Substituição</w:t>
      </w:r>
    </w:p>
    <w:p w14:paraId="1827AA1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316" w:name="_Ref436688197"/>
    </w:p>
    <w:p w14:paraId="44B45319"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remuneração do novo agente fiduciário será a mesma já prevista nesta Escritura de Emissão, salvo se outra for negociada com a Emissora e com os Debenturistas.</w:t>
      </w:r>
      <w:bookmarkEnd w:id="316"/>
    </w:p>
    <w:p w14:paraId="54E4C8C3"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67F6C325"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Verdana" w:hAnsi="Verdana" w:cs="Tahoma"/>
          <w:sz w:val="20"/>
          <w:szCs w:val="20"/>
        </w:rPr>
        <w:fldChar w:fldCharType="begin"/>
      </w:r>
      <w:r>
        <w:rPr>
          <w:rFonts w:ascii="Verdana" w:hAnsi="Verdana" w:cs="Tahoma"/>
          <w:sz w:val="20"/>
          <w:szCs w:val="20"/>
        </w:rPr>
        <w:instrText xml:space="preserve"> REF _Ref436688197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7.3.1 acima</w:t>
      </w:r>
      <w:r>
        <w:rPr>
          <w:rFonts w:ascii="Verdana" w:hAnsi="Verdana" w:cs="Tahoma"/>
          <w:sz w:val="20"/>
          <w:szCs w:val="20"/>
        </w:rPr>
        <w:fldChar w:fldCharType="end"/>
      </w:r>
      <w:r>
        <w:rPr>
          <w:rFonts w:ascii="Verdana" w:hAnsi="Verdana" w:cs="Tahoma"/>
          <w:sz w:val="20"/>
          <w:szCs w:val="20"/>
        </w:rPr>
        <w:t>.</w:t>
      </w:r>
    </w:p>
    <w:p w14:paraId="00A9484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Instrução CVM 583.</w:t>
      </w:r>
    </w:p>
    <w:p w14:paraId="79465322"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 xml:space="preserve">A substituição do Agente Fiduciário deverá ser objeto de aditamento a esta Escritura de Emissão, que deverá ser arquivado na JUCESP, na forma do item </w:t>
      </w:r>
      <w:r>
        <w:rPr>
          <w:rFonts w:ascii="Verdana" w:hAnsi="Verdana" w:cs="Tahoma"/>
          <w:sz w:val="20"/>
          <w:szCs w:val="20"/>
        </w:rPr>
        <w:fldChar w:fldCharType="begin"/>
      </w:r>
      <w:r>
        <w:rPr>
          <w:rFonts w:ascii="Verdana" w:hAnsi="Verdana" w:cs="Tahoma"/>
          <w:sz w:val="20"/>
          <w:szCs w:val="20"/>
        </w:rPr>
        <w:instrText xml:space="preserve"> REF _Ref422391391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2.2.1 acima</w:t>
      </w:r>
      <w:r>
        <w:rPr>
          <w:rFonts w:ascii="Verdana" w:hAnsi="Verdana" w:cs="Tahoma"/>
          <w:sz w:val="20"/>
          <w:szCs w:val="20"/>
        </w:rPr>
        <w:fldChar w:fldCharType="end"/>
      </w:r>
      <w:r>
        <w:rPr>
          <w:rFonts w:ascii="Verdana" w:hAnsi="Verdana" w:cs="Tahoma"/>
          <w:sz w:val="20"/>
          <w:szCs w:val="20"/>
        </w:rPr>
        <w:t xml:space="preserve"> desta Escritura de Emissão.</w:t>
      </w:r>
    </w:p>
    <w:p w14:paraId="19F037EA"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F9DD510"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Aplicam-se às hipóteses de substituição do Agente Fiduciário as normas e preceitos a respeito, baixados por ato(s) da CVM.</w:t>
      </w:r>
    </w:p>
    <w:p w14:paraId="5503A479" w14:textId="77777777" w:rsidR="00EB5CDB" w:rsidRDefault="00EB5CDB">
      <w:pPr>
        <w:pStyle w:val="PargrafodaLista"/>
        <w:spacing w:before="120" w:after="120" w:line="280" w:lineRule="exact"/>
        <w:ind w:left="0"/>
        <w:jc w:val="both"/>
        <w:rPr>
          <w:rFonts w:ascii="Verdana" w:hAnsi="Verdana" w:cs="Tahoma"/>
          <w:sz w:val="20"/>
          <w:szCs w:val="20"/>
        </w:rPr>
      </w:pPr>
    </w:p>
    <w:p w14:paraId="07C991BF" w14:textId="77777777" w:rsidR="00EB5CDB" w:rsidRDefault="008E55E6">
      <w:pPr>
        <w:pStyle w:val="sub"/>
        <w:keepNext/>
        <w:widowControl/>
        <w:numPr>
          <w:ilvl w:val="1"/>
          <w:numId w:val="11"/>
        </w:numPr>
        <w:tabs>
          <w:tab w:val="clear" w:pos="0"/>
          <w:tab w:val="clear" w:pos="1440"/>
          <w:tab w:val="clear" w:pos="2880"/>
          <w:tab w:val="clear" w:pos="4320"/>
        </w:tabs>
        <w:spacing w:before="120" w:after="120" w:line="280" w:lineRule="exact"/>
        <w:rPr>
          <w:rFonts w:ascii="Verdana" w:hAnsi="Verdana" w:cs="Tahoma"/>
          <w:b/>
          <w:w w:val="0"/>
          <w:sz w:val="20"/>
          <w:szCs w:val="20"/>
        </w:rPr>
      </w:pPr>
      <w:r>
        <w:rPr>
          <w:rFonts w:ascii="Verdana" w:hAnsi="Verdana" w:cs="Tahoma"/>
          <w:b/>
          <w:w w:val="0"/>
          <w:sz w:val="20"/>
          <w:szCs w:val="20"/>
        </w:rPr>
        <w:t>Deveres do Agente Fiduciário</w:t>
      </w:r>
      <w:bookmarkStart w:id="317" w:name="_Ref436688380"/>
    </w:p>
    <w:p w14:paraId="5AE9136B"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318" w:name="_Ref477873544"/>
      <w:r>
        <w:rPr>
          <w:rFonts w:ascii="Verdana" w:hAnsi="Verdana" w:cs="Tahoma"/>
          <w:sz w:val="20"/>
          <w:szCs w:val="20"/>
        </w:rPr>
        <w:t>Além de outros previstos em lei, em ato normativo da CVM, ou na presente Escritura de Emissão, constituem deveres e atribuições do Agente Fiduciário:</w:t>
      </w:r>
      <w:bookmarkEnd w:id="317"/>
      <w:bookmarkEnd w:id="318"/>
      <w:r>
        <w:rPr>
          <w:rFonts w:ascii="Verdana" w:hAnsi="Verdana" w:cs="Tahoma"/>
          <w:sz w:val="20"/>
          <w:szCs w:val="20"/>
        </w:rPr>
        <w:t xml:space="preserve"> </w:t>
      </w:r>
    </w:p>
    <w:p w14:paraId="3A9AD13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60588FDB"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4093A7D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conservar em boa guarda toda a documentação relativa ao exercício de suas funções;</w:t>
      </w:r>
    </w:p>
    <w:p w14:paraId="7B9AB06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786F572E"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62707D37" w14:textId="77777777" w:rsidR="00EB5CDB" w:rsidRDefault="008E55E6">
      <w:p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t>verificar a regularidade da constituição da Garantia, bem como o valor das CCB dadas em garantia, observando a manutenção de sua suficiência e exequibilidade;</w:t>
      </w:r>
    </w:p>
    <w:p w14:paraId="10808A6A"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acompanhar a prestação das informações periódicas, alertando os Debenturistas, no relatório anual de que trata o inciso (xii) abaixo, sobre as inconsistências ou omissões de que tenha conhecimento;</w:t>
      </w:r>
    </w:p>
    <w:p w14:paraId="2E4AB969"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emitir parecer sobre a suficiência das informações constantes das propostas de modificações nas condições das Debêntures;</w:t>
      </w:r>
    </w:p>
    <w:p w14:paraId="03B7ADC4"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3891E9A8"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solicitar, quando julgar necessário e de forma justificada, auditoria extraordinária na Emissora, cujos custos deverão ser arcados pela Emissora;</w:t>
      </w:r>
    </w:p>
    <w:p w14:paraId="50BDA760"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convocar, quando necessário, Assembleias Gerais de Debenturistas, nos termos desta Escritura de Emissão;</w:t>
      </w:r>
    </w:p>
    <w:p w14:paraId="16CAE372"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comparecer às respectivas Assembleias Gerais de Debenturistas a fim de prestar as informações que lhe forem solicitadas;</w:t>
      </w:r>
    </w:p>
    <w:p w14:paraId="0084508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319" w:name="_Ref436983595"/>
      <w:r>
        <w:rPr>
          <w:rFonts w:ascii="Verdana" w:hAnsi="Verdana" w:cs="Tahoma"/>
          <w:sz w:val="20"/>
          <w:szCs w:val="20"/>
        </w:rPr>
        <w:t>elaborar relatório destinado aos Debenturistas, nos termos da alínea (b) do parágrafo 1º do artigo 68 da Lei das Sociedades por Ações e do artigo 15 da Instrução CVM 583, o qual deverá conter, ao menos, as seguintes informações:</w:t>
      </w:r>
      <w:bookmarkEnd w:id="319"/>
      <w:r>
        <w:rPr>
          <w:rFonts w:ascii="Verdana" w:hAnsi="Verdana" w:cs="Tahoma"/>
          <w:sz w:val="20"/>
          <w:szCs w:val="20"/>
        </w:rPr>
        <w:t xml:space="preserve"> </w:t>
      </w:r>
    </w:p>
    <w:p w14:paraId="6F1202C9"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cumprimento pela Emissora das suas obrigações de prestação de informações periódicas, indicando as inconsistências ou omissões de que tenha conhecimento;</w:t>
      </w:r>
    </w:p>
    <w:p w14:paraId="2101DE9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alterações estatutárias da Emissora ocorridas no período com efeitos relevantes para os Debenturistas;</w:t>
      </w:r>
    </w:p>
    <w:p w14:paraId="5FC633AE"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quantidade de Debêntures emitidas, quantidade de Debêntures em Circulação e saldo cancelado no período;</w:t>
      </w:r>
    </w:p>
    <w:p w14:paraId="51B983B6"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4FEAD5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resgate, amortização, conversão, repactuação e pagamento de juros das Debêntures realizados no período;</w:t>
      </w:r>
    </w:p>
    <w:p w14:paraId="494DB7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acompanhamento da destinação dos recursos captados por meio desta Emissão, conforme informações prestadas pela Emissora;</w:t>
      </w:r>
    </w:p>
    <w:p w14:paraId="457B223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cumprimento de outras obrigações assumidas pela Emissora nesta Escritura de Emissão; </w:t>
      </w:r>
    </w:p>
    <w:p w14:paraId="1FDD1C6F"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 xml:space="preserve">declaração sobre a não existência de situação de conflito de interesses que impeça o Agente Fiduciário a continuar a exercer sua função; </w:t>
      </w:r>
    </w:p>
    <w:p w14:paraId="0098907D"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r>
        <w:rPr>
          <w:rFonts w:ascii="Verdana" w:hAnsi="Verdana" w:cs="Tahoma"/>
          <w:sz w:val="20"/>
          <w:szCs w:val="20"/>
        </w:rPr>
        <w:t>relação dos bens e valores entregues à sua administração, quando houver;</w:t>
      </w:r>
    </w:p>
    <w:p w14:paraId="77EBCDCB" w14:textId="77777777" w:rsidR="00EB5CDB" w:rsidRDefault="008E55E6">
      <w:pPr>
        <w:numPr>
          <w:ilvl w:val="1"/>
          <w:numId w:val="8"/>
        </w:numPr>
        <w:autoSpaceDE/>
        <w:autoSpaceDN/>
        <w:adjustRightInd/>
        <w:spacing w:before="120" w:after="120" w:line="280" w:lineRule="exact"/>
        <w:ind w:left="1843" w:firstLine="0"/>
        <w:jc w:val="both"/>
        <w:rPr>
          <w:rFonts w:ascii="Verdana" w:hAnsi="Verdana" w:cs="Tahoma"/>
          <w:sz w:val="20"/>
          <w:szCs w:val="20"/>
        </w:rPr>
      </w:pPr>
      <w:bookmarkStart w:id="320" w:name="_Ref477873511"/>
      <w:r>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320"/>
    </w:p>
    <w:p w14:paraId="2C42E267"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(i.1)</w:t>
      </w:r>
      <w:r>
        <w:rPr>
          <w:rFonts w:ascii="Verdana" w:hAnsi="Verdana" w:cs="Tahoma"/>
          <w:sz w:val="20"/>
          <w:szCs w:val="20"/>
        </w:rPr>
        <w:tab/>
        <w:t>denominação da companhia ofertante;</w:t>
      </w:r>
    </w:p>
    <w:p w14:paraId="1CF45FF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(i.2)</w:t>
      </w:r>
      <w:r>
        <w:rPr>
          <w:rFonts w:ascii="Verdana" w:hAnsi="Verdana" w:cs="Tahoma"/>
          <w:sz w:val="20"/>
          <w:szCs w:val="20"/>
        </w:rPr>
        <w:tab/>
        <w:t>valor da emissão;</w:t>
      </w:r>
    </w:p>
    <w:p w14:paraId="66123256"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(i.3)</w:t>
      </w:r>
      <w:r>
        <w:rPr>
          <w:rFonts w:ascii="Verdana" w:hAnsi="Verdana" w:cs="Tahoma"/>
          <w:sz w:val="20"/>
          <w:szCs w:val="20"/>
        </w:rPr>
        <w:tab/>
        <w:t>quantidade de valores mobiliários emitidos;</w:t>
      </w:r>
    </w:p>
    <w:p w14:paraId="63220281"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(i.4)</w:t>
      </w:r>
      <w:r>
        <w:rPr>
          <w:rFonts w:ascii="Verdana" w:hAnsi="Verdana" w:cs="Tahoma"/>
          <w:sz w:val="20"/>
          <w:szCs w:val="20"/>
        </w:rPr>
        <w:tab/>
        <w:t>espécie e garantias envolvidas;</w:t>
      </w:r>
    </w:p>
    <w:p w14:paraId="2AC6F2F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(i.5)</w:t>
      </w:r>
      <w:r>
        <w:rPr>
          <w:rFonts w:ascii="Verdana" w:hAnsi="Verdana" w:cs="Tahoma"/>
          <w:sz w:val="20"/>
          <w:szCs w:val="20"/>
        </w:rPr>
        <w:tab/>
        <w:t>prazo de vencimento e taxa de juros; e</w:t>
      </w:r>
    </w:p>
    <w:p w14:paraId="2D63E159"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(i.6)</w:t>
      </w:r>
      <w:r>
        <w:rPr>
          <w:rFonts w:ascii="Verdana" w:hAnsi="Verdana" w:cs="Tahoma"/>
          <w:sz w:val="20"/>
          <w:szCs w:val="20"/>
        </w:rPr>
        <w:tab/>
        <w:t>inadimplemento pecuniário no período</w:t>
      </w:r>
    </w:p>
    <w:p w14:paraId="6BC8D138" w14:textId="77777777" w:rsidR="00EB5CDB" w:rsidRDefault="008E55E6">
      <w:pPr>
        <w:spacing w:before="120" w:after="120" w:line="280" w:lineRule="exact"/>
        <w:ind w:left="2835" w:hanging="567"/>
        <w:rPr>
          <w:rFonts w:ascii="Verdana" w:hAnsi="Verdana" w:cs="Tahoma"/>
          <w:sz w:val="20"/>
          <w:szCs w:val="20"/>
        </w:rPr>
      </w:pPr>
      <w:r>
        <w:rPr>
          <w:rFonts w:ascii="Verdana" w:hAnsi="Verdana" w:cs="Tahoma"/>
          <w:b/>
          <w:sz w:val="20"/>
          <w:szCs w:val="20"/>
        </w:rPr>
        <w:t>(i.7)</w:t>
      </w:r>
      <w:r>
        <w:rPr>
          <w:rFonts w:ascii="Verdana" w:hAnsi="Verdana" w:cs="Tahoma"/>
          <w:sz w:val="20"/>
          <w:szCs w:val="20"/>
        </w:rPr>
        <w:tab/>
        <w:t>eventos de resgate, amortização, conversão, repactuação e inadimplemento no período.</w:t>
      </w:r>
    </w:p>
    <w:p w14:paraId="120F52E6"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bookmarkStart w:id="321" w:name="_Ref436983621"/>
      <w:r>
        <w:rPr>
          <w:rFonts w:ascii="Verdana" w:hAnsi="Verdana" w:cs="Tahoma"/>
          <w:sz w:val="20"/>
          <w:szCs w:val="20"/>
        </w:rPr>
        <w:t xml:space="preserve">disponibilizar o relatório de que trata </w:t>
      </w:r>
      <w:bookmarkStart w:id="322" w:name="_DV_M311"/>
      <w:bookmarkStart w:id="323" w:name="_DV_M312"/>
      <w:bookmarkEnd w:id="322"/>
      <w:bookmarkEnd w:id="323"/>
      <w:r>
        <w:rPr>
          <w:rFonts w:ascii="Verdana" w:hAnsi="Verdana" w:cs="Tahoma"/>
          <w:sz w:val="20"/>
          <w:szCs w:val="20"/>
        </w:rPr>
        <w:t>o inciso (xii) em sua página na rede mundial de computadores, no prazo máximo de 4 (quatro) meses a contar do encerramento do exercício social da Emissora</w:t>
      </w:r>
      <w:bookmarkEnd w:id="321"/>
      <w:r>
        <w:rPr>
          <w:rFonts w:ascii="Verdana" w:hAnsi="Verdana" w:cs="Tahoma"/>
          <w:sz w:val="20"/>
          <w:szCs w:val="20"/>
        </w:rPr>
        <w:t>;</w:t>
      </w:r>
    </w:p>
    <w:p w14:paraId="70EBF747" w14:textId="77777777" w:rsidR="00EB5CDB" w:rsidRDefault="008E55E6">
      <w:pPr>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manter atualizada a relação dos Debenturistas e seus endereços, mediante, inclusive, gestões junto à Emissora, ao Escriturador e à </w:t>
      </w:r>
      <w:r>
        <w:rPr>
          <w:rFonts w:ascii="Verdana" w:eastAsia="MS Mincho" w:hAnsi="Verdana" w:cs="Tahoma"/>
          <w:sz w:val="20"/>
          <w:szCs w:val="20"/>
        </w:rPr>
        <w:t>B3</w:t>
      </w:r>
      <w:r>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277A41B3"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183740E1"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AC0AAD8"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6C66CF4C"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disponibilizar aos Debenturistas por meio de seu </w:t>
      </w:r>
      <w:r>
        <w:rPr>
          <w:rFonts w:ascii="Verdana" w:hAnsi="Verdana" w:cs="Tahoma"/>
          <w:i/>
          <w:sz w:val="20"/>
          <w:szCs w:val="20"/>
        </w:rPr>
        <w:t>website</w:t>
      </w:r>
      <w:r>
        <w:rPr>
          <w:rFonts w:ascii="Verdana" w:hAnsi="Verdana" w:cs="Tahoma"/>
          <w:sz w:val="20"/>
          <w:szCs w:val="20"/>
        </w:rPr>
        <w:t xml:space="preserve">, no prazo de 2 (dois) Dias Úteis contados da data de recebimento do Relatório Mensal de Acompanhamento, o referido Relatório Mensal de Acompanhamento, sendo certo que esta obrigação somente poderá ser realizada caso o Relatório Mensal de Acompanhamento seja disponibilizado pela </w:t>
      </w:r>
      <w:r>
        <w:rPr>
          <w:rFonts w:ascii="Verdana" w:hAnsi="Verdana"/>
          <w:sz w:val="20"/>
          <w:szCs w:val="20"/>
        </w:rPr>
        <w:t>Emissora</w:t>
      </w:r>
      <w:r>
        <w:rPr>
          <w:rFonts w:ascii="Verdana" w:hAnsi="Verdana" w:cs="Tahoma"/>
          <w:sz w:val="20"/>
          <w:szCs w:val="20"/>
        </w:rPr>
        <w:t>;</w:t>
      </w:r>
    </w:p>
    <w:p w14:paraId="3F2B849B"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divulgar as informações referidas no subitem </w:t>
      </w:r>
      <w:r>
        <w:rPr>
          <w:rFonts w:ascii="Verdana" w:hAnsi="Verdana" w:cs="Tahoma"/>
          <w:sz w:val="20"/>
          <w:szCs w:val="20"/>
        </w:rPr>
        <w:fldChar w:fldCharType="begin"/>
      </w:r>
      <w:r>
        <w:rPr>
          <w:rFonts w:ascii="Verdana" w:hAnsi="Verdana" w:cs="Tahoma"/>
          <w:sz w:val="20"/>
          <w:szCs w:val="20"/>
        </w:rPr>
        <w:instrText xml:space="preserve"> REF _Ref477873511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(xii)(j)</w:t>
      </w:r>
      <w:r>
        <w:rPr>
          <w:rFonts w:ascii="Verdana" w:hAnsi="Verdana" w:cs="Tahoma"/>
          <w:sz w:val="20"/>
          <w:szCs w:val="20"/>
        </w:rPr>
        <w:fldChar w:fldCharType="end"/>
      </w:r>
      <w:r>
        <w:rPr>
          <w:rFonts w:ascii="Verdana" w:hAnsi="Verdana" w:cs="Tahoma"/>
          <w:sz w:val="20"/>
          <w:szCs w:val="20"/>
        </w:rPr>
        <w:t xml:space="preserve"> deste item </w:t>
      </w:r>
      <w:r>
        <w:rPr>
          <w:rFonts w:ascii="Verdana" w:hAnsi="Verdana" w:cs="Tahoma"/>
          <w:sz w:val="20"/>
          <w:szCs w:val="20"/>
        </w:rPr>
        <w:fldChar w:fldCharType="begin"/>
      </w:r>
      <w:r>
        <w:rPr>
          <w:rFonts w:ascii="Verdana" w:hAnsi="Verdana" w:cs="Tahoma"/>
          <w:sz w:val="20"/>
          <w:szCs w:val="20"/>
        </w:rPr>
        <w:instrText xml:space="preserve"> REF _Ref477873544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7.4.1</w:t>
      </w:r>
      <w:r>
        <w:rPr>
          <w:rFonts w:ascii="Verdana" w:hAnsi="Verdana" w:cs="Tahoma"/>
          <w:sz w:val="20"/>
          <w:szCs w:val="20"/>
        </w:rPr>
        <w:fldChar w:fldCharType="end"/>
      </w:r>
      <w:r>
        <w:rPr>
          <w:rFonts w:ascii="Verdana" w:hAnsi="Verdana" w:cs="Tahoma"/>
          <w:sz w:val="20"/>
          <w:szCs w:val="20"/>
        </w:rPr>
        <w:t xml:space="preserve"> em sua página na rede mundial de computadores tão logo delas tenha conhecimento; e </w:t>
      </w:r>
    </w:p>
    <w:p w14:paraId="038AFAAA" w14:textId="77777777" w:rsidR="00EB5CDB" w:rsidRDefault="008E55E6">
      <w:pPr>
        <w:pStyle w:val="PargrafodaLista"/>
        <w:numPr>
          <w:ilvl w:val="0"/>
          <w:numId w:val="8"/>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representar os Debenturistas no Contrato de Cessão Fiduciária, inclusive para fins de excussão da Garantia.</w:t>
      </w:r>
    </w:p>
    <w:p w14:paraId="05BF02C2" w14:textId="77777777" w:rsidR="00EB5CDB" w:rsidRDefault="00EB5CDB">
      <w:pPr>
        <w:pStyle w:val="PargrafodaLista"/>
        <w:tabs>
          <w:tab w:val="left" w:pos="1418"/>
        </w:tabs>
        <w:autoSpaceDE/>
        <w:autoSpaceDN/>
        <w:adjustRightInd/>
        <w:spacing w:before="120" w:after="120" w:line="280" w:lineRule="exact"/>
        <w:ind w:left="1418"/>
        <w:jc w:val="both"/>
        <w:rPr>
          <w:rFonts w:ascii="Verdana" w:hAnsi="Verdana" w:cs="Tahoma"/>
          <w:sz w:val="20"/>
          <w:szCs w:val="20"/>
        </w:rPr>
      </w:pPr>
    </w:p>
    <w:p w14:paraId="0BD98C65"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Atribuições Específicas</w:t>
      </w:r>
    </w:p>
    <w:p w14:paraId="33EBAFD8"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bookmarkStart w:id="324" w:name="_Ref477873741"/>
      <w:r>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324"/>
    </w:p>
    <w:p w14:paraId="73C5D1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325" w:name="_Ref477873625"/>
      <w:r>
        <w:rPr>
          <w:rFonts w:ascii="Verdana" w:hAnsi="Verdana" w:cs="Tahoma"/>
          <w:sz w:val="20"/>
          <w:szCs w:val="20"/>
        </w:rPr>
        <w:t xml:space="preserve">declarar, observadas as condições desta Escritura de Emissão, antecipadamente vencidas as Debêntures, conforme previsto no item </w:t>
      </w:r>
      <w:r>
        <w:rPr>
          <w:rFonts w:ascii="Verdana" w:hAnsi="Verdana" w:cs="Tahoma"/>
          <w:sz w:val="20"/>
          <w:szCs w:val="20"/>
        </w:rPr>
        <w:fldChar w:fldCharType="begin"/>
      </w:r>
      <w:r>
        <w:rPr>
          <w:rFonts w:ascii="Verdana" w:hAnsi="Verdana" w:cs="Tahoma"/>
          <w:sz w:val="20"/>
          <w:szCs w:val="20"/>
        </w:rPr>
        <w:instrText xml:space="preserve"> REF _Ref422391983 \r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3.29.1</w:t>
      </w:r>
      <w:r>
        <w:rPr>
          <w:rFonts w:ascii="Verdana" w:hAnsi="Verdana" w:cs="Tahoma"/>
          <w:sz w:val="20"/>
          <w:szCs w:val="20"/>
        </w:rPr>
        <w:fldChar w:fldCharType="end"/>
      </w:r>
      <w:r>
        <w:rPr>
          <w:rFonts w:ascii="Verdana" w:hAnsi="Verdana" w:cs="Tahoma"/>
          <w:sz w:val="20"/>
          <w:szCs w:val="20"/>
        </w:rPr>
        <w:t xml:space="preserve"> acima, e cobrar seu principal e acessórios;</w:t>
      </w:r>
      <w:bookmarkEnd w:id="325"/>
      <w:r>
        <w:rPr>
          <w:rFonts w:ascii="Verdana" w:hAnsi="Verdana" w:cs="Tahoma"/>
          <w:sz w:val="20"/>
          <w:szCs w:val="20"/>
        </w:rPr>
        <w:t xml:space="preserve"> </w:t>
      </w:r>
    </w:p>
    <w:p w14:paraId="06FB5D07"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requerer a falência da Emissora nos termos da legislação falimentar ou iniciar procedimento da mesma natureza, quando aplicável;</w:t>
      </w:r>
    </w:p>
    <w:p w14:paraId="742C984D"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r>
        <w:rPr>
          <w:rFonts w:ascii="Verdana" w:hAnsi="Verdana" w:cs="Tahoma"/>
          <w:sz w:val="20"/>
          <w:szCs w:val="20"/>
        </w:rPr>
        <w:t xml:space="preserve">executar a Garantia, caso não seja realizada a dação dos Direitos Creditórios Vinculados em pagamento aos Debenturistas, nos termos do item </w:t>
      </w:r>
      <w:r>
        <w:rPr>
          <w:rFonts w:ascii="Verdana" w:hAnsi="Verdana" w:cs="Tahoma"/>
          <w:sz w:val="20"/>
          <w:szCs w:val="20"/>
        </w:rPr>
        <w:fldChar w:fldCharType="begin"/>
      </w:r>
      <w:r>
        <w:rPr>
          <w:rFonts w:ascii="Verdana" w:hAnsi="Verdana" w:cs="Tahoma"/>
          <w:sz w:val="20"/>
          <w:szCs w:val="20"/>
        </w:rPr>
        <w:instrText xml:space="preserve"> REF _Ref422391479 \r \p \h  \* MERGEFORMAT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3.22 acima</w:t>
      </w:r>
      <w:r>
        <w:rPr>
          <w:rFonts w:ascii="Verdana" w:hAnsi="Verdana" w:cs="Tahoma"/>
          <w:sz w:val="20"/>
          <w:szCs w:val="20"/>
        </w:rPr>
        <w:fldChar w:fldCharType="end"/>
      </w:r>
      <w:r>
        <w:rPr>
          <w:rFonts w:ascii="Verdana" w:hAnsi="Verdana" w:cs="Tahoma"/>
          <w:sz w:val="20"/>
          <w:szCs w:val="20"/>
        </w:rPr>
        <w:t>, aplicando o produto no pagamento integral dos Debenturistas;</w:t>
      </w:r>
    </w:p>
    <w:p w14:paraId="6DDBBC1A"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326" w:name="_Ref477873650"/>
      <w:r>
        <w:rPr>
          <w:rFonts w:ascii="Verdana" w:hAnsi="Verdana" w:cs="Tahoma"/>
          <w:sz w:val="20"/>
          <w:szCs w:val="20"/>
        </w:rPr>
        <w:t>tomar qualquer providência necessária para a realização dos créditos dos Debenturistas; e</w:t>
      </w:r>
      <w:bookmarkEnd w:id="326"/>
    </w:p>
    <w:p w14:paraId="21CC34A6" w14:textId="77777777" w:rsidR="00EB5CDB" w:rsidRDefault="008E55E6">
      <w:pPr>
        <w:pStyle w:val="PargrafodaLista"/>
        <w:numPr>
          <w:ilvl w:val="0"/>
          <w:numId w:val="17"/>
        </w:numPr>
        <w:tabs>
          <w:tab w:val="left" w:pos="1134"/>
        </w:tabs>
        <w:autoSpaceDE/>
        <w:autoSpaceDN/>
        <w:adjustRightInd/>
        <w:spacing w:before="120" w:after="120" w:line="280" w:lineRule="exact"/>
        <w:ind w:left="1134" w:hanging="567"/>
        <w:jc w:val="both"/>
        <w:rPr>
          <w:rFonts w:ascii="Verdana" w:hAnsi="Verdana" w:cs="Tahoma"/>
          <w:sz w:val="20"/>
          <w:szCs w:val="20"/>
        </w:rPr>
      </w:pPr>
      <w:bookmarkStart w:id="327" w:name="_Ref477873762"/>
      <w:r>
        <w:rPr>
          <w:rFonts w:ascii="Verdana" w:hAnsi="Verdana" w:cs="Tahoma"/>
          <w:sz w:val="20"/>
          <w:szCs w:val="20"/>
        </w:rPr>
        <w:t>representar os Debenturistas em processo de falência, recuperação judicial e/ou recuperação extrajudicial, bem como intervenção ou liquidação extrajudicial da Emissora.</w:t>
      </w:r>
      <w:bookmarkEnd w:id="327"/>
    </w:p>
    <w:p w14:paraId="320C79E1"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23AC81B6"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2BF8D5D8" w14:textId="77777777" w:rsidR="00EB5CDB" w:rsidRDefault="008E55E6">
      <w:pPr>
        <w:pStyle w:val="PargrafodaLista"/>
        <w:widowControl w:val="0"/>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328" w:name="_Ref436688529"/>
    </w:p>
    <w:bookmarkEnd w:id="328"/>
    <w:p w14:paraId="04309830" w14:textId="77777777" w:rsidR="00EB5CDB" w:rsidRDefault="008E55E6">
      <w:pPr>
        <w:pStyle w:val="sub"/>
        <w:widowControl/>
        <w:numPr>
          <w:ilvl w:val="1"/>
          <w:numId w:val="11"/>
        </w:numPr>
        <w:tabs>
          <w:tab w:val="clear" w:pos="0"/>
          <w:tab w:val="clear" w:pos="1440"/>
          <w:tab w:val="clear" w:pos="2880"/>
          <w:tab w:val="clear" w:pos="4320"/>
        </w:tabs>
        <w:spacing w:before="120" w:after="120" w:line="280" w:lineRule="exact"/>
        <w:rPr>
          <w:rFonts w:ascii="Verdana" w:hAnsi="Verdana" w:cs="Tahoma"/>
          <w:b/>
          <w:smallCaps/>
          <w:sz w:val="20"/>
          <w:szCs w:val="20"/>
        </w:rPr>
      </w:pPr>
      <w:r>
        <w:rPr>
          <w:rFonts w:ascii="Verdana" w:hAnsi="Verdana" w:cs="Tahoma"/>
          <w:b/>
          <w:w w:val="0"/>
          <w:sz w:val="20"/>
          <w:szCs w:val="20"/>
        </w:rPr>
        <w:t>Declarações do Agente Fiduciário</w:t>
      </w:r>
    </w:p>
    <w:p w14:paraId="574B1F4F" w14:textId="77777777" w:rsidR="00EB5CDB" w:rsidRDefault="008E55E6">
      <w:pPr>
        <w:pStyle w:val="PargrafodaLista"/>
        <w:numPr>
          <w:ilvl w:val="2"/>
          <w:numId w:val="11"/>
        </w:numPr>
        <w:spacing w:before="120" w:after="120" w:line="280" w:lineRule="exact"/>
        <w:ind w:left="0" w:firstLine="0"/>
        <w:jc w:val="both"/>
        <w:rPr>
          <w:rFonts w:ascii="Verdana" w:hAnsi="Verdana" w:cs="Tahoma"/>
          <w:sz w:val="20"/>
          <w:szCs w:val="20"/>
        </w:rPr>
      </w:pPr>
      <w:r>
        <w:rPr>
          <w:rFonts w:ascii="Verdana" w:hAnsi="Verdana" w:cs="Tahoma"/>
          <w:sz w:val="20"/>
          <w:szCs w:val="20"/>
        </w:rPr>
        <w:t>O Agente Fiduciário, nomeado na presente Escritura de Emissão, declara, sob as penas da lei:</w:t>
      </w:r>
    </w:p>
    <w:p w14:paraId="77FD0A8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impedimento legal, conforme o parágrafo 3º do artigo 66 da Lei das Sociedades por Ações e o artigo 6º da Instrução CVM 583, para exercer a função que lhe é conferida;</w:t>
      </w:r>
    </w:p>
    <w:p w14:paraId="418A3F1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a função que lhe é conferida, assumindo integralmente os deveres e atribuições previstos na legislação específica e nesta Escritura de Emissão;</w:t>
      </w:r>
    </w:p>
    <w:p w14:paraId="6FA3A2BB"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aceitar integralmente a presente Escritura de Emissão, todas as suas cláusulas e condições;</w:t>
      </w:r>
    </w:p>
    <w:p w14:paraId="73A6DB6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ter qualquer ligação com a Emissora que o impeça de exercer suas funções;</w:t>
      </w:r>
    </w:p>
    <w:p w14:paraId="633C5888"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ciente da Circular nº 1.832, de 31 de outubro de 1990, conforme alterada, do Banco Central do Brasil;</w:t>
      </w:r>
    </w:p>
    <w:p w14:paraId="1D1D505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329" w:name="_DV_X471"/>
      <w:bookmarkStart w:id="330" w:name="_DV_C422"/>
    </w:p>
    <w:p w14:paraId="089F1762"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não se encontra em nenhuma das situações de conflito de interesse previstas no artigo 6º da Instrução CVM 583;</w:t>
      </w:r>
      <w:bookmarkStart w:id="331" w:name="_DV_C423"/>
      <w:bookmarkEnd w:id="329"/>
      <w:bookmarkEnd w:id="330"/>
    </w:p>
    <w:p w14:paraId="5A50C9E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estar devidamente qualificado a exercer as atividades de agente fiduciário, nos termos da regulamentação aplicável vigente;</w:t>
      </w:r>
      <w:bookmarkStart w:id="332" w:name="_DV_X465"/>
      <w:bookmarkStart w:id="333" w:name="_DV_C425"/>
      <w:bookmarkEnd w:id="331"/>
    </w:p>
    <w:p w14:paraId="685F0280"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esta Escritura de Emissão constitui uma obrigação legal, válida</w:t>
      </w:r>
      <w:bookmarkStart w:id="334" w:name="_DV_C426"/>
      <w:bookmarkEnd w:id="332"/>
      <w:bookmarkEnd w:id="333"/>
      <w:r>
        <w:rPr>
          <w:rFonts w:ascii="Verdana" w:hAnsi="Verdana" w:cs="Tahoma"/>
          <w:sz w:val="20"/>
          <w:szCs w:val="20"/>
        </w:rPr>
        <w:t>, vinculativa e eficaz</w:t>
      </w:r>
      <w:bookmarkStart w:id="335" w:name="_DV_X467"/>
      <w:bookmarkStart w:id="336" w:name="_DV_C427"/>
      <w:bookmarkEnd w:id="334"/>
      <w:r>
        <w:rPr>
          <w:rFonts w:ascii="Verdana" w:hAnsi="Verdana" w:cs="Tahoma"/>
          <w:sz w:val="20"/>
          <w:szCs w:val="20"/>
        </w:rPr>
        <w:t xml:space="preserve"> do Agente Fiduciário, exequível de acordo com os seus termos e condições;</w:t>
      </w:r>
      <w:bookmarkEnd w:id="335"/>
      <w:bookmarkEnd w:id="336"/>
    </w:p>
    <w:p w14:paraId="1FEFE94E"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51D61207"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1C7E7554"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A67E8BD"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3F58709A" w14:textId="77777777" w:rsidR="00EB5CDB" w:rsidRDefault="008E55E6">
      <w:pPr>
        <w:pStyle w:val="PargrafodaLista"/>
        <w:numPr>
          <w:ilvl w:val="0"/>
          <w:numId w:val="19"/>
        </w:numPr>
        <w:tabs>
          <w:tab w:val="left" w:pos="1418"/>
        </w:tabs>
        <w:autoSpaceDE/>
        <w:autoSpaceDN/>
        <w:adjustRightInd/>
        <w:spacing w:before="120" w:after="120" w:line="280" w:lineRule="exact"/>
        <w:ind w:left="1418" w:hanging="851"/>
        <w:jc w:val="both"/>
        <w:rPr>
          <w:rFonts w:ascii="Verdana" w:hAnsi="Verdana" w:cs="Tahoma"/>
          <w:sz w:val="20"/>
          <w:szCs w:val="20"/>
        </w:rPr>
      </w:pPr>
      <w:r>
        <w:rPr>
          <w:rFonts w:ascii="Verdana" w:hAnsi="Verdana" w:cs="Tahoma"/>
          <w:sz w:val="20"/>
          <w:szCs w:val="20"/>
        </w:rPr>
        <w:t>que, na data de assinatura da presente Escritura de Emissão, não presta serviços de agente fiduciário em emissões de valores mobiliários da Emissora e/ou empresas do seu grupo econômico.</w:t>
      </w:r>
    </w:p>
    <w:p w14:paraId="636AF1B9" w14:textId="77777777" w:rsidR="009E7B17" w:rsidRDefault="009E7B17" w:rsidP="009E7B17">
      <w:pPr>
        <w:keepNext/>
        <w:spacing w:before="120" w:after="120" w:line="280" w:lineRule="exact"/>
        <w:jc w:val="center"/>
        <w:rPr>
          <w:rFonts w:ascii="Verdana" w:hAnsi="Verdana"/>
          <w:b/>
          <w:sz w:val="20"/>
          <w:rPrChange w:id="337" w:author="Gabriel Lopes" w:date="2020-09-17T00:08:00Z">
            <w:rPr>
              <w:rFonts w:ascii="Verdana" w:hAnsi="Verdana"/>
              <w:sz w:val="20"/>
            </w:rPr>
          </w:rPrChange>
        </w:rPr>
        <w:pPrChange w:id="338" w:author="Gabriel Lopes" w:date="2020-09-17T00:08:00Z">
          <w:pPr>
            <w:pStyle w:val="PargrafodaLista"/>
            <w:tabs>
              <w:tab w:val="left" w:pos="1418"/>
            </w:tabs>
            <w:autoSpaceDE/>
            <w:autoSpaceDN/>
            <w:adjustRightInd/>
            <w:spacing w:before="120" w:after="120" w:line="280" w:lineRule="exact"/>
            <w:ind w:left="1418"/>
            <w:jc w:val="both"/>
          </w:pPr>
        </w:pPrChange>
      </w:pPr>
      <w:bookmarkStart w:id="339" w:name="_DV_M201"/>
      <w:bookmarkStart w:id="340" w:name="_DV_M419"/>
      <w:bookmarkStart w:id="341" w:name="_DV_M327"/>
      <w:bookmarkStart w:id="342" w:name="_DV_M328"/>
      <w:bookmarkStart w:id="343" w:name="_DV_M329"/>
      <w:bookmarkStart w:id="344" w:name="_DV_M330"/>
      <w:bookmarkStart w:id="345" w:name="_DV_M331"/>
      <w:bookmarkStart w:id="346" w:name="_DV_M332"/>
      <w:bookmarkEnd w:id="339"/>
      <w:bookmarkEnd w:id="340"/>
      <w:bookmarkEnd w:id="341"/>
      <w:bookmarkEnd w:id="342"/>
      <w:bookmarkEnd w:id="343"/>
      <w:bookmarkEnd w:id="344"/>
      <w:bookmarkEnd w:id="345"/>
      <w:bookmarkEnd w:id="346"/>
    </w:p>
    <w:p w14:paraId="751AA0D9" w14:textId="7F468310" w:rsidR="009E7B17" w:rsidRDefault="008E55E6" w:rsidP="009E7B17">
      <w:pPr>
        <w:keepNext/>
        <w:spacing w:before="120" w:after="120" w:line="280" w:lineRule="exact"/>
        <w:jc w:val="center"/>
        <w:rPr>
          <w:rFonts w:ascii="Verdana" w:hAnsi="Verdana" w:cs="Tahoma"/>
          <w:b/>
          <w:sz w:val="20"/>
          <w:szCs w:val="20"/>
        </w:rPr>
      </w:pPr>
      <w:r>
        <w:rPr>
          <w:rFonts w:ascii="Verdana" w:hAnsi="Verdana" w:cs="Tahoma"/>
          <w:b/>
          <w:sz w:val="20"/>
          <w:szCs w:val="20"/>
        </w:rPr>
        <w:t xml:space="preserve">CLÁUSULA </w:t>
      </w:r>
      <w:del w:id="347" w:author="Gabriel Lopes" w:date="2020-09-17T00:08:00Z">
        <w:r>
          <w:rPr>
            <w:rFonts w:ascii="Verdana" w:hAnsi="Verdana" w:cs="Tahoma"/>
            <w:b/>
            <w:sz w:val="20"/>
            <w:szCs w:val="20"/>
          </w:rPr>
          <w:delText>NONA</w:delText>
        </w:r>
      </w:del>
      <w:ins w:id="348" w:author="Gabriel Lopes" w:date="2020-09-17T00:08:00Z">
        <w:r w:rsidR="009E7B17">
          <w:rPr>
            <w:rFonts w:ascii="Verdana" w:hAnsi="Verdana" w:cs="Tahoma"/>
            <w:b/>
            <w:sz w:val="20"/>
            <w:szCs w:val="20"/>
          </w:rPr>
          <w:t>OITAVA</w:t>
        </w:r>
      </w:ins>
      <w:r>
        <w:rPr>
          <w:rFonts w:ascii="Verdana" w:hAnsi="Verdana" w:cs="Tahoma"/>
          <w:b/>
          <w:sz w:val="20"/>
          <w:szCs w:val="20"/>
        </w:rPr>
        <w:t xml:space="preserve"> – DISPOSIÇÕES GERAIS</w:t>
      </w:r>
    </w:p>
    <w:p w14:paraId="017D74EA" w14:textId="04E695D6" w:rsidR="009E7B17" w:rsidRDefault="009E7B17" w:rsidP="009E7B17">
      <w:pPr>
        <w:keepNext/>
        <w:spacing w:before="120" w:after="120" w:line="280" w:lineRule="exact"/>
        <w:jc w:val="both"/>
        <w:rPr>
          <w:rFonts w:ascii="Verdana" w:hAnsi="Verdana" w:cs="Tahoma"/>
          <w:b/>
          <w:sz w:val="20"/>
          <w:szCs w:val="20"/>
        </w:rPr>
        <w:pPrChange w:id="349" w:author="Gabriel Lopes" w:date="2020-09-17T00:08:00Z">
          <w:pPr>
            <w:pStyle w:val="PargrafodaLista"/>
            <w:keepNext/>
            <w:numPr>
              <w:ilvl w:val="1"/>
              <w:numId w:val="15"/>
            </w:numPr>
            <w:spacing w:before="120" w:after="120" w:line="280" w:lineRule="exact"/>
            <w:ind w:left="720" w:hanging="720"/>
          </w:pPr>
        </w:pPrChange>
      </w:pPr>
      <w:ins w:id="350" w:author="Gabriel Lopes" w:date="2020-09-17T00:08:00Z">
        <w:r>
          <w:rPr>
            <w:rFonts w:ascii="Verdana" w:hAnsi="Verdana" w:cs="Tahoma"/>
            <w:b/>
            <w:sz w:val="20"/>
            <w:szCs w:val="20"/>
          </w:rPr>
          <w:t xml:space="preserve">8.1. </w:t>
        </w:r>
      </w:ins>
      <w:r>
        <w:rPr>
          <w:rFonts w:ascii="Verdana" w:hAnsi="Verdana" w:cs="Tahoma"/>
          <w:b/>
          <w:sz w:val="20"/>
          <w:szCs w:val="20"/>
        </w:rPr>
        <w:t>Termos Definidos</w:t>
      </w:r>
    </w:p>
    <w:p w14:paraId="1D0EDF2D" w14:textId="4F1EEE41" w:rsidR="009E7B17" w:rsidRPr="009E7B17" w:rsidRDefault="009E7B17" w:rsidP="009E7B17">
      <w:pPr>
        <w:keepNext/>
        <w:spacing w:before="120" w:after="120" w:line="280" w:lineRule="exact"/>
        <w:jc w:val="both"/>
        <w:rPr>
          <w:rFonts w:ascii="Verdana" w:hAnsi="Verdana"/>
          <w:sz w:val="20"/>
          <w:rPrChange w:id="351" w:author="Gabriel Lopes" w:date="2020-09-17T00:08:00Z">
            <w:rPr>
              <w:rFonts w:ascii="Verdana" w:hAnsi="Verdana"/>
              <w:b/>
              <w:sz w:val="20"/>
            </w:rPr>
          </w:rPrChange>
        </w:rPr>
        <w:pPrChange w:id="352" w:author="Gabriel Lopes" w:date="2020-09-17T00:08:00Z">
          <w:pPr>
            <w:pStyle w:val="PargrafodaLista"/>
            <w:numPr>
              <w:ilvl w:val="2"/>
              <w:numId w:val="15"/>
            </w:numPr>
            <w:spacing w:before="120" w:after="120" w:line="280" w:lineRule="exact"/>
            <w:ind w:left="0"/>
            <w:jc w:val="both"/>
          </w:pPr>
        </w:pPrChange>
      </w:pPr>
      <w:ins w:id="353" w:author="Gabriel Lopes" w:date="2020-09-17T00:08:00Z">
        <w:r w:rsidRPr="009E7B17">
          <w:rPr>
            <w:rFonts w:ascii="Verdana" w:hAnsi="Verdana" w:cs="Tahoma"/>
            <w:bCs/>
            <w:sz w:val="20"/>
            <w:szCs w:val="20"/>
          </w:rPr>
          <w:t xml:space="preserve">8.1.1. </w:t>
        </w:r>
      </w:ins>
      <w:r>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del w:id="354" w:author="Gabriel Lopes" w:date="2020-09-17T00:08:00Z">
        <w:r w:rsidR="008E55E6">
          <w:rPr>
            <w:rFonts w:ascii="Verdana" w:hAnsi="Verdana" w:cs="Tahoma"/>
            <w:sz w:val="20"/>
            <w:szCs w:val="20"/>
          </w:rPr>
          <w:delText>.</w:delText>
        </w:r>
      </w:del>
    </w:p>
    <w:p w14:paraId="7208385E" w14:textId="3B4D01FD" w:rsidR="00EB5CDB" w:rsidRDefault="00EB5CDB">
      <w:pPr>
        <w:pStyle w:val="PargrafodaLista"/>
        <w:spacing w:before="120" w:after="120" w:line="280" w:lineRule="exact"/>
        <w:ind w:left="0"/>
        <w:jc w:val="both"/>
        <w:rPr>
          <w:rFonts w:ascii="Verdana" w:hAnsi="Verdana" w:cs="Tahoma"/>
          <w:b/>
          <w:sz w:val="20"/>
          <w:szCs w:val="20"/>
        </w:rPr>
      </w:pPr>
    </w:p>
    <w:p w14:paraId="2F0128F0" w14:textId="38D80D2F" w:rsidR="009E7B17" w:rsidRDefault="009E7B17" w:rsidP="009E7B17">
      <w:pPr>
        <w:keepNext/>
        <w:spacing w:before="120" w:after="120" w:line="280" w:lineRule="exact"/>
        <w:jc w:val="both"/>
        <w:rPr>
          <w:rFonts w:ascii="Verdana" w:hAnsi="Verdana" w:cs="Tahoma"/>
          <w:b/>
          <w:sz w:val="20"/>
          <w:szCs w:val="20"/>
        </w:rPr>
        <w:pPrChange w:id="355" w:author="Gabriel Lopes" w:date="2020-09-17T00:08:00Z">
          <w:pPr>
            <w:pStyle w:val="PargrafodaLista"/>
            <w:keepNext/>
            <w:numPr>
              <w:ilvl w:val="1"/>
              <w:numId w:val="15"/>
            </w:numPr>
            <w:spacing w:before="120" w:after="120" w:line="280" w:lineRule="exact"/>
            <w:ind w:left="720" w:hanging="720"/>
          </w:pPr>
        </w:pPrChange>
      </w:pPr>
      <w:ins w:id="356" w:author="Gabriel Lopes" w:date="2020-09-17T00:08:00Z">
        <w:r>
          <w:rPr>
            <w:rFonts w:ascii="Verdana" w:hAnsi="Verdana" w:cs="Tahoma"/>
            <w:b/>
            <w:sz w:val="20"/>
            <w:szCs w:val="20"/>
          </w:rPr>
          <w:t xml:space="preserve">8.2. </w:t>
        </w:r>
      </w:ins>
      <w:r>
        <w:rPr>
          <w:rFonts w:ascii="Verdana" w:hAnsi="Verdana" w:cs="Tahoma"/>
          <w:b/>
          <w:sz w:val="20"/>
          <w:szCs w:val="20"/>
        </w:rPr>
        <w:t>Renúncia</w:t>
      </w:r>
      <w:ins w:id="357" w:author="Gabriel Lopes" w:date="2020-09-17T00:08:00Z">
        <w:r>
          <w:rPr>
            <w:rFonts w:ascii="Verdana" w:hAnsi="Verdana" w:cs="Tahoma"/>
            <w:b/>
            <w:sz w:val="20"/>
            <w:szCs w:val="20"/>
          </w:rPr>
          <w:t xml:space="preserve"> </w:t>
        </w:r>
      </w:ins>
    </w:p>
    <w:p w14:paraId="5A8C5760" w14:textId="79DAD33B" w:rsidR="009E7B17" w:rsidRPr="009E7B17" w:rsidRDefault="009E7B17" w:rsidP="009E7B17">
      <w:pPr>
        <w:keepNext/>
        <w:spacing w:before="120" w:after="120" w:line="280" w:lineRule="exact"/>
        <w:jc w:val="both"/>
        <w:rPr>
          <w:rFonts w:ascii="Verdana" w:hAnsi="Verdana" w:cs="Tahoma"/>
          <w:bCs/>
          <w:sz w:val="20"/>
          <w:szCs w:val="20"/>
        </w:rPr>
        <w:pPrChange w:id="358" w:author="Gabriel Lopes" w:date="2020-09-17T00:08:00Z">
          <w:pPr>
            <w:pStyle w:val="PargrafodaLista"/>
            <w:numPr>
              <w:ilvl w:val="2"/>
              <w:numId w:val="15"/>
            </w:numPr>
            <w:spacing w:before="120" w:after="120" w:line="280" w:lineRule="exact"/>
            <w:ind w:left="0"/>
            <w:jc w:val="both"/>
          </w:pPr>
        </w:pPrChange>
      </w:pPr>
      <w:ins w:id="359" w:author="Gabriel Lopes" w:date="2020-09-17T00:08:00Z">
        <w:r w:rsidRPr="009E7B17">
          <w:rPr>
            <w:rFonts w:ascii="Verdana" w:hAnsi="Verdana" w:cs="Tahoma"/>
            <w:bCs/>
            <w:sz w:val="20"/>
            <w:szCs w:val="20"/>
          </w:rPr>
          <w:t>8.</w:t>
        </w:r>
        <w:r>
          <w:rPr>
            <w:rFonts w:ascii="Verdana" w:hAnsi="Verdana" w:cs="Tahoma"/>
            <w:bCs/>
            <w:sz w:val="20"/>
            <w:szCs w:val="20"/>
          </w:rPr>
          <w:t>2</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ins>
      <w:r>
        <w:rPr>
          <w:rFonts w:ascii="Verdana" w:hAnsi="Verdana" w:cs="Tahoma"/>
          <w:sz w:val="20"/>
          <w:szCs w:val="20"/>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ins w:id="360" w:author="Gabriel Lopes" w:date="2020-09-17T00:08:00Z">
        <w:r>
          <w:rPr>
            <w:rFonts w:ascii="Verdana" w:hAnsi="Verdana" w:cs="Tahoma"/>
            <w:sz w:val="20"/>
            <w:szCs w:val="20"/>
          </w:rPr>
          <w:t xml:space="preserve"> </w:t>
        </w:r>
      </w:ins>
    </w:p>
    <w:p w14:paraId="14522925" w14:textId="7A1BF05B" w:rsidR="009E7B17" w:rsidRDefault="009E7B17">
      <w:pPr>
        <w:pStyle w:val="PargrafodaLista"/>
        <w:spacing w:before="120" w:after="120" w:line="280" w:lineRule="exact"/>
        <w:ind w:left="0"/>
        <w:jc w:val="both"/>
        <w:rPr>
          <w:rFonts w:ascii="Verdana" w:hAnsi="Verdana"/>
          <w:b/>
          <w:sz w:val="20"/>
          <w:rPrChange w:id="361" w:author="Gabriel Lopes" w:date="2020-09-17T00:08:00Z">
            <w:rPr>
              <w:rFonts w:ascii="Verdana" w:hAnsi="Verdana"/>
              <w:sz w:val="20"/>
            </w:rPr>
          </w:rPrChange>
        </w:rPr>
      </w:pPr>
    </w:p>
    <w:p w14:paraId="46B315D3" w14:textId="1834213B" w:rsidR="009E7B17" w:rsidRDefault="009E7B17" w:rsidP="009E7B17">
      <w:pPr>
        <w:keepNext/>
        <w:spacing w:before="120" w:after="120" w:line="280" w:lineRule="exact"/>
        <w:jc w:val="both"/>
        <w:rPr>
          <w:rFonts w:ascii="Verdana" w:hAnsi="Verdana" w:cs="Tahoma"/>
          <w:b/>
          <w:sz w:val="20"/>
          <w:szCs w:val="20"/>
        </w:rPr>
        <w:pPrChange w:id="362" w:author="Gabriel Lopes" w:date="2020-09-17T00:08:00Z">
          <w:pPr>
            <w:pStyle w:val="PargrafodaLista"/>
            <w:keepNext/>
            <w:numPr>
              <w:ilvl w:val="1"/>
              <w:numId w:val="15"/>
            </w:numPr>
            <w:spacing w:before="120" w:after="120" w:line="280" w:lineRule="exact"/>
            <w:ind w:left="0"/>
            <w:jc w:val="both"/>
          </w:pPr>
        </w:pPrChange>
      </w:pPr>
      <w:ins w:id="363" w:author="Gabriel Lopes" w:date="2020-09-17T00:08:00Z">
        <w:r>
          <w:rPr>
            <w:rFonts w:ascii="Verdana" w:hAnsi="Verdana" w:cs="Tahoma"/>
            <w:b/>
            <w:sz w:val="20"/>
            <w:szCs w:val="20"/>
          </w:rPr>
          <w:t xml:space="preserve">8.3. </w:t>
        </w:r>
      </w:ins>
      <w:r>
        <w:rPr>
          <w:rFonts w:ascii="Verdana" w:hAnsi="Verdana" w:cs="Tahoma"/>
          <w:b/>
          <w:sz w:val="20"/>
          <w:szCs w:val="20"/>
        </w:rPr>
        <w:t>Alteração</w:t>
      </w:r>
    </w:p>
    <w:p w14:paraId="5F59076F" w14:textId="447B7CC5" w:rsidR="009E7B17" w:rsidRPr="009E7B17" w:rsidRDefault="009E7B17" w:rsidP="009E7B17">
      <w:pPr>
        <w:keepNext/>
        <w:spacing w:before="120" w:after="120" w:line="280" w:lineRule="exact"/>
        <w:jc w:val="both"/>
        <w:rPr>
          <w:rFonts w:ascii="Verdana" w:hAnsi="Verdana" w:cs="Tahoma"/>
          <w:bCs/>
          <w:sz w:val="20"/>
          <w:szCs w:val="20"/>
        </w:rPr>
        <w:pPrChange w:id="364" w:author="Gabriel Lopes" w:date="2020-09-17T00:08:00Z">
          <w:pPr>
            <w:numPr>
              <w:ilvl w:val="2"/>
              <w:numId w:val="15"/>
            </w:numPr>
            <w:spacing w:before="120" w:after="120" w:line="280" w:lineRule="exact"/>
            <w:jc w:val="both"/>
          </w:pPr>
        </w:pPrChange>
      </w:pPr>
      <w:ins w:id="365" w:author="Gabriel Lopes" w:date="2020-09-17T00:08:00Z">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ins>
      <w:r>
        <w:rPr>
          <w:rFonts w:ascii="Verdana" w:eastAsia="MS Mincho" w:hAnsi="Verdana" w:cs="Tahoma"/>
          <w:sz w:val="20"/>
          <w:szCs w:val="20"/>
        </w:rPr>
        <w:t>Qualquer alteração dos termos e condições das Debêntures somente será considerada válida se formalizada por escrito e assinada pela Emissora e pelo Agente Fiduciário</w:t>
      </w:r>
      <w:r>
        <w:rPr>
          <w:rFonts w:ascii="Verdana" w:hAnsi="Verdana" w:cs="Tahoma"/>
          <w:sz w:val="20"/>
          <w:szCs w:val="20"/>
        </w:rPr>
        <w:t>.</w:t>
      </w:r>
      <w:ins w:id="366" w:author="Gabriel Lopes" w:date="2020-09-17T00:08:00Z">
        <w:r>
          <w:rPr>
            <w:rFonts w:ascii="Verdana" w:hAnsi="Verdana" w:cs="Tahoma"/>
            <w:sz w:val="20"/>
            <w:szCs w:val="20"/>
          </w:rPr>
          <w:t xml:space="preserve"> </w:t>
        </w:r>
      </w:ins>
    </w:p>
    <w:p w14:paraId="5B435C97" w14:textId="6F82FCDE" w:rsidR="00EB5CDB" w:rsidRDefault="00EB5CDB">
      <w:pPr>
        <w:spacing w:before="120" w:after="120" w:line="280" w:lineRule="exact"/>
        <w:jc w:val="both"/>
        <w:rPr>
          <w:rFonts w:ascii="Verdana" w:eastAsia="MS Mincho" w:hAnsi="Verdana" w:cs="Tahoma"/>
          <w:sz w:val="20"/>
          <w:szCs w:val="20"/>
        </w:rPr>
      </w:pPr>
    </w:p>
    <w:p w14:paraId="557EA540" w14:textId="3512FDDD" w:rsidR="009E7B17" w:rsidRDefault="009E7B17" w:rsidP="009E7B17">
      <w:pPr>
        <w:keepNext/>
        <w:spacing w:before="120" w:after="120" w:line="280" w:lineRule="exact"/>
        <w:jc w:val="both"/>
        <w:rPr>
          <w:rFonts w:ascii="Verdana" w:hAnsi="Verdana" w:cs="Tahoma"/>
          <w:b/>
          <w:sz w:val="20"/>
          <w:szCs w:val="20"/>
        </w:rPr>
        <w:pPrChange w:id="367" w:author="Gabriel Lopes" w:date="2020-09-17T00:08:00Z">
          <w:pPr>
            <w:pStyle w:val="PargrafodaLista"/>
            <w:keepNext/>
            <w:numPr>
              <w:ilvl w:val="1"/>
              <w:numId w:val="15"/>
            </w:numPr>
            <w:spacing w:before="120" w:after="120" w:line="280" w:lineRule="exact"/>
            <w:ind w:left="0"/>
            <w:jc w:val="both"/>
          </w:pPr>
        </w:pPrChange>
      </w:pPr>
      <w:ins w:id="368" w:author="Gabriel Lopes" w:date="2020-09-17T00:08:00Z">
        <w:r>
          <w:rPr>
            <w:rFonts w:ascii="Verdana" w:hAnsi="Verdana" w:cs="Tahoma"/>
            <w:b/>
            <w:sz w:val="20"/>
            <w:szCs w:val="20"/>
          </w:rPr>
          <w:t xml:space="preserve">8.4. </w:t>
        </w:r>
      </w:ins>
      <w:r>
        <w:rPr>
          <w:rFonts w:ascii="Verdana" w:hAnsi="Verdana" w:cs="Tahoma"/>
          <w:b/>
          <w:sz w:val="20"/>
          <w:szCs w:val="20"/>
        </w:rPr>
        <w:t>Irrevogabilidade e Irretratabilidade</w:t>
      </w:r>
    </w:p>
    <w:p w14:paraId="76966874" w14:textId="3E01DFEE" w:rsidR="009E7B17" w:rsidRDefault="009E7B17" w:rsidP="009E7B17">
      <w:pPr>
        <w:keepNext/>
        <w:spacing w:before="120" w:after="120" w:line="280" w:lineRule="exact"/>
        <w:jc w:val="both"/>
        <w:rPr>
          <w:rFonts w:ascii="Verdana" w:eastAsia="MS Mincho" w:hAnsi="Verdana" w:cs="Tahoma"/>
          <w:sz w:val="20"/>
          <w:szCs w:val="20"/>
        </w:rPr>
        <w:pPrChange w:id="369" w:author="Gabriel Lopes" w:date="2020-09-17T00:08:00Z">
          <w:pPr>
            <w:numPr>
              <w:ilvl w:val="2"/>
              <w:numId w:val="15"/>
            </w:numPr>
            <w:spacing w:before="120" w:after="120" w:line="280" w:lineRule="exact"/>
            <w:jc w:val="both"/>
          </w:pPr>
        </w:pPrChange>
      </w:pPr>
      <w:ins w:id="370" w:author="Gabriel Lopes" w:date="2020-09-17T00:08:00Z">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ins>
      <w:r>
        <w:rPr>
          <w:rFonts w:ascii="Verdana" w:eastAsia="MS Mincho" w:hAnsi="Verdana" w:cs="Tahoma"/>
          <w:sz w:val="20"/>
          <w:szCs w:val="20"/>
        </w:rPr>
        <w:t xml:space="preserve">A presente Escritura de Emissão é firmada em caráter irrevogável e irretratável, obrigando as partes e seus sucessores a qualquer título. </w:t>
      </w:r>
    </w:p>
    <w:p w14:paraId="24960D47" w14:textId="22D87639" w:rsidR="009E7B17" w:rsidRDefault="009E7B17" w:rsidP="009E7B17">
      <w:pPr>
        <w:keepNext/>
        <w:spacing w:before="120" w:after="120" w:line="280" w:lineRule="exact"/>
        <w:jc w:val="both"/>
        <w:rPr>
          <w:rFonts w:ascii="Verdana" w:eastAsia="MS Mincho" w:hAnsi="Verdana" w:cs="Tahoma"/>
          <w:sz w:val="20"/>
          <w:szCs w:val="20"/>
        </w:rPr>
        <w:pPrChange w:id="371" w:author="Gabriel Lopes" w:date="2020-09-17T00:08:00Z">
          <w:pPr>
            <w:numPr>
              <w:ilvl w:val="2"/>
              <w:numId w:val="15"/>
            </w:numPr>
            <w:spacing w:before="120" w:after="120" w:line="280" w:lineRule="exact"/>
            <w:jc w:val="both"/>
          </w:pPr>
        </w:pPrChange>
      </w:pPr>
      <w:ins w:id="372" w:author="Gabriel Lopes" w:date="2020-09-17T00:08:00Z">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2</w:t>
        </w:r>
        <w:r w:rsidRPr="009E7B17">
          <w:rPr>
            <w:rFonts w:ascii="Verdana" w:hAnsi="Verdana" w:cs="Tahoma"/>
            <w:bCs/>
            <w:sz w:val="20"/>
            <w:szCs w:val="20"/>
          </w:rPr>
          <w:t xml:space="preserve"> </w:t>
        </w:r>
      </w:ins>
      <w:r>
        <w:rPr>
          <w:rFonts w:ascii="Verdana" w:eastAsia="MS Mincho" w:hAnsi="Verdana" w:cs="Tahoma"/>
          <w:sz w:val="20"/>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ins w:id="373" w:author="Gabriel Lopes" w:date="2020-09-17T00:08:00Z">
        <w:r>
          <w:rPr>
            <w:rFonts w:ascii="Verdana" w:eastAsia="MS Mincho" w:hAnsi="Verdana" w:cs="Tahoma"/>
            <w:sz w:val="20"/>
            <w:szCs w:val="20"/>
          </w:rPr>
          <w:t xml:space="preserve"> </w:t>
        </w:r>
      </w:ins>
    </w:p>
    <w:p w14:paraId="7C219924" w14:textId="175BD42D" w:rsidR="009E7B17" w:rsidRDefault="009E7B17" w:rsidP="009E7B17">
      <w:pPr>
        <w:keepNext/>
        <w:spacing w:before="120" w:after="120" w:line="280" w:lineRule="exact"/>
        <w:jc w:val="both"/>
        <w:rPr>
          <w:rFonts w:ascii="Verdana" w:eastAsia="MS Mincho" w:hAnsi="Verdana" w:cs="Tahoma"/>
          <w:sz w:val="20"/>
          <w:szCs w:val="20"/>
        </w:rPr>
        <w:pPrChange w:id="374" w:author="Gabriel Lopes" w:date="2020-09-17T00:08:00Z">
          <w:pPr>
            <w:numPr>
              <w:ilvl w:val="2"/>
              <w:numId w:val="15"/>
            </w:numPr>
            <w:spacing w:before="120" w:after="120" w:line="280" w:lineRule="exact"/>
            <w:jc w:val="both"/>
          </w:pPr>
        </w:pPrChange>
      </w:pPr>
      <w:ins w:id="375" w:author="Gabriel Lopes" w:date="2020-09-17T00:08:00Z">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4</w:t>
        </w:r>
        <w:r w:rsidRPr="009E7B17">
          <w:rPr>
            <w:rFonts w:ascii="Verdana" w:hAnsi="Verdana" w:cs="Tahoma"/>
            <w:bCs/>
            <w:sz w:val="20"/>
            <w:szCs w:val="20"/>
          </w:rPr>
          <w:t>.</w:t>
        </w:r>
        <w:r>
          <w:rPr>
            <w:rFonts w:ascii="Verdana" w:hAnsi="Verdana" w:cs="Tahoma"/>
            <w:bCs/>
            <w:sz w:val="20"/>
            <w:szCs w:val="20"/>
          </w:rPr>
          <w:t>3</w:t>
        </w:r>
        <w:r w:rsidRPr="009E7B17">
          <w:rPr>
            <w:rFonts w:ascii="Verdana" w:hAnsi="Verdana" w:cs="Tahoma"/>
            <w:bCs/>
            <w:sz w:val="20"/>
            <w:szCs w:val="20"/>
          </w:rPr>
          <w:t xml:space="preserve"> </w:t>
        </w:r>
      </w:ins>
      <w:r>
        <w:rPr>
          <w:rFonts w:ascii="Verdana" w:eastAsia="MS Mincho" w:hAnsi="Verdana" w:cs="Tahoma"/>
          <w:sz w:val="20"/>
          <w:szCs w:val="20"/>
        </w:rPr>
        <w:t xml:space="preserve">As Partes concordam que a presente Escritura de Emissão poderá ser alterada, sem a necessidade de qualquer aprovação dos Debenturistas, sempre que e somente </w:t>
      </w:r>
      <w:r>
        <w:rPr>
          <w:rFonts w:ascii="Verdana" w:eastAsia="MS Mincho" w:hAnsi="Verdana" w:cs="Tahoma"/>
          <w:b/>
          <w:sz w:val="20"/>
          <w:szCs w:val="20"/>
        </w:rPr>
        <w:t>(i)</w:t>
      </w:r>
      <w:r>
        <w:rPr>
          <w:rFonts w:ascii="Verdana" w:eastAsia="MS Mincho" w:hAnsi="Verdana" w:cs="Tahoma"/>
          <w:sz w:val="20"/>
          <w:szCs w:val="20"/>
        </w:rPr>
        <w:t xml:space="preserve"> quando verificado erro material, seja ele um erro grosseiro, de digitação ou aritmético, </w:t>
      </w:r>
      <w:r>
        <w:rPr>
          <w:rFonts w:ascii="Verdana" w:eastAsia="MS Mincho" w:hAnsi="Verdana" w:cs="Tahoma"/>
          <w:b/>
          <w:sz w:val="20"/>
          <w:szCs w:val="20"/>
        </w:rPr>
        <w:t>(ii)</w:t>
      </w:r>
      <w:r>
        <w:rPr>
          <w:rFonts w:ascii="Verdana" w:eastAsia="MS Mincho"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Pr>
          <w:rFonts w:ascii="Verdana" w:eastAsia="MS Mincho" w:hAnsi="Verdana" w:cs="Tahoma"/>
          <w:b/>
          <w:sz w:val="20"/>
          <w:szCs w:val="20"/>
        </w:rPr>
        <w:t>(iii)</w:t>
      </w:r>
      <w:r>
        <w:rPr>
          <w:rFonts w:ascii="Verdana" w:eastAsia="MS Mincho" w:hAnsi="Verdana" w:cs="Tahoma"/>
          <w:sz w:val="20"/>
          <w:szCs w:val="20"/>
        </w:rPr>
        <w:t xml:space="preserve"> no que diz respeito ao Anexo II da presente Escritura de Emissão, na hipótese do item </w:t>
      </w:r>
      <w:r>
        <w:rPr>
          <w:rFonts w:ascii="Verdana" w:eastAsia="MS Mincho" w:hAnsi="Verdana" w:cs="Tahoma"/>
          <w:sz w:val="20"/>
          <w:szCs w:val="20"/>
        </w:rPr>
        <w:fldChar w:fldCharType="begin"/>
      </w:r>
      <w:r>
        <w:rPr>
          <w:rFonts w:ascii="Verdana" w:eastAsia="MS Mincho" w:hAnsi="Verdana" w:cs="Tahoma"/>
          <w:sz w:val="20"/>
          <w:szCs w:val="20"/>
        </w:rPr>
        <w:instrText xml:space="preserve"> REF _Ref454963206 \r \p \h  \* MERGEFORMAT </w:instrText>
      </w:r>
      <w:r>
        <w:rPr>
          <w:rFonts w:ascii="Verdana" w:eastAsia="MS Mincho" w:hAnsi="Verdana" w:cs="Tahoma"/>
          <w:sz w:val="20"/>
          <w:szCs w:val="20"/>
        </w:rPr>
      </w:r>
      <w:r>
        <w:rPr>
          <w:rFonts w:ascii="Verdana" w:eastAsia="MS Mincho" w:hAnsi="Verdana" w:cs="Tahoma"/>
          <w:sz w:val="20"/>
          <w:szCs w:val="20"/>
        </w:rPr>
        <w:fldChar w:fldCharType="separate"/>
      </w:r>
      <w:r>
        <w:rPr>
          <w:rFonts w:ascii="Verdana" w:eastAsia="MS Mincho" w:hAnsi="Verdana" w:cs="Tahoma"/>
          <w:sz w:val="20"/>
          <w:szCs w:val="20"/>
        </w:rPr>
        <w:t>3.6.2 acima</w:t>
      </w:r>
      <w:r>
        <w:rPr>
          <w:rFonts w:ascii="Verdana" w:eastAsia="MS Mincho" w:hAnsi="Verdana" w:cs="Tahoma"/>
          <w:sz w:val="20"/>
          <w:szCs w:val="20"/>
        </w:rPr>
        <w:fldChar w:fldCharType="end"/>
      </w:r>
      <w:r>
        <w:rPr>
          <w:rFonts w:ascii="Verdana" w:eastAsia="MS Mincho" w:hAnsi="Verdana" w:cs="Tahoma"/>
          <w:sz w:val="20"/>
          <w:szCs w:val="20"/>
        </w:rPr>
        <w:t>.</w:t>
      </w:r>
      <w:ins w:id="376" w:author="Gabriel Lopes" w:date="2020-09-17T00:08:00Z">
        <w:r>
          <w:rPr>
            <w:rFonts w:ascii="Verdana" w:eastAsia="MS Mincho" w:hAnsi="Verdana" w:cs="Tahoma"/>
            <w:sz w:val="20"/>
            <w:szCs w:val="20"/>
          </w:rPr>
          <w:t xml:space="preserve"> </w:t>
        </w:r>
      </w:ins>
    </w:p>
    <w:p w14:paraId="59CD2BB4" w14:textId="77777777" w:rsidR="009E7B17" w:rsidRPr="009E7B17" w:rsidRDefault="009E7B17" w:rsidP="009E7B17">
      <w:pPr>
        <w:keepNext/>
        <w:spacing w:before="120" w:after="120" w:line="280" w:lineRule="exact"/>
        <w:jc w:val="both"/>
        <w:rPr>
          <w:rFonts w:ascii="Verdana" w:hAnsi="Verdana" w:cs="Tahoma"/>
          <w:bCs/>
          <w:sz w:val="20"/>
          <w:szCs w:val="20"/>
        </w:rPr>
        <w:pPrChange w:id="377" w:author="Gabriel Lopes" w:date="2020-09-17T00:08:00Z">
          <w:pPr>
            <w:spacing w:before="120" w:after="120" w:line="280" w:lineRule="exact"/>
            <w:jc w:val="both"/>
          </w:pPr>
        </w:pPrChange>
      </w:pPr>
    </w:p>
    <w:p w14:paraId="6441C242" w14:textId="3E13FAC1" w:rsidR="00706073" w:rsidRDefault="00706073" w:rsidP="00706073">
      <w:pPr>
        <w:keepNext/>
        <w:spacing w:before="120" w:after="120" w:line="280" w:lineRule="exact"/>
        <w:jc w:val="both"/>
        <w:rPr>
          <w:rFonts w:ascii="Verdana" w:hAnsi="Verdana" w:cs="Tahoma"/>
          <w:b/>
          <w:sz w:val="20"/>
          <w:szCs w:val="20"/>
        </w:rPr>
        <w:pPrChange w:id="378" w:author="Gabriel Lopes" w:date="2020-09-17T00:08:00Z">
          <w:pPr>
            <w:pStyle w:val="PargrafodaLista"/>
            <w:keepNext/>
            <w:numPr>
              <w:ilvl w:val="1"/>
              <w:numId w:val="15"/>
            </w:numPr>
            <w:spacing w:before="120" w:after="120" w:line="280" w:lineRule="exact"/>
            <w:ind w:left="0"/>
            <w:jc w:val="both"/>
          </w:pPr>
        </w:pPrChange>
      </w:pPr>
      <w:ins w:id="379" w:author="Gabriel Lopes" w:date="2020-09-17T00:08:00Z">
        <w:r>
          <w:rPr>
            <w:rFonts w:ascii="Verdana" w:hAnsi="Verdana" w:cs="Tahoma"/>
            <w:b/>
            <w:sz w:val="20"/>
            <w:szCs w:val="20"/>
          </w:rPr>
          <w:t xml:space="preserve">8.5. </w:t>
        </w:r>
      </w:ins>
      <w:r>
        <w:rPr>
          <w:rFonts w:ascii="Verdana" w:hAnsi="Verdana" w:cs="Tahoma"/>
          <w:b/>
          <w:sz w:val="20"/>
          <w:szCs w:val="20"/>
        </w:rPr>
        <w:t>Cessão de Título</w:t>
      </w:r>
    </w:p>
    <w:p w14:paraId="49C659D5" w14:textId="70A70DC0" w:rsidR="00706073" w:rsidRDefault="008E55E6" w:rsidP="00706073">
      <w:pPr>
        <w:keepNext/>
        <w:spacing w:before="120" w:after="120" w:line="280" w:lineRule="exact"/>
        <w:jc w:val="both"/>
        <w:rPr>
          <w:rFonts w:ascii="Verdana" w:eastAsia="MS Mincho" w:hAnsi="Verdana" w:cs="Tahoma"/>
          <w:sz w:val="20"/>
          <w:szCs w:val="20"/>
        </w:rPr>
        <w:pPrChange w:id="380" w:author="Gabriel Lopes" w:date="2020-09-17T00:08:00Z">
          <w:pPr>
            <w:numPr>
              <w:ilvl w:val="2"/>
              <w:numId w:val="15"/>
            </w:numPr>
            <w:spacing w:before="120" w:after="120" w:line="280" w:lineRule="exact"/>
            <w:jc w:val="both"/>
          </w:pPr>
        </w:pPrChange>
      </w:pPr>
      <w:del w:id="381" w:author="Gabriel Lopes" w:date="2020-09-17T00:08:00Z">
        <w:r>
          <w:rPr>
            <w:rFonts w:ascii="Verdana" w:eastAsia="MS Mincho" w:hAnsi="Verdana" w:cs="Tahoma"/>
            <w:sz w:val="20"/>
            <w:szCs w:val="20"/>
          </w:rPr>
          <w:delText>A</w:delText>
        </w:r>
      </w:del>
      <w:ins w:id="382" w:author="Gabriel Lopes" w:date="2020-09-17T00:08:00Z">
        <w:r w:rsidR="00706073">
          <w:rPr>
            <w:rFonts w:ascii="Verdana" w:hAnsi="Verdana" w:cs="Tahoma"/>
            <w:bCs/>
            <w:sz w:val="20"/>
            <w:szCs w:val="20"/>
          </w:rPr>
          <w:t>8</w:t>
        </w:r>
        <w:r w:rsidR="00706073" w:rsidRPr="009E7B17">
          <w:rPr>
            <w:rFonts w:ascii="Verdana" w:hAnsi="Verdana" w:cs="Tahoma"/>
            <w:bCs/>
            <w:sz w:val="20"/>
            <w:szCs w:val="20"/>
          </w:rPr>
          <w:t>.</w:t>
        </w:r>
        <w:r w:rsidR="00706073">
          <w:rPr>
            <w:rFonts w:ascii="Verdana" w:hAnsi="Verdana" w:cs="Tahoma"/>
            <w:bCs/>
            <w:sz w:val="20"/>
            <w:szCs w:val="20"/>
          </w:rPr>
          <w:t>5</w:t>
        </w:r>
        <w:r w:rsidR="00706073" w:rsidRPr="009E7B17">
          <w:rPr>
            <w:rFonts w:ascii="Verdana" w:hAnsi="Verdana" w:cs="Tahoma"/>
            <w:bCs/>
            <w:sz w:val="20"/>
            <w:szCs w:val="20"/>
          </w:rPr>
          <w:t>.</w:t>
        </w:r>
        <w:r w:rsidR="00706073">
          <w:rPr>
            <w:rFonts w:ascii="Verdana" w:hAnsi="Verdana" w:cs="Tahoma"/>
            <w:bCs/>
            <w:sz w:val="20"/>
            <w:szCs w:val="20"/>
          </w:rPr>
          <w:t>1</w:t>
        </w:r>
      </w:ins>
      <w:r w:rsidR="00706073" w:rsidRPr="009E7B17">
        <w:rPr>
          <w:rFonts w:ascii="Verdana" w:hAnsi="Verdana" w:cs="Tahoma"/>
          <w:bCs/>
          <w:sz w:val="20"/>
          <w:szCs w:val="20"/>
        </w:rPr>
        <w:t xml:space="preserve"> </w:t>
      </w:r>
      <w:r w:rsidR="00706073">
        <w:rPr>
          <w:rFonts w:ascii="Verdana" w:eastAsia="MS Mincho" w:hAnsi="Verdana" w:cs="Tahoma"/>
          <w:sz w:val="20"/>
          <w:szCs w:val="20"/>
        </w:rPr>
        <w:t xml:space="preserve">Emissora não poderá, sem a expressa anuência dos Debenturistas, transferir, a qualquer título, qualquer obrigação relacionada às Debêntures, nos termos do subitem </w:t>
      </w:r>
      <w:r w:rsidR="00706073">
        <w:rPr>
          <w:rFonts w:ascii="Verdana" w:eastAsia="MS Mincho" w:hAnsi="Verdana" w:cs="Tahoma"/>
          <w:sz w:val="20"/>
          <w:szCs w:val="20"/>
        </w:rPr>
        <w:fldChar w:fldCharType="begin"/>
      </w:r>
      <w:r w:rsidR="00706073">
        <w:rPr>
          <w:rFonts w:ascii="Verdana" w:eastAsia="MS Mincho" w:hAnsi="Verdana" w:cs="Tahoma"/>
          <w:sz w:val="20"/>
          <w:szCs w:val="20"/>
        </w:rPr>
        <w:instrText xml:space="preserve"> REF _Ref422392229 \r \h  \* MERGEFORMAT </w:instrText>
      </w:r>
      <w:r w:rsidR="00706073">
        <w:rPr>
          <w:rFonts w:ascii="Verdana" w:eastAsia="MS Mincho" w:hAnsi="Verdana" w:cs="Tahoma"/>
          <w:sz w:val="20"/>
          <w:szCs w:val="20"/>
        </w:rPr>
      </w:r>
      <w:r w:rsidR="00706073">
        <w:rPr>
          <w:rFonts w:ascii="Verdana" w:eastAsia="MS Mincho" w:hAnsi="Verdana" w:cs="Tahoma"/>
          <w:sz w:val="20"/>
          <w:szCs w:val="20"/>
        </w:rPr>
        <w:fldChar w:fldCharType="separate"/>
      </w:r>
      <w:r w:rsidR="00706073">
        <w:rPr>
          <w:rFonts w:ascii="Verdana" w:eastAsia="MS Mincho" w:hAnsi="Verdana" w:cs="Tahoma"/>
          <w:sz w:val="20"/>
          <w:szCs w:val="20"/>
        </w:rPr>
        <w:t>(viii)</w:t>
      </w:r>
      <w:r w:rsidR="00706073">
        <w:rPr>
          <w:rFonts w:ascii="Verdana" w:eastAsia="MS Mincho" w:hAnsi="Verdana" w:cs="Tahoma"/>
          <w:sz w:val="20"/>
          <w:szCs w:val="20"/>
        </w:rPr>
        <w:fldChar w:fldCharType="end"/>
      </w:r>
      <w:r w:rsidR="00706073">
        <w:rPr>
          <w:rFonts w:ascii="Verdana" w:eastAsia="MS Mincho" w:hAnsi="Verdana" w:cs="Tahoma"/>
          <w:sz w:val="20"/>
          <w:szCs w:val="20"/>
        </w:rPr>
        <w:t xml:space="preserve"> item </w:t>
      </w:r>
      <w:r w:rsidR="00706073">
        <w:rPr>
          <w:rFonts w:ascii="Verdana" w:eastAsia="MS Mincho" w:hAnsi="Verdana" w:cs="Tahoma"/>
          <w:sz w:val="20"/>
          <w:szCs w:val="20"/>
        </w:rPr>
        <w:fldChar w:fldCharType="begin"/>
      </w:r>
      <w:r w:rsidR="00706073">
        <w:rPr>
          <w:rFonts w:ascii="Verdana" w:eastAsia="MS Mincho" w:hAnsi="Verdana" w:cs="Tahoma"/>
          <w:sz w:val="20"/>
          <w:szCs w:val="20"/>
        </w:rPr>
        <w:instrText xml:space="preserve"> REF _Ref422391983 \r \p \h  \* MERGEFORMAT </w:instrText>
      </w:r>
      <w:r w:rsidR="00706073">
        <w:rPr>
          <w:rFonts w:ascii="Verdana" w:eastAsia="MS Mincho" w:hAnsi="Verdana" w:cs="Tahoma"/>
          <w:sz w:val="20"/>
          <w:szCs w:val="20"/>
        </w:rPr>
      </w:r>
      <w:r w:rsidR="00706073">
        <w:rPr>
          <w:rFonts w:ascii="Verdana" w:eastAsia="MS Mincho" w:hAnsi="Verdana" w:cs="Tahoma"/>
          <w:sz w:val="20"/>
          <w:szCs w:val="20"/>
        </w:rPr>
        <w:fldChar w:fldCharType="separate"/>
      </w:r>
      <w:r w:rsidR="00706073">
        <w:rPr>
          <w:rFonts w:ascii="Verdana" w:eastAsia="MS Mincho" w:hAnsi="Verdana" w:cs="Tahoma"/>
          <w:sz w:val="20"/>
          <w:szCs w:val="20"/>
        </w:rPr>
        <w:t>3.29.1 acima</w:t>
      </w:r>
      <w:r w:rsidR="00706073">
        <w:rPr>
          <w:rFonts w:ascii="Verdana" w:eastAsia="MS Mincho" w:hAnsi="Verdana" w:cs="Tahoma"/>
          <w:sz w:val="20"/>
          <w:szCs w:val="20"/>
        </w:rPr>
        <w:fldChar w:fldCharType="end"/>
      </w:r>
      <w:r w:rsidR="00706073">
        <w:rPr>
          <w:rFonts w:ascii="Verdana" w:eastAsia="MS Mincho"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F2BC35E" w14:textId="06548F69" w:rsidR="009E7B17" w:rsidRDefault="009E7B17">
      <w:pPr>
        <w:spacing w:before="120" w:after="120" w:line="280" w:lineRule="exact"/>
        <w:jc w:val="both"/>
        <w:rPr>
          <w:rFonts w:ascii="Verdana" w:eastAsia="MS Mincho" w:hAnsi="Verdana" w:cs="Tahoma"/>
          <w:sz w:val="20"/>
          <w:szCs w:val="20"/>
        </w:rPr>
      </w:pPr>
    </w:p>
    <w:p w14:paraId="45AD8B21" w14:textId="240AE606" w:rsidR="00706073" w:rsidRDefault="00706073" w:rsidP="00706073">
      <w:pPr>
        <w:keepNext/>
        <w:spacing w:before="120" w:after="120" w:line="280" w:lineRule="exact"/>
        <w:jc w:val="both"/>
        <w:rPr>
          <w:rFonts w:ascii="Verdana" w:hAnsi="Verdana" w:cs="Tahoma"/>
          <w:b/>
          <w:sz w:val="20"/>
          <w:szCs w:val="20"/>
        </w:rPr>
        <w:pPrChange w:id="383" w:author="Gabriel Lopes" w:date="2020-09-17T00:08:00Z">
          <w:pPr>
            <w:pStyle w:val="PargrafodaLista"/>
            <w:keepNext/>
            <w:numPr>
              <w:ilvl w:val="1"/>
              <w:numId w:val="15"/>
            </w:numPr>
            <w:spacing w:before="120" w:after="120" w:line="280" w:lineRule="exact"/>
            <w:ind w:left="0"/>
            <w:jc w:val="both"/>
          </w:pPr>
        </w:pPrChange>
      </w:pPr>
      <w:ins w:id="384" w:author="Gabriel Lopes" w:date="2020-09-17T00:08:00Z">
        <w:r>
          <w:rPr>
            <w:rFonts w:ascii="Verdana" w:hAnsi="Verdana" w:cs="Tahoma"/>
            <w:b/>
            <w:sz w:val="20"/>
            <w:szCs w:val="20"/>
          </w:rPr>
          <w:t xml:space="preserve">8.6. </w:t>
        </w:r>
      </w:ins>
      <w:r>
        <w:rPr>
          <w:rFonts w:ascii="Verdana" w:hAnsi="Verdana" w:cs="Tahoma"/>
          <w:b/>
          <w:sz w:val="20"/>
          <w:szCs w:val="20"/>
        </w:rPr>
        <w:t>Título Executivo</w:t>
      </w:r>
    </w:p>
    <w:p w14:paraId="2DBF4FA0" w14:textId="540ADEF7" w:rsidR="00706073" w:rsidRDefault="00706073" w:rsidP="00706073">
      <w:pPr>
        <w:keepNext/>
        <w:spacing w:before="120" w:after="120" w:line="280" w:lineRule="exact"/>
        <w:jc w:val="both"/>
        <w:rPr>
          <w:rFonts w:ascii="Verdana" w:eastAsia="MS Mincho" w:hAnsi="Verdana" w:cs="Tahoma"/>
          <w:sz w:val="20"/>
          <w:szCs w:val="20"/>
        </w:rPr>
        <w:pPrChange w:id="385" w:author="Gabriel Lopes" w:date="2020-09-17T00:08:00Z">
          <w:pPr>
            <w:numPr>
              <w:ilvl w:val="2"/>
              <w:numId w:val="15"/>
            </w:numPr>
            <w:spacing w:before="120" w:after="120" w:line="280" w:lineRule="exact"/>
            <w:jc w:val="both"/>
          </w:pPr>
        </w:pPrChange>
      </w:pPr>
      <w:ins w:id="386" w:author="Gabriel Lopes" w:date="2020-09-17T00:08:00Z">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6</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ins>
      <w:r>
        <w:rPr>
          <w:rFonts w:ascii="Verdana" w:eastAsia="MS Mincho" w:hAnsi="Verdana" w:cs="Tahoma"/>
          <w:sz w:val="20"/>
          <w:szCs w:val="20"/>
        </w:rPr>
        <w:t>A 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w:t>
      </w:r>
      <w:ins w:id="387" w:author="Gabriel Lopes" w:date="2020-09-17T00:08:00Z">
        <w:r>
          <w:rPr>
            <w:rFonts w:ascii="Verdana" w:eastAsia="MS Mincho" w:hAnsi="Verdana" w:cs="Tahoma"/>
            <w:sz w:val="20"/>
            <w:szCs w:val="20"/>
          </w:rPr>
          <w:t xml:space="preserve"> </w:t>
        </w:r>
      </w:ins>
    </w:p>
    <w:p w14:paraId="07FF0CE1" w14:textId="77777777" w:rsidR="00EB5CDB" w:rsidRDefault="00EB5CDB">
      <w:pPr>
        <w:spacing w:before="120" w:after="120" w:line="280" w:lineRule="exact"/>
        <w:jc w:val="both"/>
        <w:rPr>
          <w:rFonts w:ascii="Verdana" w:eastAsia="MS Mincho" w:hAnsi="Verdana" w:cs="Tahoma"/>
          <w:sz w:val="20"/>
          <w:szCs w:val="20"/>
        </w:rPr>
      </w:pPr>
    </w:p>
    <w:p w14:paraId="53C76C4B" w14:textId="77777777" w:rsidR="00EB5CDB" w:rsidRDefault="008E55E6">
      <w:pPr>
        <w:pStyle w:val="PargrafodaLista"/>
        <w:keepNext/>
        <w:numPr>
          <w:ilvl w:val="1"/>
          <w:numId w:val="15"/>
        </w:numPr>
        <w:spacing w:before="120" w:after="120" w:line="280" w:lineRule="exact"/>
        <w:ind w:left="0" w:firstLine="0"/>
        <w:jc w:val="both"/>
        <w:rPr>
          <w:del w:id="388" w:author="Gabriel Lopes" w:date="2020-09-17T00:08:00Z"/>
          <w:rFonts w:ascii="Verdana" w:hAnsi="Verdana" w:cs="Tahoma"/>
          <w:b/>
          <w:sz w:val="20"/>
          <w:szCs w:val="20"/>
        </w:rPr>
      </w:pPr>
      <w:del w:id="389" w:author="Gabriel Lopes" w:date="2020-09-17T00:08:00Z">
        <w:r>
          <w:rPr>
            <w:rFonts w:ascii="Verdana" w:hAnsi="Verdana" w:cs="Tahoma"/>
            <w:b/>
            <w:sz w:val="20"/>
            <w:szCs w:val="20"/>
          </w:rPr>
          <w:delText>Custos de Registro</w:delText>
        </w:r>
      </w:del>
    </w:p>
    <w:p w14:paraId="249268AB" w14:textId="77777777" w:rsidR="00EB5CDB" w:rsidRDefault="008E55E6">
      <w:pPr>
        <w:numPr>
          <w:ilvl w:val="2"/>
          <w:numId w:val="15"/>
        </w:numPr>
        <w:spacing w:before="120" w:after="120" w:line="280" w:lineRule="exact"/>
        <w:ind w:left="0" w:firstLine="0"/>
        <w:jc w:val="both"/>
        <w:rPr>
          <w:del w:id="390" w:author="Gabriel Lopes" w:date="2020-09-17T00:08:00Z"/>
          <w:rFonts w:ascii="Verdana" w:eastAsia="MS Mincho" w:hAnsi="Verdana" w:cs="Tahoma"/>
          <w:sz w:val="20"/>
          <w:szCs w:val="20"/>
        </w:rPr>
      </w:pPr>
      <w:del w:id="391" w:author="Gabriel Lopes" w:date="2020-09-17T00:08:00Z">
        <w:r>
          <w:rPr>
            <w:rFonts w:ascii="Verdana" w:eastAsia="MS Mincho" w:hAnsi="Verdana" w:cs="Tahoma"/>
            <w:sz w:val="20"/>
            <w:szCs w:val="20"/>
          </w:rPr>
          <w:delText>Todos e quaisquer custos incorridos em razão do registro, inscrição e/ou arquivamento, conforme o caso, desta Escritura de Emissão e seus eventuais aditamentos, bem como dos atos societários relacionados a essa Emissão, serão de responsabilidade exclusiva da Emissora.</w:delText>
        </w:r>
      </w:del>
    </w:p>
    <w:p w14:paraId="1FC61F6C" w14:textId="77777777" w:rsidR="00EB5CDB" w:rsidRDefault="00EB5CDB">
      <w:pPr>
        <w:spacing w:before="120" w:after="120" w:line="280" w:lineRule="exact"/>
        <w:jc w:val="both"/>
        <w:rPr>
          <w:del w:id="392" w:author="Gabriel Lopes" w:date="2020-09-17T00:08:00Z"/>
          <w:rFonts w:ascii="Verdana" w:eastAsia="MS Mincho" w:hAnsi="Verdana" w:cs="Tahoma"/>
          <w:sz w:val="20"/>
          <w:szCs w:val="20"/>
        </w:rPr>
      </w:pPr>
    </w:p>
    <w:p w14:paraId="2D902F51" w14:textId="158D3194" w:rsidR="00706073" w:rsidRDefault="00706073" w:rsidP="00706073">
      <w:pPr>
        <w:keepNext/>
        <w:spacing w:before="120" w:after="120" w:line="280" w:lineRule="exact"/>
        <w:jc w:val="both"/>
        <w:rPr>
          <w:rFonts w:ascii="Verdana" w:hAnsi="Verdana" w:cs="Tahoma"/>
          <w:b/>
          <w:sz w:val="20"/>
          <w:szCs w:val="20"/>
        </w:rPr>
        <w:pPrChange w:id="393" w:author="Gabriel Lopes" w:date="2020-09-17T00:08:00Z">
          <w:pPr>
            <w:pStyle w:val="PargrafodaLista"/>
            <w:keepNext/>
            <w:numPr>
              <w:ilvl w:val="1"/>
              <w:numId w:val="15"/>
            </w:numPr>
            <w:spacing w:before="120" w:after="120" w:line="280" w:lineRule="exact"/>
            <w:ind w:left="0"/>
            <w:jc w:val="both"/>
          </w:pPr>
        </w:pPrChange>
      </w:pPr>
      <w:ins w:id="394" w:author="Gabriel Lopes" w:date="2020-09-17T00:08:00Z">
        <w:r>
          <w:rPr>
            <w:rFonts w:ascii="Verdana" w:hAnsi="Verdana" w:cs="Tahoma"/>
            <w:b/>
            <w:sz w:val="20"/>
            <w:szCs w:val="20"/>
          </w:rPr>
          <w:t xml:space="preserve">8.7. </w:t>
        </w:r>
      </w:ins>
      <w:r>
        <w:rPr>
          <w:rFonts w:ascii="Verdana" w:hAnsi="Verdana" w:cs="Tahoma"/>
          <w:b/>
          <w:sz w:val="20"/>
          <w:szCs w:val="20"/>
        </w:rPr>
        <w:t>Lei de Regência</w:t>
      </w:r>
    </w:p>
    <w:p w14:paraId="0F73F585" w14:textId="489E5970" w:rsidR="00706073" w:rsidRDefault="00706073" w:rsidP="00706073">
      <w:pPr>
        <w:keepNext/>
        <w:spacing w:before="120" w:after="120" w:line="280" w:lineRule="exact"/>
        <w:jc w:val="both"/>
        <w:rPr>
          <w:rFonts w:ascii="Verdana" w:eastAsia="MS Mincho" w:hAnsi="Verdana" w:cs="Tahoma"/>
          <w:sz w:val="20"/>
          <w:szCs w:val="20"/>
        </w:rPr>
        <w:pPrChange w:id="395" w:author="Gabriel Lopes" w:date="2020-09-17T00:08:00Z">
          <w:pPr>
            <w:numPr>
              <w:ilvl w:val="2"/>
              <w:numId w:val="15"/>
            </w:numPr>
            <w:spacing w:before="120" w:after="120" w:line="280" w:lineRule="exact"/>
            <w:jc w:val="both"/>
          </w:pPr>
        </w:pPrChange>
      </w:pPr>
      <w:ins w:id="396" w:author="Gabriel Lopes" w:date="2020-09-17T00:08:00Z">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7</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ins>
      <w:r>
        <w:rPr>
          <w:rFonts w:ascii="Verdana" w:eastAsia="MS Mincho" w:hAnsi="Verdana" w:cs="Tahoma"/>
          <w:sz w:val="20"/>
          <w:szCs w:val="20"/>
        </w:rPr>
        <w:t>Esta Escritura de Emissão deverá ser regida e interpretada de acordo com as leis da República Federativa do Brasil.</w:t>
      </w:r>
      <w:ins w:id="397" w:author="Gabriel Lopes" w:date="2020-09-17T00:08:00Z">
        <w:r>
          <w:rPr>
            <w:rFonts w:ascii="Verdana" w:eastAsia="MS Mincho" w:hAnsi="Verdana" w:cs="Tahoma"/>
            <w:sz w:val="20"/>
            <w:szCs w:val="20"/>
          </w:rPr>
          <w:t xml:space="preserve"> </w:t>
        </w:r>
      </w:ins>
    </w:p>
    <w:p w14:paraId="0C36D02C" w14:textId="69BAF671" w:rsidR="00EB5CDB" w:rsidRDefault="00EB5CDB">
      <w:pPr>
        <w:spacing w:before="120" w:after="120" w:line="280" w:lineRule="exact"/>
        <w:jc w:val="both"/>
        <w:rPr>
          <w:rFonts w:ascii="Verdana" w:eastAsia="MS Mincho" w:hAnsi="Verdana" w:cs="Tahoma"/>
          <w:sz w:val="20"/>
          <w:szCs w:val="20"/>
        </w:rPr>
      </w:pPr>
    </w:p>
    <w:p w14:paraId="7772BAFA" w14:textId="1E8BAC85" w:rsidR="00706073" w:rsidRDefault="00706073" w:rsidP="00706073">
      <w:pPr>
        <w:keepNext/>
        <w:spacing w:before="120" w:after="120" w:line="280" w:lineRule="exact"/>
        <w:jc w:val="both"/>
        <w:rPr>
          <w:rFonts w:ascii="Verdana" w:hAnsi="Verdana" w:cs="Tahoma"/>
          <w:b/>
          <w:sz w:val="20"/>
          <w:szCs w:val="20"/>
        </w:rPr>
        <w:pPrChange w:id="398" w:author="Gabriel Lopes" w:date="2020-09-17T00:08:00Z">
          <w:pPr>
            <w:pStyle w:val="PargrafodaLista"/>
            <w:keepNext/>
            <w:numPr>
              <w:ilvl w:val="1"/>
              <w:numId w:val="15"/>
            </w:numPr>
            <w:spacing w:before="120" w:after="120" w:line="280" w:lineRule="exact"/>
            <w:ind w:left="0"/>
            <w:jc w:val="both"/>
          </w:pPr>
        </w:pPrChange>
      </w:pPr>
      <w:ins w:id="399" w:author="Gabriel Lopes" w:date="2020-09-17T00:08:00Z">
        <w:r>
          <w:rPr>
            <w:rFonts w:ascii="Verdana" w:hAnsi="Verdana" w:cs="Tahoma"/>
            <w:b/>
            <w:sz w:val="20"/>
            <w:szCs w:val="20"/>
          </w:rPr>
          <w:t xml:space="preserve">8.8. </w:t>
        </w:r>
      </w:ins>
      <w:r>
        <w:rPr>
          <w:rFonts w:ascii="Verdana" w:hAnsi="Verdana" w:cs="Tahoma"/>
          <w:b/>
          <w:sz w:val="20"/>
          <w:szCs w:val="20"/>
        </w:rPr>
        <w:t>Foro</w:t>
      </w:r>
    </w:p>
    <w:p w14:paraId="077C0CC6" w14:textId="44B370B7" w:rsidR="00706073" w:rsidRDefault="00706073" w:rsidP="00706073">
      <w:pPr>
        <w:keepNext/>
        <w:spacing w:before="120" w:after="120" w:line="280" w:lineRule="exact"/>
        <w:jc w:val="both"/>
        <w:rPr>
          <w:rFonts w:ascii="Verdana" w:eastAsia="MS Mincho" w:hAnsi="Verdana" w:cs="Tahoma"/>
          <w:sz w:val="20"/>
          <w:szCs w:val="20"/>
        </w:rPr>
        <w:pPrChange w:id="400" w:author="Gabriel Lopes" w:date="2020-09-17T00:08:00Z">
          <w:pPr>
            <w:numPr>
              <w:ilvl w:val="2"/>
              <w:numId w:val="15"/>
            </w:numPr>
            <w:spacing w:before="120" w:after="120" w:line="280" w:lineRule="exact"/>
            <w:jc w:val="both"/>
          </w:pPr>
        </w:pPrChange>
      </w:pPr>
      <w:ins w:id="401" w:author="Gabriel Lopes" w:date="2020-09-17T00:08:00Z">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8</w:t>
        </w:r>
        <w:r w:rsidRPr="009E7B17">
          <w:rPr>
            <w:rFonts w:ascii="Verdana" w:hAnsi="Verdana" w:cs="Tahoma"/>
            <w:bCs/>
            <w:sz w:val="20"/>
            <w:szCs w:val="20"/>
          </w:rPr>
          <w:t>.</w:t>
        </w:r>
        <w:r>
          <w:rPr>
            <w:rFonts w:ascii="Verdana" w:hAnsi="Verdana" w:cs="Tahoma"/>
            <w:bCs/>
            <w:sz w:val="20"/>
            <w:szCs w:val="20"/>
          </w:rPr>
          <w:t>1</w:t>
        </w:r>
        <w:r w:rsidRPr="009E7B17">
          <w:rPr>
            <w:rFonts w:ascii="Verdana" w:hAnsi="Verdana" w:cs="Tahoma"/>
            <w:bCs/>
            <w:sz w:val="20"/>
            <w:szCs w:val="20"/>
          </w:rPr>
          <w:t xml:space="preserve"> </w:t>
        </w:r>
      </w:ins>
      <w:r>
        <w:rPr>
          <w:rFonts w:ascii="Verdana" w:eastAsia="MS Mincho" w:hAnsi="Verdana" w:cs="Tahoma"/>
          <w:sz w:val="20"/>
          <w:szCs w:val="20"/>
        </w:rPr>
        <w:t>Para dirimir quaisquer questões, dúvidas ou litígios oriundos desta Escritura de Emissão, os Debenturistas e a Emissora elegem o Foro da Cidade de São Paulo, no Estado de São Paulo, renunciando expressamente a qualquer outro, por mais privilegiado que seja.</w:t>
      </w:r>
      <w:ins w:id="402" w:author="Gabriel Lopes" w:date="2020-09-17T00:08:00Z">
        <w:r>
          <w:rPr>
            <w:rFonts w:ascii="Verdana" w:eastAsia="MS Mincho" w:hAnsi="Verdana" w:cs="Tahoma"/>
            <w:sz w:val="20"/>
            <w:szCs w:val="20"/>
          </w:rPr>
          <w:t xml:space="preserve"> </w:t>
        </w:r>
      </w:ins>
    </w:p>
    <w:p w14:paraId="59FDD554" w14:textId="77777777" w:rsidR="00EB5CDB" w:rsidRDefault="00EB5CDB">
      <w:pPr>
        <w:spacing w:before="120" w:after="120" w:line="280" w:lineRule="exact"/>
        <w:jc w:val="both"/>
        <w:rPr>
          <w:rFonts w:ascii="Verdana" w:eastAsia="MS Mincho" w:hAnsi="Verdana" w:cs="Tahoma"/>
          <w:sz w:val="20"/>
          <w:szCs w:val="20"/>
        </w:rPr>
      </w:pPr>
    </w:p>
    <w:p w14:paraId="79EDD207" w14:textId="77777777" w:rsidR="00EB5CDB" w:rsidRDefault="008E55E6">
      <w:pPr>
        <w:widowControl w:val="0"/>
        <w:spacing w:before="120" w:after="120" w:line="280" w:lineRule="exact"/>
        <w:jc w:val="both"/>
        <w:rPr>
          <w:rFonts w:ascii="Verdana" w:eastAsia="MS Mincho" w:hAnsi="Verdana" w:cs="Tahoma"/>
          <w:sz w:val="20"/>
          <w:szCs w:val="20"/>
        </w:rPr>
      </w:pPr>
      <w:r>
        <w:rPr>
          <w:rFonts w:ascii="Verdana" w:eastAsia="MS Mincho" w:hAnsi="Verdana" w:cs="Tahoma"/>
          <w:sz w:val="20"/>
          <w:szCs w:val="20"/>
        </w:rPr>
        <w:t xml:space="preserve">Estando as partes certas e ajustadas, firmam </w:t>
      </w:r>
      <w:r>
        <w:rPr>
          <w:rFonts w:ascii="Verdana" w:eastAsia="MS Mincho" w:hAnsi="Verdana" w:cs="Tahoma"/>
          <w:bCs/>
          <w:sz w:val="20"/>
          <w:szCs w:val="20"/>
        </w:rPr>
        <w:t>a presente</w:t>
      </w:r>
      <w:r>
        <w:rPr>
          <w:rFonts w:ascii="Verdana" w:eastAsia="MS Mincho" w:hAnsi="Verdana" w:cs="Tahoma"/>
          <w:sz w:val="20"/>
          <w:szCs w:val="20"/>
        </w:rPr>
        <w:t xml:space="preserve"> Escritura de Emissão em 3 (três) vias, de igual teor e forma e para o mesmo fim, na presença de 2 (duas) testemunhas. </w:t>
      </w:r>
    </w:p>
    <w:p w14:paraId="339F4091" w14:textId="77777777" w:rsidR="00EB5CDB" w:rsidRDefault="00EB5CDB">
      <w:pPr>
        <w:spacing w:before="120" w:after="120" w:line="280" w:lineRule="exact"/>
        <w:jc w:val="both"/>
        <w:rPr>
          <w:rFonts w:ascii="Verdana" w:hAnsi="Verdana"/>
          <w:sz w:val="20"/>
          <w:szCs w:val="20"/>
        </w:rPr>
      </w:pPr>
    </w:p>
    <w:p w14:paraId="7F7CD569" w14:textId="2F191FF1" w:rsidR="00EB5CDB" w:rsidRDefault="008E55E6">
      <w:pPr>
        <w:autoSpaceDE/>
        <w:autoSpaceDN/>
        <w:adjustRightInd/>
        <w:spacing w:before="120" w:after="120" w:line="280" w:lineRule="exact"/>
        <w:jc w:val="center"/>
        <w:rPr>
          <w:rFonts w:ascii="Verdana" w:eastAsia="Arial Unicode MS" w:hAnsi="Verdana"/>
          <w:sz w:val="20"/>
          <w:szCs w:val="20"/>
        </w:rPr>
      </w:pPr>
      <w:bookmarkStart w:id="403" w:name="_DV_M436"/>
      <w:bookmarkEnd w:id="403"/>
      <w:r>
        <w:rPr>
          <w:rFonts w:ascii="Verdana" w:eastAsia="Arial Unicode MS" w:hAnsi="Verdana"/>
          <w:sz w:val="20"/>
          <w:szCs w:val="20"/>
        </w:rPr>
        <w:t xml:space="preserve">São Paulo, </w:t>
      </w:r>
      <w:r w:rsidR="00065139">
        <w:rPr>
          <w:rFonts w:ascii="Verdana" w:eastAsia="Arial Unicode MS" w:hAnsi="Verdana"/>
          <w:sz w:val="20"/>
          <w:szCs w:val="20"/>
        </w:rPr>
        <w:t>[</w:t>
      </w:r>
      <w:r w:rsidR="00251802" w:rsidRPr="008D6F6D">
        <w:rPr>
          <w:rFonts w:ascii="Verdana" w:eastAsia="Arial Unicode MS" w:hAnsi="Verdana"/>
          <w:sz w:val="20"/>
          <w:szCs w:val="20"/>
          <w:highlight w:val="yellow"/>
        </w:rPr>
        <w:t>__</w:t>
      </w:r>
      <w:r w:rsidR="00065139">
        <w:rPr>
          <w:rFonts w:ascii="Verdana" w:eastAsia="Arial Unicode MS" w:hAnsi="Verdana"/>
          <w:sz w:val="20"/>
          <w:szCs w:val="20"/>
        </w:rPr>
        <w:t>]</w:t>
      </w:r>
      <w:r>
        <w:rPr>
          <w:rFonts w:ascii="Verdana" w:eastAsia="Arial Unicode MS" w:hAnsi="Verdana"/>
          <w:sz w:val="20"/>
          <w:szCs w:val="20"/>
        </w:rPr>
        <w:t xml:space="preserve"> de setembro de 20</w:t>
      </w:r>
      <w:r w:rsidR="00251802">
        <w:rPr>
          <w:rFonts w:ascii="Verdana" w:eastAsia="Arial Unicode MS" w:hAnsi="Verdana"/>
          <w:sz w:val="20"/>
          <w:szCs w:val="20"/>
        </w:rPr>
        <w:t>20</w:t>
      </w:r>
      <w:r>
        <w:rPr>
          <w:rFonts w:ascii="Verdana" w:eastAsia="Arial Unicode MS" w:hAnsi="Verdana"/>
          <w:sz w:val="20"/>
          <w:szCs w:val="20"/>
        </w:rPr>
        <w:t>.</w:t>
      </w:r>
    </w:p>
    <w:p w14:paraId="73141C12"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6585D35A"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A0A046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4D58B68B" w14:textId="77777777" w:rsidR="00EB5CDB" w:rsidRDefault="008E55E6">
      <w:pPr>
        <w:spacing w:line="340" w:lineRule="exact"/>
        <w:jc w:val="center"/>
        <w:rPr>
          <w:rFonts w:ascii="Verdana" w:eastAsia="Arial Unicode MS" w:hAnsi="Verdana" w:cs="Tahoma"/>
          <w:i/>
          <w:sz w:val="20"/>
          <w:szCs w:val="20"/>
        </w:rPr>
      </w:pPr>
      <w:r>
        <w:rPr>
          <w:rFonts w:ascii="Verdana" w:hAnsi="Verdana" w:cs="Tahoma"/>
          <w:i/>
          <w:sz w:val="20"/>
          <w:szCs w:val="20"/>
        </w:rPr>
        <w:t xml:space="preserve">[As assinaturas seguem nas páginas seguintes. </w:t>
      </w:r>
      <w:r>
        <w:rPr>
          <w:rFonts w:ascii="Verdana" w:eastAsia="Arial Unicode MS" w:hAnsi="Verdana" w:cs="Tahoma"/>
          <w:i/>
          <w:sz w:val="20"/>
          <w:szCs w:val="20"/>
        </w:rPr>
        <w:t>Restante da página intencionalmente deixado em branco]</w:t>
      </w:r>
    </w:p>
    <w:p w14:paraId="5F5FD061" w14:textId="77777777" w:rsidR="00EB5CDB" w:rsidRDefault="00EB5CDB">
      <w:pPr>
        <w:spacing w:line="340" w:lineRule="exact"/>
        <w:jc w:val="center"/>
        <w:rPr>
          <w:rFonts w:ascii="Verdana" w:eastAsia="Arial Unicode MS" w:hAnsi="Verdana" w:cs="Tahoma"/>
          <w:i/>
          <w:sz w:val="20"/>
          <w:szCs w:val="20"/>
        </w:rPr>
      </w:pPr>
    </w:p>
    <w:p w14:paraId="79CA09ED" w14:textId="77777777" w:rsidR="00EB5CDB" w:rsidRDefault="00EB5CDB">
      <w:pPr>
        <w:autoSpaceDE/>
        <w:autoSpaceDN/>
        <w:adjustRightInd/>
        <w:spacing w:before="120" w:after="120" w:line="280" w:lineRule="exact"/>
        <w:jc w:val="center"/>
        <w:rPr>
          <w:rFonts w:ascii="Verdana" w:eastAsia="Arial Unicode MS" w:hAnsi="Verdana"/>
          <w:sz w:val="20"/>
          <w:szCs w:val="20"/>
        </w:rPr>
      </w:pPr>
    </w:p>
    <w:p w14:paraId="56EBD07E" w14:textId="77777777" w:rsidR="00EB5CDB" w:rsidRDefault="008E55E6">
      <w:pPr>
        <w:autoSpaceDE/>
        <w:autoSpaceDN/>
        <w:adjustRightInd/>
        <w:spacing w:before="120" w:after="120" w:line="280" w:lineRule="exact"/>
        <w:jc w:val="center"/>
        <w:rPr>
          <w:rFonts w:ascii="Verdana" w:eastAsia="MS Mincho" w:hAnsi="Verdana" w:cs="Tahoma"/>
          <w:sz w:val="20"/>
          <w:szCs w:val="20"/>
        </w:rPr>
      </w:pPr>
      <w:r>
        <w:rPr>
          <w:rFonts w:ascii="Verdana" w:eastAsia="MS Mincho" w:hAnsi="Verdana" w:cs="Tahoma"/>
          <w:sz w:val="20"/>
          <w:szCs w:val="20"/>
        </w:rPr>
        <w:br w:type="page"/>
      </w:r>
    </w:p>
    <w:p w14:paraId="2FAA544E" w14:textId="71EB1D3D" w:rsidR="00EB5CDB" w:rsidRDefault="008E55E6">
      <w:pPr>
        <w:tabs>
          <w:tab w:val="left" w:pos="0"/>
          <w:tab w:val="left" w:pos="709"/>
        </w:tabs>
        <w:spacing w:before="120" w:after="120" w:line="280" w:lineRule="exact"/>
        <w:jc w:val="both"/>
        <w:rPr>
          <w:rFonts w:ascii="Verdana" w:hAnsi="Verdana"/>
          <w:i/>
          <w:sz w:val="20"/>
          <w:szCs w:val="20"/>
        </w:rPr>
      </w:pPr>
      <w:r>
        <w:rPr>
          <w:rFonts w:ascii="Verdana" w:eastAsia="Arial Unicode MS" w:hAnsi="Verdana"/>
          <w:bCs/>
          <w:i/>
          <w:sz w:val="20"/>
          <w:szCs w:val="20"/>
        </w:rPr>
        <w:t>(</w:t>
      </w:r>
      <w:r>
        <w:rPr>
          <w:rFonts w:ascii="Verdana" w:hAnsi="Verdana"/>
          <w:i/>
          <w:sz w:val="20"/>
          <w:szCs w:val="20"/>
        </w:rPr>
        <w:t xml:space="preserve">Página de assinaturas do “Instrumento Particular de Escritura da </w:t>
      </w:r>
      <w:r w:rsidR="00711B4D">
        <w:rPr>
          <w:rFonts w:ascii="Verdana" w:hAnsi="Verdana"/>
          <w:i/>
          <w:sz w:val="20"/>
          <w:szCs w:val="20"/>
        </w:rPr>
        <w:t>2</w:t>
      </w:r>
      <w:r>
        <w:rPr>
          <w:rFonts w:ascii="Verdana" w:hAnsi="Verdana"/>
          <w:i/>
          <w:sz w:val="20"/>
          <w:szCs w:val="20"/>
        </w:rPr>
        <w:t>ª (</w:t>
      </w:r>
      <w:r w:rsidR="00711B4D">
        <w:rPr>
          <w:rFonts w:ascii="Verdana" w:hAnsi="Verdana"/>
          <w:i/>
          <w:sz w:val="20"/>
          <w:szCs w:val="20"/>
        </w:rPr>
        <w:t>Segunda</w:t>
      </w:r>
      <w:r>
        <w:rPr>
          <w:rFonts w:ascii="Verdana" w:hAnsi="Verdana"/>
          <w:i/>
          <w:sz w:val="20"/>
          <w:szCs w:val="20"/>
        </w:rPr>
        <w:t>) Emissão de Debêntures Simples, não Conversíveis em Ações, da Espécie com Garantia Real, em 2 (duas) Séries, para Distribuição Pública com Esforços Restritos, da Companhia Securitizadora de Créditos Financeiros V</w:t>
      </w:r>
      <w:r w:rsidR="00065139">
        <w:rPr>
          <w:rFonts w:ascii="Verdana" w:hAnsi="Verdana"/>
          <w:i/>
          <w:sz w:val="20"/>
          <w:szCs w:val="20"/>
        </w:rPr>
        <w:t>ERT</w:t>
      </w:r>
      <w:r>
        <w:rPr>
          <w:rFonts w:ascii="Verdana" w:hAnsi="Verdana"/>
          <w:i/>
          <w:sz w:val="20"/>
          <w:szCs w:val="20"/>
        </w:rPr>
        <w:t>-</w:t>
      </w:r>
      <w:r w:rsidR="00F470F4">
        <w:rPr>
          <w:rFonts w:ascii="Verdana" w:hAnsi="Verdana"/>
          <w:i/>
          <w:sz w:val="20"/>
          <w:szCs w:val="20"/>
        </w:rPr>
        <w:t>Gyra</w:t>
      </w:r>
      <w:r>
        <w:rPr>
          <w:rFonts w:ascii="Verdana" w:hAnsi="Verdana"/>
          <w:i/>
          <w:sz w:val="20"/>
          <w:szCs w:val="20"/>
        </w:rPr>
        <w:t>”.</w:t>
      </w:r>
    </w:p>
    <w:p w14:paraId="347108B5" w14:textId="77777777" w:rsidR="00EB5CDB" w:rsidRDefault="00EB5CDB">
      <w:pPr>
        <w:tabs>
          <w:tab w:val="left" w:pos="0"/>
          <w:tab w:val="left" w:pos="709"/>
        </w:tabs>
        <w:spacing w:before="120" w:after="120" w:line="280" w:lineRule="exact"/>
        <w:jc w:val="both"/>
        <w:rPr>
          <w:rFonts w:ascii="Verdana" w:hAnsi="Verdana"/>
          <w:sz w:val="20"/>
          <w:szCs w:val="20"/>
        </w:rPr>
      </w:pPr>
    </w:p>
    <w:p w14:paraId="6F67CF75" w14:textId="77777777" w:rsidR="00EB5CDB" w:rsidRDefault="00EB5CDB">
      <w:pPr>
        <w:tabs>
          <w:tab w:val="left" w:pos="0"/>
          <w:tab w:val="left" w:pos="709"/>
        </w:tabs>
        <w:spacing w:before="120" w:after="120" w:line="280" w:lineRule="exact"/>
        <w:jc w:val="both"/>
        <w:rPr>
          <w:rFonts w:ascii="Verdana" w:hAnsi="Verdana"/>
          <w:sz w:val="20"/>
          <w:szCs w:val="20"/>
        </w:rPr>
      </w:pPr>
    </w:p>
    <w:p w14:paraId="7C8EB52F" w14:textId="77777777" w:rsidR="00EB5CDB" w:rsidRDefault="00EB5CDB">
      <w:pPr>
        <w:tabs>
          <w:tab w:val="left" w:pos="0"/>
          <w:tab w:val="left" w:pos="709"/>
        </w:tabs>
        <w:spacing w:before="120" w:after="120" w:line="280" w:lineRule="exact"/>
        <w:jc w:val="both"/>
        <w:rPr>
          <w:rFonts w:ascii="Verdana" w:hAnsi="Verdana"/>
          <w:sz w:val="20"/>
          <w:szCs w:val="20"/>
        </w:rPr>
      </w:pPr>
    </w:p>
    <w:p w14:paraId="09C9CBAE"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14:paraId="5ADEEC5D" w14:textId="77777777">
        <w:trPr>
          <w:jc w:val="center"/>
        </w:trPr>
        <w:tc>
          <w:tcPr>
            <w:tcW w:w="8504" w:type="dxa"/>
            <w:tcBorders>
              <w:top w:val="single" w:sz="4" w:space="0" w:color="auto"/>
            </w:tcBorders>
            <w:shd w:val="clear" w:color="auto" w:fill="auto"/>
            <w:vAlign w:val="center"/>
          </w:tcPr>
          <w:p w14:paraId="1D979294" w14:textId="478E958B" w:rsidR="00EB5CDB" w:rsidRDefault="008E55E6">
            <w:pPr>
              <w:spacing w:before="120" w:after="120" w:line="280" w:lineRule="exact"/>
              <w:jc w:val="center"/>
              <w:rPr>
                <w:rFonts w:ascii="Verdana" w:eastAsia="MS Mincho" w:hAnsi="Verdana"/>
                <w:b/>
                <w:w w:val="0"/>
                <w:sz w:val="20"/>
                <w:szCs w:val="20"/>
                <w:u w:val="single"/>
                <w:lang w:eastAsia="ja-JP"/>
              </w:rPr>
            </w:pPr>
            <w:r>
              <w:rPr>
                <w:rFonts w:ascii="Verdana" w:hAnsi="Verdana"/>
                <w:b/>
                <w:sz w:val="20"/>
                <w:szCs w:val="20"/>
              </w:rPr>
              <w:t>COMPANHIA SECURITIZADORA DE CRÉDITOS FINANCEIROS VERT-</w:t>
            </w:r>
            <w:r w:rsidR="005A7227">
              <w:rPr>
                <w:rFonts w:ascii="Verdana" w:hAnsi="Verdana"/>
                <w:b/>
                <w:sz w:val="20"/>
                <w:szCs w:val="20"/>
              </w:rPr>
              <w:t>GYRA</w:t>
            </w:r>
          </w:p>
        </w:tc>
      </w:tr>
    </w:tbl>
    <w:p w14:paraId="351E9942" w14:textId="77777777" w:rsidR="00EB5CDB" w:rsidRDefault="00EB5CDB">
      <w:pPr>
        <w:tabs>
          <w:tab w:val="left" w:pos="0"/>
          <w:tab w:val="left" w:pos="709"/>
        </w:tabs>
        <w:spacing w:before="120" w:after="120" w:line="280" w:lineRule="exact"/>
        <w:jc w:val="both"/>
        <w:rPr>
          <w:rFonts w:ascii="Verdana" w:hAnsi="Verdana"/>
          <w:sz w:val="20"/>
          <w:szCs w:val="20"/>
        </w:rPr>
      </w:pPr>
    </w:p>
    <w:p w14:paraId="71EA3AE9" w14:textId="77777777" w:rsidR="00EB5CDB" w:rsidRDefault="00EB5CDB">
      <w:pPr>
        <w:tabs>
          <w:tab w:val="left" w:pos="0"/>
          <w:tab w:val="left" w:pos="709"/>
        </w:tabs>
        <w:spacing w:before="120" w:after="120" w:line="280" w:lineRule="exact"/>
        <w:jc w:val="both"/>
        <w:rPr>
          <w:rFonts w:ascii="Verdana" w:hAnsi="Verdana"/>
          <w:sz w:val="20"/>
          <w:szCs w:val="20"/>
        </w:rPr>
      </w:pPr>
    </w:p>
    <w:p w14:paraId="41E2F6DA" w14:textId="77777777" w:rsidR="00EB5CDB" w:rsidRDefault="00EB5CDB">
      <w:pPr>
        <w:tabs>
          <w:tab w:val="left" w:pos="0"/>
          <w:tab w:val="left" w:pos="709"/>
        </w:tabs>
        <w:spacing w:before="120" w:after="120" w:line="280" w:lineRule="exact"/>
        <w:jc w:val="both"/>
        <w:rPr>
          <w:rFonts w:ascii="Verdana" w:hAnsi="Verdana"/>
          <w:sz w:val="20"/>
          <w:szCs w:val="20"/>
        </w:rPr>
      </w:pPr>
    </w:p>
    <w:p w14:paraId="3B24ECED" w14:textId="77777777" w:rsidR="00EB5CDB" w:rsidRDefault="00EB5CDB">
      <w:pPr>
        <w:tabs>
          <w:tab w:val="left" w:pos="0"/>
          <w:tab w:val="left" w:pos="709"/>
        </w:tabs>
        <w:spacing w:before="120" w:after="120" w:line="280" w:lineRule="exact"/>
        <w:jc w:val="both"/>
        <w:rPr>
          <w:rFonts w:ascii="Verdana" w:hAnsi="Verdana"/>
          <w:sz w:val="20"/>
          <w:szCs w:val="20"/>
        </w:rPr>
      </w:pPr>
    </w:p>
    <w:p w14:paraId="12A210E0" w14:textId="77777777" w:rsidR="00EB5CDB" w:rsidRDefault="00EB5CDB">
      <w:pPr>
        <w:tabs>
          <w:tab w:val="left" w:pos="0"/>
          <w:tab w:val="left" w:pos="709"/>
        </w:tabs>
        <w:spacing w:before="120" w:after="120"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14:paraId="0F090D8B" w14:textId="77777777">
        <w:trPr>
          <w:jc w:val="center"/>
        </w:trPr>
        <w:tc>
          <w:tcPr>
            <w:tcW w:w="8647" w:type="dxa"/>
            <w:tcBorders>
              <w:top w:val="single" w:sz="4" w:space="0" w:color="auto"/>
            </w:tcBorders>
            <w:shd w:val="clear" w:color="auto" w:fill="auto"/>
          </w:tcPr>
          <w:p w14:paraId="6E6E0D81" w14:textId="4D4AC00E" w:rsidR="00EB5CDB" w:rsidRDefault="005A7227">
            <w:pPr>
              <w:ind w:left="-108" w:right="-250"/>
              <w:rPr>
                <w:rFonts w:ascii="Verdana" w:hAnsi="Verdana"/>
                <w:sz w:val="20"/>
                <w:szCs w:val="20"/>
              </w:rPr>
            </w:pPr>
            <w:r>
              <w:rPr>
                <w:rFonts w:ascii="Verdana" w:hAnsi="Verdana"/>
                <w:b/>
                <w:smallCaps/>
                <w:sz w:val="20"/>
                <w:szCs w:val="20"/>
              </w:rPr>
              <w:t>SIMPLIFIC PAVARINI</w:t>
            </w:r>
            <w:r w:rsidR="008E55E6">
              <w:rPr>
                <w:rFonts w:ascii="Verdana" w:hAnsi="Verdana"/>
                <w:b/>
                <w:smallCaps/>
                <w:sz w:val="20"/>
                <w:szCs w:val="20"/>
              </w:rPr>
              <w:t xml:space="preserve"> DISTRIBUIDORA DE TÍTULOS E VALORES MOBILIÁRIOS </w:t>
            </w:r>
            <w:r>
              <w:rPr>
                <w:rFonts w:ascii="Verdana" w:hAnsi="Verdana"/>
                <w:b/>
                <w:smallCaps/>
                <w:sz w:val="20"/>
                <w:szCs w:val="20"/>
              </w:rPr>
              <w:t>LTD</w:t>
            </w:r>
            <w:r w:rsidR="008E55E6">
              <w:rPr>
                <w:rFonts w:ascii="Verdana" w:hAnsi="Verdana"/>
                <w:b/>
                <w:smallCaps/>
                <w:sz w:val="20"/>
                <w:szCs w:val="20"/>
              </w:rPr>
              <w:t>A</w:t>
            </w:r>
            <w:r w:rsidR="008E55E6">
              <w:rPr>
                <w:rFonts w:ascii="Verdana" w:hAnsi="Verdana"/>
                <w:b/>
                <w:caps/>
                <w:sz w:val="20"/>
                <w:szCs w:val="20"/>
              </w:rPr>
              <w:t>.</w:t>
            </w:r>
          </w:p>
        </w:tc>
      </w:tr>
    </w:tbl>
    <w:p w14:paraId="695954C0" w14:textId="77777777" w:rsidR="00EB5CDB" w:rsidRDefault="00EB5CDB">
      <w:pPr>
        <w:tabs>
          <w:tab w:val="left" w:pos="0"/>
          <w:tab w:val="left" w:pos="709"/>
        </w:tabs>
        <w:spacing w:before="120" w:after="120" w:line="280" w:lineRule="exact"/>
        <w:rPr>
          <w:rFonts w:ascii="Verdana" w:hAnsi="Verdana"/>
          <w:b/>
          <w:sz w:val="20"/>
          <w:szCs w:val="20"/>
        </w:rPr>
      </w:pPr>
    </w:p>
    <w:p w14:paraId="23153FFD" w14:textId="77777777" w:rsidR="00EB5CDB" w:rsidRDefault="00EB5CDB">
      <w:pPr>
        <w:tabs>
          <w:tab w:val="left" w:pos="0"/>
          <w:tab w:val="left" w:pos="709"/>
        </w:tabs>
        <w:spacing w:before="120" w:after="120" w:line="280" w:lineRule="exact"/>
        <w:rPr>
          <w:rFonts w:ascii="Verdana" w:hAnsi="Verdana"/>
          <w:sz w:val="20"/>
          <w:szCs w:val="20"/>
        </w:rPr>
      </w:pPr>
    </w:p>
    <w:p w14:paraId="01449884" w14:textId="77777777" w:rsidR="00EB5CDB" w:rsidRDefault="008E55E6">
      <w:pPr>
        <w:tabs>
          <w:tab w:val="left" w:pos="0"/>
          <w:tab w:val="left" w:pos="709"/>
        </w:tabs>
        <w:spacing w:before="120" w:after="120" w:line="280" w:lineRule="exact"/>
        <w:rPr>
          <w:rFonts w:ascii="Verdana" w:hAnsi="Verdana"/>
          <w:sz w:val="20"/>
          <w:szCs w:val="20"/>
        </w:rPr>
      </w:pPr>
      <w:r>
        <w:rPr>
          <w:rFonts w:ascii="Verdana" w:hAnsi="Verdana"/>
          <w:sz w:val="20"/>
          <w:szCs w:val="20"/>
        </w:rPr>
        <w:t>Testemunhas:</w:t>
      </w:r>
    </w:p>
    <w:p w14:paraId="3F9BBDFE" w14:textId="77777777" w:rsidR="00EB5CDB" w:rsidRDefault="00EB5CDB">
      <w:pPr>
        <w:tabs>
          <w:tab w:val="left" w:pos="0"/>
          <w:tab w:val="left" w:pos="709"/>
        </w:tabs>
        <w:spacing w:before="120" w:after="120" w:line="280" w:lineRule="exact"/>
        <w:rPr>
          <w:rFonts w:ascii="Verdana" w:hAnsi="Verdana"/>
          <w:sz w:val="20"/>
          <w:szCs w:val="20"/>
        </w:rPr>
      </w:pPr>
    </w:p>
    <w:p w14:paraId="54D4A266" w14:textId="77777777" w:rsidR="00EB5CDB" w:rsidRDefault="00EB5CDB">
      <w:pPr>
        <w:tabs>
          <w:tab w:val="left" w:pos="0"/>
          <w:tab w:val="left" w:pos="709"/>
        </w:tabs>
        <w:spacing w:before="120" w:after="120" w:line="280" w:lineRule="exact"/>
        <w:rPr>
          <w:rFonts w:ascii="Verdana" w:hAnsi="Verdana"/>
          <w:sz w:val="20"/>
          <w:szCs w:val="20"/>
        </w:rPr>
      </w:pPr>
    </w:p>
    <w:p w14:paraId="7C670249" w14:textId="77777777" w:rsidR="00EB5CDB" w:rsidRDefault="00EB5CDB">
      <w:pPr>
        <w:tabs>
          <w:tab w:val="left" w:pos="0"/>
          <w:tab w:val="left" w:pos="709"/>
        </w:tabs>
        <w:spacing w:before="120" w:after="120"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14:paraId="07182A33" w14:textId="77777777">
        <w:trPr>
          <w:trHeight w:val="494"/>
          <w:jc w:val="center"/>
        </w:trPr>
        <w:tc>
          <w:tcPr>
            <w:tcW w:w="2400" w:type="pct"/>
            <w:tcBorders>
              <w:top w:val="single" w:sz="4" w:space="0" w:color="auto"/>
            </w:tcBorders>
          </w:tcPr>
          <w:p w14:paraId="16CFA58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370EF5F4"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53FE626A"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c>
          <w:tcPr>
            <w:tcW w:w="199" w:type="pct"/>
          </w:tcPr>
          <w:p w14:paraId="61124F01" w14:textId="77777777" w:rsidR="00EB5CDB" w:rsidRDefault="00EB5CDB">
            <w:pPr>
              <w:tabs>
                <w:tab w:val="left" w:pos="0"/>
                <w:tab w:val="left" w:pos="709"/>
              </w:tabs>
              <w:spacing w:before="120" w:after="120" w:line="280" w:lineRule="exact"/>
              <w:jc w:val="both"/>
              <w:rPr>
                <w:rFonts w:ascii="Verdana" w:hAnsi="Verdana"/>
                <w:sz w:val="20"/>
                <w:szCs w:val="20"/>
              </w:rPr>
            </w:pPr>
          </w:p>
        </w:tc>
        <w:tc>
          <w:tcPr>
            <w:tcW w:w="2401" w:type="pct"/>
            <w:tcBorders>
              <w:top w:val="single" w:sz="4" w:space="0" w:color="auto"/>
            </w:tcBorders>
          </w:tcPr>
          <w:p w14:paraId="166DB2AE"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Nome:</w:t>
            </w:r>
          </w:p>
          <w:p w14:paraId="096C8479"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RG nº</w:t>
            </w:r>
          </w:p>
          <w:p w14:paraId="2322BF78" w14:textId="77777777" w:rsidR="00EB5CDB" w:rsidRDefault="008E55E6">
            <w:pPr>
              <w:tabs>
                <w:tab w:val="left" w:pos="0"/>
                <w:tab w:val="left" w:pos="709"/>
              </w:tabs>
              <w:spacing w:before="120" w:after="120" w:line="280" w:lineRule="exact"/>
              <w:jc w:val="both"/>
              <w:rPr>
                <w:rFonts w:ascii="Verdana" w:hAnsi="Verdana"/>
                <w:sz w:val="20"/>
                <w:szCs w:val="20"/>
              </w:rPr>
            </w:pPr>
            <w:r>
              <w:rPr>
                <w:rFonts w:ascii="Verdana" w:hAnsi="Verdana"/>
                <w:sz w:val="20"/>
                <w:szCs w:val="20"/>
              </w:rPr>
              <w:t>CPF nº</w:t>
            </w:r>
          </w:p>
        </w:tc>
      </w:tr>
    </w:tbl>
    <w:p w14:paraId="4517A491" w14:textId="77777777" w:rsidR="00EB5CDB" w:rsidRDefault="00EB5CDB">
      <w:pPr>
        <w:spacing w:before="120" w:after="120" w:line="280" w:lineRule="exact"/>
        <w:jc w:val="center"/>
        <w:rPr>
          <w:rFonts w:ascii="Verdana" w:eastAsia="MS Mincho" w:hAnsi="Verdana" w:cs="Tahoma"/>
          <w:sz w:val="20"/>
          <w:szCs w:val="20"/>
        </w:rPr>
      </w:pPr>
    </w:p>
    <w:p w14:paraId="371137CD" w14:textId="77777777" w:rsidR="00EB5CDB" w:rsidRDefault="008E55E6">
      <w:pPr>
        <w:autoSpaceDE/>
        <w:autoSpaceDN/>
        <w:adjustRightInd/>
        <w:spacing w:before="120" w:after="120" w:line="280" w:lineRule="exact"/>
        <w:rPr>
          <w:rFonts w:ascii="Verdana" w:hAnsi="Verdana" w:cs="Tahoma"/>
          <w:sz w:val="20"/>
          <w:szCs w:val="20"/>
        </w:rPr>
        <w:sectPr w:rsidR="00EB5CDB">
          <w:headerReference w:type="default" r:id="rId16"/>
          <w:footerReference w:type="default" r:id="rId17"/>
          <w:headerReference w:type="first" r:id="rId18"/>
          <w:type w:val="continuous"/>
          <w:pgSz w:w="12240" w:h="15840" w:code="1"/>
          <w:pgMar w:top="2127" w:right="1183" w:bottom="1701" w:left="1440" w:header="1134" w:footer="567" w:gutter="0"/>
          <w:paperSrc w:first="7" w:other="7"/>
          <w:cols w:space="720"/>
          <w:noEndnote/>
          <w:titlePg/>
          <w:docGrid w:linePitch="354"/>
        </w:sectPr>
      </w:pPr>
      <w:r>
        <w:rPr>
          <w:rFonts w:ascii="Verdana" w:hAnsi="Verdana" w:cs="Tahoma"/>
          <w:sz w:val="20"/>
          <w:szCs w:val="20"/>
        </w:rPr>
        <w:br w:type="page"/>
      </w:r>
    </w:p>
    <w:p w14:paraId="2A96873E" w14:textId="77777777" w:rsidR="00EB5CDB" w:rsidRDefault="00EB5CDB">
      <w:pPr>
        <w:autoSpaceDE/>
        <w:autoSpaceDN/>
        <w:adjustRightInd/>
        <w:spacing w:before="120" w:after="120" w:line="280" w:lineRule="exact"/>
        <w:rPr>
          <w:rFonts w:ascii="Verdana" w:hAnsi="Verdana" w:cs="Tahoma"/>
          <w:sz w:val="20"/>
          <w:szCs w:val="20"/>
        </w:rPr>
      </w:pPr>
    </w:p>
    <w:p w14:paraId="6BCF3235" w14:textId="71C97216" w:rsidR="00EB5CDB" w:rsidRDefault="008E55E6">
      <w:pPr>
        <w:spacing w:before="120" w:after="120" w:line="280" w:lineRule="exact"/>
        <w:jc w:val="both"/>
        <w:rPr>
          <w:rFonts w:ascii="Verdana" w:hAnsi="Verdana"/>
          <w:b/>
          <w:smallCaps/>
          <w:sz w:val="20"/>
          <w:szCs w:val="20"/>
          <w:u w:val="single"/>
        </w:rPr>
      </w:pPr>
      <w:r>
        <w:rPr>
          <w:rFonts w:ascii="Verdana" w:hAnsi="Verdana" w:cs="Tahoma"/>
          <w:b/>
          <w:sz w:val="20"/>
          <w:szCs w:val="20"/>
          <w:u w:val="single"/>
        </w:rPr>
        <w:t xml:space="preserve">ANEXO I AO </w:t>
      </w:r>
      <w:r>
        <w:rPr>
          <w:rFonts w:ascii="Verdana" w:hAnsi="Verdana"/>
          <w:b/>
          <w:smallCaps/>
          <w:sz w:val="20"/>
          <w:szCs w:val="20"/>
          <w:u w:val="single"/>
        </w:rPr>
        <w:t xml:space="preserve">INSTRUMENTO PARTICULAR DE ESCRITURA DA </w:t>
      </w:r>
      <w:r w:rsidR="005A7227">
        <w:rPr>
          <w:rFonts w:ascii="Verdana" w:hAnsi="Verdana"/>
          <w:b/>
          <w:smallCaps/>
          <w:sz w:val="20"/>
          <w:szCs w:val="20"/>
          <w:u w:val="single"/>
        </w:rPr>
        <w:t>2</w:t>
      </w:r>
      <w:r>
        <w:rPr>
          <w:rFonts w:ascii="Verdana" w:hAnsi="Verdana"/>
          <w:b/>
          <w:smallCaps/>
          <w:sz w:val="20"/>
          <w:szCs w:val="20"/>
          <w:u w:val="single"/>
        </w:rPr>
        <w:t>ª (</w:t>
      </w:r>
      <w:r w:rsidR="005A7227">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5A7227">
        <w:rPr>
          <w:rFonts w:ascii="Verdana" w:hAnsi="Verdana"/>
          <w:b/>
          <w:smallCaps/>
          <w:sz w:val="20"/>
          <w:szCs w:val="20"/>
          <w:u w:val="single"/>
        </w:rPr>
        <w:t>GYRA</w:t>
      </w:r>
    </w:p>
    <w:p w14:paraId="06C60F8C" w14:textId="77777777" w:rsidR="00EB5CDB" w:rsidRDefault="00EB5CDB">
      <w:pPr>
        <w:spacing w:before="120" w:after="120" w:line="280" w:lineRule="exact"/>
        <w:jc w:val="both"/>
        <w:rPr>
          <w:rFonts w:ascii="Verdana" w:hAnsi="Verdana" w:cs="Tahoma"/>
          <w:b/>
          <w:sz w:val="20"/>
          <w:szCs w:val="20"/>
          <w:u w:val="single"/>
        </w:rPr>
      </w:pPr>
    </w:p>
    <w:p w14:paraId="774F1DBC" w14:textId="77777777" w:rsidR="00EB5CDB" w:rsidRDefault="00EB5CDB">
      <w:pPr>
        <w:spacing w:before="120" w:after="120" w:line="280" w:lineRule="exact"/>
        <w:jc w:val="both"/>
        <w:rPr>
          <w:rFonts w:ascii="Verdana" w:hAnsi="Verdana" w:cs="Tahoma"/>
          <w:b/>
          <w:sz w:val="20"/>
          <w:szCs w:val="20"/>
        </w:rPr>
      </w:pPr>
    </w:p>
    <w:p w14:paraId="3134B81F" w14:textId="1CEA25A1" w:rsidR="00EB5CDB" w:rsidRDefault="008E55E6">
      <w:pPr>
        <w:pStyle w:val="Lista2"/>
        <w:spacing w:before="120" w:after="120" w:line="280" w:lineRule="exact"/>
        <w:ind w:left="0" w:firstLine="0"/>
        <w:jc w:val="center"/>
        <w:rPr>
          <w:rFonts w:ascii="Verdana" w:hAnsi="Verdana" w:cs="Tahoma"/>
          <w:b/>
          <w:sz w:val="20"/>
          <w:szCs w:val="20"/>
        </w:rPr>
      </w:pPr>
      <w:r>
        <w:rPr>
          <w:rFonts w:ascii="Verdana" w:hAnsi="Verdana" w:cs="Tahoma"/>
          <w:b/>
          <w:sz w:val="20"/>
          <w:szCs w:val="20"/>
        </w:rPr>
        <w:t>CRONOGRAMA DE DATAS DE PAGAMENTO</w:t>
      </w:r>
    </w:p>
    <w:p w14:paraId="5DB25346" w14:textId="1D3190B4" w:rsidR="00BE4F04" w:rsidRDefault="00BE4F04">
      <w:pPr>
        <w:pStyle w:val="Lista2"/>
        <w:spacing w:before="120" w:after="120" w:line="280" w:lineRule="exact"/>
        <w:ind w:left="0" w:firstLine="0"/>
        <w:jc w:val="center"/>
        <w:rPr>
          <w:rFonts w:ascii="Verdana" w:hAnsi="Verdana" w:cs="Tahoma"/>
          <w:b/>
          <w:sz w:val="20"/>
          <w:szCs w:val="20"/>
        </w:rPr>
      </w:pPr>
    </w:p>
    <w:p w14:paraId="0EB027A9" w14:textId="77777777" w:rsidR="00BE4F04" w:rsidRDefault="00BE4F04">
      <w:pPr>
        <w:pStyle w:val="Lista2"/>
        <w:spacing w:before="120" w:after="120" w:line="280" w:lineRule="exact"/>
        <w:ind w:left="0" w:firstLine="0"/>
        <w:jc w:val="center"/>
        <w:rPr>
          <w:del w:id="404" w:author="Gabriel Lopes" w:date="2020-09-17T00:08:00Z"/>
          <w:rFonts w:ascii="Verdana" w:eastAsia="MS Mincho" w:hAnsi="Verdana"/>
          <w:bCs/>
          <w:sz w:val="20"/>
          <w:szCs w:val="20"/>
        </w:rPr>
      </w:pPr>
      <w:del w:id="405" w:author="Gabriel Lopes" w:date="2020-09-17T00:08:00Z">
        <w:r>
          <w:rPr>
            <w:rFonts w:ascii="Verdana" w:eastAsia="MS Mincho" w:hAnsi="Verdana"/>
            <w:bCs/>
            <w:sz w:val="20"/>
            <w:szCs w:val="20"/>
          </w:rPr>
          <w:delText>[</w:delText>
        </w:r>
        <w:r w:rsidRPr="00A1258F">
          <w:rPr>
            <w:rFonts w:ascii="Verdana" w:eastAsia="MS Mincho" w:hAnsi="Verdana"/>
            <w:b/>
            <w:i/>
            <w:iCs/>
            <w:sz w:val="20"/>
            <w:szCs w:val="20"/>
            <w:highlight w:val="yellow"/>
          </w:rPr>
          <w:delText>inserir</w:delText>
        </w:r>
        <w:r>
          <w:rPr>
            <w:rFonts w:ascii="Verdana" w:eastAsia="MS Mincho" w:hAnsi="Verdana"/>
            <w:bCs/>
            <w:sz w:val="20"/>
            <w:szCs w:val="20"/>
          </w:rPr>
          <w:delText>]</w:delText>
        </w:r>
      </w:del>
    </w:p>
    <w:tbl>
      <w:tblPr>
        <w:tblW w:w="8613" w:type="dxa"/>
        <w:tblInd w:w="704" w:type="dxa"/>
        <w:tblCellMar>
          <w:left w:w="70" w:type="dxa"/>
          <w:right w:w="70" w:type="dxa"/>
        </w:tblCellMar>
        <w:tblLook w:val="04A0" w:firstRow="1" w:lastRow="0" w:firstColumn="1" w:lastColumn="0" w:noHBand="0" w:noVBand="1"/>
      </w:tblPr>
      <w:tblGrid>
        <w:gridCol w:w="395"/>
        <w:gridCol w:w="8249"/>
      </w:tblGrid>
      <w:tr w:rsidR="001F5F8A" w:rsidRPr="001F5F8A" w14:paraId="1FA46C9E" w14:textId="77777777" w:rsidTr="000B7D26">
        <w:trPr>
          <w:trHeight w:val="300"/>
          <w:ins w:id="406" w:author="Gabriel Lopes" w:date="2020-09-17T00:08:00Z"/>
        </w:trPr>
        <w:tc>
          <w:tcPr>
            <w:tcW w:w="36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0B7D26" w:rsidRDefault="001F5F8A" w:rsidP="001F5F8A">
            <w:pPr>
              <w:autoSpaceDE/>
              <w:autoSpaceDN/>
              <w:adjustRightInd/>
              <w:jc w:val="center"/>
              <w:rPr>
                <w:ins w:id="407" w:author="Gabriel Lopes" w:date="2020-09-17T00:08:00Z"/>
                <w:rFonts w:ascii="Verdana" w:hAnsi="Verdana" w:cs="Calibri"/>
                <w:color w:val="000000"/>
                <w:sz w:val="20"/>
                <w:szCs w:val="20"/>
              </w:rPr>
            </w:pPr>
            <w:ins w:id="408" w:author="Gabriel Lopes" w:date="2020-09-17T00:08:00Z">
              <w:r w:rsidRPr="000B7D26">
                <w:rPr>
                  <w:rFonts w:ascii="Verdana" w:hAnsi="Verdana" w:cs="Calibri"/>
                  <w:color w:val="000000"/>
                  <w:sz w:val="20"/>
                  <w:szCs w:val="20"/>
                </w:rPr>
                <w:t>#</w:t>
              </w:r>
            </w:ins>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77777777" w:rsidR="001F5F8A" w:rsidRPr="000B7D26" w:rsidRDefault="001F5F8A" w:rsidP="001F5F8A">
            <w:pPr>
              <w:autoSpaceDE/>
              <w:autoSpaceDN/>
              <w:adjustRightInd/>
              <w:jc w:val="center"/>
              <w:rPr>
                <w:ins w:id="409" w:author="Gabriel Lopes" w:date="2020-09-17T00:08:00Z"/>
                <w:rFonts w:ascii="Verdana" w:hAnsi="Verdana" w:cs="Calibri"/>
                <w:color w:val="000000"/>
                <w:sz w:val="20"/>
                <w:szCs w:val="20"/>
              </w:rPr>
            </w:pPr>
            <w:ins w:id="410" w:author="Gabriel Lopes" w:date="2020-09-17T00:08:00Z">
              <w:r w:rsidRPr="000B7D26">
                <w:rPr>
                  <w:rFonts w:ascii="Verdana" w:hAnsi="Verdana" w:cs="Calibri"/>
                  <w:color w:val="000000"/>
                  <w:sz w:val="20"/>
                  <w:szCs w:val="20"/>
                </w:rPr>
                <w:t>Data de Pagamento</w:t>
              </w:r>
            </w:ins>
          </w:p>
        </w:tc>
      </w:tr>
      <w:tr w:rsidR="001F5F8A" w:rsidRPr="001F5F8A" w14:paraId="62E0A31A" w14:textId="77777777" w:rsidTr="000B7D26">
        <w:trPr>
          <w:trHeight w:val="300"/>
          <w:ins w:id="41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F5F8A" w:rsidRPr="000B7D26" w:rsidRDefault="001F5F8A" w:rsidP="001F5F8A">
            <w:pPr>
              <w:autoSpaceDE/>
              <w:autoSpaceDN/>
              <w:adjustRightInd/>
              <w:jc w:val="center"/>
              <w:rPr>
                <w:ins w:id="412" w:author="Gabriel Lopes" w:date="2020-09-17T00:08:00Z"/>
                <w:rFonts w:ascii="Verdana" w:hAnsi="Verdana" w:cs="Calibri"/>
                <w:color w:val="000000"/>
                <w:sz w:val="20"/>
                <w:szCs w:val="20"/>
              </w:rPr>
            </w:pPr>
            <w:ins w:id="413" w:author="Gabriel Lopes" w:date="2020-09-17T00:08:00Z">
              <w:r w:rsidRPr="000B7D26">
                <w:rPr>
                  <w:rFonts w:ascii="Verdana" w:hAnsi="Verdana" w:cs="Calibri"/>
                  <w:color w:val="000000"/>
                  <w:sz w:val="20"/>
                  <w:szCs w:val="20"/>
                </w:rPr>
                <w:t>1</w:t>
              </w:r>
            </w:ins>
          </w:p>
        </w:tc>
        <w:tc>
          <w:tcPr>
            <w:tcW w:w="8249" w:type="dxa"/>
            <w:tcBorders>
              <w:top w:val="nil"/>
              <w:left w:val="nil"/>
              <w:bottom w:val="single" w:sz="4" w:space="0" w:color="auto"/>
              <w:right w:val="single" w:sz="4" w:space="0" w:color="auto"/>
            </w:tcBorders>
            <w:shd w:val="clear" w:color="auto" w:fill="auto"/>
            <w:noWrap/>
            <w:vAlign w:val="bottom"/>
            <w:hideMark/>
          </w:tcPr>
          <w:p w14:paraId="091417C5" w14:textId="77777777" w:rsidR="001F5F8A" w:rsidRPr="000B7D26" w:rsidRDefault="001F5F8A" w:rsidP="001F5F8A">
            <w:pPr>
              <w:autoSpaceDE/>
              <w:autoSpaceDN/>
              <w:adjustRightInd/>
              <w:jc w:val="center"/>
              <w:rPr>
                <w:ins w:id="414" w:author="Gabriel Lopes" w:date="2020-09-17T00:08:00Z"/>
                <w:rFonts w:ascii="Verdana" w:hAnsi="Verdana" w:cs="Calibri"/>
                <w:color w:val="000000"/>
                <w:sz w:val="20"/>
                <w:szCs w:val="20"/>
              </w:rPr>
            </w:pPr>
            <w:ins w:id="415" w:author="Gabriel Lopes" w:date="2020-09-17T00:08:00Z">
              <w:r w:rsidRPr="000B7D26">
                <w:rPr>
                  <w:rFonts w:ascii="Verdana" w:hAnsi="Verdana" w:cs="Calibri"/>
                  <w:color w:val="000000"/>
                  <w:sz w:val="20"/>
                  <w:szCs w:val="20"/>
                </w:rPr>
                <w:t>30/11/2020</w:t>
              </w:r>
            </w:ins>
          </w:p>
        </w:tc>
      </w:tr>
      <w:tr w:rsidR="001F5F8A" w:rsidRPr="001F5F8A" w14:paraId="5834B092" w14:textId="77777777" w:rsidTr="000B7D26">
        <w:trPr>
          <w:trHeight w:val="300"/>
          <w:ins w:id="41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F5F8A" w:rsidRPr="000B7D26" w:rsidRDefault="001F5F8A" w:rsidP="001F5F8A">
            <w:pPr>
              <w:autoSpaceDE/>
              <w:autoSpaceDN/>
              <w:adjustRightInd/>
              <w:jc w:val="center"/>
              <w:rPr>
                <w:ins w:id="417" w:author="Gabriel Lopes" w:date="2020-09-17T00:08:00Z"/>
                <w:rFonts w:ascii="Verdana" w:hAnsi="Verdana" w:cs="Calibri"/>
                <w:color w:val="000000"/>
                <w:sz w:val="20"/>
                <w:szCs w:val="20"/>
              </w:rPr>
            </w:pPr>
            <w:ins w:id="418" w:author="Gabriel Lopes" w:date="2020-09-17T00:08:00Z">
              <w:r w:rsidRPr="000B7D26">
                <w:rPr>
                  <w:rFonts w:ascii="Verdana" w:hAnsi="Verdana" w:cs="Calibri"/>
                  <w:color w:val="000000"/>
                  <w:sz w:val="20"/>
                  <w:szCs w:val="20"/>
                </w:rPr>
                <w:t>2</w:t>
              </w:r>
            </w:ins>
          </w:p>
        </w:tc>
        <w:tc>
          <w:tcPr>
            <w:tcW w:w="8249" w:type="dxa"/>
            <w:tcBorders>
              <w:top w:val="nil"/>
              <w:left w:val="nil"/>
              <w:bottom w:val="single" w:sz="4" w:space="0" w:color="auto"/>
              <w:right w:val="single" w:sz="4" w:space="0" w:color="auto"/>
            </w:tcBorders>
            <w:shd w:val="clear" w:color="auto" w:fill="auto"/>
            <w:noWrap/>
            <w:vAlign w:val="bottom"/>
            <w:hideMark/>
          </w:tcPr>
          <w:p w14:paraId="05F30C8A" w14:textId="77777777" w:rsidR="001F5F8A" w:rsidRPr="000B7D26" w:rsidRDefault="001F5F8A" w:rsidP="001F5F8A">
            <w:pPr>
              <w:autoSpaceDE/>
              <w:autoSpaceDN/>
              <w:adjustRightInd/>
              <w:jc w:val="center"/>
              <w:rPr>
                <w:ins w:id="419" w:author="Gabriel Lopes" w:date="2020-09-17T00:08:00Z"/>
                <w:rFonts w:ascii="Verdana" w:hAnsi="Verdana" w:cs="Calibri"/>
                <w:color w:val="000000"/>
                <w:sz w:val="20"/>
                <w:szCs w:val="20"/>
              </w:rPr>
            </w:pPr>
            <w:ins w:id="420" w:author="Gabriel Lopes" w:date="2020-09-17T00:08:00Z">
              <w:r w:rsidRPr="000B7D26">
                <w:rPr>
                  <w:rFonts w:ascii="Verdana" w:hAnsi="Verdana" w:cs="Calibri"/>
                  <w:color w:val="000000"/>
                  <w:sz w:val="20"/>
                  <w:szCs w:val="20"/>
                </w:rPr>
                <w:t>29/12/2020</w:t>
              </w:r>
            </w:ins>
          </w:p>
        </w:tc>
      </w:tr>
      <w:tr w:rsidR="001F5F8A" w:rsidRPr="001F5F8A" w14:paraId="1D0C4C71" w14:textId="77777777" w:rsidTr="000B7D26">
        <w:trPr>
          <w:trHeight w:val="300"/>
          <w:ins w:id="42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F5F8A" w:rsidRPr="000B7D26" w:rsidRDefault="001F5F8A" w:rsidP="001F5F8A">
            <w:pPr>
              <w:autoSpaceDE/>
              <w:autoSpaceDN/>
              <w:adjustRightInd/>
              <w:jc w:val="center"/>
              <w:rPr>
                <w:ins w:id="422" w:author="Gabriel Lopes" w:date="2020-09-17T00:08:00Z"/>
                <w:rFonts w:ascii="Verdana" w:hAnsi="Verdana" w:cs="Calibri"/>
                <w:color w:val="000000"/>
                <w:sz w:val="20"/>
                <w:szCs w:val="20"/>
              </w:rPr>
            </w:pPr>
            <w:ins w:id="423" w:author="Gabriel Lopes" w:date="2020-09-17T00:08:00Z">
              <w:r w:rsidRPr="000B7D26">
                <w:rPr>
                  <w:rFonts w:ascii="Verdana" w:hAnsi="Verdana" w:cs="Calibri"/>
                  <w:color w:val="000000"/>
                  <w:sz w:val="20"/>
                  <w:szCs w:val="20"/>
                </w:rPr>
                <w:t>3</w:t>
              </w:r>
            </w:ins>
          </w:p>
        </w:tc>
        <w:tc>
          <w:tcPr>
            <w:tcW w:w="8249" w:type="dxa"/>
            <w:tcBorders>
              <w:top w:val="nil"/>
              <w:left w:val="nil"/>
              <w:bottom w:val="single" w:sz="4" w:space="0" w:color="auto"/>
              <w:right w:val="single" w:sz="4" w:space="0" w:color="auto"/>
            </w:tcBorders>
            <w:shd w:val="clear" w:color="auto" w:fill="auto"/>
            <w:noWrap/>
            <w:vAlign w:val="bottom"/>
            <w:hideMark/>
          </w:tcPr>
          <w:p w14:paraId="16C19F63" w14:textId="77777777" w:rsidR="001F5F8A" w:rsidRPr="000B7D26" w:rsidRDefault="001F5F8A" w:rsidP="001F5F8A">
            <w:pPr>
              <w:autoSpaceDE/>
              <w:autoSpaceDN/>
              <w:adjustRightInd/>
              <w:jc w:val="center"/>
              <w:rPr>
                <w:ins w:id="424" w:author="Gabriel Lopes" w:date="2020-09-17T00:08:00Z"/>
                <w:rFonts w:ascii="Verdana" w:hAnsi="Verdana" w:cs="Calibri"/>
                <w:color w:val="000000"/>
                <w:sz w:val="20"/>
                <w:szCs w:val="20"/>
              </w:rPr>
            </w:pPr>
            <w:ins w:id="425" w:author="Gabriel Lopes" w:date="2020-09-17T00:08:00Z">
              <w:r w:rsidRPr="000B7D26">
                <w:rPr>
                  <w:rFonts w:ascii="Verdana" w:hAnsi="Verdana" w:cs="Calibri"/>
                  <w:color w:val="000000"/>
                  <w:sz w:val="20"/>
                  <w:szCs w:val="20"/>
                </w:rPr>
                <w:t>29/01/2021</w:t>
              </w:r>
            </w:ins>
          </w:p>
        </w:tc>
      </w:tr>
      <w:tr w:rsidR="001F5F8A" w:rsidRPr="001F5F8A" w14:paraId="504601E2" w14:textId="77777777" w:rsidTr="000B7D26">
        <w:trPr>
          <w:trHeight w:val="300"/>
          <w:ins w:id="42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F5F8A" w:rsidRPr="000B7D26" w:rsidRDefault="001F5F8A" w:rsidP="001F5F8A">
            <w:pPr>
              <w:autoSpaceDE/>
              <w:autoSpaceDN/>
              <w:adjustRightInd/>
              <w:jc w:val="center"/>
              <w:rPr>
                <w:ins w:id="427" w:author="Gabriel Lopes" w:date="2020-09-17T00:08:00Z"/>
                <w:rFonts w:ascii="Verdana" w:hAnsi="Verdana" w:cs="Calibri"/>
                <w:color w:val="000000"/>
                <w:sz w:val="20"/>
                <w:szCs w:val="20"/>
              </w:rPr>
            </w:pPr>
            <w:ins w:id="428" w:author="Gabriel Lopes" w:date="2020-09-17T00:08:00Z">
              <w:r w:rsidRPr="000B7D26">
                <w:rPr>
                  <w:rFonts w:ascii="Verdana" w:hAnsi="Verdana" w:cs="Calibri"/>
                  <w:color w:val="000000"/>
                  <w:sz w:val="20"/>
                  <w:szCs w:val="20"/>
                </w:rPr>
                <w:t>4</w:t>
              </w:r>
            </w:ins>
          </w:p>
        </w:tc>
        <w:tc>
          <w:tcPr>
            <w:tcW w:w="8249" w:type="dxa"/>
            <w:tcBorders>
              <w:top w:val="nil"/>
              <w:left w:val="nil"/>
              <w:bottom w:val="single" w:sz="4" w:space="0" w:color="auto"/>
              <w:right w:val="single" w:sz="4" w:space="0" w:color="auto"/>
            </w:tcBorders>
            <w:shd w:val="clear" w:color="auto" w:fill="auto"/>
            <w:noWrap/>
            <w:vAlign w:val="bottom"/>
            <w:hideMark/>
          </w:tcPr>
          <w:p w14:paraId="763AFE98" w14:textId="77777777" w:rsidR="001F5F8A" w:rsidRPr="000B7D26" w:rsidRDefault="001F5F8A" w:rsidP="001F5F8A">
            <w:pPr>
              <w:autoSpaceDE/>
              <w:autoSpaceDN/>
              <w:adjustRightInd/>
              <w:jc w:val="center"/>
              <w:rPr>
                <w:ins w:id="429" w:author="Gabriel Lopes" w:date="2020-09-17T00:08:00Z"/>
                <w:rFonts w:ascii="Verdana" w:hAnsi="Verdana" w:cs="Calibri"/>
                <w:color w:val="000000"/>
                <w:sz w:val="20"/>
                <w:szCs w:val="20"/>
              </w:rPr>
            </w:pPr>
            <w:ins w:id="430" w:author="Gabriel Lopes" w:date="2020-09-17T00:08:00Z">
              <w:r w:rsidRPr="000B7D26">
                <w:rPr>
                  <w:rFonts w:ascii="Verdana" w:hAnsi="Verdana" w:cs="Calibri"/>
                  <w:color w:val="000000"/>
                  <w:sz w:val="20"/>
                  <w:szCs w:val="20"/>
                </w:rPr>
                <w:t>02/03/2021</w:t>
              </w:r>
            </w:ins>
          </w:p>
        </w:tc>
      </w:tr>
      <w:tr w:rsidR="001F5F8A" w:rsidRPr="001F5F8A" w14:paraId="346A0960" w14:textId="77777777" w:rsidTr="000B7D26">
        <w:trPr>
          <w:trHeight w:val="300"/>
          <w:ins w:id="43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F5F8A" w:rsidRPr="000B7D26" w:rsidRDefault="001F5F8A" w:rsidP="001F5F8A">
            <w:pPr>
              <w:autoSpaceDE/>
              <w:autoSpaceDN/>
              <w:adjustRightInd/>
              <w:jc w:val="center"/>
              <w:rPr>
                <w:ins w:id="432" w:author="Gabriel Lopes" w:date="2020-09-17T00:08:00Z"/>
                <w:rFonts w:ascii="Verdana" w:hAnsi="Verdana" w:cs="Calibri"/>
                <w:color w:val="000000"/>
                <w:sz w:val="20"/>
                <w:szCs w:val="20"/>
              </w:rPr>
            </w:pPr>
            <w:ins w:id="433" w:author="Gabriel Lopes" w:date="2020-09-17T00:08:00Z">
              <w:r w:rsidRPr="000B7D26">
                <w:rPr>
                  <w:rFonts w:ascii="Verdana" w:hAnsi="Verdana" w:cs="Calibri"/>
                  <w:color w:val="000000"/>
                  <w:sz w:val="20"/>
                  <w:szCs w:val="20"/>
                </w:rPr>
                <w:t>5</w:t>
              </w:r>
            </w:ins>
          </w:p>
        </w:tc>
        <w:tc>
          <w:tcPr>
            <w:tcW w:w="8249" w:type="dxa"/>
            <w:tcBorders>
              <w:top w:val="nil"/>
              <w:left w:val="nil"/>
              <w:bottom w:val="single" w:sz="4" w:space="0" w:color="auto"/>
              <w:right w:val="single" w:sz="4" w:space="0" w:color="auto"/>
            </w:tcBorders>
            <w:shd w:val="clear" w:color="auto" w:fill="auto"/>
            <w:noWrap/>
            <w:vAlign w:val="bottom"/>
            <w:hideMark/>
          </w:tcPr>
          <w:p w14:paraId="5DF8FF61" w14:textId="77777777" w:rsidR="001F5F8A" w:rsidRPr="000B7D26" w:rsidRDefault="001F5F8A" w:rsidP="001F5F8A">
            <w:pPr>
              <w:autoSpaceDE/>
              <w:autoSpaceDN/>
              <w:adjustRightInd/>
              <w:jc w:val="center"/>
              <w:rPr>
                <w:ins w:id="434" w:author="Gabriel Lopes" w:date="2020-09-17T00:08:00Z"/>
                <w:rFonts w:ascii="Verdana" w:hAnsi="Verdana" w:cs="Calibri"/>
                <w:color w:val="000000"/>
                <w:sz w:val="20"/>
                <w:szCs w:val="20"/>
              </w:rPr>
            </w:pPr>
            <w:ins w:id="435" w:author="Gabriel Lopes" w:date="2020-09-17T00:08:00Z">
              <w:r w:rsidRPr="000B7D26">
                <w:rPr>
                  <w:rFonts w:ascii="Verdana" w:hAnsi="Verdana" w:cs="Calibri"/>
                  <w:color w:val="000000"/>
                  <w:sz w:val="20"/>
                  <w:szCs w:val="20"/>
                </w:rPr>
                <w:t>26/03/2021</w:t>
              </w:r>
            </w:ins>
          </w:p>
        </w:tc>
      </w:tr>
      <w:tr w:rsidR="001F5F8A" w:rsidRPr="001F5F8A" w14:paraId="3498C2EA" w14:textId="77777777" w:rsidTr="000B7D26">
        <w:trPr>
          <w:trHeight w:val="300"/>
          <w:ins w:id="43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F5F8A" w:rsidRPr="000B7D26" w:rsidRDefault="001F5F8A" w:rsidP="001F5F8A">
            <w:pPr>
              <w:autoSpaceDE/>
              <w:autoSpaceDN/>
              <w:adjustRightInd/>
              <w:jc w:val="center"/>
              <w:rPr>
                <w:ins w:id="437" w:author="Gabriel Lopes" w:date="2020-09-17T00:08:00Z"/>
                <w:rFonts w:ascii="Verdana" w:hAnsi="Verdana" w:cs="Calibri"/>
                <w:color w:val="000000"/>
                <w:sz w:val="20"/>
                <w:szCs w:val="20"/>
              </w:rPr>
            </w:pPr>
            <w:ins w:id="438" w:author="Gabriel Lopes" w:date="2020-09-17T00:08:00Z">
              <w:r w:rsidRPr="000B7D26">
                <w:rPr>
                  <w:rFonts w:ascii="Verdana" w:hAnsi="Verdana" w:cs="Calibri"/>
                  <w:color w:val="000000"/>
                  <w:sz w:val="20"/>
                  <w:szCs w:val="20"/>
                </w:rPr>
                <w:t>6</w:t>
              </w:r>
            </w:ins>
          </w:p>
        </w:tc>
        <w:tc>
          <w:tcPr>
            <w:tcW w:w="8249" w:type="dxa"/>
            <w:tcBorders>
              <w:top w:val="nil"/>
              <w:left w:val="nil"/>
              <w:bottom w:val="single" w:sz="4" w:space="0" w:color="auto"/>
              <w:right w:val="single" w:sz="4" w:space="0" w:color="auto"/>
            </w:tcBorders>
            <w:shd w:val="clear" w:color="auto" w:fill="auto"/>
            <w:noWrap/>
            <w:vAlign w:val="bottom"/>
            <w:hideMark/>
          </w:tcPr>
          <w:p w14:paraId="249649C5" w14:textId="77777777" w:rsidR="001F5F8A" w:rsidRPr="000B7D26" w:rsidRDefault="001F5F8A" w:rsidP="001F5F8A">
            <w:pPr>
              <w:autoSpaceDE/>
              <w:autoSpaceDN/>
              <w:adjustRightInd/>
              <w:jc w:val="center"/>
              <w:rPr>
                <w:ins w:id="439" w:author="Gabriel Lopes" w:date="2020-09-17T00:08:00Z"/>
                <w:rFonts w:ascii="Verdana" w:hAnsi="Verdana" w:cs="Calibri"/>
                <w:color w:val="000000"/>
                <w:sz w:val="20"/>
                <w:szCs w:val="20"/>
              </w:rPr>
            </w:pPr>
            <w:ins w:id="440" w:author="Gabriel Lopes" w:date="2020-09-17T00:08:00Z">
              <w:r w:rsidRPr="000B7D26">
                <w:rPr>
                  <w:rFonts w:ascii="Verdana" w:hAnsi="Verdana" w:cs="Calibri"/>
                  <w:color w:val="000000"/>
                  <w:sz w:val="20"/>
                  <w:szCs w:val="20"/>
                </w:rPr>
                <w:t>30/04/2021</w:t>
              </w:r>
            </w:ins>
          </w:p>
        </w:tc>
      </w:tr>
      <w:tr w:rsidR="001F5F8A" w:rsidRPr="001F5F8A" w14:paraId="2F12E6FF" w14:textId="77777777" w:rsidTr="000B7D26">
        <w:trPr>
          <w:trHeight w:val="300"/>
          <w:ins w:id="44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F5F8A" w:rsidRPr="000B7D26" w:rsidRDefault="001F5F8A" w:rsidP="001F5F8A">
            <w:pPr>
              <w:autoSpaceDE/>
              <w:autoSpaceDN/>
              <w:adjustRightInd/>
              <w:jc w:val="center"/>
              <w:rPr>
                <w:ins w:id="442" w:author="Gabriel Lopes" w:date="2020-09-17T00:08:00Z"/>
                <w:rFonts w:ascii="Verdana" w:hAnsi="Verdana" w:cs="Calibri"/>
                <w:color w:val="000000"/>
                <w:sz w:val="20"/>
                <w:szCs w:val="20"/>
              </w:rPr>
            </w:pPr>
            <w:ins w:id="443" w:author="Gabriel Lopes" w:date="2020-09-17T00:08:00Z">
              <w:r w:rsidRPr="000B7D26">
                <w:rPr>
                  <w:rFonts w:ascii="Verdana" w:hAnsi="Verdana" w:cs="Calibri"/>
                  <w:color w:val="000000"/>
                  <w:sz w:val="20"/>
                  <w:szCs w:val="20"/>
                </w:rPr>
                <w:t>7</w:t>
              </w:r>
            </w:ins>
          </w:p>
        </w:tc>
        <w:tc>
          <w:tcPr>
            <w:tcW w:w="8249" w:type="dxa"/>
            <w:tcBorders>
              <w:top w:val="nil"/>
              <w:left w:val="nil"/>
              <w:bottom w:val="single" w:sz="4" w:space="0" w:color="auto"/>
              <w:right w:val="single" w:sz="4" w:space="0" w:color="auto"/>
            </w:tcBorders>
            <w:shd w:val="clear" w:color="auto" w:fill="auto"/>
            <w:noWrap/>
            <w:vAlign w:val="bottom"/>
            <w:hideMark/>
          </w:tcPr>
          <w:p w14:paraId="6725C567" w14:textId="77777777" w:rsidR="001F5F8A" w:rsidRPr="000B7D26" w:rsidRDefault="001F5F8A" w:rsidP="001F5F8A">
            <w:pPr>
              <w:autoSpaceDE/>
              <w:autoSpaceDN/>
              <w:adjustRightInd/>
              <w:jc w:val="center"/>
              <w:rPr>
                <w:ins w:id="444" w:author="Gabriel Lopes" w:date="2020-09-17T00:08:00Z"/>
                <w:rFonts w:ascii="Verdana" w:hAnsi="Verdana" w:cs="Calibri"/>
                <w:color w:val="000000"/>
                <w:sz w:val="20"/>
                <w:szCs w:val="20"/>
              </w:rPr>
            </w:pPr>
            <w:ins w:id="445" w:author="Gabriel Lopes" w:date="2020-09-17T00:08:00Z">
              <w:r w:rsidRPr="000B7D26">
                <w:rPr>
                  <w:rFonts w:ascii="Verdana" w:hAnsi="Verdana" w:cs="Calibri"/>
                  <w:color w:val="000000"/>
                  <w:sz w:val="20"/>
                  <w:szCs w:val="20"/>
                </w:rPr>
                <w:t>28/05/2021</w:t>
              </w:r>
            </w:ins>
          </w:p>
        </w:tc>
      </w:tr>
      <w:tr w:rsidR="001F5F8A" w:rsidRPr="001F5F8A" w14:paraId="2922515D" w14:textId="77777777" w:rsidTr="000B7D26">
        <w:trPr>
          <w:trHeight w:val="300"/>
          <w:ins w:id="44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F5F8A" w:rsidRPr="000B7D26" w:rsidRDefault="001F5F8A" w:rsidP="001F5F8A">
            <w:pPr>
              <w:autoSpaceDE/>
              <w:autoSpaceDN/>
              <w:adjustRightInd/>
              <w:jc w:val="center"/>
              <w:rPr>
                <w:ins w:id="447" w:author="Gabriel Lopes" w:date="2020-09-17T00:08:00Z"/>
                <w:rFonts w:ascii="Verdana" w:hAnsi="Verdana" w:cs="Calibri"/>
                <w:color w:val="000000"/>
                <w:sz w:val="20"/>
                <w:szCs w:val="20"/>
              </w:rPr>
            </w:pPr>
            <w:ins w:id="448" w:author="Gabriel Lopes" w:date="2020-09-17T00:08:00Z">
              <w:r w:rsidRPr="000B7D26">
                <w:rPr>
                  <w:rFonts w:ascii="Verdana" w:hAnsi="Verdana" w:cs="Calibri"/>
                  <w:color w:val="000000"/>
                  <w:sz w:val="20"/>
                  <w:szCs w:val="20"/>
                </w:rPr>
                <w:t>8</w:t>
              </w:r>
            </w:ins>
          </w:p>
        </w:tc>
        <w:tc>
          <w:tcPr>
            <w:tcW w:w="8249" w:type="dxa"/>
            <w:tcBorders>
              <w:top w:val="nil"/>
              <w:left w:val="nil"/>
              <w:bottom w:val="single" w:sz="4" w:space="0" w:color="auto"/>
              <w:right w:val="single" w:sz="4" w:space="0" w:color="auto"/>
            </w:tcBorders>
            <w:shd w:val="clear" w:color="auto" w:fill="auto"/>
            <w:noWrap/>
            <w:vAlign w:val="bottom"/>
            <w:hideMark/>
          </w:tcPr>
          <w:p w14:paraId="12C4F61C" w14:textId="77777777" w:rsidR="001F5F8A" w:rsidRPr="000B7D26" w:rsidRDefault="001F5F8A" w:rsidP="001F5F8A">
            <w:pPr>
              <w:autoSpaceDE/>
              <w:autoSpaceDN/>
              <w:adjustRightInd/>
              <w:jc w:val="center"/>
              <w:rPr>
                <w:ins w:id="449" w:author="Gabriel Lopes" w:date="2020-09-17T00:08:00Z"/>
                <w:rFonts w:ascii="Verdana" w:hAnsi="Verdana" w:cs="Calibri"/>
                <w:color w:val="000000"/>
                <w:sz w:val="20"/>
                <w:szCs w:val="20"/>
              </w:rPr>
            </w:pPr>
            <w:ins w:id="450" w:author="Gabriel Lopes" w:date="2020-09-17T00:08:00Z">
              <w:r w:rsidRPr="000B7D26">
                <w:rPr>
                  <w:rFonts w:ascii="Verdana" w:hAnsi="Verdana" w:cs="Calibri"/>
                  <w:color w:val="000000"/>
                  <w:sz w:val="20"/>
                  <w:szCs w:val="20"/>
                </w:rPr>
                <w:t>29/06/2021</w:t>
              </w:r>
            </w:ins>
          </w:p>
        </w:tc>
      </w:tr>
      <w:tr w:rsidR="001F5F8A" w:rsidRPr="001F5F8A" w14:paraId="0C828F63" w14:textId="77777777" w:rsidTr="000B7D26">
        <w:trPr>
          <w:trHeight w:val="300"/>
          <w:ins w:id="45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F5F8A" w:rsidRPr="000B7D26" w:rsidRDefault="001F5F8A" w:rsidP="001F5F8A">
            <w:pPr>
              <w:autoSpaceDE/>
              <w:autoSpaceDN/>
              <w:adjustRightInd/>
              <w:jc w:val="center"/>
              <w:rPr>
                <w:ins w:id="452" w:author="Gabriel Lopes" w:date="2020-09-17T00:08:00Z"/>
                <w:rFonts w:ascii="Verdana" w:hAnsi="Verdana" w:cs="Calibri"/>
                <w:color w:val="000000"/>
                <w:sz w:val="20"/>
                <w:szCs w:val="20"/>
              </w:rPr>
            </w:pPr>
            <w:ins w:id="453" w:author="Gabriel Lopes" w:date="2020-09-17T00:08:00Z">
              <w:r w:rsidRPr="000B7D26">
                <w:rPr>
                  <w:rFonts w:ascii="Verdana" w:hAnsi="Verdana" w:cs="Calibri"/>
                  <w:color w:val="000000"/>
                  <w:sz w:val="20"/>
                  <w:szCs w:val="20"/>
                </w:rPr>
                <w:t>9</w:t>
              </w:r>
            </w:ins>
          </w:p>
        </w:tc>
        <w:tc>
          <w:tcPr>
            <w:tcW w:w="8249" w:type="dxa"/>
            <w:tcBorders>
              <w:top w:val="nil"/>
              <w:left w:val="nil"/>
              <w:bottom w:val="single" w:sz="4" w:space="0" w:color="auto"/>
              <w:right w:val="single" w:sz="4" w:space="0" w:color="auto"/>
            </w:tcBorders>
            <w:shd w:val="clear" w:color="auto" w:fill="auto"/>
            <w:noWrap/>
            <w:vAlign w:val="bottom"/>
            <w:hideMark/>
          </w:tcPr>
          <w:p w14:paraId="7C4F627F" w14:textId="77777777" w:rsidR="001F5F8A" w:rsidRPr="000B7D26" w:rsidRDefault="001F5F8A" w:rsidP="001F5F8A">
            <w:pPr>
              <w:autoSpaceDE/>
              <w:autoSpaceDN/>
              <w:adjustRightInd/>
              <w:jc w:val="center"/>
              <w:rPr>
                <w:ins w:id="454" w:author="Gabriel Lopes" w:date="2020-09-17T00:08:00Z"/>
                <w:rFonts w:ascii="Verdana" w:hAnsi="Verdana" w:cs="Calibri"/>
                <w:color w:val="000000"/>
                <w:sz w:val="20"/>
                <w:szCs w:val="20"/>
              </w:rPr>
            </w:pPr>
            <w:ins w:id="455" w:author="Gabriel Lopes" w:date="2020-09-17T00:08:00Z">
              <w:r w:rsidRPr="000B7D26">
                <w:rPr>
                  <w:rFonts w:ascii="Verdana" w:hAnsi="Verdana" w:cs="Calibri"/>
                  <w:color w:val="000000"/>
                  <w:sz w:val="20"/>
                  <w:szCs w:val="20"/>
                </w:rPr>
                <w:t>28/07/2021</w:t>
              </w:r>
            </w:ins>
          </w:p>
        </w:tc>
      </w:tr>
      <w:tr w:rsidR="001F5F8A" w:rsidRPr="001F5F8A" w14:paraId="1F64EFC8" w14:textId="77777777" w:rsidTr="000B7D26">
        <w:trPr>
          <w:trHeight w:val="300"/>
          <w:ins w:id="45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F5F8A" w:rsidRPr="000B7D26" w:rsidRDefault="001F5F8A" w:rsidP="001F5F8A">
            <w:pPr>
              <w:autoSpaceDE/>
              <w:autoSpaceDN/>
              <w:adjustRightInd/>
              <w:jc w:val="center"/>
              <w:rPr>
                <w:ins w:id="457" w:author="Gabriel Lopes" w:date="2020-09-17T00:08:00Z"/>
                <w:rFonts w:ascii="Verdana" w:hAnsi="Verdana" w:cs="Calibri"/>
                <w:color w:val="000000"/>
                <w:sz w:val="20"/>
                <w:szCs w:val="20"/>
              </w:rPr>
            </w:pPr>
            <w:ins w:id="458" w:author="Gabriel Lopes" w:date="2020-09-17T00:08:00Z">
              <w:r w:rsidRPr="000B7D26">
                <w:rPr>
                  <w:rFonts w:ascii="Verdana" w:hAnsi="Verdana" w:cs="Calibri"/>
                  <w:color w:val="000000"/>
                  <w:sz w:val="20"/>
                  <w:szCs w:val="20"/>
                </w:rPr>
                <w:t>10</w:t>
              </w:r>
            </w:ins>
          </w:p>
        </w:tc>
        <w:tc>
          <w:tcPr>
            <w:tcW w:w="8249" w:type="dxa"/>
            <w:tcBorders>
              <w:top w:val="nil"/>
              <w:left w:val="nil"/>
              <w:bottom w:val="single" w:sz="4" w:space="0" w:color="auto"/>
              <w:right w:val="single" w:sz="4" w:space="0" w:color="auto"/>
            </w:tcBorders>
            <w:shd w:val="clear" w:color="auto" w:fill="auto"/>
            <w:noWrap/>
            <w:vAlign w:val="bottom"/>
            <w:hideMark/>
          </w:tcPr>
          <w:p w14:paraId="70985795" w14:textId="77777777" w:rsidR="001F5F8A" w:rsidRPr="000B7D26" w:rsidRDefault="001F5F8A" w:rsidP="001F5F8A">
            <w:pPr>
              <w:autoSpaceDE/>
              <w:autoSpaceDN/>
              <w:adjustRightInd/>
              <w:jc w:val="center"/>
              <w:rPr>
                <w:ins w:id="459" w:author="Gabriel Lopes" w:date="2020-09-17T00:08:00Z"/>
                <w:rFonts w:ascii="Verdana" w:hAnsi="Verdana" w:cs="Calibri"/>
                <w:color w:val="000000"/>
                <w:sz w:val="20"/>
                <w:szCs w:val="20"/>
              </w:rPr>
            </w:pPr>
            <w:ins w:id="460" w:author="Gabriel Lopes" w:date="2020-09-17T00:08:00Z">
              <w:r w:rsidRPr="000B7D26">
                <w:rPr>
                  <w:rFonts w:ascii="Verdana" w:hAnsi="Verdana" w:cs="Calibri"/>
                  <w:color w:val="000000"/>
                  <w:sz w:val="20"/>
                  <w:szCs w:val="20"/>
                </w:rPr>
                <w:t>27/08/2021</w:t>
              </w:r>
            </w:ins>
          </w:p>
        </w:tc>
      </w:tr>
      <w:tr w:rsidR="001F5F8A" w:rsidRPr="001F5F8A" w14:paraId="0F3F9B5F" w14:textId="77777777" w:rsidTr="000B7D26">
        <w:trPr>
          <w:trHeight w:val="300"/>
          <w:ins w:id="46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F5F8A" w:rsidRPr="000B7D26" w:rsidRDefault="001F5F8A" w:rsidP="001F5F8A">
            <w:pPr>
              <w:autoSpaceDE/>
              <w:autoSpaceDN/>
              <w:adjustRightInd/>
              <w:jc w:val="center"/>
              <w:rPr>
                <w:ins w:id="462" w:author="Gabriel Lopes" w:date="2020-09-17T00:08:00Z"/>
                <w:rFonts w:ascii="Verdana" w:hAnsi="Verdana" w:cs="Calibri"/>
                <w:color w:val="000000"/>
                <w:sz w:val="20"/>
                <w:szCs w:val="20"/>
              </w:rPr>
            </w:pPr>
            <w:ins w:id="463" w:author="Gabriel Lopes" w:date="2020-09-17T00:08:00Z">
              <w:r w:rsidRPr="000B7D26">
                <w:rPr>
                  <w:rFonts w:ascii="Verdana" w:hAnsi="Verdana" w:cs="Calibri"/>
                  <w:color w:val="000000"/>
                  <w:sz w:val="20"/>
                  <w:szCs w:val="20"/>
                </w:rPr>
                <w:t>11</w:t>
              </w:r>
            </w:ins>
          </w:p>
        </w:tc>
        <w:tc>
          <w:tcPr>
            <w:tcW w:w="8249" w:type="dxa"/>
            <w:tcBorders>
              <w:top w:val="nil"/>
              <w:left w:val="nil"/>
              <w:bottom w:val="single" w:sz="4" w:space="0" w:color="auto"/>
              <w:right w:val="single" w:sz="4" w:space="0" w:color="auto"/>
            </w:tcBorders>
            <w:shd w:val="clear" w:color="auto" w:fill="auto"/>
            <w:noWrap/>
            <w:vAlign w:val="bottom"/>
            <w:hideMark/>
          </w:tcPr>
          <w:p w14:paraId="4FDA92D3" w14:textId="77777777" w:rsidR="001F5F8A" w:rsidRPr="000B7D26" w:rsidRDefault="001F5F8A" w:rsidP="001F5F8A">
            <w:pPr>
              <w:autoSpaceDE/>
              <w:autoSpaceDN/>
              <w:adjustRightInd/>
              <w:jc w:val="center"/>
              <w:rPr>
                <w:ins w:id="464" w:author="Gabriel Lopes" w:date="2020-09-17T00:08:00Z"/>
                <w:rFonts w:ascii="Verdana" w:hAnsi="Verdana" w:cs="Calibri"/>
                <w:color w:val="000000"/>
                <w:sz w:val="20"/>
                <w:szCs w:val="20"/>
              </w:rPr>
            </w:pPr>
            <w:ins w:id="465" w:author="Gabriel Lopes" w:date="2020-09-17T00:08:00Z">
              <w:r w:rsidRPr="000B7D26">
                <w:rPr>
                  <w:rFonts w:ascii="Verdana" w:hAnsi="Verdana" w:cs="Calibri"/>
                  <w:color w:val="000000"/>
                  <w:sz w:val="20"/>
                  <w:szCs w:val="20"/>
                </w:rPr>
                <w:t>29/09/2021</w:t>
              </w:r>
            </w:ins>
          </w:p>
        </w:tc>
      </w:tr>
      <w:tr w:rsidR="001F5F8A" w:rsidRPr="001F5F8A" w14:paraId="7D2F3B60" w14:textId="77777777" w:rsidTr="000B7D26">
        <w:trPr>
          <w:trHeight w:val="300"/>
          <w:ins w:id="46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F5F8A" w:rsidRPr="000B7D26" w:rsidRDefault="001F5F8A" w:rsidP="001F5F8A">
            <w:pPr>
              <w:autoSpaceDE/>
              <w:autoSpaceDN/>
              <w:adjustRightInd/>
              <w:jc w:val="center"/>
              <w:rPr>
                <w:ins w:id="467" w:author="Gabriel Lopes" w:date="2020-09-17T00:08:00Z"/>
                <w:rFonts w:ascii="Verdana" w:hAnsi="Verdana" w:cs="Calibri"/>
                <w:color w:val="000000"/>
                <w:sz w:val="20"/>
                <w:szCs w:val="20"/>
              </w:rPr>
            </w:pPr>
            <w:ins w:id="468" w:author="Gabriel Lopes" w:date="2020-09-17T00:08:00Z">
              <w:r w:rsidRPr="000B7D26">
                <w:rPr>
                  <w:rFonts w:ascii="Verdana" w:hAnsi="Verdana" w:cs="Calibri"/>
                  <w:color w:val="000000"/>
                  <w:sz w:val="20"/>
                  <w:szCs w:val="20"/>
                </w:rPr>
                <w:t>12</w:t>
              </w:r>
            </w:ins>
          </w:p>
        </w:tc>
        <w:tc>
          <w:tcPr>
            <w:tcW w:w="8249" w:type="dxa"/>
            <w:tcBorders>
              <w:top w:val="nil"/>
              <w:left w:val="nil"/>
              <w:bottom w:val="single" w:sz="4" w:space="0" w:color="auto"/>
              <w:right w:val="single" w:sz="4" w:space="0" w:color="auto"/>
            </w:tcBorders>
            <w:shd w:val="clear" w:color="auto" w:fill="auto"/>
            <w:noWrap/>
            <w:vAlign w:val="bottom"/>
            <w:hideMark/>
          </w:tcPr>
          <w:p w14:paraId="075C5B82" w14:textId="77777777" w:rsidR="001F5F8A" w:rsidRPr="000B7D26" w:rsidRDefault="001F5F8A" w:rsidP="001F5F8A">
            <w:pPr>
              <w:autoSpaceDE/>
              <w:autoSpaceDN/>
              <w:adjustRightInd/>
              <w:jc w:val="center"/>
              <w:rPr>
                <w:ins w:id="469" w:author="Gabriel Lopes" w:date="2020-09-17T00:08:00Z"/>
                <w:rFonts w:ascii="Verdana" w:hAnsi="Verdana" w:cs="Calibri"/>
                <w:color w:val="000000"/>
                <w:sz w:val="20"/>
                <w:szCs w:val="20"/>
              </w:rPr>
            </w:pPr>
            <w:ins w:id="470" w:author="Gabriel Lopes" w:date="2020-09-17T00:08:00Z">
              <w:r w:rsidRPr="000B7D26">
                <w:rPr>
                  <w:rFonts w:ascii="Verdana" w:hAnsi="Verdana" w:cs="Calibri"/>
                  <w:color w:val="000000"/>
                  <w:sz w:val="20"/>
                  <w:szCs w:val="20"/>
                </w:rPr>
                <w:t>29/10/2021</w:t>
              </w:r>
            </w:ins>
          </w:p>
        </w:tc>
      </w:tr>
      <w:tr w:rsidR="001F5F8A" w:rsidRPr="001F5F8A" w14:paraId="156F39B4" w14:textId="77777777" w:rsidTr="000B7D26">
        <w:trPr>
          <w:trHeight w:val="300"/>
          <w:ins w:id="47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F5F8A" w:rsidRPr="000B7D26" w:rsidRDefault="001F5F8A" w:rsidP="001F5F8A">
            <w:pPr>
              <w:autoSpaceDE/>
              <w:autoSpaceDN/>
              <w:adjustRightInd/>
              <w:jc w:val="center"/>
              <w:rPr>
                <w:ins w:id="472" w:author="Gabriel Lopes" w:date="2020-09-17T00:08:00Z"/>
                <w:rFonts w:ascii="Verdana" w:hAnsi="Verdana" w:cs="Calibri"/>
                <w:color w:val="000000"/>
                <w:sz w:val="20"/>
                <w:szCs w:val="20"/>
              </w:rPr>
            </w:pPr>
            <w:ins w:id="473" w:author="Gabriel Lopes" w:date="2020-09-17T00:08:00Z">
              <w:r w:rsidRPr="000B7D26">
                <w:rPr>
                  <w:rFonts w:ascii="Verdana" w:hAnsi="Verdana" w:cs="Calibri"/>
                  <w:color w:val="000000"/>
                  <w:sz w:val="20"/>
                  <w:szCs w:val="20"/>
                </w:rPr>
                <w:t>13</w:t>
              </w:r>
            </w:ins>
          </w:p>
        </w:tc>
        <w:tc>
          <w:tcPr>
            <w:tcW w:w="8249" w:type="dxa"/>
            <w:tcBorders>
              <w:top w:val="nil"/>
              <w:left w:val="nil"/>
              <w:bottom w:val="single" w:sz="4" w:space="0" w:color="auto"/>
              <w:right w:val="single" w:sz="4" w:space="0" w:color="auto"/>
            </w:tcBorders>
            <w:shd w:val="clear" w:color="auto" w:fill="auto"/>
            <w:noWrap/>
            <w:vAlign w:val="bottom"/>
            <w:hideMark/>
          </w:tcPr>
          <w:p w14:paraId="333F10AB" w14:textId="77777777" w:rsidR="001F5F8A" w:rsidRPr="000B7D26" w:rsidRDefault="001F5F8A" w:rsidP="001F5F8A">
            <w:pPr>
              <w:autoSpaceDE/>
              <w:autoSpaceDN/>
              <w:adjustRightInd/>
              <w:jc w:val="center"/>
              <w:rPr>
                <w:ins w:id="474" w:author="Gabriel Lopes" w:date="2020-09-17T00:08:00Z"/>
                <w:rFonts w:ascii="Verdana" w:hAnsi="Verdana" w:cs="Calibri"/>
                <w:color w:val="000000"/>
                <w:sz w:val="20"/>
                <w:szCs w:val="20"/>
              </w:rPr>
            </w:pPr>
            <w:ins w:id="475" w:author="Gabriel Lopes" w:date="2020-09-17T00:08:00Z">
              <w:r w:rsidRPr="000B7D26">
                <w:rPr>
                  <w:rFonts w:ascii="Verdana" w:hAnsi="Verdana" w:cs="Calibri"/>
                  <w:color w:val="000000"/>
                  <w:sz w:val="20"/>
                  <w:szCs w:val="20"/>
                </w:rPr>
                <w:t>30/11/2021</w:t>
              </w:r>
            </w:ins>
          </w:p>
        </w:tc>
      </w:tr>
      <w:tr w:rsidR="001F5F8A" w:rsidRPr="001F5F8A" w14:paraId="6533E167" w14:textId="77777777" w:rsidTr="000B7D26">
        <w:trPr>
          <w:trHeight w:val="300"/>
          <w:ins w:id="47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F5F8A" w:rsidRPr="000B7D26" w:rsidRDefault="001F5F8A" w:rsidP="001F5F8A">
            <w:pPr>
              <w:autoSpaceDE/>
              <w:autoSpaceDN/>
              <w:adjustRightInd/>
              <w:jc w:val="center"/>
              <w:rPr>
                <w:ins w:id="477" w:author="Gabriel Lopes" w:date="2020-09-17T00:08:00Z"/>
                <w:rFonts w:ascii="Verdana" w:hAnsi="Verdana" w:cs="Calibri"/>
                <w:color w:val="000000"/>
                <w:sz w:val="20"/>
                <w:szCs w:val="20"/>
              </w:rPr>
            </w:pPr>
            <w:ins w:id="478" w:author="Gabriel Lopes" w:date="2020-09-17T00:08:00Z">
              <w:r w:rsidRPr="000B7D26">
                <w:rPr>
                  <w:rFonts w:ascii="Verdana" w:hAnsi="Verdana" w:cs="Calibri"/>
                  <w:color w:val="000000"/>
                  <w:sz w:val="20"/>
                  <w:szCs w:val="20"/>
                </w:rPr>
                <w:t>14</w:t>
              </w:r>
            </w:ins>
          </w:p>
        </w:tc>
        <w:tc>
          <w:tcPr>
            <w:tcW w:w="8249" w:type="dxa"/>
            <w:tcBorders>
              <w:top w:val="nil"/>
              <w:left w:val="nil"/>
              <w:bottom w:val="single" w:sz="4" w:space="0" w:color="auto"/>
              <w:right w:val="single" w:sz="4" w:space="0" w:color="auto"/>
            </w:tcBorders>
            <w:shd w:val="clear" w:color="auto" w:fill="auto"/>
            <w:noWrap/>
            <w:vAlign w:val="bottom"/>
            <w:hideMark/>
          </w:tcPr>
          <w:p w14:paraId="56AA7ABF" w14:textId="77777777" w:rsidR="001F5F8A" w:rsidRPr="000B7D26" w:rsidRDefault="001F5F8A" w:rsidP="001F5F8A">
            <w:pPr>
              <w:autoSpaceDE/>
              <w:autoSpaceDN/>
              <w:adjustRightInd/>
              <w:jc w:val="center"/>
              <w:rPr>
                <w:ins w:id="479" w:author="Gabriel Lopes" w:date="2020-09-17T00:08:00Z"/>
                <w:rFonts w:ascii="Verdana" w:hAnsi="Verdana" w:cs="Calibri"/>
                <w:color w:val="000000"/>
                <w:sz w:val="20"/>
                <w:szCs w:val="20"/>
              </w:rPr>
            </w:pPr>
            <w:ins w:id="480" w:author="Gabriel Lopes" w:date="2020-09-17T00:08:00Z">
              <w:r w:rsidRPr="000B7D26">
                <w:rPr>
                  <w:rFonts w:ascii="Verdana" w:hAnsi="Verdana" w:cs="Calibri"/>
                  <w:color w:val="000000"/>
                  <w:sz w:val="20"/>
                  <w:szCs w:val="20"/>
                </w:rPr>
                <w:t>28/12/2021</w:t>
              </w:r>
            </w:ins>
          </w:p>
        </w:tc>
      </w:tr>
      <w:tr w:rsidR="001F5F8A" w:rsidRPr="001F5F8A" w14:paraId="50003FC0" w14:textId="77777777" w:rsidTr="000B7D26">
        <w:trPr>
          <w:trHeight w:val="300"/>
          <w:ins w:id="48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F5F8A" w:rsidRPr="000B7D26" w:rsidRDefault="001F5F8A" w:rsidP="001F5F8A">
            <w:pPr>
              <w:autoSpaceDE/>
              <w:autoSpaceDN/>
              <w:adjustRightInd/>
              <w:jc w:val="center"/>
              <w:rPr>
                <w:ins w:id="482" w:author="Gabriel Lopes" w:date="2020-09-17T00:08:00Z"/>
                <w:rFonts w:ascii="Verdana" w:hAnsi="Verdana" w:cs="Calibri"/>
                <w:color w:val="000000"/>
                <w:sz w:val="20"/>
                <w:szCs w:val="20"/>
              </w:rPr>
            </w:pPr>
            <w:ins w:id="483" w:author="Gabriel Lopes" w:date="2020-09-17T00:08:00Z">
              <w:r w:rsidRPr="000B7D26">
                <w:rPr>
                  <w:rFonts w:ascii="Verdana" w:hAnsi="Verdana" w:cs="Calibri"/>
                  <w:color w:val="000000"/>
                  <w:sz w:val="20"/>
                  <w:szCs w:val="20"/>
                </w:rPr>
                <w:t>15</w:t>
              </w:r>
            </w:ins>
          </w:p>
        </w:tc>
        <w:tc>
          <w:tcPr>
            <w:tcW w:w="8249" w:type="dxa"/>
            <w:tcBorders>
              <w:top w:val="nil"/>
              <w:left w:val="nil"/>
              <w:bottom w:val="single" w:sz="4" w:space="0" w:color="auto"/>
              <w:right w:val="single" w:sz="4" w:space="0" w:color="auto"/>
            </w:tcBorders>
            <w:shd w:val="clear" w:color="auto" w:fill="auto"/>
            <w:noWrap/>
            <w:vAlign w:val="bottom"/>
            <w:hideMark/>
          </w:tcPr>
          <w:p w14:paraId="4C395F0C" w14:textId="77777777" w:rsidR="001F5F8A" w:rsidRPr="000B7D26" w:rsidRDefault="001F5F8A" w:rsidP="001F5F8A">
            <w:pPr>
              <w:autoSpaceDE/>
              <w:autoSpaceDN/>
              <w:adjustRightInd/>
              <w:jc w:val="center"/>
              <w:rPr>
                <w:ins w:id="484" w:author="Gabriel Lopes" w:date="2020-09-17T00:08:00Z"/>
                <w:rFonts w:ascii="Verdana" w:hAnsi="Verdana" w:cs="Calibri"/>
                <w:color w:val="000000"/>
                <w:sz w:val="20"/>
                <w:szCs w:val="20"/>
              </w:rPr>
            </w:pPr>
            <w:ins w:id="485" w:author="Gabriel Lopes" w:date="2020-09-17T00:08:00Z">
              <w:r w:rsidRPr="000B7D26">
                <w:rPr>
                  <w:rFonts w:ascii="Verdana" w:hAnsi="Verdana" w:cs="Calibri"/>
                  <w:color w:val="000000"/>
                  <w:sz w:val="20"/>
                  <w:szCs w:val="20"/>
                </w:rPr>
                <w:t>28/01/2022</w:t>
              </w:r>
            </w:ins>
          </w:p>
        </w:tc>
      </w:tr>
      <w:tr w:rsidR="001F5F8A" w:rsidRPr="001F5F8A" w14:paraId="40212EA1" w14:textId="77777777" w:rsidTr="000B7D26">
        <w:trPr>
          <w:trHeight w:val="300"/>
          <w:ins w:id="48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F5F8A" w:rsidRPr="000B7D26" w:rsidRDefault="001F5F8A" w:rsidP="001F5F8A">
            <w:pPr>
              <w:autoSpaceDE/>
              <w:autoSpaceDN/>
              <w:adjustRightInd/>
              <w:jc w:val="center"/>
              <w:rPr>
                <w:ins w:id="487" w:author="Gabriel Lopes" w:date="2020-09-17T00:08:00Z"/>
                <w:rFonts w:ascii="Verdana" w:hAnsi="Verdana" w:cs="Calibri"/>
                <w:color w:val="000000"/>
                <w:sz w:val="20"/>
                <w:szCs w:val="20"/>
              </w:rPr>
            </w:pPr>
            <w:ins w:id="488" w:author="Gabriel Lopes" w:date="2020-09-17T00:08:00Z">
              <w:r w:rsidRPr="000B7D26">
                <w:rPr>
                  <w:rFonts w:ascii="Verdana" w:hAnsi="Verdana" w:cs="Calibri"/>
                  <w:color w:val="000000"/>
                  <w:sz w:val="20"/>
                  <w:szCs w:val="20"/>
                </w:rPr>
                <w:t>16</w:t>
              </w:r>
            </w:ins>
          </w:p>
        </w:tc>
        <w:tc>
          <w:tcPr>
            <w:tcW w:w="8249" w:type="dxa"/>
            <w:tcBorders>
              <w:top w:val="nil"/>
              <w:left w:val="nil"/>
              <w:bottom w:val="single" w:sz="4" w:space="0" w:color="auto"/>
              <w:right w:val="single" w:sz="4" w:space="0" w:color="auto"/>
            </w:tcBorders>
            <w:shd w:val="clear" w:color="auto" w:fill="auto"/>
            <w:noWrap/>
            <w:vAlign w:val="bottom"/>
            <w:hideMark/>
          </w:tcPr>
          <w:p w14:paraId="29370E02" w14:textId="77777777" w:rsidR="001F5F8A" w:rsidRPr="000B7D26" w:rsidRDefault="001F5F8A" w:rsidP="001F5F8A">
            <w:pPr>
              <w:autoSpaceDE/>
              <w:autoSpaceDN/>
              <w:adjustRightInd/>
              <w:jc w:val="center"/>
              <w:rPr>
                <w:ins w:id="489" w:author="Gabriel Lopes" w:date="2020-09-17T00:08:00Z"/>
                <w:rFonts w:ascii="Verdana" w:hAnsi="Verdana" w:cs="Calibri"/>
                <w:color w:val="000000"/>
                <w:sz w:val="20"/>
                <w:szCs w:val="20"/>
              </w:rPr>
            </w:pPr>
            <w:ins w:id="490" w:author="Gabriel Lopes" w:date="2020-09-17T00:08:00Z">
              <w:r w:rsidRPr="000B7D26">
                <w:rPr>
                  <w:rFonts w:ascii="Verdana" w:hAnsi="Verdana" w:cs="Calibri"/>
                  <w:color w:val="000000"/>
                  <w:sz w:val="20"/>
                  <w:szCs w:val="20"/>
                </w:rPr>
                <w:t>02/03/2022</w:t>
              </w:r>
            </w:ins>
          </w:p>
        </w:tc>
      </w:tr>
      <w:tr w:rsidR="001F5F8A" w:rsidRPr="001F5F8A" w14:paraId="60356CB7" w14:textId="77777777" w:rsidTr="000B7D26">
        <w:trPr>
          <w:trHeight w:val="300"/>
          <w:ins w:id="49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F5F8A" w:rsidRPr="000B7D26" w:rsidRDefault="001F5F8A" w:rsidP="001F5F8A">
            <w:pPr>
              <w:autoSpaceDE/>
              <w:autoSpaceDN/>
              <w:adjustRightInd/>
              <w:jc w:val="center"/>
              <w:rPr>
                <w:ins w:id="492" w:author="Gabriel Lopes" w:date="2020-09-17T00:08:00Z"/>
                <w:rFonts w:ascii="Verdana" w:hAnsi="Verdana" w:cs="Calibri"/>
                <w:color w:val="000000"/>
                <w:sz w:val="20"/>
                <w:szCs w:val="20"/>
              </w:rPr>
            </w:pPr>
            <w:ins w:id="493" w:author="Gabriel Lopes" w:date="2020-09-17T00:08:00Z">
              <w:r w:rsidRPr="000B7D26">
                <w:rPr>
                  <w:rFonts w:ascii="Verdana" w:hAnsi="Verdana" w:cs="Calibri"/>
                  <w:color w:val="000000"/>
                  <w:sz w:val="20"/>
                  <w:szCs w:val="20"/>
                </w:rPr>
                <w:t>17</w:t>
              </w:r>
            </w:ins>
          </w:p>
        </w:tc>
        <w:tc>
          <w:tcPr>
            <w:tcW w:w="8249" w:type="dxa"/>
            <w:tcBorders>
              <w:top w:val="nil"/>
              <w:left w:val="nil"/>
              <w:bottom w:val="single" w:sz="4" w:space="0" w:color="auto"/>
              <w:right w:val="single" w:sz="4" w:space="0" w:color="auto"/>
            </w:tcBorders>
            <w:shd w:val="clear" w:color="auto" w:fill="auto"/>
            <w:noWrap/>
            <w:vAlign w:val="bottom"/>
            <w:hideMark/>
          </w:tcPr>
          <w:p w14:paraId="1FAA380F" w14:textId="77777777" w:rsidR="001F5F8A" w:rsidRPr="000B7D26" w:rsidRDefault="001F5F8A" w:rsidP="001F5F8A">
            <w:pPr>
              <w:autoSpaceDE/>
              <w:autoSpaceDN/>
              <w:adjustRightInd/>
              <w:jc w:val="center"/>
              <w:rPr>
                <w:ins w:id="494" w:author="Gabriel Lopes" w:date="2020-09-17T00:08:00Z"/>
                <w:rFonts w:ascii="Verdana" w:hAnsi="Verdana" w:cs="Calibri"/>
                <w:color w:val="000000"/>
                <w:sz w:val="20"/>
                <w:szCs w:val="20"/>
              </w:rPr>
            </w:pPr>
            <w:ins w:id="495" w:author="Gabriel Lopes" w:date="2020-09-17T00:08:00Z">
              <w:r w:rsidRPr="000B7D26">
                <w:rPr>
                  <w:rFonts w:ascii="Verdana" w:hAnsi="Verdana" w:cs="Calibri"/>
                  <w:color w:val="000000"/>
                  <w:sz w:val="20"/>
                  <w:szCs w:val="20"/>
                </w:rPr>
                <w:t>29/03/2022</w:t>
              </w:r>
            </w:ins>
          </w:p>
        </w:tc>
      </w:tr>
      <w:tr w:rsidR="001F5F8A" w:rsidRPr="001F5F8A" w14:paraId="068925AE" w14:textId="77777777" w:rsidTr="000B7D26">
        <w:trPr>
          <w:trHeight w:val="300"/>
          <w:ins w:id="49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F5F8A" w:rsidRPr="000B7D26" w:rsidRDefault="001F5F8A" w:rsidP="001F5F8A">
            <w:pPr>
              <w:autoSpaceDE/>
              <w:autoSpaceDN/>
              <w:adjustRightInd/>
              <w:jc w:val="center"/>
              <w:rPr>
                <w:ins w:id="497" w:author="Gabriel Lopes" w:date="2020-09-17T00:08:00Z"/>
                <w:rFonts w:ascii="Verdana" w:hAnsi="Verdana" w:cs="Calibri"/>
                <w:color w:val="000000"/>
                <w:sz w:val="20"/>
                <w:szCs w:val="20"/>
              </w:rPr>
            </w:pPr>
            <w:ins w:id="498" w:author="Gabriel Lopes" w:date="2020-09-17T00:08:00Z">
              <w:r w:rsidRPr="000B7D26">
                <w:rPr>
                  <w:rFonts w:ascii="Verdana" w:hAnsi="Verdana" w:cs="Calibri"/>
                  <w:color w:val="000000"/>
                  <w:sz w:val="20"/>
                  <w:szCs w:val="20"/>
                </w:rPr>
                <w:t>18</w:t>
              </w:r>
            </w:ins>
          </w:p>
        </w:tc>
        <w:tc>
          <w:tcPr>
            <w:tcW w:w="8249" w:type="dxa"/>
            <w:tcBorders>
              <w:top w:val="nil"/>
              <w:left w:val="nil"/>
              <w:bottom w:val="single" w:sz="4" w:space="0" w:color="auto"/>
              <w:right w:val="single" w:sz="4" w:space="0" w:color="auto"/>
            </w:tcBorders>
            <w:shd w:val="clear" w:color="auto" w:fill="auto"/>
            <w:noWrap/>
            <w:vAlign w:val="bottom"/>
            <w:hideMark/>
          </w:tcPr>
          <w:p w14:paraId="05DCE6A6" w14:textId="77777777" w:rsidR="001F5F8A" w:rsidRPr="000B7D26" w:rsidRDefault="001F5F8A" w:rsidP="001F5F8A">
            <w:pPr>
              <w:autoSpaceDE/>
              <w:autoSpaceDN/>
              <w:adjustRightInd/>
              <w:jc w:val="center"/>
              <w:rPr>
                <w:ins w:id="499" w:author="Gabriel Lopes" w:date="2020-09-17T00:08:00Z"/>
                <w:rFonts w:ascii="Verdana" w:hAnsi="Verdana" w:cs="Calibri"/>
                <w:color w:val="000000"/>
                <w:sz w:val="20"/>
                <w:szCs w:val="20"/>
              </w:rPr>
            </w:pPr>
            <w:ins w:id="500" w:author="Gabriel Lopes" w:date="2020-09-17T00:08:00Z">
              <w:r w:rsidRPr="000B7D26">
                <w:rPr>
                  <w:rFonts w:ascii="Verdana" w:hAnsi="Verdana" w:cs="Calibri"/>
                  <w:color w:val="000000"/>
                  <w:sz w:val="20"/>
                  <w:szCs w:val="20"/>
                </w:rPr>
                <w:t>02/05/2022</w:t>
              </w:r>
            </w:ins>
          </w:p>
        </w:tc>
      </w:tr>
      <w:tr w:rsidR="001F5F8A" w:rsidRPr="001F5F8A" w14:paraId="7C976F0C" w14:textId="77777777" w:rsidTr="000B7D26">
        <w:trPr>
          <w:trHeight w:val="300"/>
          <w:ins w:id="50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F5F8A" w:rsidRPr="000B7D26" w:rsidRDefault="001F5F8A" w:rsidP="001F5F8A">
            <w:pPr>
              <w:autoSpaceDE/>
              <w:autoSpaceDN/>
              <w:adjustRightInd/>
              <w:jc w:val="center"/>
              <w:rPr>
                <w:ins w:id="502" w:author="Gabriel Lopes" w:date="2020-09-17T00:08:00Z"/>
                <w:rFonts w:ascii="Verdana" w:hAnsi="Verdana" w:cs="Calibri"/>
                <w:color w:val="000000"/>
                <w:sz w:val="20"/>
                <w:szCs w:val="20"/>
              </w:rPr>
            </w:pPr>
            <w:ins w:id="503" w:author="Gabriel Lopes" w:date="2020-09-17T00:08:00Z">
              <w:r w:rsidRPr="000B7D26">
                <w:rPr>
                  <w:rFonts w:ascii="Verdana" w:hAnsi="Verdana" w:cs="Calibri"/>
                  <w:color w:val="000000"/>
                  <w:sz w:val="20"/>
                  <w:szCs w:val="20"/>
                </w:rPr>
                <w:t>19</w:t>
              </w:r>
            </w:ins>
          </w:p>
        </w:tc>
        <w:tc>
          <w:tcPr>
            <w:tcW w:w="8249" w:type="dxa"/>
            <w:tcBorders>
              <w:top w:val="nil"/>
              <w:left w:val="nil"/>
              <w:bottom w:val="single" w:sz="4" w:space="0" w:color="auto"/>
              <w:right w:val="single" w:sz="4" w:space="0" w:color="auto"/>
            </w:tcBorders>
            <w:shd w:val="clear" w:color="auto" w:fill="auto"/>
            <w:noWrap/>
            <w:vAlign w:val="bottom"/>
            <w:hideMark/>
          </w:tcPr>
          <w:p w14:paraId="37F63D38" w14:textId="77777777" w:rsidR="001F5F8A" w:rsidRPr="000B7D26" w:rsidRDefault="001F5F8A" w:rsidP="001F5F8A">
            <w:pPr>
              <w:autoSpaceDE/>
              <w:autoSpaceDN/>
              <w:adjustRightInd/>
              <w:jc w:val="center"/>
              <w:rPr>
                <w:ins w:id="504" w:author="Gabriel Lopes" w:date="2020-09-17T00:08:00Z"/>
                <w:rFonts w:ascii="Verdana" w:hAnsi="Verdana" w:cs="Calibri"/>
                <w:color w:val="000000"/>
                <w:sz w:val="20"/>
                <w:szCs w:val="20"/>
              </w:rPr>
            </w:pPr>
            <w:ins w:id="505" w:author="Gabriel Lopes" w:date="2020-09-17T00:08:00Z">
              <w:r w:rsidRPr="000B7D26">
                <w:rPr>
                  <w:rFonts w:ascii="Verdana" w:hAnsi="Verdana" w:cs="Calibri"/>
                  <w:color w:val="000000"/>
                  <w:sz w:val="20"/>
                  <w:szCs w:val="20"/>
                </w:rPr>
                <w:t>27/05/2022</w:t>
              </w:r>
            </w:ins>
          </w:p>
        </w:tc>
      </w:tr>
      <w:tr w:rsidR="001F5F8A" w:rsidRPr="001F5F8A" w14:paraId="27CBBCAE" w14:textId="77777777" w:rsidTr="000B7D26">
        <w:trPr>
          <w:trHeight w:val="300"/>
          <w:ins w:id="50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F5F8A" w:rsidRPr="000B7D26" w:rsidRDefault="001F5F8A" w:rsidP="001F5F8A">
            <w:pPr>
              <w:autoSpaceDE/>
              <w:autoSpaceDN/>
              <w:adjustRightInd/>
              <w:jc w:val="center"/>
              <w:rPr>
                <w:ins w:id="507" w:author="Gabriel Lopes" w:date="2020-09-17T00:08:00Z"/>
                <w:rFonts w:ascii="Verdana" w:hAnsi="Verdana" w:cs="Calibri"/>
                <w:color w:val="000000"/>
                <w:sz w:val="20"/>
                <w:szCs w:val="20"/>
              </w:rPr>
            </w:pPr>
            <w:ins w:id="508" w:author="Gabriel Lopes" w:date="2020-09-17T00:08:00Z">
              <w:r w:rsidRPr="000B7D26">
                <w:rPr>
                  <w:rFonts w:ascii="Verdana" w:hAnsi="Verdana" w:cs="Calibri"/>
                  <w:color w:val="000000"/>
                  <w:sz w:val="20"/>
                  <w:szCs w:val="20"/>
                </w:rPr>
                <w:t>20</w:t>
              </w:r>
            </w:ins>
          </w:p>
        </w:tc>
        <w:tc>
          <w:tcPr>
            <w:tcW w:w="8249" w:type="dxa"/>
            <w:tcBorders>
              <w:top w:val="nil"/>
              <w:left w:val="nil"/>
              <w:bottom w:val="single" w:sz="4" w:space="0" w:color="auto"/>
              <w:right w:val="single" w:sz="4" w:space="0" w:color="auto"/>
            </w:tcBorders>
            <w:shd w:val="clear" w:color="auto" w:fill="auto"/>
            <w:noWrap/>
            <w:vAlign w:val="bottom"/>
            <w:hideMark/>
          </w:tcPr>
          <w:p w14:paraId="11D4B260" w14:textId="77777777" w:rsidR="001F5F8A" w:rsidRPr="000B7D26" w:rsidRDefault="001F5F8A" w:rsidP="001F5F8A">
            <w:pPr>
              <w:autoSpaceDE/>
              <w:autoSpaceDN/>
              <w:adjustRightInd/>
              <w:jc w:val="center"/>
              <w:rPr>
                <w:ins w:id="509" w:author="Gabriel Lopes" w:date="2020-09-17T00:08:00Z"/>
                <w:rFonts w:ascii="Verdana" w:hAnsi="Verdana" w:cs="Calibri"/>
                <w:color w:val="000000"/>
                <w:sz w:val="20"/>
                <w:szCs w:val="20"/>
              </w:rPr>
            </w:pPr>
            <w:ins w:id="510" w:author="Gabriel Lopes" w:date="2020-09-17T00:08:00Z">
              <w:r w:rsidRPr="000B7D26">
                <w:rPr>
                  <w:rFonts w:ascii="Verdana" w:hAnsi="Verdana" w:cs="Calibri"/>
                  <w:color w:val="000000"/>
                  <w:sz w:val="20"/>
                  <w:szCs w:val="20"/>
                </w:rPr>
                <w:t>29/06/2022</w:t>
              </w:r>
            </w:ins>
          </w:p>
        </w:tc>
      </w:tr>
      <w:tr w:rsidR="001F5F8A" w:rsidRPr="001F5F8A" w14:paraId="6C00F36C" w14:textId="77777777" w:rsidTr="000B7D26">
        <w:trPr>
          <w:trHeight w:val="300"/>
          <w:ins w:id="51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F5F8A" w:rsidRPr="000B7D26" w:rsidRDefault="001F5F8A" w:rsidP="001F5F8A">
            <w:pPr>
              <w:autoSpaceDE/>
              <w:autoSpaceDN/>
              <w:adjustRightInd/>
              <w:jc w:val="center"/>
              <w:rPr>
                <w:ins w:id="512" w:author="Gabriel Lopes" w:date="2020-09-17T00:08:00Z"/>
                <w:rFonts w:ascii="Verdana" w:hAnsi="Verdana" w:cs="Calibri"/>
                <w:color w:val="000000"/>
                <w:sz w:val="20"/>
                <w:szCs w:val="20"/>
              </w:rPr>
            </w:pPr>
            <w:ins w:id="513" w:author="Gabriel Lopes" w:date="2020-09-17T00:08:00Z">
              <w:r w:rsidRPr="000B7D26">
                <w:rPr>
                  <w:rFonts w:ascii="Verdana" w:hAnsi="Verdana" w:cs="Calibri"/>
                  <w:color w:val="000000"/>
                  <w:sz w:val="20"/>
                  <w:szCs w:val="20"/>
                </w:rPr>
                <w:t>21</w:t>
              </w:r>
            </w:ins>
          </w:p>
        </w:tc>
        <w:tc>
          <w:tcPr>
            <w:tcW w:w="8249" w:type="dxa"/>
            <w:tcBorders>
              <w:top w:val="nil"/>
              <w:left w:val="nil"/>
              <w:bottom w:val="single" w:sz="4" w:space="0" w:color="auto"/>
              <w:right w:val="single" w:sz="4" w:space="0" w:color="auto"/>
            </w:tcBorders>
            <w:shd w:val="clear" w:color="auto" w:fill="auto"/>
            <w:noWrap/>
            <w:vAlign w:val="bottom"/>
            <w:hideMark/>
          </w:tcPr>
          <w:p w14:paraId="2B7CC0E6" w14:textId="77777777" w:rsidR="001F5F8A" w:rsidRPr="000B7D26" w:rsidRDefault="001F5F8A" w:rsidP="001F5F8A">
            <w:pPr>
              <w:autoSpaceDE/>
              <w:autoSpaceDN/>
              <w:adjustRightInd/>
              <w:jc w:val="center"/>
              <w:rPr>
                <w:ins w:id="514" w:author="Gabriel Lopes" w:date="2020-09-17T00:08:00Z"/>
                <w:rFonts w:ascii="Verdana" w:hAnsi="Verdana" w:cs="Calibri"/>
                <w:color w:val="000000"/>
                <w:sz w:val="20"/>
                <w:szCs w:val="20"/>
              </w:rPr>
            </w:pPr>
            <w:ins w:id="515" w:author="Gabriel Lopes" w:date="2020-09-17T00:08:00Z">
              <w:r w:rsidRPr="000B7D26">
                <w:rPr>
                  <w:rFonts w:ascii="Verdana" w:hAnsi="Verdana" w:cs="Calibri"/>
                  <w:color w:val="000000"/>
                  <w:sz w:val="20"/>
                  <w:szCs w:val="20"/>
                </w:rPr>
                <w:t>28/07/2022</w:t>
              </w:r>
            </w:ins>
          </w:p>
        </w:tc>
      </w:tr>
      <w:tr w:rsidR="001F5F8A" w:rsidRPr="001F5F8A" w14:paraId="32D0E949" w14:textId="77777777" w:rsidTr="000B7D26">
        <w:trPr>
          <w:trHeight w:val="300"/>
          <w:ins w:id="51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F5F8A" w:rsidRPr="000B7D26" w:rsidRDefault="001F5F8A" w:rsidP="001F5F8A">
            <w:pPr>
              <w:autoSpaceDE/>
              <w:autoSpaceDN/>
              <w:adjustRightInd/>
              <w:jc w:val="center"/>
              <w:rPr>
                <w:ins w:id="517" w:author="Gabriel Lopes" w:date="2020-09-17T00:08:00Z"/>
                <w:rFonts w:ascii="Verdana" w:hAnsi="Verdana" w:cs="Calibri"/>
                <w:color w:val="000000"/>
                <w:sz w:val="20"/>
                <w:szCs w:val="20"/>
              </w:rPr>
            </w:pPr>
            <w:ins w:id="518" w:author="Gabriel Lopes" w:date="2020-09-17T00:08:00Z">
              <w:r w:rsidRPr="000B7D26">
                <w:rPr>
                  <w:rFonts w:ascii="Verdana" w:hAnsi="Verdana" w:cs="Calibri"/>
                  <w:color w:val="000000"/>
                  <w:sz w:val="20"/>
                  <w:szCs w:val="20"/>
                </w:rPr>
                <w:t>22</w:t>
              </w:r>
            </w:ins>
          </w:p>
        </w:tc>
        <w:tc>
          <w:tcPr>
            <w:tcW w:w="8249" w:type="dxa"/>
            <w:tcBorders>
              <w:top w:val="nil"/>
              <w:left w:val="nil"/>
              <w:bottom w:val="single" w:sz="4" w:space="0" w:color="auto"/>
              <w:right w:val="single" w:sz="4" w:space="0" w:color="auto"/>
            </w:tcBorders>
            <w:shd w:val="clear" w:color="auto" w:fill="auto"/>
            <w:noWrap/>
            <w:vAlign w:val="bottom"/>
            <w:hideMark/>
          </w:tcPr>
          <w:p w14:paraId="11D85210" w14:textId="77777777" w:rsidR="001F5F8A" w:rsidRPr="000B7D26" w:rsidRDefault="001F5F8A" w:rsidP="001F5F8A">
            <w:pPr>
              <w:autoSpaceDE/>
              <w:autoSpaceDN/>
              <w:adjustRightInd/>
              <w:jc w:val="center"/>
              <w:rPr>
                <w:ins w:id="519" w:author="Gabriel Lopes" w:date="2020-09-17T00:08:00Z"/>
                <w:rFonts w:ascii="Verdana" w:hAnsi="Verdana" w:cs="Calibri"/>
                <w:color w:val="000000"/>
                <w:sz w:val="20"/>
                <w:szCs w:val="20"/>
              </w:rPr>
            </w:pPr>
            <w:ins w:id="520" w:author="Gabriel Lopes" w:date="2020-09-17T00:08:00Z">
              <w:r w:rsidRPr="000B7D26">
                <w:rPr>
                  <w:rFonts w:ascii="Verdana" w:hAnsi="Verdana" w:cs="Calibri"/>
                  <w:color w:val="000000"/>
                  <w:sz w:val="20"/>
                  <w:szCs w:val="20"/>
                </w:rPr>
                <w:t>26/08/2022</w:t>
              </w:r>
            </w:ins>
          </w:p>
        </w:tc>
      </w:tr>
      <w:tr w:rsidR="001F5F8A" w:rsidRPr="001F5F8A" w14:paraId="5BAA8C44" w14:textId="77777777" w:rsidTr="000B7D26">
        <w:trPr>
          <w:trHeight w:val="300"/>
          <w:ins w:id="52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F5F8A" w:rsidRPr="000B7D26" w:rsidRDefault="001F5F8A" w:rsidP="001F5F8A">
            <w:pPr>
              <w:autoSpaceDE/>
              <w:autoSpaceDN/>
              <w:adjustRightInd/>
              <w:jc w:val="center"/>
              <w:rPr>
                <w:ins w:id="522" w:author="Gabriel Lopes" w:date="2020-09-17T00:08:00Z"/>
                <w:rFonts w:ascii="Verdana" w:hAnsi="Verdana" w:cs="Calibri"/>
                <w:color w:val="000000"/>
                <w:sz w:val="20"/>
                <w:szCs w:val="20"/>
              </w:rPr>
            </w:pPr>
            <w:ins w:id="523" w:author="Gabriel Lopes" w:date="2020-09-17T00:08:00Z">
              <w:r w:rsidRPr="000B7D26">
                <w:rPr>
                  <w:rFonts w:ascii="Verdana" w:hAnsi="Verdana" w:cs="Calibri"/>
                  <w:color w:val="000000"/>
                  <w:sz w:val="20"/>
                  <w:szCs w:val="20"/>
                </w:rPr>
                <w:t>23</w:t>
              </w:r>
            </w:ins>
          </w:p>
        </w:tc>
        <w:tc>
          <w:tcPr>
            <w:tcW w:w="8249" w:type="dxa"/>
            <w:tcBorders>
              <w:top w:val="nil"/>
              <w:left w:val="nil"/>
              <w:bottom w:val="single" w:sz="4" w:space="0" w:color="auto"/>
              <w:right w:val="single" w:sz="4" w:space="0" w:color="auto"/>
            </w:tcBorders>
            <w:shd w:val="clear" w:color="auto" w:fill="auto"/>
            <w:noWrap/>
            <w:vAlign w:val="bottom"/>
            <w:hideMark/>
          </w:tcPr>
          <w:p w14:paraId="6FDBBB3A" w14:textId="77777777" w:rsidR="001F5F8A" w:rsidRPr="000B7D26" w:rsidRDefault="001F5F8A" w:rsidP="001F5F8A">
            <w:pPr>
              <w:autoSpaceDE/>
              <w:autoSpaceDN/>
              <w:adjustRightInd/>
              <w:jc w:val="center"/>
              <w:rPr>
                <w:ins w:id="524" w:author="Gabriel Lopes" w:date="2020-09-17T00:08:00Z"/>
                <w:rFonts w:ascii="Verdana" w:hAnsi="Verdana" w:cs="Calibri"/>
                <w:color w:val="000000"/>
                <w:sz w:val="20"/>
                <w:szCs w:val="20"/>
              </w:rPr>
            </w:pPr>
            <w:ins w:id="525" w:author="Gabriel Lopes" w:date="2020-09-17T00:08:00Z">
              <w:r w:rsidRPr="000B7D26">
                <w:rPr>
                  <w:rFonts w:ascii="Verdana" w:hAnsi="Verdana" w:cs="Calibri"/>
                  <w:color w:val="000000"/>
                  <w:sz w:val="20"/>
                  <w:szCs w:val="20"/>
                </w:rPr>
                <w:t>29/09/2022</w:t>
              </w:r>
            </w:ins>
          </w:p>
        </w:tc>
      </w:tr>
      <w:tr w:rsidR="001F5F8A" w:rsidRPr="001F5F8A" w14:paraId="5ED366D4" w14:textId="77777777" w:rsidTr="000B7D26">
        <w:trPr>
          <w:trHeight w:val="300"/>
          <w:ins w:id="52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F5F8A" w:rsidRPr="000B7D26" w:rsidRDefault="001F5F8A" w:rsidP="001F5F8A">
            <w:pPr>
              <w:autoSpaceDE/>
              <w:autoSpaceDN/>
              <w:adjustRightInd/>
              <w:jc w:val="center"/>
              <w:rPr>
                <w:ins w:id="527" w:author="Gabriel Lopes" w:date="2020-09-17T00:08:00Z"/>
                <w:rFonts w:ascii="Verdana" w:hAnsi="Verdana" w:cs="Calibri"/>
                <w:color w:val="000000"/>
                <w:sz w:val="20"/>
                <w:szCs w:val="20"/>
              </w:rPr>
            </w:pPr>
            <w:ins w:id="528" w:author="Gabriel Lopes" w:date="2020-09-17T00:08:00Z">
              <w:r w:rsidRPr="000B7D26">
                <w:rPr>
                  <w:rFonts w:ascii="Verdana" w:hAnsi="Verdana" w:cs="Calibri"/>
                  <w:color w:val="000000"/>
                  <w:sz w:val="20"/>
                  <w:szCs w:val="20"/>
                </w:rPr>
                <w:t>24</w:t>
              </w:r>
            </w:ins>
          </w:p>
        </w:tc>
        <w:tc>
          <w:tcPr>
            <w:tcW w:w="8249" w:type="dxa"/>
            <w:tcBorders>
              <w:top w:val="nil"/>
              <w:left w:val="nil"/>
              <w:bottom w:val="single" w:sz="4" w:space="0" w:color="auto"/>
              <w:right w:val="single" w:sz="4" w:space="0" w:color="auto"/>
            </w:tcBorders>
            <w:shd w:val="clear" w:color="auto" w:fill="auto"/>
            <w:noWrap/>
            <w:vAlign w:val="bottom"/>
            <w:hideMark/>
          </w:tcPr>
          <w:p w14:paraId="35E9A107" w14:textId="77777777" w:rsidR="001F5F8A" w:rsidRPr="000B7D26" w:rsidRDefault="001F5F8A" w:rsidP="001F5F8A">
            <w:pPr>
              <w:autoSpaceDE/>
              <w:autoSpaceDN/>
              <w:adjustRightInd/>
              <w:jc w:val="center"/>
              <w:rPr>
                <w:ins w:id="529" w:author="Gabriel Lopes" w:date="2020-09-17T00:08:00Z"/>
                <w:rFonts w:ascii="Verdana" w:hAnsi="Verdana" w:cs="Calibri"/>
                <w:color w:val="000000"/>
                <w:sz w:val="20"/>
                <w:szCs w:val="20"/>
              </w:rPr>
            </w:pPr>
            <w:ins w:id="530" w:author="Gabriel Lopes" w:date="2020-09-17T00:08:00Z">
              <w:r w:rsidRPr="000B7D26">
                <w:rPr>
                  <w:rFonts w:ascii="Verdana" w:hAnsi="Verdana" w:cs="Calibri"/>
                  <w:color w:val="000000"/>
                  <w:sz w:val="20"/>
                  <w:szCs w:val="20"/>
                </w:rPr>
                <w:t>31/10/2022</w:t>
              </w:r>
            </w:ins>
          </w:p>
        </w:tc>
      </w:tr>
      <w:tr w:rsidR="001F5F8A" w:rsidRPr="001F5F8A" w14:paraId="6F6F25EA" w14:textId="77777777" w:rsidTr="000B7D26">
        <w:trPr>
          <w:trHeight w:val="300"/>
          <w:ins w:id="53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F5F8A" w:rsidRPr="000B7D26" w:rsidRDefault="001F5F8A" w:rsidP="001F5F8A">
            <w:pPr>
              <w:autoSpaceDE/>
              <w:autoSpaceDN/>
              <w:adjustRightInd/>
              <w:jc w:val="center"/>
              <w:rPr>
                <w:ins w:id="532" w:author="Gabriel Lopes" w:date="2020-09-17T00:08:00Z"/>
                <w:rFonts w:ascii="Verdana" w:hAnsi="Verdana" w:cs="Calibri"/>
                <w:color w:val="000000"/>
                <w:sz w:val="20"/>
                <w:szCs w:val="20"/>
              </w:rPr>
            </w:pPr>
            <w:ins w:id="533" w:author="Gabriel Lopes" w:date="2020-09-17T00:08:00Z">
              <w:r w:rsidRPr="000B7D26">
                <w:rPr>
                  <w:rFonts w:ascii="Verdana" w:hAnsi="Verdana" w:cs="Calibri"/>
                  <w:color w:val="000000"/>
                  <w:sz w:val="20"/>
                  <w:szCs w:val="20"/>
                </w:rPr>
                <w:t>25</w:t>
              </w:r>
            </w:ins>
          </w:p>
        </w:tc>
        <w:tc>
          <w:tcPr>
            <w:tcW w:w="8249" w:type="dxa"/>
            <w:tcBorders>
              <w:top w:val="nil"/>
              <w:left w:val="nil"/>
              <w:bottom w:val="single" w:sz="4" w:space="0" w:color="auto"/>
              <w:right w:val="single" w:sz="4" w:space="0" w:color="auto"/>
            </w:tcBorders>
            <w:shd w:val="clear" w:color="auto" w:fill="auto"/>
            <w:noWrap/>
            <w:vAlign w:val="bottom"/>
            <w:hideMark/>
          </w:tcPr>
          <w:p w14:paraId="3AF1F5CA" w14:textId="77777777" w:rsidR="001F5F8A" w:rsidRPr="000B7D26" w:rsidRDefault="001F5F8A" w:rsidP="001F5F8A">
            <w:pPr>
              <w:autoSpaceDE/>
              <w:autoSpaceDN/>
              <w:adjustRightInd/>
              <w:jc w:val="center"/>
              <w:rPr>
                <w:ins w:id="534" w:author="Gabriel Lopes" w:date="2020-09-17T00:08:00Z"/>
                <w:rFonts w:ascii="Verdana" w:hAnsi="Verdana" w:cs="Calibri"/>
                <w:color w:val="000000"/>
                <w:sz w:val="20"/>
                <w:szCs w:val="20"/>
              </w:rPr>
            </w:pPr>
            <w:ins w:id="535" w:author="Gabriel Lopes" w:date="2020-09-17T00:08:00Z">
              <w:r w:rsidRPr="000B7D26">
                <w:rPr>
                  <w:rFonts w:ascii="Verdana" w:hAnsi="Verdana" w:cs="Calibri"/>
                  <w:color w:val="000000"/>
                  <w:sz w:val="20"/>
                  <w:szCs w:val="20"/>
                </w:rPr>
                <w:t>30/11/2022</w:t>
              </w:r>
            </w:ins>
          </w:p>
        </w:tc>
      </w:tr>
      <w:tr w:rsidR="001F5F8A" w:rsidRPr="001F5F8A" w14:paraId="0A2DF3DE" w14:textId="77777777" w:rsidTr="000B7D26">
        <w:trPr>
          <w:trHeight w:val="300"/>
          <w:ins w:id="53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F5F8A" w:rsidRPr="000B7D26" w:rsidRDefault="001F5F8A" w:rsidP="001F5F8A">
            <w:pPr>
              <w:autoSpaceDE/>
              <w:autoSpaceDN/>
              <w:adjustRightInd/>
              <w:jc w:val="center"/>
              <w:rPr>
                <w:ins w:id="537" w:author="Gabriel Lopes" w:date="2020-09-17T00:08:00Z"/>
                <w:rFonts w:ascii="Verdana" w:hAnsi="Verdana" w:cs="Calibri"/>
                <w:color w:val="000000"/>
                <w:sz w:val="20"/>
                <w:szCs w:val="20"/>
              </w:rPr>
            </w:pPr>
            <w:ins w:id="538" w:author="Gabriel Lopes" w:date="2020-09-17T00:08:00Z">
              <w:r w:rsidRPr="000B7D26">
                <w:rPr>
                  <w:rFonts w:ascii="Verdana" w:hAnsi="Verdana" w:cs="Calibri"/>
                  <w:color w:val="000000"/>
                  <w:sz w:val="20"/>
                  <w:szCs w:val="20"/>
                </w:rPr>
                <w:t>26</w:t>
              </w:r>
            </w:ins>
          </w:p>
        </w:tc>
        <w:tc>
          <w:tcPr>
            <w:tcW w:w="8249" w:type="dxa"/>
            <w:tcBorders>
              <w:top w:val="nil"/>
              <w:left w:val="nil"/>
              <w:bottom w:val="single" w:sz="4" w:space="0" w:color="auto"/>
              <w:right w:val="single" w:sz="4" w:space="0" w:color="auto"/>
            </w:tcBorders>
            <w:shd w:val="clear" w:color="auto" w:fill="auto"/>
            <w:noWrap/>
            <w:vAlign w:val="bottom"/>
            <w:hideMark/>
          </w:tcPr>
          <w:p w14:paraId="434D5E78" w14:textId="77777777" w:rsidR="001F5F8A" w:rsidRPr="000B7D26" w:rsidRDefault="001F5F8A" w:rsidP="001F5F8A">
            <w:pPr>
              <w:autoSpaceDE/>
              <w:autoSpaceDN/>
              <w:adjustRightInd/>
              <w:jc w:val="center"/>
              <w:rPr>
                <w:ins w:id="539" w:author="Gabriel Lopes" w:date="2020-09-17T00:08:00Z"/>
                <w:rFonts w:ascii="Verdana" w:hAnsi="Verdana" w:cs="Calibri"/>
                <w:color w:val="000000"/>
                <w:sz w:val="20"/>
                <w:szCs w:val="20"/>
              </w:rPr>
            </w:pPr>
            <w:ins w:id="540" w:author="Gabriel Lopes" w:date="2020-09-17T00:08:00Z">
              <w:r w:rsidRPr="000B7D26">
                <w:rPr>
                  <w:rFonts w:ascii="Verdana" w:hAnsi="Verdana" w:cs="Calibri"/>
                  <w:color w:val="000000"/>
                  <w:sz w:val="20"/>
                  <w:szCs w:val="20"/>
                </w:rPr>
                <w:t>28/12/2022</w:t>
              </w:r>
            </w:ins>
          </w:p>
        </w:tc>
      </w:tr>
      <w:tr w:rsidR="001F5F8A" w:rsidRPr="001F5F8A" w14:paraId="18E3384B" w14:textId="77777777" w:rsidTr="000B7D26">
        <w:trPr>
          <w:trHeight w:val="300"/>
          <w:ins w:id="54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F5F8A" w:rsidRPr="000B7D26" w:rsidRDefault="001F5F8A" w:rsidP="001F5F8A">
            <w:pPr>
              <w:autoSpaceDE/>
              <w:autoSpaceDN/>
              <w:adjustRightInd/>
              <w:jc w:val="center"/>
              <w:rPr>
                <w:ins w:id="542" w:author="Gabriel Lopes" w:date="2020-09-17T00:08:00Z"/>
                <w:rFonts w:ascii="Verdana" w:hAnsi="Verdana" w:cs="Calibri"/>
                <w:color w:val="000000"/>
                <w:sz w:val="20"/>
                <w:szCs w:val="20"/>
              </w:rPr>
            </w:pPr>
            <w:ins w:id="543" w:author="Gabriel Lopes" w:date="2020-09-17T00:08:00Z">
              <w:r w:rsidRPr="000B7D26">
                <w:rPr>
                  <w:rFonts w:ascii="Verdana" w:hAnsi="Verdana" w:cs="Calibri"/>
                  <w:color w:val="000000"/>
                  <w:sz w:val="20"/>
                  <w:szCs w:val="20"/>
                </w:rPr>
                <w:t>27</w:t>
              </w:r>
            </w:ins>
          </w:p>
        </w:tc>
        <w:tc>
          <w:tcPr>
            <w:tcW w:w="8249" w:type="dxa"/>
            <w:tcBorders>
              <w:top w:val="nil"/>
              <w:left w:val="nil"/>
              <w:bottom w:val="single" w:sz="4" w:space="0" w:color="auto"/>
              <w:right w:val="single" w:sz="4" w:space="0" w:color="auto"/>
            </w:tcBorders>
            <w:shd w:val="clear" w:color="auto" w:fill="auto"/>
            <w:noWrap/>
            <w:vAlign w:val="bottom"/>
            <w:hideMark/>
          </w:tcPr>
          <w:p w14:paraId="07992313" w14:textId="77777777" w:rsidR="001F5F8A" w:rsidRPr="000B7D26" w:rsidRDefault="001F5F8A" w:rsidP="001F5F8A">
            <w:pPr>
              <w:autoSpaceDE/>
              <w:autoSpaceDN/>
              <w:adjustRightInd/>
              <w:jc w:val="center"/>
              <w:rPr>
                <w:ins w:id="544" w:author="Gabriel Lopes" w:date="2020-09-17T00:08:00Z"/>
                <w:rFonts w:ascii="Verdana" w:hAnsi="Verdana" w:cs="Calibri"/>
                <w:color w:val="000000"/>
                <w:sz w:val="20"/>
                <w:szCs w:val="20"/>
              </w:rPr>
            </w:pPr>
            <w:ins w:id="545" w:author="Gabriel Lopes" w:date="2020-09-17T00:08:00Z">
              <w:r w:rsidRPr="000B7D26">
                <w:rPr>
                  <w:rFonts w:ascii="Verdana" w:hAnsi="Verdana" w:cs="Calibri"/>
                  <w:color w:val="000000"/>
                  <w:sz w:val="20"/>
                  <w:szCs w:val="20"/>
                </w:rPr>
                <w:t>27/01/2023</w:t>
              </w:r>
            </w:ins>
          </w:p>
        </w:tc>
      </w:tr>
      <w:tr w:rsidR="001F5F8A" w:rsidRPr="001F5F8A" w14:paraId="0C15F67D" w14:textId="77777777" w:rsidTr="000B7D26">
        <w:trPr>
          <w:trHeight w:val="300"/>
          <w:ins w:id="54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F5F8A" w:rsidRPr="000B7D26" w:rsidRDefault="001F5F8A" w:rsidP="001F5F8A">
            <w:pPr>
              <w:autoSpaceDE/>
              <w:autoSpaceDN/>
              <w:adjustRightInd/>
              <w:jc w:val="center"/>
              <w:rPr>
                <w:ins w:id="547" w:author="Gabriel Lopes" w:date="2020-09-17T00:08:00Z"/>
                <w:rFonts w:ascii="Verdana" w:hAnsi="Verdana" w:cs="Calibri"/>
                <w:color w:val="000000"/>
                <w:sz w:val="20"/>
                <w:szCs w:val="20"/>
              </w:rPr>
            </w:pPr>
            <w:ins w:id="548" w:author="Gabriel Lopes" w:date="2020-09-17T00:08:00Z">
              <w:r w:rsidRPr="000B7D26">
                <w:rPr>
                  <w:rFonts w:ascii="Verdana" w:hAnsi="Verdana" w:cs="Calibri"/>
                  <w:color w:val="000000"/>
                  <w:sz w:val="20"/>
                  <w:szCs w:val="20"/>
                </w:rPr>
                <w:t>28</w:t>
              </w:r>
            </w:ins>
          </w:p>
        </w:tc>
        <w:tc>
          <w:tcPr>
            <w:tcW w:w="8249" w:type="dxa"/>
            <w:tcBorders>
              <w:top w:val="nil"/>
              <w:left w:val="nil"/>
              <w:bottom w:val="single" w:sz="4" w:space="0" w:color="auto"/>
              <w:right w:val="single" w:sz="4" w:space="0" w:color="auto"/>
            </w:tcBorders>
            <w:shd w:val="clear" w:color="auto" w:fill="auto"/>
            <w:noWrap/>
            <w:vAlign w:val="bottom"/>
            <w:hideMark/>
          </w:tcPr>
          <w:p w14:paraId="12ACD938" w14:textId="77777777" w:rsidR="001F5F8A" w:rsidRPr="000B7D26" w:rsidRDefault="001F5F8A" w:rsidP="001F5F8A">
            <w:pPr>
              <w:autoSpaceDE/>
              <w:autoSpaceDN/>
              <w:adjustRightInd/>
              <w:jc w:val="center"/>
              <w:rPr>
                <w:ins w:id="549" w:author="Gabriel Lopes" w:date="2020-09-17T00:08:00Z"/>
                <w:rFonts w:ascii="Verdana" w:hAnsi="Verdana" w:cs="Calibri"/>
                <w:color w:val="000000"/>
                <w:sz w:val="20"/>
                <w:szCs w:val="20"/>
              </w:rPr>
            </w:pPr>
            <w:ins w:id="550" w:author="Gabriel Lopes" w:date="2020-09-17T00:08:00Z">
              <w:r w:rsidRPr="000B7D26">
                <w:rPr>
                  <w:rFonts w:ascii="Verdana" w:hAnsi="Verdana" w:cs="Calibri"/>
                  <w:color w:val="000000"/>
                  <w:sz w:val="20"/>
                  <w:szCs w:val="20"/>
                </w:rPr>
                <w:t>02/03/2023</w:t>
              </w:r>
            </w:ins>
          </w:p>
        </w:tc>
      </w:tr>
      <w:tr w:rsidR="001F5F8A" w:rsidRPr="001F5F8A" w14:paraId="662955DB" w14:textId="77777777" w:rsidTr="000B7D26">
        <w:trPr>
          <w:trHeight w:val="300"/>
          <w:ins w:id="55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F5F8A" w:rsidRPr="000B7D26" w:rsidRDefault="001F5F8A" w:rsidP="001F5F8A">
            <w:pPr>
              <w:autoSpaceDE/>
              <w:autoSpaceDN/>
              <w:adjustRightInd/>
              <w:jc w:val="center"/>
              <w:rPr>
                <w:ins w:id="552" w:author="Gabriel Lopes" w:date="2020-09-17T00:08:00Z"/>
                <w:rFonts w:ascii="Verdana" w:hAnsi="Verdana" w:cs="Calibri"/>
                <w:color w:val="000000"/>
                <w:sz w:val="20"/>
                <w:szCs w:val="20"/>
              </w:rPr>
            </w:pPr>
            <w:ins w:id="553" w:author="Gabriel Lopes" w:date="2020-09-17T00:08:00Z">
              <w:r w:rsidRPr="000B7D26">
                <w:rPr>
                  <w:rFonts w:ascii="Verdana" w:hAnsi="Verdana" w:cs="Calibri"/>
                  <w:color w:val="000000"/>
                  <w:sz w:val="20"/>
                  <w:szCs w:val="20"/>
                </w:rPr>
                <w:t>29</w:t>
              </w:r>
            </w:ins>
          </w:p>
        </w:tc>
        <w:tc>
          <w:tcPr>
            <w:tcW w:w="8249" w:type="dxa"/>
            <w:tcBorders>
              <w:top w:val="nil"/>
              <w:left w:val="nil"/>
              <w:bottom w:val="single" w:sz="4" w:space="0" w:color="auto"/>
              <w:right w:val="single" w:sz="4" w:space="0" w:color="auto"/>
            </w:tcBorders>
            <w:shd w:val="clear" w:color="auto" w:fill="auto"/>
            <w:noWrap/>
            <w:vAlign w:val="bottom"/>
            <w:hideMark/>
          </w:tcPr>
          <w:p w14:paraId="5F0BE3A7" w14:textId="77777777" w:rsidR="001F5F8A" w:rsidRPr="000B7D26" w:rsidRDefault="001F5F8A" w:rsidP="001F5F8A">
            <w:pPr>
              <w:autoSpaceDE/>
              <w:autoSpaceDN/>
              <w:adjustRightInd/>
              <w:jc w:val="center"/>
              <w:rPr>
                <w:ins w:id="554" w:author="Gabriel Lopes" w:date="2020-09-17T00:08:00Z"/>
                <w:rFonts w:ascii="Verdana" w:hAnsi="Verdana" w:cs="Calibri"/>
                <w:color w:val="000000"/>
                <w:sz w:val="20"/>
                <w:szCs w:val="20"/>
              </w:rPr>
            </w:pPr>
            <w:ins w:id="555" w:author="Gabriel Lopes" w:date="2020-09-17T00:08:00Z">
              <w:r w:rsidRPr="000B7D26">
                <w:rPr>
                  <w:rFonts w:ascii="Verdana" w:hAnsi="Verdana" w:cs="Calibri"/>
                  <w:color w:val="000000"/>
                  <w:sz w:val="20"/>
                  <w:szCs w:val="20"/>
                </w:rPr>
                <w:t>28/03/2023</w:t>
              </w:r>
            </w:ins>
          </w:p>
        </w:tc>
      </w:tr>
      <w:tr w:rsidR="001F5F8A" w:rsidRPr="001F5F8A" w14:paraId="10F09CAE" w14:textId="77777777" w:rsidTr="000B7D26">
        <w:trPr>
          <w:trHeight w:val="300"/>
          <w:ins w:id="55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F5F8A" w:rsidRPr="000B7D26" w:rsidRDefault="001F5F8A" w:rsidP="001F5F8A">
            <w:pPr>
              <w:autoSpaceDE/>
              <w:autoSpaceDN/>
              <w:adjustRightInd/>
              <w:jc w:val="center"/>
              <w:rPr>
                <w:ins w:id="557" w:author="Gabriel Lopes" w:date="2020-09-17T00:08:00Z"/>
                <w:rFonts w:ascii="Verdana" w:hAnsi="Verdana" w:cs="Calibri"/>
                <w:color w:val="000000"/>
                <w:sz w:val="20"/>
                <w:szCs w:val="20"/>
              </w:rPr>
            </w:pPr>
            <w:ins w:id="558" w:author="Gabriel Lopes" w:date="2020-09-17T00:08:00Z">
              <w:r w:rsidRPr="000B7D26">
                <w:rPr>
                  <w:rFonts w:ascii="Verdana" w:hAnsi="Verdana" w:cs="Calibri"/>
                  <w:color w:val="000000"/>
                  <w:sz w:val="20"/>
                  <w:szCs w:val="20"/>
                </w:rPr>
                <w:t>30</w:t>
              </w:r>
            </w:ins>
          </w:p>
        </w:tc>
        <w:tc>
          <w:tcPr>
            <w:tcW w:w="8249" w:type="dxa"/>
            <w:tcBorders>
              <w:top w:val="nil"/>
              <w:left w:val="nil"/>
              <w:bottom w:val="single" w:sz="4" w:space="0" w:color="auto"/>
              <w:right w:val="single" w:sz="4" w:space="0" w:color="auto"/>
            </w:tcBorders>
            <w:shd w:val="clear" w:color="auto" w:fill="auto"/>
            <w:noWrap/>
            <w:vAlign w:val="bottom"/>
            <w:hideMark/>
          </w:tcPr>
          <w:p w14:paraId="6BD62259" w14:textId="77777777" w:rsidR="001F5F8A" w:rsidRPr="000B7D26" w:rsidRDefault="001F5F8A" w:rsidP="001F5F8A">
            <w:pPr>
              <w:autoSpaceDE/>
              <w:autoSpaceDN/>
              <w:adjustRightInd/>
              <w:jc w:val="center"/>
              <w:rPr>
                <w:ins w:id="559" w:author="Gabriel Lopes" w:date="2020-09-17T00:08:00Z"/>
                <w:rFonts w:ascii="Verdana" w:hAnsi="Verdana" w:cs="Calibri"/>
                <w:color w:val="000000"/>
                <w:sz w:val="20"/>
                <w:szCs w:val="20"/>
              </w:rPr>
            </w:pPr>
            <w:ins w:id="560" w:author="Gabriel Lopes" w:date="2020-09-17T00:08:00Z">
              <w:r w:rsidRPr="000B7D26">
                <w:rPr>
                  <w:rFonts w:ascii="Verdana" w:hAnsi="Verdana" w:cs="Calibri"/>
                  <w:color w:val="000000"/>
                  <w:sz w:val="20"/>
                  <w:szCs w:val="20"/>
                </w:rPr>
                <w:t>03/05/2023</w:t>
              </w:r>
            </w:ins>
          </w:p>
        </w:tc>
      </w:tr>
      <w:tr w:rsidR="001F5F8A" w:rsidRPr="001F5F8A" w14:paraId="1444847A" w14:textId="77777777" w:rsidTr="000B7D26">
        <w:trPr>
          <w:trHeight w:val="300"/>
          <w:ins w:id="56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F5F8A" w:rsidRPr="000B7D26" w:rsidRDefault="001F5F8A" w:rsidP="001F5F8A">
            <w:pPr>
              <w:autoSpaceDE/>
              <w:autoSpaceDN/>
              <w:adjustRightInd/>
              <w:jc w:val="center"/>
              <w:rPr>
                <w:ins w:id="562" w:author="Gabriel Lopes" w:date="2020-09-17T00:08:00Z"/>
                <w:rFonts w:ascii="Verdana" w:hAnsi="Verdana" w:cs="Calibri"/>
                <w:color w:val="000000"/>
                <w:sz w:val="20"/>
                <w:szCs w:val="20"/>
              </w:rPr>
            </w:pPr>
            <w:ins w:id="563" w:author="Gabriel Lopes" w:date="2020-09-17T00:08:00Z">
              <w:r w:rsidRPr="000B7D26">
                <w:rPr>
                  <w:rFonts w:ascii="Verdana" w:hAnsi="Verdana" w:cs="Calibri"/>
                  <w:color w:val="000000"/>
                  <w:sz w:val="20"/>
                  <w:szCs w:val="20"/>
                </w:rPr>
                <w:t>31</w:t>
              </w:r>
            </w:ins>
          </w:p>
        </w:tc>
        <w:tc>
          <w:tcPr>
            <w:tcW w:w="8249" w:type="dxa"/>
            <w:tcBorders>
              <w:top w:val="nil"/>
              <w:left w:val="nil"/>
              <w:bottom w:val="single" w:sz="4" w:space="0" w:color="auto"/>
              <w:right w:val="single" w:sz="4" w:space="0" w:color="auto"/>
            </w:tcBorders>
            <w:shd w:val="clear" w:color="auto" w:fill="auto"/>
            <w:noWrap/>
            <w:vAlign w:val="bottom"/>
            <w:hideMark/>
          </w:tcPr>
          <w:p w14:paraId="117D7029" w14:textId="77777777" w:rsidR="001F5F8A" w:rsidRPr="000B7D26" w:rsidRDefault="001F5F8A" w:rsidP="001F5F8A">
            <w:pPr>
              <w:autoSpaceDE/>
              <w:autoSpaceDN/>
              <w:adjustRightInd/>
              <w:jc w:val="center"/>
              <w:rPr>
                <w:ins w:id="564" w:author="Gabriel Lopes" w:date="2020-09-17T00:08:00Z"/>
                <w:rFonts w:ascii="Verdana" w:hAnsi="Verdana" w:cs="Calibri"/>
                <w:color w:val="000000"/>
                <w:sz w:val="20"/>
                <w:szCs w:val="20"/>
              </w:rPr>
            </w:pPr>
            <w:ins w:id="565" w:author="Gabriel Lopes" w:date="2020-09-17T00:08:00Z">
              <w:r w:rsidRPr="000B7D26">
                <w:rPr>
                  <w:rFonts w:ascii="Verdana" w:hAnsi="Verdana" w:cs="Calibri"/>
                  <w:color w:val="000000"/>
                  <w:sz w:val="20"/>
                  <w:szCs w:val="20"/>
                </w:rPr>
                <w:t>29/05/2023</w:t>
              </w:r>
            </w:ins>
          </w:p>
        </w:tc>
      </w:tr>
      <w:tr w:rsidR="001F5F8A" w:rsidRPr="001F5F8A" w14:paraId="74DAD2E9" w14:textId="77777777" w:rsidTr="000B7D26">
        <w:trPr>
          <w:trHeight w:val="300"/>
          <w:ins w:id="56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F5F8A" w:rsidRPr="000B7D26" w:rsidRDefault="001F5F8A" w:rsidP="001F5F8A">
            <w:pPr>
              <w:autoSpaceDE/>
              <w:autoSpaceDN/>
              <w:adjustRightInd/>
              <w:jc w:val="center"/>
              <w:rPr>
                <w:ins w:id="567" w:author="Gabriel Lopes" w:date="2020-09-17T00:08:00Z"/>
                <w:rFonts w:ascii="Verdana" w:hAnsi="Verdana" w:cs="Calibri"/>
                <w:color w:val="000000"/>
                <w:sz w:val="20"/>
                <w:szCs w:val="20"/>
              </w:rPr>
            </w:pPr>
            <w:ins w:id="568" w:author="Gabriel Lopes" w:date="2020-09-17T00:08:00Z">
              <w:r w:rsidRPr="000B7D26">
                <w:rPr>
                  <w:rFonts w:ascii="Verdana" w:hAnsi="Verdana" w:cs="Calibri"/>
                  <w:color w:val="000000"/>
                  <w:sz w:val="20"/>
                  <w:szCs w:val="20"/>
                </w:rPr>
                <w:t>32</w:t>
              </w:r>
            </w:ins>
          </w:p>
        </w:tc>
        <w:tc>
          <w:tcPr>
            <w:tcW w:w="8249" w:type="dxa"/>
            <w:tcBorders>
              <w:top w:val="nil"/>
              <w:left w:val="nil"/>
              <w:bottom w:val="single" w:sz="4" w:space="0" w:color="auto"/>
              <w:right w:val="single" w:sz="4" w:space="0" w:color="auto"/>
            </w:tcBorders>
            <w:shd w:val="clear" w:color="auto" w:fill="auto"/>
            <w:noWrap/>
            <w:vAlign w:val="bottom"/>
            <w:hideMark/>
          </w:tcPr>
          <w:p w14:paraId="0BE54027" w14:textId="77777777" w:rsidR="001F5F8A" w:rsidRPr="000B7D26" w:rsidRDefault="001F5F8A" w:rsidP="001F5F8A">
            <w:pPr>
              <w:autoSpaceDE/>
              <w:autoSpaceDN/>
              <w:adjustRightInd/>
              <w:jc w:val="center"/>
              <w:rPr>
                <w:ins w:id="569" w:author="Gabriel Lopes" w:date="2020-09-17T00:08:00Z"/>
                <w:rFonts w:ascii="Verdana" w:hAnsi="Verdana" w:cs="Calibri"/>
                <w:color w:val="000000"/>
                <w:sz w:val="20"/>
                <w:szCs w:val="20"/>
              </w:rPr>
            </w:pPr>
            <w:ins w:id="570" w:author="Gabriel Lopes" w:date="2020-09-17T00:08:00Z">
              <w:r w:rsidRPr="000B7D26">
                <w:rPr>
                  <w:rFonts w:ascii="Verdana" w:hAnsi="Verdana" w:cs="Calibri"/>
                  <w:color w:val="000000"/>
                  <w:sz w:val="20"/>
                  <w:szCs w:val="20"/>
                </w:rPr>
                <w:t>29/06/2023</w:t>
              </w:r>
            </w:ins>
          </w:p>
        </w:tc>
      </w:tr>
      <w:tr w:rsidR="001F5F8A" w:rsidRPr="001F5F8A" w14:paraId="6278615C" w14:textId="77777777" w:rsidTr="000B7D26">
        <w:trPr>
          <w:trHeight w:val="300"/>
          <w:ins w:id="57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F5F8A" w:rsidRPr="000B7D26" w:rsidRDefault="001F5F8A" w:rsidP="001F5F8A">
            <w:pPr>
              <w:autoSpaceDE/>
              <w:autoSpaceDN/>
              <w:adjustRightInd/>
              <w:jc w:val="center"/>
              <w:rPr>
                <w:ins w:id="572" w:author="Gabriel Lopes" w:date="2020-09-17T00:08:00Z"/>
                <w:rFonts w:ascii="Verdana" w:hAnsi="Verdana" w:cs="Calibri"/>
                <w:color w:val="000000"/>
                <w:sz w:val="20"/>
                <w:szCs w:val="20"/>
              </w:rPr>
            </w:pPr>
            <w:ins w:id="573" w:author="Gabriel Lopes" w:date="2020-09-17T00:08:00Z">
              <w:r w:rsidRPr="000B7D26">
                <w:rPr>
                  <w:rFonts w:ascii="Verdana" w:hAnsi="Verdana" w:cs="Calibri"/>
                  <w:color w:val="000000"/>
                  <w:sz w:val="20"/>
                  <w:szCs w:val="20"/>
                </w:rPr>
                <w:t>33</w:t>
              </w:r>
            </w:ins>
          </w:p>
        </w:tc>
        <w:tc>
          <w:tcPr>
            <w:tcW w:w="8249" w:type="dxa"/>
            <w:tcBorders>
              <w:top w:val="nil"/>
              <w:left w:val="nil"/>
              <w:bottom w:val="single" w:sz="4" w:space="0" w:color="auto"/>
              <w:right w:val="single" w:sz="4" w:space="0" w:color="auto"/>
            </w:tcBorders>
            <w:shd w:val="clear" w:color="auto" w:fill="auto"/>
            <w:noWrap/>
            <w:vAlign w:val="bottom"/>
            <w:hideMark/>
          </w:tcPr>
          <w:p w14:paraId="0FC061E6" w14:textId="77777777" w:rsidR="001F5F8A" w:rsidRPr="000B7D26" w:rsidRDefault="001F5F8A" w:rsidP="001F5F8A">
            <w:pPr>
              <w:autoSpaceDE/>
              <w:autoSpaceDN/>
              <w:adjustRightInd/>
              <w:jc w:val="center"/>
              <w:rPr>
                <w:ins w:id="574" w:author="Gabriel Lopes" w:date="2020-09-17T00:08:00Z"/>
                <w:rFonts w:ascii="Verdana" w:hAnsi="Verdana" w:cs="Calibri"/>
                <w:color w:val="000000"/>
                <w:sz w:val="20"/>
                <w:szCs w:val="20"/>
              </w:rPr>
            </w:pPr>
            <w:ins w:id="575" w:author="Gabriel Lopes" w:date="2020-09-17T00:08:00Z">
              <w:r w:rsidRPr="000B7D26">
                <w:rPr>
                  <w:rFonts w:ascii="Verdana" w:hAnsi="Verdana" w:cs="Calibri"/>
                  <w:color w:val="000000"/>
                  <w:sz w:val="20"/>
                  <w:szCs w:val="20"/>
                </w:rPr>
                <w:t>28/07/2023</w:t>
              </w:r>
            </w:ins>
          </w:p>
        </w:tc>
      </w:tr>
      <w:tr w:rsidR="001F5F8A" w:rsidRPr="001F5F8A" w14:paraId="4CDDA1B6" w14:textId="77777777" w:rsidTr="000B7D26">
        <w:trPr>
          <w:trHeight w:val="300"/>
          <w:ins w:id="57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F5F8A" w:rsidRPr="000B7D26" w:rsidRDefault="001F5F8A" w:rsidP="001F5F8A">
            <w:pPr>
              <w:autoSpaceDE/>
              <w:autoSpaceDN/>
              <w:adjustRightInd/>
              <w:jc w:val="center"/>
              <w:rPr>
                <w:ins w:id="577" w:author="Gabriel Lopes" w:date="2020-09-17T00:08:00Z"/>
                <w:rFonts w:ascii="Verdana" w:hAnsi="Verdana" w:cs="Calibri"/>
                <w:color w:val="000000"/>
                <w:sz w:val="20"/>
                <w:szCs w:val="20"/>
              </w:rPr>
            </w:pPr>
            <w:ins w:id="578" w:author="Gabriel Lopes" w:date="2020-09-17T00:08:00Z">
              <w:r w:rsidRPr="000B7D26">
                <w:rPr>
                  <w:rFonts w:ascii="Verdana" w:hAnsi="Verdana" w:cs="Calibri"/>
                  <w:color w:val="000000"/>
                  <w:sz w:val="20"/>
                  <w:szCs w:val="20"/>
                </w:rPr>
                <w:t>34</w:t>
              </w:r>
            </w:ins>
          </w:p>
        </w:tc>
        <w:tc>
          <w:tcPr>
            <w:tcW w:w="8249" w:type="dxa"/>
            <w:tcBorders>
              <w:top w:val="nil"/>
              <w:left w:val="nil"/>
              <w:bottom w:val="single" w:sz="4" w:space="0" w:color="auto"/>
              <w:right w:val="single" w:sz="4" w:space="0" w:color="auto"/>
            </w:tcBorders>
            <w:shd w:val="clear" w:color="auto" w:fill="auto"/>
            <w:noWrap/>
            <w:vAlign w:val="bottom"/>
            <w:hideMark/>
          </w:tcPr>
          <w:p w14:paraId="7AA952E2" w14:textId="77777777" w:rsidR="001F5F8A" w:rsidRPr="000B7D26" w:rsidRDefault="001F5F8A" w:rsidP="001F5F8A">
            <w:pPr>
              <w:autoSpaceDE/>
              <w:autoSpaceDN/>
              <w:adjustRightInd/>
              <w:jc w:val="center"/>
              <w:rPr>
                <w:ins w:id="579" w:author="Gabriel Lopes" w:date="2020-09-17T00:08:00Z"/>
                <w:rFonts w:ascii="Verdana" w:hAnsi="Verdana" w:cs="Calibri"/>
                <w:color w:val="000000"/>
                <w:sz w:val="20"/>
                <w:szCs w:val="20"/>
              </w:rPr>
            </w:pPr>
            <w:ins w:id="580" w:author="Gabriel Lopes" w:date="2020-09-17T00:08:00Z">
              <w:r w:rsidRPr="000B7D26">
                <w:rPr>
                  <w:rFonts w:ascii="Verdana" w:hAnsi="Verdana" w:cs="Calibri"/>
                  <w:color w:val="000000"/>
                  <w:sz w:val="20"/>
                  <w:szCs w:val="20"/>
                </w:rPr>
                <w:t>28/08/2023</w:t>
              </w:r>
            </w:ins>
          </w:p>
        </w:tc>
      </w:tr>
      <w:tr w:rsidR="001F5F8A" w:rsidRPr="001F5F8A" w14:paraId="2E534D52" w14:textId="77777777" w:rsidTr="000B7D26">
        <w:trPr>
          <w:trHeight w:val="300"/>
          <w:ins w:id="58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F5F8A" w:rsidRPr="000B7D26" w:rsidRDefault="001F5F8A" w:rsidP="001F5F8A">
            <w:pPr>
              <w:autoSpaceDE/>
              <w:autoSpaceDN/>
              <w:adjustRightInd/>
              <w:jc w:val="center"/>
              <w:rPr>
                <w:ins w:id="582" w:author="Gabriel Lopes" w:date="2020-09-17T00:08:00Z"/>
                <w:rFonts w:ascii="Verdana" w:hAnsi="Verdana" w:cs="Calibri"/>
                <w:color w:val="000000"/>
                <w:sz w:val="20"/>
                <w:szCs w:val="20"/>
              </w:rPr>
            </w:pPr>
            <w:ins w:id="583" w:author="Gabriel Lopes" w:date="2020-09-17T00:08:00Z">
              <w:r w:rsidRPr="000B7D26">
                <w:rPr>
                  <w:rFonts w:ascii="Verdana" w:hAnsi="Verdana" w:cs="Calibri"/>
                  <w:color w:val="000000"/>
                  <w:sz w:val="20"/>
                  <w:szCs w:val="20"/>
                </w:rPr>
                <w:t>35</w:t>
              </w:r>
            </w:ins>
          </w:p>
        </w:tc>
        <w:tc>
          <w:tcPr>
            <w:tcW w:w="8249" w:type="dxa"/>
            <w:tcBorders>
              <w:top w:val="nil"/>
              <w:left w:val="nil"/>
              <w:bottom w:val="single" w:sz="4" w:space="0" w:color="auto"/>
              <w:right w:val="single" w:sz="4" w:space="0" w:color="auto"/>
            </w:tcBorders>
            <w:shd w:val="clear" w:color="auto" w:fill="auto"/>
            <w:noWrap/>
            <w:vAlign w:val="bottom"/>
            <w:hideMark/>
          </w:tcPr>
          <w:p w14:paraId="051FC19D" w14:textId="77777777" w:rsidR="001F5F8A" w:rsidRPr="000B7D26" w:rsidRDefault="001F5F8A" w:rsidP="001F5F8A">
            <w:pPr>
              <w:autoSpaceDE/>
              <w:autoSpaceDN/>
              <w:adjustRightInd/>
              <w:jc w:val="center"/>
              <w:rPr>
                <w:ins w:id="584" w:author="Gabriel Lopes" w:date="2020-09-17T00:08:00Z"/>
                <w:rFonts w:ascii="Verdana" w:hAnsi="Verdana" w:cs="Calibri"/>
                <w:color w:val="000000"/>
                <w:sz w:val="20"/>
                <w:szCs w:val="20"/>
              </w:rPr>
            </w:pPr>
            <w:ins w:id="585" w:author="Gabriel Lopes" w:date="2020-09-17T00:08:00Z">
              <w:r w:rsidRPr="000B7D26">
                <w:rPr>
                  <w:rFonts w:ascii="Verdana" w:hAnsi="Verdana" w:cs="Calibri"/>
                  <w:color w:val="000000"/>
                  <w:sz w:val="20"/>
                  <w:szCs w:val="20"/>
                </w:rPr>
                <w:t>29/09/2023</w:t>
              </w:r>
            </w:ins>
          </w:p>
        </w:tc>
      </w:tr>
      <w:tr w:rsidR="001F5F8A" w:rsidRPr="001F5F8A" w14:paraId="5E9AAD95" w14:textId="77777777" w:rsidTr="000B7D26">
        <w:trPr>
          <w:trHeight w:val="300"/>
          <w:ins w:id="58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F5F8A" w:rsidRPr="000B7D26" w:rsidRDefault="001F5F8A" w:rsidP="001F5F8A">
            <w:pPr>
              <w:autoSpaceDE/>
              <w:autoSpaceDN/>
              <w:adjustRightInd/>
              <w:jc w:val="center"/>
              <w:rPr>
                <w:ins w:id="587" w:author="Gabriel Lopes" w:date="2020-09-17T00:08:00Z"/>
                <w:rFonts w:ascii="Verdana" w:hAnsi="Verdana" w:cs="Calibri"/>
                <w:color w:val="000000"/>
                <w:sz w:val="20"/>
                <w:szCs w:val="20"/>
              </w:rPr>
            </w:pPr>
            <w:ins w:id="588" w:author="Gabriel Lopes" w:date="2020-09-17T00:08:00Z">
              <w:r w:rsidRPr="000B7D26">
                <w:rPr>
                  <w:rFonts w:ascii="Verdana" w:hAnsi="Verdana" w:cs="Calibri"/>
                  <w:color w:val="000000"/>
                  <w:sz w:val="20"/>
                  <w:szCs w:val="20"/>
                </w:rPr>
                <w:t>36</w:t>
              </w:r>
            </w:ins>
          </w:p>
        </w:tc>
        <w:tc>
          <w:tcPr>
            <w:tcW w:w="8249" w:type="dxa"/>
            <w:tcBorders>
              <w:top w:val="nil"/>
              <w:left w:val="nil"/>
              <w:bottom w:val="single" w:sz="4" w:space="0" w:color="auto"/>
              <w:right w:val="single" w:sz="4" w:space="0" w:color="auto"/>
            </w:tcBorders>
            <w:shd w:val="clear" w:color="auto" w:fill="auto"/>
            <w:noWrap/>
            <w:vAlign w:val="bottom"/>
            <w:hideMark/>
          </w:tcPr>
          <w:p w14:paraId="0134B89A" w14:textId="77777777" w:rsidR="001F5F8A" w:rsidRPr="000B7D26" w:rsidRDefault="001F5F8A" w:rsidP="001F5F8A">
            <w:pPr>
              <w:autoSpaceDE/>
              <w:autoSpaceDN/>
              <w:adjustRightInd/>
              <w:jc w:val="center"/>
              <w:rPr>
                <w:ins w:id="589" w:author="Gabriel Lopes" w:date="2020-09-17T00:08:00Z"/>
                <w:rFonts w:ascii="Verdana" w:hAnsi="Verdana" w:cs="Calibri"/>
                <w:color w:val="000000"/>
                <w:sz w:val="20"/>
                <w:szCs w:val="20"/>
              </w:rPr>
            </w:pPr>
            <w:ins w:id="590" w:author="Gabriel Lopes" w:date="2020-09-17T00:08:00Z">
              <w:r w:rsidRPr="000B7D26">
                <w:rPr>
                  <w:rFonts w:ascii="Verdana" w:hAnsi="Verdana" w:cs="Calibri"/>
                  <w:color w:val="000000"/>
                  <w:sz w:val="20"/>
                  <w:szCs w:val="20"/>
                </w:rPr>
                <w:t>30/10/2023</w:t>
              </w:r>
            </w:ins>
          </w:p>
        </w:tc>
      </w:tr>
      <w:tr w:rsidR="001F5F8A" w:rsidRPr="001F5F8A" w14:paraId="62D1BB52" w14:textId="77777777" w:rsidTr="000B7D26">
        <w:trPr>
          <w:trHeight w:val="300"/>
          <w:ins w:id="59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F5F8A" w:rsidRPr="000B7D26" w:rsidRDefault="001F5F8A" w:rsidP="001F5F8A">
            <w:pPr>
              <w:autoSpaceDE/>
              <w:autoSpaceDN/>
              <w:adjustRightInd/>
              <w:jc w:val="center"/>
              <w:rPr>
                <w:ins w:id="592" w:author="Gabriel Lopes" w:date="2020-09-17T00:08:00Z"/>
                <w:rFonts w:ascii="Verdana" w:hAnsi="Verdana" w:cs="Calibri"/>
                <w:color w:val="000000"/>
                <w:sz w:val="20"/>
                <w:szCs w:val="20"/>
              </w:rPr>
            </w:pPr>
            <w:ins w:id="593" w:author="Gabriel Lopes" w:date="2020-09-17T00:08:00Z">
              <w:r w:rsidRPr="000B7D26">
                <w:rPr>
                  <w:rFonts w:ascii="Verdana" w:hAnsi="Verdana" w:cs="Calibri"/>
                  <w:color w:val="000000"/>
                  <w:sz w:val="20"/>
                  <w:szCs w:val="20"/>
                </w:rPr>
                <w:t>37</w:t>
              </w:r>
            </w:ins>
          </w:p>
        </w:tc>
        <w:tc>
          <w:tcPr>
            <w:tcW w:w="8249" w:type="dxa"/>
            <w:tcBorders>
              <w:top w:val="nil"/>
              <w:left w:val="nil"/>
              <w:bottom w:val="single" w:sz="4" w:space="0" w:color="auto"/>
              <w:right w:val="single" w:sz="4" w:space="0" w:color="auto"/>
            </w:tcBorders>
            <w:shd w:val="clear" w:color="auto" w:fill="auto"/>
            <w:noWrap/>
            <w:vAlign w:val="bottom"/>
            <w:hideMark/>
          </w:tcPr>
          <w:p w14:paraId="3C7EAD78" w14:textId="77777777" w:rsidR="001F5F8A" w:rsidRPr="000B7D26" w:rsidRDefault="001F5F8A" w:rsidP="001F5F8A">
            <w:pPr>
              <w:autoSpaceDE/>
              <w:autoSpaceDN/>
              <w:adjustRightInd/>
              <w:jc w:val="center"/>
              <w:rPr>
                <w:ins w:id="594" w:author="Gabriel Lopes" w:date="2020-09-17T00:08:00Z"/>
                <w:rFonts w:ascii="Verdana" w:hAnsi="Verdana" w:cs="Calibri"/>
                <w:color w:val="000000"/>
                <w:sz w:val="20"/>
                <w:szCs w:val="20"/>
              </w:rPr>
            </w:pPr>
            <w:ins w:id="595" w:author="Gabriel Lopes" w:date="2020-09-17T00:08:00Z">
              <w:r w:rsidRPr="000B7D26">
                <w:rPr>
                  <w:rFonts w:ascii="Verdana" w:hAnsi="Verdana" w:cs="Calibri"/>
                  <w:color w:val="000000"/>
                  <w:sz w:val="20"/>
                  <w:szCs w:val="20"/>
                </w:rPr>
                <w:t>30/11/2023</w:t>
              </w:r>
            </w:ins>
          </w:p>
        </w:tc>
      </w:tr>
      <w:tr w:rsidR="001F5F8A" w:rsidRPr="001F5F8A" w14:paraId="454F3EA5" w14:textId="77777777" w:rsidTr="000B7D26">
        <w:trPr>
          <w:trHeight w:val="300"/>
          <w:ins w:id="59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F5F8A" w:rsidRPr="000B7D26" w:rsidRDefault="001F5F8A" w:rsidP="001F5F8A">
            <w:pPr>
              <w:autoSpaceDE/>
              <w:autoSpaceDN/>
              <w:adjustRightInd/>
              <w:jc w:val="center"/>
              <w:rPr>
                <w:ins w:id="597" w:author="Gabriel Lopes" w:date="2020-09-17T00:08:00Z"/>
                <w:rFonts w:ascii="Verdana" w:hAnsi="Verdana" w:cs="Calibri"/>
                <w:color w:val="000000"/>
                <w:sz w:val="20"/>
                <w:szCs w:val="20"/>
              </w:rPr>
            </w:pPr>
            <w:ins w:id="598" w:author="Gabriel Lopes" w:date="2020-09-17T00:08:00Z">
              <w:r w:rsidRPr="000B7D26">
                <w:rPr>
                  <w:rFonts w:ascii="Verdana" w:hAnsi="Verdana" w:cs="Calibri"/>
                  <w:color w:val="000000"/>
                  <w:sz w:val="20"/>
                  <w:szCs w:val="20"/>
                </w:rPr>
                <w:t>38</w:t>
              </w:r>
            </w:ins>
          </w:p>
        </w:tc>
        <w:tc>
          <w:tcPr>
            <w:tcW w:w="8249" w:type="dxa"/>
            <w:tcBorders>
              <w:top w:val="nil"/>
              <w:left w:val="nil"/>
              <w:bottom w:val="single" w:sz="4" w:space="0" w:color="auto"/>
              <w:right w:val="single" w:sz="4" w:space="0" w:color="auto"/>
            </w:tcBorders>
            <w:shd w:val="clear" w:color="auto" w:fill="auto"/>
            <w:noWrap/>
            <w:vAlign w:val="bottom"/>
            <w:hideMark/>
          </w:tcPr>
          <w:p w14:paraId="215E9A39" w14:textId="77777777" w:rsidR="001F5F8A" w:rsidRPr="000B7D26" w:rsidRDefault="001F5F8A" w:rsidP="001F5F8A">
            <w:pPr>
              <w:autoSpaceDE/>
              <w:autoSpaceDN/>
              <w:adjustRightInd/>
              <w:jc w:val="center"/>
              <w:rPr>
                <w:ins w:id="599" w:author="Gabriel Lopes" w:date="2020-09-17T00:08:00Z"/>
                <w:rFonts w:ascii="Verdana" w:hAnsi="Verdana" w:cs="Calibri"/>
                <w:color w:val="000000"/>
                <w:sz w:val="20"/>
                <w:szCs w:val="20"/>
              </w:rPr>
            </w:pPr>
            <w:ins w:id="600" w:author="Gabriel Lopes" w:date="2020-09-17T00:08:00Z">
              <w:r w:rsidRPr="000B7D26">
                <w:rPr>
                  <w:rFonts w:ascii="Verdana" w:hAnsi="Verdana" w:cs="Calibri"/>
                  <w:color w:val="000000"/>
                  <w:sz w:val="20"/>
                  <w:szCs w:val="20"/>
                </w:rPr>
                <w:t>29/12/2023</w:t>
              </w:r>
            </w:ins>
          </w:p>
        </w:tc>
      </w:tr>
      <w:tr w:rsidR="001F5F8A" w:rsidRPr="001F5F8A" w14:paraId="75A35BA6" w14:textId="77777777" w:rsidTr="000B7D26">
        <w:trPr>
          <w:trHeight w:val="300"/>
          <w:ins w:id="60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F5F8A" w:rsidRPr="000B7D26" w:rsidRDefault="001F5F8A" w:rsidP="001F5F8A">
            <w:pPr>
              <w:autoSpaceDE/>
              <w:autoSpaceDN/>
              <w:adjustRightInd/>
              <w:jc w:val="center"/>
              <w:rPr>
                <w:ins w:id="602" w:author="Gabriel Lopes" w:date="2020-09-17T00:08:00Z"/>
                <w:rFonts w:ascii="Verdana" w:hAnsi="Verdana" w:cs="Calibri"/>
                <w:color w:val="000000"/>
                <w:sz w:val="20"/>
                <w:szCs w:val="20"/>
              </w:rPr>
            </w:pPr>
            <w:ins w:id="603" w:author="Gabriel Lopes" w:date="2020-09-17T00:08:00Z">
              <w:r w:rsidRPr="000B7D26">
                <w:rPr>
                  <w:rFonts w:ascii="Verdana" w:hAnsi="Verdana" w:cs="Calibri"/>
                  <w:color w:val="000000"/>
                  <w:sz w:val="20"/>
                  <w:szCs w:val="20"/>
                </w:rPr>
                <w:t>39</w:t>
              </w:r>
            </w:ins>
          </w:p>
        </w:tc>
        <w:tc>
          <w:tcPr>
            <w:tcW w:w="8249" w:type="dxa"/>
            <w:tcBorders>
              <w:top w:val="nil"/>
              <w:left w:val="nil"/>
              <w:bottom w:val="single" w:sz="4" w:space="0" w:color="auto"/>
              <w:right w:val="single" w:sz="4" w:space="0" w:color="auto"/>
            </w:tcBorders>
            <w:shd w:val="clear" w:color="auto" w:fill="auto"/>
            <w:noWrap/>
            <w:vAlign w:val="bottom"/>
            <w:hideMark/>
          </w:tcPr>
          <w:p w14:paraId="38BAE9AD" w14:textId="77777777" w:rsidR="001F5F8A" w:rsidRPr="000B7D26" w:rsidRDefault="001F5F8A" w:rsidP="001F5F8A">
            <w:pPr>
              <w:autoSpaceDE/>
              <w:autoSpaceDN/>
              <w:adjustRightInd/>
              <w:jc w:val="center"/>
              <w:rPr>
                <w:ins w:id="604" w:author="Gabriel Lopes" w:date="2020-09-17T00:08:00Z"/>
                <w:rFonts w:ascii="Verdana" w:hAnsi="Verdana" w:cs="Calibri"/>
                <w:color w:val="000000"/>
                <w:sz w:val="20"/>
                <w:szCs w:val="20"/>
              </w:rPr>
            </w:pPr>
            <w:ins w:id="605" w:author="Gabriel Lopes" w:date="2020-09-17T00:08:00Z">
              <w:r w:rsidRPr="000B7D26">
                <w:rPr>
                  <w:rFonts w:ascii="Verdana" w:hAnsi="Verdana" w:cs="Calibri"/>
                  <w:color w:val="000000"/>
                  <w:sz w:val="20"/>
                  <w:szCs w:val="20"/>
                </w:rPr>
                <w:t>29/01/2024</w:t>
              </w:r>
            </w:ins>
          </w:p>
        </w:tc>
      </w:tr>
      <w:tr w:rsidR="001F5F8A" w:rsidRPr="001F5F8A" w14:paraId="0EC4CAA6" w14:textId="77777777" w:rsidTr="000B7D26">
        <w:trPr>
          <w:trHeight w:val="300"/>
          <w:ins w:id="606"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F5F8A" w:rsidRPr="000B7D26" w:rsidRDefault="001F5F8A" w:rsidP="001F5F8A">
            <w:pPr>
              <w:autoSpaceDE/>
              <w:autoSpaceDN/>
              <w:adjustRightInd/>
              <w:jc w:val="center"/>
              <w:rPr>
                <w:ins w:id="607" w:author="Gabriel Lopes" w:date="2020-09-17T00:08:00Z"/>
                <w:rFonts w:ascii="Verdana" w:hAnsi="Verdana" w:cs="Calibri"/>
                <w:color w:val="000000"/>
                <w:sz w:val="20"/>
                <w:szCs w:val="20"/>
              </w:rPr>
            </w:pPr>
            <w:ins w:id="608" w:author="Gabriel Lopes" w:date="2020-09-17T00:08:00Z">
              <w:r w:rsidRPr="000B7D26">
                <w:rPr>
                  <w:rFonts w:ascii="Verdana" w:hAnsi="Verdana" w:cs="Calibri"/>
                  <w:color w:val="000000"/>
                  <w:sz w:val="20"/>
                  <w:szCs w:val="20"/>
                </w:rPr>
                <w:t>40</w:t>
              </w:r>
            </w:ins>
          </w:p>
        </w:tc>
        <w:tc>
          <w:tcPr>
            <w:tcW w:w="8249" w:type="dxa"/>
            <w:tcBorders>
              <w:top w:val="nil"/>
              <w:left w:val="nil"/>
              <w:bottom w:val="single" w:sz="4" w:space="0" w:color="auto"/>
              <w:right w:val="single" w:sz="4" w:space="0" w:color="auto"/>
            </w:tcBorders>
            <w:shd w:val="clear" w:color="auto" w:fill="auto"/>
            <w:noWrap/>
            <w:vAlign w:val="bottom"/>
            <w:hideMark/>
          </w:tcPr>
          <w:p w14:paraId="73188575" w14:textId="77777777" w:rsidR="001F5F8A" w:rsidRPr="000B7D26" w:rsidRDefault="001F5F8A" w:rsidP="001F5F8A">
            <w:pPr>
              <w:autoSpaceDE/>
              <w:autoSpaceDN/>
              <w:adjustRightInd/>
              <w:jc w:val="center"/>
              <w:rPr>
                <w:ins w:id="609" w:author="Gabriel Lopes" w:date="2020-09-17T00:08:00Z"/>
                <w:rFonts w:ascii="Verdana" w:hAnsi="Verdana" w:cs="Calibri"/>
                <w:color w:val="000000"/>
                <w:sz w:val="20"/>
                <w:szCs w:val="20"/>
              </w:rPr>
            </w:pPr>
            <w:ins w:id="610" w:author="Gabriel Lopes" w:date="2020-09-17T00:08:00Z">
              <w:r w:rsidRPr="000B7D26">
                <w:rPr>
                  <w:rFonts w:ascii="Verdana" w:hAnsi="Verdana" w:cs="Calibri"/>
                  <w:color w:val="000000"/>
                  <w:sz w:val="20"/>
                  <w:szCs w:val="20"/>
                </w:rPr>
                <w:t>01/03/2024</w:t>
              </w:r>
            </w:ins>
          </w:p>
        </w:tc>
      </w:tr>
      <w:tr w:rsidR="001F5F8A" w:rsidRPr="001F5F8A" w14:paraId="1BEBBF2A" w14:textId="77777777" w:rsidTr="000B7D26">
        <w:trPr>
          <w:trHeight w:val="300"/>
          <w:ins w:id="611" w:author="Gabriel Lopes" w:date="2020-09-17T00:08:00Z"/>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F5F8A" w:rsidRPr="000B7D26" w:rsidRDefault="001F5F8A" w:rsidP="001F5F8A">
            <w:pPr>
              <w:autoSpaceDE/>
              <w:autoSpaceDN/>
              <w:adjustRightInd/>
              <w:jc w:val="center"/>
              <w:rPr>
                <w:ins w:id="612" w:author="Gabriel Lopes" w:date="2020-09-17T00:08:00Z"/>
                <w:rFonts w:ascii="Verdana" w:hAnsi="Verdana" w:cs="Calibri"/>
                <w:color w:val="000000"/>
                <w:sz w:val="20"/>
                <w:szCs w:val="20"/>
              </w:rPr>
            </w:pPr>
            <w:ins w:id="613" w:author="Gabriel Lopes" w:date="2020-09-17T00:08:00Z">
              <w:r w:rsidRPr="000B7D26">
                <w:rPr>
                  <w:rFonts w:ascii="Verdana" w:hAnsi="Verdana" w:cs="Calibri"/>
                  <w:color w:val="000000"/>
                  <w:sz w:val="20"/>
                  <w:szCs w:val="20"/>
                </w:rPr>
                <w:t>41</w:t>
              </w:r>
            </w:ins>
          </w:p>
        </w:tc>
        <w:tc>
          <w:tcPr>
            <w:tcW w:w="8249" w:type="dxa"/>
            <w:tcBorders>
              <w:top w:val="nil"/>
              <w:left w:val="nil"/>
              <w:bottom w:val="single" w:sz="4" w:space="0" w:color="auto"/>
              <w:right w:val="single" w:sz="4" w:space="0" w:color="auto"/>
            </w:tcBorders>
            <w:shd w:val="clear" w:color="auto" w:fill="auto"/>
            <w:noWrap/>
            <w:vAlign w:val="bottom"/>
            <w:hideMark/>
          </w:tcPr>
          <w:p w14:paraId="24E5B8B5" w14:textId="37133B4A" w:rsidR="001F5F8A" w:rsidRPr="000B7D26" w:rsidRDefault="001F5F8A" w:rsidP="001F5F8A">
            <w:pPr>
              <w:autoSpaceDE/>
              <w:autoSpaceDN/>
              <w:adjustRightInd/>
              <w:jc w:val="center"/>
              <w:rPr>
                <w:ins w:id="614" w:author="Gabriel Lopes" w:date="2020-09-17T00:08:00Z"/>
                <w:rFonts w:ascii="Verdana" w:hAnsi="Verdana" w:cs="Calibri"/>
                <w:color w:val="000000"/>
                <w:sz w:val="20"/>
                <w:szCs w:val="20"/>
              </w:rPr>
            </w:pPr>
            <w:ins w:id="615" w:author="Gabriel Lopes" w:date="2020-09-17T00:08:00Z">
              <w:r w:rsidRPr="000B7D26">
                <w:rPr>
                  <w:rFonts w:ascii="Verdana" w:hAnsi="Verdana" w:cs="Calibri"/>
                  <w:color w:val="000000"/>
                  <w:sz w:val="20"/>
                  <w:szCs w:val="20"/>
                </w:rPr>
                <w:t>30/03/2024</w:t>
              </w:r>
            </w:ins>
          </w:p>
        </w:tc>
      </w:tr>
    </w:tbl>
    <w:p w14:paraId="129E6C92" w14:textId="62B7E27F" w:rsidR="00BE4F04" w:rsidRDefault="00BE4F04">
      <w:pPr>
        <w:pStyle w:val="Lista2"/>
        <w:spacing w:before="120" w:after="120" w:line="280" w:lineRule="exact"/>
        <w:ind w:left="0" w:firstLine="0"/>
        <w:jc w:val="center"/>
        <w:rPr>
          <w:rFonts w:ascii="Verdana" w:eastAsia="MS Mincho" w:hAnsi="Verdana"/>
          <w:bCs/>
          <w:sz w:val="20"/>
          <w:szCs w:val="20"/>
        </w:rPr>
      </w:pPr>
    </w:p>
    <w:p w14:paraId="43790A96" w14:textId="0FFDB937" w:rsidR="00BE4F04" w:rsidRDefault="00BE4F04">
      <w:pPr>
        <w:autoSpaceDE/>
        <w:autoSpaceDN/>
        <w:adjustRightInd/>
        <w:rPr>
          <w:rFonts w:ascii="Verdana" w:eastAsia="MS Mincho" w:hAnsi="Verdana"/>
          <w:bCs/>
          <w:sz w:val="20"/>
          <w:szCs w:val="20"/>
          <w:lang w:eastAsia="ar-SA"/>
        </w:rPr>
      </w:pPr>
      <w:r>
        <w:rPr>
          <w:rFonts w:ascii="Verdana" w:eastAsia="MS Mincho" w:hAnsi="Verdana"/>
          <w:bCs/>
          <w:sz w:val="20"/>
          <w:szCs w:val="20"/>
        </w:rPr>
        <w:br w:type="page"/>
      </w:r>
    </w:p>
    <w:p w14:paraId="13B7343F" w14:textId="77777777" w:rsidR="00BE4F04" w:rsidRDefault="00BE4F04">
      <w:pPr>
        <w:pStyle w:val="Lista2"/>
        <w:spacing w:before="120" w:after="120" w:line="280" w:lineRule="exact"/>
        <w:ind w:left="0" w:firstLine="0"/>
        <w:jc w:val="center"/>
        <w:rPr>
          <w:rFonts w:ascii="Verdana" w:hAnsi="Verdana" w:cs="Tahoma"/>
          <w:b/>
          <w:sz w:val="20"/>
          <w:szCs w:val="20"/>
        </w:rPr>
      </w:pPr>
    </w:p>
    <w:p w14:paraId="3E53DD0B" w14:textId="62051754" w:rsidR="00EB5CDB" w:rsidRDefault="008E55E6">
      <w:pPr>
        <w:pStyle w:val="Lista2"/>
        <w:spacing w:before="120" w:after="120" w:line="280" w:lineRule="exact"/>
        <w:ind w:left="0" w:firstLine="0"/>
        <w:jc w:val="both"/>
        <w:rPr>
          <w:rFonts w:ascii="Verdana" w:hAnsi="Verdana" w:cs="Tahoma"/>
          <w:b/>
          <w:sz w:val="20"/>
          <w:szCs w:val="20"/>
          <w:u w:val="single"/>
        </w:rPr>
      </w:pPr>
      <w:r>
        <w:rPr>
          <w:rFonts w:ascii="Verdana" w:hAnsi="Verdana" w:cs="Tahoma"/>
          <w:b/>
          <w:sz w:val="20"/>
          <w:szCs w:val="20"/>
          <w:u w:val="single"/>
        </w:rPr>
        <w:t xml:space="preserve">ANEXO II AO </w:t>
      </w:r>
      <w:r>
        <w:rPr>
          <w:rFonts w:ascii="Verdana" w:hAnsi="Verdana"/>
          <w:b/>
          <w:smallCaps/>
          <w:sz w:val="20"/>
          <w:szCs w:val="20"/>
          <w:u w:val="single"/>
        </w:rPr>
        <w:t xml:space="preserve">INSTRUMENTO PARTICULAR DE ESCRITURA DA </w:t>
      </w:r>
      <w:r w:rsidR="00BE4F04">
        <w:rPr>
          <w:rFonts w:ascii="Verdana" w:hAnsi="Verdana"/>
          <w:b/>
          <w:smallCaps/>
          <w:sz w:val="20"/>
          <w:szCs w:val="20"/>
          <w:u w:val="single"/>
        </w:rPr>
        <w:t>2</w:t>
      </w:r>
      <w:r>
        <w:rPr>
          <w:rFonts w:ascii="Verdana" w:hAnsi="Verdana"/>
          <w:b/>
          <w:smallCaps/>
          <w:sz w:val="20"/>
          <w:szCs w:val="20"/>
          <w:u w:val="single"/>
        </w:rPr>
        <w:t>ª (</w:t>
      </w:r>
      <w:r w:rsidR="00BE4F04">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BE4F04">
        <w:rPr>
          <w:rFonts w:ascii="Verdana" w:hAnsi="Verdana"/>
          <w:b/>
          <w:smallCaps/>
          <w:sz w:val="20"/>
          <w:szCs w:val="20"/>
          <w:u w:val="single"/>
        </w:rPr>
        <w:t>GYRA</w:t>
      </w:r>
    </w:p>
    <w:p w14:paraId="3253D400" w14:textId="77777777" w:rsidR="00EB5CDB" w:rsidRDefault="00EB5CDB">
      <w:pPr>
        <w:pStyle w:val="Lista2"/>
        <w:spacing w:before="120" w:after="120" w:line="280" w:lineRule="exact"/>
        <w:ind w:left="0" w:firstLine="0"/>
        <w:jc w:val="both"/>
        <w:rPr>
          <w:rFonts w:ascii="Verdana" w:hAnsi="Verdana" w:cs="Tahoma"/>
          <w:b/>
          <w:sz w:val="20"/>
          <w:szCs w:val="20"/>
          <w:u w:val="single"/>
        </w:rPr>
      </w:pPr>
    </w:p>
    <w:p w14:paraId="54F8D825" w14:textId="77777777" w:rsidR="00EB5CDB" w:rsidRDefault="008E55E6">
      <w:pPr>
        <w:pStyle w:val="Lista2"/>
        <w:spacing w:before="120" w:after="120" w:line="280" w:lineRule="exact"/>
        <w:jc w:val="center"/>
        <w:rPr>
          <w:rFonts w:ascii="Verdana" w:hAnsi="Verdana" w:cs="Tahoma"/>
          <w:b/>
          <w:sz w:val="20"/>
          <w:szCs w:val="20"/>
        </w:rPr>
      </w:pPr>
      <w:r>
        <w:rPr>
          <w:rFonts w:ascii="Verdana" w:hAnsi="Verdana" w:cs="Tahoma"/>
          <w:b/>
          <w:sz w:val="20"/>
          <w:szCs w:val="20"/>
        </w:rPr>
        <w:t>RELAÇÃO DAS CCB QUE COMPÕEM OS DIREITOS CREDITÓRIOS VINCULADOS</w:t>
      </w:r>
    </w:p>
    <w:p w14:paraId="6988DC9B" w14:textId="77777777" w:rsidR="00EB5CDB" w:rsidRDefault="00EB5CDB">
      <w:pPr>
        <w:pStyle w:val="Lista2"/>
        <w:spacing w:before="120" w:after="120"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Default="008E55E6">
            <w:pPr>
              <w:spacing w:before="120" w:after="120" w:line="280" w:lineRule="exact"/>
              <w:jc w:val="center"/>
              <w:rPr>
                <w:rFonts w:ascii="Verdana" w:eastAsia="Calibri" w:hAnsi="Verdana" w:cs="Tahoma"/>
                <w:b/>
                <w:sz w:val="20"/>
                <w:szCs w:val="20"/>
              </w:rPr>
            </w:pPr>
            <w:r>
              <w:rPr>
                <w:rFonts w:ascii="Verdana" w:eastAsia="Calibri" w:hAnsi="Verdana" w:cs="Tahoma"/>
                <w:b/>
                <w:sz w:val="20"/>
                <w:szCs w:val="20"/>
              </w:rPr>
              <w:t>TAXA (a.a.)</w:t>
            </w:r>
          </w:p>
        </w:tc>
      </w:tr>
      <w:tr w:rsidR="00EB5CDB"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Default="008E55E6">
            <w:pPr>
              <w:spacing w:before="120" w:after="120" w:line="280" w:lineRule="exact"/>
              <w:jc w:val="center"/>
              <w:rPr>
                <w:rFonts w:ascii="Verdana" w:eastAsia="Calibri" w:hAnsi="Verdana" w:cs="Tahoma"/>
                <w:sz w:val="20"/>
                <w:szCs w:val="20"/>
              </w:rPr>
            </w:pPr>
            <w:r>
              <w:rPr>
                <w:rFonts w:ascii="Verdana" w:eastAsia="Calibri" w:hAnsi="Verdana" w:cs="Tahoma"/>
                <w:sz w:val="20"/>
                <w:szCs w:val="20"/>
              </w:rPr>
              <w:t>--</w:t>
            </w:r>
          </w:p>
        </w:tc>
      </w:tr>
    </w:tbl>
    <w:p w14:paraId="194A0B37" w14:textId="77777777" w:rsidR="00EB5CDB" w:rsidRDefault="00EB5CDB">
      <w:pPr>
        <w:pStyle w:val="Lista2"/>
        <w:spacing w:before="120" w:after="120" w:line="280" w:lineRule="exact"/>
        <w:ind w:left="0" w:firstLine="0"/>
        <w:jc w:val="center"/>
        <w:rPr>
          <w:rFonts w:ascii="Verdana" w:hAnsi="Verdana" w:cs="Tahoma"/>
          <w:b/>
          <w:sz w:val="20"/>
          <w:szCs w:val="20"/>
        </w:rPr>
      </w:pPr>
    </w:p>
    <w:p w14:paraId="489CEB70" w14:textId="77777777" w:rsidR="00EB5CDB" w:rsidRDefault="00EB5CDB">
      <w:pPr>
        <w:pStyle w:val="Lista2"/>
        <w:spacing w:before="120" w:after="120" w:line="280" w:lineRule="exact"/>
        <w:ind w:left="0" w:firstLine="0"/>
        <w:jc w:val="center"/>
        <w:rPr>
          <w:rFonts w:ascii="Verdana" w:hAnsi="Verdana" w:cs="Tahoma"/>
          <w:b/>
          <w:sz w:val="20"/>
          <w:szCs w:val="20"/>
        </w:rPr>
      </w:pPr>
    </w:p>
    <w:p w14:paraId="2C8F584D" w14:textId="049F3344" w:rsidR="00EB5CDB" w:rsidRDefault="008E55E6" w:rsidP="008D6F6D">
      <w:pPr>
        <w:autoSpaceDE/>
        <w:adjustRightInd/>
        <w:spacing w:before="120" w:after="120" w:line="280" w:lineRule="exact"/>
        <w:jc w:val="both"/>
        <w:rPr>
          <w:rFonts w:ascii="Verdana" w:hAnsi="Verdana" w:cs="Tahoma"/>
          <w:b/>
          <w:sz w:val="20"/>
          <w:szCs w:val="20"/>
        </w:rPr>
      </w:pPr>
      <w:r>
        <w:rPr>
          <w:rFonts w:ascii="Verdana" w:hAnsi="Verdana" w:cs="Tahoma"/>
          <w:b/>
          <w:sz w:val="20"/>
          <w:szCs w:val="20"/>
        </w:rPr>
        <w:br w:type="page"/>
      </w:r>
    </w:p>
    <w:p w14:paraId="123B537F"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8FEFA98" w14:textId="77777777" w:rsidR="00EB5CDB" w:rsidRDefault="00EB5CDB">
      <w:pPr>
        <w:pStyle w:val="Lista2"/>
        <w:spacing w:before="120" w:after="120" w:line="280" w:lineRule="exact"/>
        <w:ind w:left="0" w:firstLine="0"/>
        <w:jc w:val="center"/>
        <w:rPr>
          <w:rFonts w:ascii="Verdana" w:hAnsi="Verdana" w:cs="Tahoma"/>
          <w:b/>
          <w:sz w:val="20"/>
          <w:szCs w:val="20"/>
          <w:u w:val="single"/>
        </w:rPr>
      </w:pPr>
    </w:p>
    <w:p w14:paraId="0263CEF6" w14:textId="74103FB2" w:rsidR="00EB5CDB" w:rsidRDefault="008E55E6" w:rsidP="000B7D26">
      <w:pPr>
        <w:pStyle w:val="Lista2"/>
        <w:spacing w:before="120" w:after="120" w:line="280" w:lineRule="exact"/>
        <w:ind w:left="0" w:firstLine="0"/>
        <w:jc w:val="both"/>
        <w:rPr>
          <w:rFonts w:ascii="Verdana" w:hAnsi="Verdana" w:cs="Tahoma"/>
          <w:b/>
          <w:sz w:val="20"/>
          <w:szCs w:val="20"/>
          <w:u w:val="single"/>
        </w:rPr>
      </w:pPr>
      <w:bookmarkStart w:id="616" w:name="_DV_M416"/>
      <w:bookmarkEnd w:id="616"/>
      <w:r>
        <w:rPr>
          <w:rFonts w:ascii="Verdana" w:hAnsi="Verdana" w:cs="Tahoma"/>
          <w:b/>
          <w:sz w:val="20"/>
          <w:szCs w:val="20"/>
          <w:u w:val="single"/>
        </w:rPr>
        <w:t xml:space="preserve">ANEXO </w:t>
      </w:r>
      <w:r w:rsidR="00065139">
        <w:rPr>
          <w:rFonts w:ascii="Verdana" w:hAnsi="Verdana" w:cs="Tahoma"/>
          <w:b/>
          <w:sz w:val="20"/>
          <w:szCs w:val="20"/>
          <w:u w:val="single"/>
        </w:rPr>
        <w:t>III</w:t>
      </w:r>
      <w:r>
        <w:rPr>
          <w:rFonts w:ascii="Verdana" w:hAnsi="Verdana" w:cs="Tahoma"/>
          <w:b/>
          <w:sz w:val="20"/>
          <w:szCs w:val="20"/>
          <w:u w:val="single"/>
        </w:rPr>
        <w:t xml:space="preserve"> AO </w:t>
      </w:r>
      <w:r>
        <w:rPr>
          <w:rFonts w:ascii="Verdana" w:hAnsi="Verdana"/>
          <w:b/>
          <w:smallCaps/>
          <w:sz w:val="20"/>
          <w:szCs w:val="20"/>
          <w:u w:val="single"/>
        </w:rPr>
        <w:t xml:space="preserve">INSTRUMENTO PARTICULAR DE ESCRITURA DA </w:t>
      </w:r>
      <w:r w:rsidR="00107CC1">
        <w:rPr>
          <w:rFonts w:ascii="Verdana" w:hAnsi="Verdana"/>
          <w:b/>
          <w:smallCaps/>
          <w:sz w:val="20"/>
          <w:szCs w:val="20"/>
          <w:u w:val="single"/>
        </w:rPr>
        <w:t>2</w:t>
      </w:r>
      <w:r>
        <w:rPr>
          <w:rFonts w:ascii="Verdana" w:hAnsi="Verdana"/>
          <w:b/>
          <w:smallCaps/>
          <w:sz w:val="20"/>
          <w:szCs w:val="20"/>
          <w:u w:val="single"/>
        </w:rPr>
        <w:t>ª (</w:t>
      </w:r>
      <w:r w:rsidR="00107CC1">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107CC1">
        <w:rPr>
          <w:rFonts w:ascii="Verdana" w:hAnsi="Verdana"/>
          <w:b/>
          <w:smallCaps/>
          <w:sz w:val="20"/>
          <w:szCs w:val="20"/>
          <w:u w:val="single"/>
        </w:rPr>
        <w:t>GYRA</w:t>
      </w:r>
    </w:p>
    <w:p w14:paraId="4A075E73" w14:textId="77777777" w:rsidR="00EB5CDB" w:rsidRPr="000B7D26" w:rsidRDefault="00EB5CDB" w:rsidP="000B7D26">
      <w:pPr>
        <w:spacing w:before="120" w:after="120" w:line="280" w:lineRule="exact"/>
        <w:jc w:val="both"/>
        <w:rPr>
          <w:rFonts w:ascii="Verdana" w:hAnsi="Verdana"/>
          <w:b/>
          <w:sz w:val="20"/>
          <w:u w:val="single"/>
        </w:rPr>
      </w:pPr>
    </w:p>
    <w:p w14:paraId="17BF4CA1"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 xml:space="preserve">MODELO DO CONTRATO DE CESSÃO FIDUCIÁRIA </w:t>
      </w:r>
    </w:p>
    <w:p w14:paraId="20EB87B8" w14:textId="77777777" w:rsidR="00EB5CDB" w:rsidRDefault="00EB5CDB">
      <w:pPr>
        <w:spacing w:before="120" w:after="120" w:line="280" w:lineRule="exact"/>
        <w:jc w:val="center"/>
        <w:rPr>
          <w:rFonts w:ascii="Verdana" w:hAnsi="Verdana" w:cs="Tahoma"/>
          <w:b/>
          <w:sz w:val="20"/>
          <w:szCs w:val="20"/>
          <w:u w:val="single"/>
        </w:rPr>
      </w:pPr>
    </w:p>
    <w:p w14:paraId="06C25F69" w14:textId="77777777" w:rsidR="00EB5CDB" w:rsidRDefault="00EB5CDB">
      <w:pPr>
        <w:spacing w:before="120" w:after="120" w:line="280" w:lineRule="exact"/>
        <w:jc w:val="center"/>
        <w:rPr>
          <w:rFonts w:ascii="Verdana" w:hAnsi="Verdana" w:cs="Tahoma"/>
          <w:b/>
          <w:sz w:val="20"/>
          <w:szCs w:val="20"/>
        </w:rPr>
      </w:pPr>
    </w:p>
    <w:p w14:paraId="69D2F025" w14:textId="77777777" w:rsidR="00EB5CDB" w:rsidRDefault="008E55E6">
      <w:pPr>
        <w:autoSpaceDE/>
        <w:autoSpaceDN/>
        <w:adjustRightInd/>
        <w:spacing w:before="120" w:after="120" w:line="280" w:lineRule="exact"/>
        <w:rPr>
          <w:rFonts w:ascii="Verdana" w:hAnsi="Verdana" w:cs="Tahoma"/>
          <w:b/>
          <w:sz w:val="20"/>
          <w:szCs w:val="20"/>
        </w:rPr>
      </w:pPr>
      <w:r>
        <w:rPr>
          <w:rFonts w:ascii="Verdana" w:hAnsi="Verdana" w:cs="Tahoma"/>
          <w:b/>
          <w:sz w:val="20"/>
          <w:szCs w:val="20"/>
        </w:rPr>
        <w:br w:type="page"/>
      </w:r>
    </w:p>
    <w:p w14:paraId="7293D666" w14:textId="139C9E40"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w:t>
      </w:r>
      <w:r w:rsidR="00065139">
        <w:rPr>
          <w:rFonts w:ascii="Verdana" w:hAnsi="Verdana" w:cs="Tahoma"/>
          <w:b/>
          <w:sz w:val="20"/>
          <w:szCs w:val="20"/>
          <w:u w:val="single"/>
        </w:rPr>
        <w:t>I</w:t>
      </w:r>
      <w:r>
        <w:rPr>
          <w:rFonts w:ascii="Verdana" w:hAnsi="Verdana" w:cs="Tahoma"/>
          <w:b/>
          <w:sz w:val="20"/>
          <w:szCs w:val="20"/>
          <w:u w:val="single"/>
        </w:rPr>
        <w:t xml:space="preserve">V AO </w:t>
      </w:r>
      <w:r>
        <w:rPr>
          <w:rFonts w:ascii="Verdana" w:hAnsi="Verdana"/>
          <w:b/>
          <w:smallCaps/>
          <w:sz w:val="20"/>
          <w:szCs w:val="20"/>
          <w:u w:val="single"/>
        </w:rPr>
        <w:t xml:space="preserve">INSTRUMENTO PARTICULAR DE ESCRITURA DA </w:t>
      </w:r>
      <w:r w:rsidR="00BB43A4">
        <w:rPr>
          <w:rFonts w:ascii="Verdana" w:hAnsi="Verdana"/>
          <w:b/>
          <w:smallCaps/>
          <w:sz w:val="20"/>
          <w:szCs w:val="20"/>
          <w:u w:val="single"/>
        </w:rPr>
        <w:t>2</w:t>
      </w:r>
      <w:r>
        <w:rPr>
          <w:rFonts w:ascii="Verdana" w:hAnsi="Verdana"/>
          <w:b/>
          <w:smallCaps/>
          <w:sz w:val="20"/>
          <w:szCs w:val="20"/>
          <w:u w:val="single"/>
        </w:rPr>
        <w:t>ª (</w:t>
      </w:r>
      <w:r w:rsidR="00BB43A4">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BB43A4">
        <w:rPr>
          <w:rFonts w:ascii="Verdana" w:hAnsi="Verdana"/>
          <w:b/>
          <w:smallCaps/>
          <w:sz w:val="20"/>
          <w:szCs w:val="20"/>
          <w:u w:val="single"/>
        </w:rPr>
        <w:t>GYRA</w:t>
      </w:r>
    </w:p>
    <w:p w14:paraId="2C95041D" w14:textId="77777777" w:rsidR="00EB5CDB" w:rsidRDefault="00EB5CDB">
      <w:pPr>
        <w:autoSpaceDE/>
        <w:autoSpaceDN/>
        <w:adjustRightInd/>
        <w:spacing w:before="120" w:after="120" w:line="280" w:lineRule="exact"/>
        <w:jc w:val="both"/>
        <w:rPr>
          <w:rFonts w:ascii="Verdana" w:hAnsi="Verdana" w:cs="Tahoma"/>
          <w:b/>
          <w:sz w:val="20"/>
          <w:szCs w:val="20"/>
          <w:u w:val="single"/>
        </w:rPr>
      </w:pPr>
    </w:p>
    <w:p w14:paraId="6BCB8627" w14:textId="77777777" w:rsidR="00EB5CDB" w:rsidRDefault="008E55E6">
      <w:pPr>
        <w:spacing w:before="120" w:after="120" w:line="280" w:lineRule="exact"/>
        <w:jc w:val="center"/>
        <w:rPr>
          <w:rFonts w:ascii="Verdana" w:hAnsi="Verdana" w:cs="Tahoma"/>
          <w:b/>
          <w:sz w:val="20"/>
          <w:szCs w:val="20"/>
        </w:rPr>
      </w:pPr>
      <w:r>
        <w:rPr>
          <w:rFonts w:ascii="Verdana" w:hAnsi="Verdana" w:cs="Tahoma"/>
          <w:b/>
          <w:sz w:val="20"/>
          <w:szCs w:val="20"/>
        </w:rPr>
        <w:t>FATORES DE RISCO</w:t>
      </w:r>
    </w:p>
    <w:p w14:paraId="79E67A27" w14:textId="0ACF2696"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Os termos iniciados em letras maiúscula neste Anexo terão o significado que lhes é atribuído no “</w:t>
      </w:r>
      <w:r>
        <w:rPr>
          <w:rFonts w:ascii="Verdana" w:hAnsi="Verdana"/>
          <w:sz w:val="20"/>
          <w:szCs w:val="20"/>
        </w:rPr>
        <w:t xml:space="preserve">Instrumento Particular de Escritura da </w:t>
      </w:r>
      <w:r w:rsidR="00BB43A4">
        <w:rPr>
          <w:rFonts w:ascii="Verdana" w:hAnsi="Verdana"/>
          <w:sz w:val="20"/>
          <w:szCs w:val="20"/>
        </w:rPr>
        <w:t>2</w:t>
      </w:r>
      <w:r>
        <w:rPr>
          <w:rFonts w:ascii="Verdana" w:hAnsi="Verdana"/>
          <w:sz w:val="20"/>
          <w:szCs w:val="20"/>
        </w:rPr>
        <w:t>ª (</w:t>
      </w:r>
      <w:r w:rsidR="00BB43A4">
        <w:rPr>
          <w:rFonts w:ascii="Verdana" w:hAnsi="Verdana"/>
          <w:sz w:val="20"/>
          <w:szCs w:val="20"/>
        </w:rPr>
        <w:t>Segunda</w:t>
      </w:r>
      <w:r>
        <w:rPr>
          <w:rFonts w:ascii="Verdana" w:hAnsi="Verdana"/>
          <w:sz w:val="20"/>
          <w:szCs w:val="20"/>
        </w:rPr>
        <w:t>) Emissão de Debêntures Simples, não Conversíveis em Ações, da Espécie com Garantia Real, em 2 (duas) Séries, para Distribuição Pública com Esforços Restritos, da Companhia Securitizadora de Créditos Financeiros Vert-</w:t>
      </w:r>
      <w:r w:rsidR="00BB43A4">
        <w:rPr>
          <w:rFonts w:ascii="Verdana" w:hAnsi="Verdana"/>
          <w:sz w:val="20"/>
          <w:szCs w:val="20"/>
        </w:rPr>
        <w:t>Gyra</w:t>
      </w:r>
      <w:r>
        <w:rPr>
          <w:rFonts w:ascii="Verdana" w:hAnsi="Verdana"/>
          <w:sz w:val="20"/>
          <w:szCs w:val="20"/>
        </w:rPr>
        <w:t>”</w:t>
      </w:r>
      <w:r>
        <w:rPr>
          <w:rFonts w:ascii="Verdana" w:hAnsi="Verdana" w:cs="Tahoma"/>
          <w:sz w:val="20"/>
          <w:szCs w:val="20"/>
        </w:rPr>
        <w:t xml:space="preserve"> (“</w:t>
      </w:r>
      <w:r>
        <w:rPr>
          <w:rFonts w:ascii="Verdana" w:hAnsi="Verdana" w:cs="Tahoma"/>
          <w:sz w:val="20"/>
          <w:szCs w:val="20"/>
          <w:u w:val="single"/>
        </w:rPr>
        <w:t>Escritura de Emissão</w:t>
      </w:r>
      <w:r>
        <w:rPr>
          <w:rFonts w:ascii="Verdana" w:hAnsi="Verdana" w:cs="Tahoma"/>
          <w:sz w:val="20"/>
          <w:szCs w:val="20"/>
        </w:rPr>
        <w:t>”)</w:t>
      </w:r>
      <w:r>
        <w:rPr>
          <w:rFonts w:ascii="Verdana" w:hAnsi="Verdana" w:cs="Tahoma"/>
          <w:i/>
          <w:sz w:val="20"/>
          <w:szCs w:val="20"/>
        </w:rPr>
        <w:t>.</w:t>
      </w:r>
    </w:p>
    <w:p w14:paraId="19E93144" w14:textId="77777777" w:rsidR="00EB5CDB" w:rsidRDefault="00EB5CDB">
      <w:pPr>
        <w:autoSpaceDE/>
        <w:autoSpaceDN/>
        <w:adjustRightInd/>
        <w:spacing w:before="120" w:after="120" w:line="280" w:lineRule="exact"/>
        <w:jc w:val="both"/>
        <w:rPr>
          <w:rFonts w:ascii="Verdana" w:hAnsi="Verdana" w:cs="Tahoma"/>
          <w:sz w:val="20"/>
          <w:szCs w:val="20"/>
        </w:rPr>
      </w:pPr>
    </w:p>
    <w:p w14:paraId="2213C45D"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O investimento nas Debêntures apresenta riscos aos Debenturistas, notadamente aqueles abaixo indicados. Aos potenciais Debenturistas é recomendada a cuidadosa leitura e avaliação dos fatores de risco abaixo (inclusive com o auxílio de consultores financeiros e assessores legais, se for o caso) antes de efetivarem a subscrição das Debêntures.</w:t>
      </w:r>
    </w:p>
    <w:p w14:paraId="6B60E246" w14:textId="77777777" w:rsidR="00EB5CDB" w:rsidRDefault="00EB5CDB">
      <w:pPr>
        <w:autoSpaceDE/>
        <w:autoSpaceDN/>
        <w:adjustRightInd/>
        <w:spacing w:before="120" w:after="120" w:line="280" w:lineRule="exact"/>
        <w:jc w:val="both"/>
        <w:rPr>
          <w:rFonts w:ascii="Verdana" w:hAnsi="Verdana" w:cs="Tahoma"/>
          <w:sz w:val="20"/>
          <w:szCs w:val="20"/>
        </w:rPr>
      </w:pPr>
    </w:p>
    <w:p w14:paraId="7ED583FF"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relacionados à Emissora</w:t>
      </w:r>
    </w:p>
    <w:p w14:paraId="6035D57B" w14:textId="77777777" w:rsidR="00EB5CDB" w:rsidRDefault="008E55E6">
      <w:pPr>
        <w:autoSpaceDE/>
        <w:autoSpaceDN/>
        <w:adjustRightInd/>
        <w:spacing w:after="120" w:line="320" w:lineRule="exact"/>
        <w:jc w:val="both"/>
        <w:rPr>
          <w:rFonts w:ascii="Verdana" w:eastAsia="Calibri" w:hAnsi="Verdana" w:cs="Tahoma"/>
          <w:i/>
          <w:sz w:val="20"/>
          <w:szCs w:val="20"/>
          <w:u w:val="single"/>
        </w:rPr>
      </w:pPr>
      <w:r>
        <w:rPr>
          <w:rFonts w:ascii="Verdana" w:hAnsi="Verdana" w:cs="Tahoma"/>
          <w:i/>
          <w:sz w:val="20"/>
          <w:szCs w:val="20"/>
          <w:u w:val="single"/>
        </w:rPr>
        <w:t>Atrasos, falta de pagamento dos Direitos Creditórios Vinculados à Emissora e outros eventos poderão afetar negativamente a capacidade da Emissora de honrar as suas obrigações</w:t>
      </w:r>
    </w:p>
    <w:p w14:paraId="0C4BB5AA" w14:textId="77777777" w:rsidR="00EB5CDB" w:rsidRDefault="008E55E6">
      <w:pPr>
        <w:spacing w:line="360" w:lineRule="auto"/>
        <w:jc w:val="both"/>
        <w:rPr>
          <w:rFonts w:ascii="Tahoma" w:eastAsia="Calibri" w:hAnsi="Tahoma" w:cs="Tahoma"/>
          <w:sz w:val="22"/>
          <w:szCs w:val="22"/>
          <w:lang w:eastAsia="en-US"/>
        </w:rPr>
      </w:pPr>
      <w:r>
        <w:rPr>
          <w:rFonts w:ascii="Verdana" w:eastAsia="Calibri" w:hAnsi="Verdana" w:cs="Tahoma"/>
          <w:sz w:val="20"/>
          <w:szCs w:val="20"/>
        </w:rPr>
        <w:t>A Emissora é uma securitizadora de créditos financeiros, constituída nos termos da Lei das Sociedades por Ações e da Resolução do CMN nº 2.686, tendo por objetivo:</w:t>
      </w:r>
    </w:p>
    <w:p w14:paraId="4F84F666" w14:textId="77777777" w:rsidR="00EB5CDB" w:rsidRDefault="008E55E6">
      <w:pPr>
        <w:pStyle w:val="PargrafodaLista"/>
        <w:numPr>
          <w:ilvl w:val="0"/>
          <w:numId w:val="74"/>
        </w:numPr>
        <w:autoSpaceDE/>
        <w:autoSpaceDN/>
        <w:adjustRightInd/>
        <w:spacing w:before="120" w:after="120" w:line="280" w:lineRule="exact"/>
        <w:jc w:val="both"/>
        <w:rPr>
          <w:rFonts w:ascii="Verdana" w:eastAsia="Times New Roman" w:hAnsi="Verdana"/>
          <w:sz w:val="20"/>
          <w:szCs w:val="20"/>
        </w:rPr>
      </w:pPr>
      <w:r>
        <w:rPr>
          <w:rFonts w:ascii="Verdana" w:hAnsi="Verdana"/>
          <w:sz w:val="20"/>
          <w:szCs w:val="20"/>
        </w:rPr>
        <w:t>a aquisição e a securitização de créditos financeiros oriundos de operações ativas vinculadas a empréstimos originados por meio de plataforma eletrônica, desde que enquadradas nos termos do artigo 1º da Resolução CMN 2.686/00;</w:t>
      </w:r>
    </w:p>
    <w:p w14:paraId="3AED975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emissão e a colocação, privada ou junto aos mercados financeiro e de capitais, de qualquer título ou valor mobiliário compatível com suas atividades, respeitados os trâmites da legislação e da regulamentação aplicáveis;</w:t>
      </w:r>
    </w:p>
    <w:p w14:paraId="47D4FC11"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negócios e a prestação de serviços relacionados às operações de securitização de créditos supracitadas; e</w:t>
      </w:r>
    </w:p>
    <w:p w14:paraId="50D6E8DF" w14:textId="77777777" w:rsidR="00EB5CDB" w:rsidRDefault="008E55E6">
      <w:pPr>
        <w:pStyle w:val="PargrafodaLista"/>
        <w:numPr>
          <w:ilvl w:val="0"/>
          <w:numId w:val="74"/>
        </w:num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 realização de operações de hedge em mercados derivativos visando à cobertura de riscos na sua carteira de créditos.</w:t>
      </w:r>
    </w:p>
    <w:p w14:paraId="5FB0A4E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principal fonte de recursos da Emissora para efetuar o pagamento das Debêntures por ela emitidas decorre do pagamento dos Direitos Creditórios Vinculados pelos respectivos Tomadores. Dessa forma, qualquer atraso ou falta de pagamento dos Direitos Creditórios Vinculados à Emissora poderá afetar negativamente a sua capacidade de honrar as obrigações assumidas junto aos Debenturistas, sendo que, depois de esgotados todos os meios cabíveis para a cobrança, judicial ou extrajudicial, dos Direitos Creditórios Vinculados, a Emissora poderá não dispor de quaisquer outros valores para efetuar a amortização e/ou o resgate das Debêntures.</w:t>
      </w:r>
    </w:p>
    <w:p w14:paraId="16B30F5B" w14:textId="77777777" w:rsidR="00EB5CDB" w:rsidRDefault="00EB5CDB">
      <w:pPr>
        <w:autoSpaceDE/>
        <w:autoSpaceDN/>
        <w:adjustRightInd/>
        <w:spacing w:after="120" w:line="320" w:lineRule="exact"/>
        <w:jc w:val="both"/>
        <w:rPr>
          <w:rFonts w:ascii="Verdana" w:hAnsi="Verdana" w:cs="Tahoma"/>
          <w:b/>
          <w:sz w:val="20"/>
          <w:szCs w:val="20"/>
        </w:rPr>
      </w:pPr>
    </w:p>
    <w:p w14:paraId="6E60DCF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não aquisição de Direitos Creditórios Vinculados poderá prejudicar as atividades da Emissora</w:t>
      </w:r>
    </w:p>
    <w:p w14:paraId="1508DCF3" w14:textId="32873EC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deverá, durante o Período de Alocação, adquirir Direitos Creditórios Vinculados originados por meio da Plataforma desenvolvida e mantida pela </w:t>
      </w:r>
      <w:r w:rsidR="00CE1770">
        <w:rPr>
          <w:rFonts w:ascii="Verdana" w:hAnsi="Verdana" w:cs="Tahoma"/>
          <w:sz w:val="20"/>
          <w:szCs w:val="20"/>
        </w:rPr>
        <w:t>Gyramais</w:t>
      </w:r>
      <w:r>
        <w:rPr>
          <w:rFonts w:ascii="Verdana" w:hAnsi="Verdana" w:cs="Tahoma"/>
          <w:sz w:val="20"/>
          <w:szCs w:val="20"/>
        </w:rPr>
        <w:t>.</w:t>
      </w:r>
    </w:p>
    <w:p w14:paraId="1011103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em si não possui a capacidade de originar créditos para securitização, dependendo, portanto, da Plataforma e da parceria desta com Instituições Financeiras. O sucesso na aquisição dos Direitos Creditórios Vinculados é fundamental para o desenvolvimento das atividades da Emissora. Na hipótese de não existência de Direitos Creditórios Vinculados em montante compatível com a emissão de Debêntures, as Debêntures poderão ser amortizadas de forma acelerada através da Amortização Extraordinária Obrigatória.</w:t>
      </w:r>
    </w:p>
    <w:p w14:paraId="79A737A9" w14:textId="77777777" w:rsidR="00EB5CDB" w:rsidRDefault="00EB5CDB">
      <w:pPr>
        <w:autoSpaceDE/>
        <w:autoSpaceDN/>
        <w:adjustRightInd/>
        <w:spacing w:after="120" w:line="320" w:lineRule="exact"/>
        <w:jc w:val="both"/>
        <w:rPr>
          <w:rFonts w:ascii="Verdana" w:hAnsi="Verdana" w:cs="Tahoma"/>
          <w:sz w:val="20"/>
          <w:szCs w:val="20"/>
        </w:rPr>
      </w:pPr>
    </w:p>
    <w:p w14:paraId="1F0F450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aumento da inadimplência dos devedores pode afetar negativamente a capacidade financeira da Emissora.</w:t>
      </w:r>
    </w:p>
    <w:p w14:paraId="03D525D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 plataformas eletrônicas somente têm responsabilidade pela devida origem dos Direitos Creditórios Vinculados, não respondendo pela solvência dos devedores, cabendo exclusivamente à Emissora suportar o risco de inadimplência dos devedores. Caso a inadimplência ocorra, a Emissora deverá cobrar os devedores, sendo que o atraso nos pagamentos dos Direitos Creditórios Vinculados e o resultado incerto dos procedimentos de cobrança podem afetar negativamente os resultados da Emissora.</w:t>
      </w:r>
    </w:p>
    <w:p w14:paraId="231A9C8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devedores, a rentabilidade da carteira da Emissora dependerá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para a Emissora, o que poderá implicar perdas patrimoniais à Emissora.</w:t>
      </w:r>
    </w:p>
    <w:p w14:paraId="4EF3A994" w14:textId="77777777" w:rsidR="00EB5CDB" w:rsidRDefault="00EB5CDB">
      <w:pPr>
        <w:autoSpaceDE/>
        <w:autoSpaceDN/>
        <w:adjustRightInd/>
        <w:spacing w:after="120" w:line="320" w:lineRule="exact"/>
        <w:jc w:val="both"/>
        <w:rPr>
          <w:rFonts w:ascii="Verdana" w:hAnsi="Verdana" w:cs="Tahoma"/>
          <w:sz w:val="20"/>
          <w:szCs w:val="20"/>
        </w:rPr>
      </w:pPr>
    </w:p>
    <w:p w14:paraId="74BD77F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poderá enfrentar desafios em virtude de se tratar de uma empresa recente e atuante em um mercado competitivo</w:t>
      </w:r>
    </w:p>
    <w:p w14:paraId="23B13453" w14:textId="42C6510C" w:rsidR="00EB5CDB" w:rsidRDefault="008E55E6">
      <w:pPr>
        <w:keepNext/>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foi constituída em 201</w:t>
      </w:r>
      <w:r w:rsidR="00CE1770">
        <w:rPr>
          <w:rFonts w:ascii="Verdana" w:hAnsi="Verdana" w:cs="Tahoma"/>
          <w:sz w:val="20"/>
          <w:szCs w:val="20"/>
        </w:rPr>
        <w:t>9</w:t>
      </w:r>
      <w:r>
        <w:rPr>
          <w:rFonts w:ascii="Verdana" w:hAnsi="Verdana" w:cs="Tahoma"/>
          <w:sz w:val="20"/>
          <w:szCs w:val="20"/>
        </w:rPr>
        <w:t>, sendo, portanto, uma sociedade recém-criada, e com isto poderá enfrentar desafios em virtude de seu limitado histórico nessa atividade, em um mercado sem tradição no Brasil.</w:t>
      </w:r>
    </w:p>
    <w:p w14:paraId="6031211A" w14:textId="77777777" w:rsidR="00EB5CDB" w:rsidRDefault="00EB5CDB">
      <w:pPr>
        <w:autoSpaceDE/>
        <w:autoSpaceDN/>
        <w:adjustRightInd/>
        <w:spacing w:after="120" w:line="320" w:lineRule="exact"/>
        <w:jc w:val="both"/>
        <w:rPr>
          <w:rFonts w:ascii="Verdana" w:hAnsi="Verdana" w:cs="Tahoma"/>
          <w:sz w:val="20"/>
          <w:szCs w:val="20"/>
        </w:rPr>
      </w:pPr>
    </w:p>
    <w:p w14:paraId="68BEDD4E" w14:textId="77777777" w:rsidR="00251802"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Emissora apoia-se em sua equipe. A perda de “pessoas chave” ou a incapacidade de atrair e </w:t>
      </w:r>
    </w:p>
    <w:p w14:paraId="5A990A1C" w14:textId="6EB9CB7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perda de pessoas qualificadas e a eventual incapacidade da Emissora de atrair e manter uma equipe especializada poderá ter efeito adverso relevante sobre as atividades, a situação financeira e os resultados operacionais da Emissora, afetando sua capacidade de gerar resultados.</w:t>
      </w:r>
    </w:p>
    <w:p w14:paraId="3C25AEB0" w14:textId="77777777" w:rsidR="00EB5CDB" w:rsidRDefault="00EB5CDB">
      <w:pPr>
        <w:autoSpaceDE/>
        <w:autoSpaceDN/>
        <w:adjustRightInd/>
        <w:spacing w:after="120" w:line="320" w:lineRule="exact"/>
        <w:jc w:val="both"/>
        <w:rPr>
          <w:rFonts w:ascii="Verdana" w:hAnsi="Verdana" w:cs="Tahoma"/>
          <w:sz w:val="20"/>
          <w:szCs w:val="20"/>
        </w:rPr>
      </w:pPr>
    </w:p>
    <w:p w14:paraId="0CAB599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falta de acesso a capital adicional em condições satisfatórias pode restringir o crescimento e desenvolvimento futuro da Emissora, o que pode prejudicar sua situação financeira, assim como seus resultados operacionais.</w:t>
      </w:r>
    </w:p>
    <w:p w14:paraId="24991D3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Se os recursos atualmente disponíveis para a Emissora forem insuficientes para financiar suas futuras exigências operacionais, a Emissora poderá depender de recursos adicionais, proveniente de diferentes fontes de financiamentos, tendo em vista o crescimento e desenvolvimento de suas atividades. Não se pode assegurar a disponibilidade de capital adicional ou, se disponível, que o mesmo apresentará condições satisfatórias. Adicionalmente, a contratação de empréstimos e financiamentos pela Emissora depende da prévia aprovação de titulares de valores mobiliários de sua emissão, incluindo, mas não se limitando a, debenturistas, o que pode dificultar, ou mesmo impossibilitar, a contratação dos financiamentos necessários pela Emissora. A falta de acesso a capital adicional em condições satisfatórias pode restringir o crescimento e desenvolvimento das atividades da Emissora, o que poderá vir a prejudicar de maneira relevante sua situação financeira e seus resultados operacionais.</w:t>
      </w:r>
    </w:p>
    <w:p w14:paraId="2103CB7C" w14:textId="77777777" w:rsidR="00EB5CDB" w:rsidRDefault="00EB5CDB">
      <w:pPr>
        <w:autoSpaceDE/>
        <w:autoSpaceDN/>
        <w:adjustRightInd/>
        <w:spacing w:after="120" w:line="320" w:lineRule="exact"/>
        <w:jc w:val="both"/>
        <w:rPr>
          <w:rFonts w:ascii="Verdana" w:hAnsi="Verdana" w:cs="Tahoma"/>
          <w:i/>
          <w:sz w:val="20"/>
          <w:szCs w:val="20"/>
          <w:u w:val="single"/>
        </w:rPr>
      </w:pPr>
    </w:p>
    <w:p w14:paraId="29A2267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baixa liquidez do mercado secundário brasileiro de valores mobiliários com lastro em créditos financeiros pode dificultar o desinvestimento por titulares de valores mobiliários de emissão da Emissora.</w:t>
      </w:r>
    </w:p>
    <w:p w14:paraId="4CAA9BF1"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482D37EE" w14:textId="77777777" w:rsidR="00EB5CDB" w:rsidRDefault="00EB5CDB">
      <w:pPr>
        <w:spacing w:line="360" w:lineRule="auto"/>
        <w:rPr>
          <w:rFonts w:ascii="Tahoma" w:hAnsi="Tahoma" w:cs="Tahoma"/>
          <w:b/>
          <w:bCs/>
          <w:sz w:val="22"/>
          <w:szCs w:val="22"/>
        </w:rPr>
      </w:pPr>
    </w:p>
    <w:p w14:paraId="09C774F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 desfavoráveis podem causar efeitos adversos.</w:t>
      </w:r>
    </w:p>
    <w:p w14:paraId="43DED07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Vinculados, nos termos inicialmente pactuados com os devedores. A imposição dos referidos limites de cobrança poderá afetar negativamente o fluxo de pagamentos dos Direitos Creditórios Vinculados. Ademais, em função de decisão prolatada pelo Supremo Tribunal Federal – STF, na Ação Direta de Inconstitucionalidade nº 2.591, foi considerada aplicável a Lei nº 8.078, de 11 de setembro de 1990 (Código de Defesa do Consumidor - CDC) às atividades desenvolvidas pelas instituições financeiras. Neste sentido, há o risco de os devedores, que se enquadrem na qualidade de consumidores, pleitearem a revisão das dívidas representadas pelos respectivos documentos relacionados aos Direitos Creditórios Vinculados. Em caso de sucesso dessas ações, esses consumidores poderão realizar pagamento a menor do que aquele previsto nos documentos relacionados aos Direitos Creditórios, com base em decisões judiciais fundamentadas no Código de Defesa do Consumidor - CDC, o que poderá acarretar perdas para a Emissora.</w:t>
      </w:r>
    </w:p>
    <w:p w14:paraId="55F1446B" w14:textId="77777777" w:rsidR="00EB5CDB" w:rsidRDefault="00EB5CDB">
      <w:pPr>
        <w:autoSpaceDE/>
        <w:autoSpaceDN/>
        <w:adjustRightInd/>
        <w:spacing w:after="120" w:line="320" w:lineRule="exact"/>
        <w:jc w:val="both"/>
        <w:rPr>
          <w:rFonts w:ascii="Verdana" w:hAnsi="Verdana" w:cs="Tahoma"/>
          <w:i/>
          <w:sz w:val="20"/>
          <w:szCs w:val="20"/>
          <w:u w:val="single"/>
        </w:rPr>
      </w:pPr>
    </w:p>
    <w:p w14:paraId="23DAA420"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validade da cessão dos Direitos Creditórios Vinculados pode vir a ser questionada, o que pode afetar a capacidade financeira da Emissora.</w:t>
      </w:r>
    </w:p>
    <w:p w14:paraId="15D71EA5" w14:textId="19908200"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validade da cessão dos Direitos Creditórios Vinculados à Emissora poderá ser questionada por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intervenção ou liquidação extrajudicial. Os principais eventos que podem afetar a cessão dos Direitos Creditórios Vinculados consistem (a) na existência de garantias reais sobre os Direitos Creditórios Vinculados, constituídas antes da sua cessão à Emissora, sem conhecimento da mesma; (b) na existência de penhora ou outra forma de constrição judicial sobre os Direitos Creditórios Vinculados, ocorridas antes da sua cessão à Emissora e sem o conhecimento da mesma; (c) na verificação, em processo judicial, de fraude contra credores ou fraude à execução praticada pelo cedente, ou caso a cessão dos Direitos Creditórios Vinculados seja considerada simulada; e (d)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 xml:space="preserve"> e o patrimônio da Emissora poderá ser afetado negativamente.</w:t>
      </w:r>
    </w:p>
    <w:p w14:paraId="78BF4A33" w14:textId="77777777" w:rsidR="00EB5CDB" w:rsidRDefault="00EB5CDB">
      <w:pPr>
        <w:spacing w:line="360" w:lineRule="auto"/>
        <w:rPr>
          <w:rFonts w:ascii="Tahoma" w:hAnsi="Tahoma" w:cs="Tahoma"/>
          <w:b/>
          <w:sz w:val="22"/>
          <w:szCs w:val="22"/>
        </w:rPr>
      </w:pPr>
    </w:p>
    <w:p w14:paraId="5D8E717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vir a adquirir Direitos Creditórios Vinculados que tenham sido originados por meios fraudulentos, o que pode afetar a capacidade financeira da Emissora.</w:t>
      </w:r>
    </w:p>
    <w:p w14:paraId="3CA32A69" w14:textId="148712EC"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poderá adquirir Direitos Creditórios Vinculados relacionados a empréstimos cujo devedor tenha se utilizado de meio fraudulento para a sua obtenção. Ocorrida essa hipótese, a Emissora não poderá exigir o pagamento desses valores por parte dos devedores lesados, restando-lhe somente exigir da instituição </w:t>
      </w:r>
      <w:r w:rsidR="008D6F6D">
        <w:rPr>
          <w:rFonts w:ascii="Verdana" w:hAnsi="Verdana" w:cs="Tahoma"/>
          <w:sz w:val="20"/>
          <w:szCs w:val="20"/>
        </w:rPr>
        <w:t>Financeira Endossante</w:t>
      </w:r>
      <w:r>
        <w:rPr>
          <w:rFonts w:ascii="Verdana" w:hAnsi="Verdana" w:cs="Tahoma"/>
          <w:sz w:val="20"/>
          <w:szCs w:val="20"/>
        </w:rPr>
        <w:t xml:space="preserve"> a restituição do preço pago na aquisição dos Direitos Creditórios Vinculados fraudulentos. A restituição devida pela instituição </w:t>
      </w:r>
      <w:r w:rsidR="008D6F6D">
        <w:rPr>
          <w:rFonts w:ascii="Verdana" w:hAnsi="Verdana" w:cs="Tahoma"/>
          <w:sz w:val="20"/>
          <w:szCs w:val="20"/>
        </w:rPr>
        <w:t>Financeira Endossante</w:t>
      </w:r>
      <w:r>
        <w:rPr>
          <w:rFonts w:ascii="Verdana" w:hAnsi="Verdana" w:cs="Tahoma"/>
          <w:sz w:val="20"/>
          <w:szCs w:val="20"/>
        </w:rPr>
        <w:t xml:space="preserve"> pode demorar ou simplesmente não ocorrer. Em ambos os casos, há impacto negativo no patrimônio e na rentabilidade da Emissora.</w:t>
      </w:r>
    </w:p>
    <w:p w14:paraId="5A9ECB9E" w14:textId="77777777" w:rsidR="00EB5CDB" w:rsidRDefault="00EB5CDB">
      <w:pPr>
        <w:autoSpaceDE/>
        <w:autoSpaceDN/>
        <w:adjustRightInd/>
        <w:spacing w:after="120" w:line="320" w:lineRule="exact"/>
        <w:jc w:val="both"/>
        <w:rPr>
          <w:rFonts w:ascii="Verdana" w:hAnsi="Verdana" w:cs="Tahoma"/>
          <w:i/>
          <w:sz w:val="20"/>
          <w:szCs w:val="20"/>
          <w:u w:val="single"/>
        </w:rPr>
      </w:pPr>
    </w:p>
    <w:p w14:paraId="18F6658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depende do repasse dos pagamentos realizados através de plataformas eletrônicas.</w:t>
      </w:r>
    </w:p>
    <w:p w14:paraId="3FA2EDC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devedores realizarem os pagamentos referentes aos Direitos Creditórios Vinculados diretamente para as plataformas eletrônicas, estas deverão repassar tais valores à Emissora. Não há garantia de que as plataformas eletrônicas repassarão tais recursos para a conta da Emissora, situação em que a Emissora poderá sofrer perdas, podendo inclusive incorrer em custos para reaver tais recursos. </w:t>
      </w:r>
    </w:p>
    <w:p w14:paraId="6888A210" w14:textId="77777777" w:rsidR="00EB5CDB" w:rsidRDefault="00EB5CDB">
      <w:pPr>
        <w:spacing w:line="360" w:lineRule="auto"/>
        <w:rPr>
          <w:rFonts w:ascii="Tahoma" w:hAnsi="Tahoma" w:cs="Tahoma"/>
          <w:b/>
          <w:bCs/>
          <w:sz w:val="22"/>
          <w:szCs w:val="22"/>
        </w:rPr>
      </w:pPr>
    </w:p>
    <w:p w14:paraId="5CBE378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pode não ter disponibilidade de recursos para realizar o pagamento das Debêntures quando do seu vencimento antecipado.</w:t>
      </w:r>
    </w:p>
    <w:p w14:paraId="0865D9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Ocorrendo o vencimento antecipado das Debêntures, a Emissora pode não dispor de recursos imediatos para efetuar o pagamento (por exemplo, pelo fato de os Direitos Creditórios Vinculados ainda não serem exigíveis dos respectivos devedores). Nesse caso, (a) os investidores teriam suas Debêntures pagas mediante entrega dos Direitos Creditórios Vinculados; ou (b) o pagamento das Debêntures ficaria condicionado (1) ao vencimento e pagamento pelos devedores dos Direitos Creditórios Vinculados; ou (2) à venda dos Direitos Creditórios Vinculados a terceiros, sendo que o preço praticado pode causar perdas à Emissora.</w:t>
      </w:r>
    </w:p>
    <w:p w14:paraId="465F065F" w14:textId="77777777" w:rsidR="00EB5CDB" w:rsidRDefault="00EB5CDB">
      <w:pPr>
        <w:autoSpaceDE/>
        <w:autoSpaceDN/>
        <w:adjustRightInd/>
        <w:spacing w:after="120" w:line="320" w:lineRule="exact"/>
        <w:jc w:val="both"/>
        <w:rPr>
          <w:rFonts w:ascii="Verdana" w:hAnsi="Verdana" w:cs="Tahoma"/>
          <w:i/>
          <w:sz w:val="20"/>
          <w:szCs w:val="20"/>
        </w:rPr>
      </w:pPr>
    </w:p>
    <w:p w14:paraId="468434C4" w14:textId="77777777" w:rsidR="00EB5CDB" w:rsidRDefault="008E55E6">
      <w:pPr>
        <w:autoSpaceDE/>
        <w:autoSpaceDN/>
        <w:adjustRightInd/>
        <w:spacing w:after="120" w:line="320" w:lineRule="exact"/>
        <w:jc w:val="both"/>
        <w:rPr>
          <w:rFonts w:ascii="Verdana" w:hAnsi="Verdana" w:cs="Tahoma"/>
          <w:i/>
          <w:sz w:val="20"/>
          <w:szCs w:val="20"/>
          <w:u w:val="single"/>
        </w:rPr>
      </w:pPr>
      <w:bookmarkStart w:id="617" w:name="_Hlk520453871"/>
      <w:r>
        <w:rPr>
          <w:rFonts w:ascii="Verdana" w:hAnsi="Verdana" w:cs="Tahoma"/>
          <w:i/>
          <w:sz w:val="20"/>
          <w:szCs w:val="20"/>
          <w:u w:val="single"/>
        </w:rPr>
        <w:t>A securitização de créditos financeiros é uma operação recente no Brasil e eventuais incertezas sobre o setor poderão ter efeito adverso sobre a Emissora</w:t>
      </w:r>
    </w:p>
    <w:p w14:paraId="58E91D44" w14:textId="072049EE"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securitização de créditos financeiros é uma operação recente no Brasil. A Resolução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sem jurisprudência pacífica, podendo ocorrer situações em que ainda não existam regras que o direcionem, gerando assim uma insegurança jurídica e um risco aos investidores, uma vez que os órgãos reguladores, supervisores e fiscais, bem como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 </w:t>
      </w:r>
      <w:bookmarkEnd w:id="617"/>
      <w:r>
        <w:rPr>
          <w:rFonts w:ascii="Verdana" w:hAnsi="Verdana" w:cs="Tahoma"/>
          <w:sz w:val="20"/>
          <w:szCs w:val="20"/>
        </w:rPr>
        <w:t>Adicionalmente, tribunais e/ou autoridades podem ter entendimento sobre tributação da Emissora e/ou dos Direitos Creditórios Vinculados diferentes da Emissora, o que pode ter efeitos adversos para a Emissora e/ou reduzir os recursos disponíveis para pagamentos aos Debenturistas.</w:t>
      </w:r>
    </w:p>
    <w:p w14:paraId="0214A049" w14:textId="77777777" w:rsidR="00EB5CDB" w:rsidRDefault="00EB5CDB">
      <w:pPr>
        <w:autoSpaceDE/>
        <w:autoSpaceDN/>
        <w:adjustRightInd/>
        <w:spacing w:after="120" w:line="320" w:lineRule="exact"/>
        <w:jc w:val="both"/>
        <w:rPr>
          <w:rFonts w:ascii="Verdana" w:hAnsi="Verdana" w:cs="Tahoma"/>
          <w:i/>
          <w:sz w:val="20"/>
          <w:szCs w:val="20"/>
          <w:u w:val="single"/>
        </w:rPr>
      </w:pPr>
    </w:p>
    <w:p w14:paraId="6C55B72E" w14:textId="77777777" w:rsidR="00EB5CDB" w:rsidRDefault="008E55E6">
      <w:pPr>
        <w:autoSpaceDE/>
        <w:autoSpaceDN/>
        <w:adjustRightInd/>
        <w:spacing w:after="240" w:line="320" w:lineRule="exact"/>
        <w:jc w:val="both"/>
        <w:outlineLvl w:val="0"/>
        <w:rPr>
          <w:rFonts w:ascii="Verdana" w:hAnsi="Verdana" w:cs="Tahoma"/>
          <w:i/>
          <w:sz w:val="20"/>
          <w:szCs w:val="20"/>
          <w:u w:val="single"/>
        </w:rPr>
      </w:pPr>
      <w:r>
        <w:rPr>
          <w:rFonts w:ascii="Verdana" w:hAnsi="Verdana" w:cs="Tahoma"/>
          <w:i/>
          <w:sz w:val="20"/>
          <w:szCs w:val="20"/>
          <w:u w:val="single"/>
        </w:rPr>
        <w:t>Legislação tributária aplicável à Emissora e às Debêntures</w:t>
      </w:r>
    </w:p>
    <w:p w14:paraId="2F61556D" w14:textId="77777777" w:rsidR="00EB5CDB" w:rsidRDefault="008E55E6">
      <w:pPr>
        <w:autoSpaceDE/>
        <w:autoSpaceDN/>
        <w:adjustRightInd/>
        <w:spacing w:after="240" w:line="320" w:lineRule="exact"/>
        <w:jc w:val="both"/>
        <w:rPr>
          <w:rFonts w:ascii="Verdana" w:hAnsi="Verdana" w:cs="Tahoma"/>
          <w:sz w:val="20"/>
          <w:szCs w:val="20"/>
        </w:rPr>
      </w:pPr>
      <w:r>
        <w:rPr>
          <w:rFonts w:ascii="Verdana" w:hAnsi="Verdana" w:cs="Tahoma"/>
          <w:sz w:val="20"/>
          <w:szCs w:val="20"/>
        </w:rPr>
        <w:t>O mercado de securitização de créditos financeiros é recente e restrito no Brasil, sendo composto por poucos participantes. Em razão desse fato, não há jurisprudência administrativa ou judicial abrangendo todas as questões tributárias pertinentes. Ainda, não se pode afastar a possibilidade de alteração das normas tributárias atualmente aplicáveis. Nesse contexto, caso as autoridades competentes venham a criar ou majorar tributos, ou adotar interpretações diversas e mais onerosas em relação às normas fiscais em comparação com interpretação atualmente preponderante no mercado e/ou com as interpretações que atualmente são adotadas pela Emissora, a rentabilidade das Debêntures pode ser adversamente impactada.</w:t>
      </w:r>
    </w:p>
    <w:p w14:paraId="44170EC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jurisprudência consolidada acerca da securitização</w:t>
      </w:r>
    </w:p>
    <w:p w14:paraId="439F2D34"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 Ademais, não pode ser afastada a possibilidade de contrapartes em conflito com os Debenturistas lograrem êxito nos eventuais conflitos. Nessa hipótese, os Direitos Creditórios Vinculados podem ter seus valores reduzidos ou até anulados em decisões judiciais, o que afetaria negativamente os montantes a serem recebidos pelos Debenturistas.</w:t>
      </w:r>
    </w:p>
    <w:p w14:paraId="4C960B37" w14:textId="77777777" w:rsidR="00EB5CDB" w:rsidRDefault="00EB5CDB">
      <w:pPr>
        <w:autoSpaceDE/>
        <w:autoSpaceDN/>
        <w:adjustRightInd/>
        <w:spacing w:after="120" w:line="320" w:lineRule="exact"/>
        <w:jc w:val="both"/>
        <w:rPr>
          <w:rFonts w:ascii="Verdana" w:hAnsi="Verdana" w:cs="Tahoma"/>
          <w:b/>
          <w:sz w:val="20"/>
          <w:szCs w:val="20"/>
        </w:rPr>
      </w:pPr>
    </w:p>
    <w:p w14:paraId="33392954"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Eventuais alterações na regulamentação em vigor podem afetar os negócios da Emissora</w:t>
      </w:r>
    </w:p>
    <w:p w14:paraId="32F34805"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é uma securitizadora de créditos financeiros, constituída nos termos </w:t>
      </w:r>
      <w:r>
        <w:rPr>
          <w:rFonts w:ascii="Verdana" w:eastAsia="Calibri" w:hAnsi="Verdana" w:cs="Tahoma"/>
          <w:sz w:val="20"/>
          <w:szCs w:val="20"/>
        </w:rPr>
        <w:t xml:space="preserve">da Lei das Sociedades por Ações e da Resolução CMN 2.686, estando sujeita, portanto, </w:t>
      </w:r>
      <w:r>
        <w:rPr>
          <w:rFonts w:ascii="Verdana" w:hAnsi="Verdana" w:cs="Tahoma"/>
          <w:sz w:val="20"/>
          <w:szCs w:val="20"/>
        </w:rPr>
        <w:t>às normas expedidas pelo CMN, pelo BACEN e pela CVM no que se refere à cessão de crédito por instituições financeiras a companhias securitizadoras de créditos financeiros e à emissão de valores mobiliários lastreados nesses créditos. A Emissora poderá estar sujeita a outros riscos, advindos de eventuais restrições futuras de natureza legal, regulatória e/ou fiscal que podem afetar a validade da constituição e/ou da cessão dos Direitos Creditórios Vinculados para a Emissora. Ademais, eventuais alterações na regulamentação em vigor poderão acarretar um aumento dos custos envolvidos nas atividades da Emissora.</w:t>
      </w:r>
    </w:p>
    <w:p w14:paraId="3A1EACC0" w14:textId="77777777" w:rsidR="00EB5CDB" w:rsidRDefault="00EB5CDB">
      <w:pPr>
        <w:tabs>
          <w:tab w:val="num" w:pos="709"/>
        </w:tabs>
        <w:spacing w:line="360" w:lineRule="auto"/>
        <w:rPr>
          <w:rFonts w:ascii="Tahoma" w:hAnsi="Tahoma" w:cs="Tahoma"/>
          <w:sz w:val="22"/>
          <w:szCs w:val="22"/>
        </w:rPr>
      </w:pPr>
    </w:p>
    <w:p w14:paraId="45D61FC9"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Falência da Emissora</w:t>
      </w:r>
    </w:p>
    <w:p w14:paraId="428E3A4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ocorrência de liquidação, dissolução, insolvência, pedido de autofalência, pedido de falência não elidido no prazo legal, decretação de falência, pedido de recuperação judicial ou extrajudicial, ou deferimento do processamento de recuperação judicial da Emissora será considerada um Evento de Vencimento Antecipado, hipótese em que o Saldo Devedor das Debêntures tornar-se-á imediatamente exigível.</w:t>
      </w:r>
    </w:p>
    <w:p w14:paraId="655EDB4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no Brasil, ainda não há um mercado ativo para compra e venda dos Direitos Creditórios Vinculados, poderá não haver demanda suficiente ou o preço de negociação dos Direitos Creditórios Vinculados poderá ser impactado, o que poderá afetar negativamente a capacidade da Emissora de honrar com as obrigações assumidas junto aos Debenturistas.</w:t>
      </w:r>
    </w:p>
    <w:p w14:paraId="031048E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Ademais, ocorrendo liquidação, dissolução, insolvência, pedido de autofalência, pedido de falência não elidido no prazo legal, decretação de falência, pedido de recuperação judicial ou extrajudicial, ou deferimento do processamento de recuperação judicial da Emissora, não obstante a cessão fiduciária dos Direitos Creditórios Vinculados, os recursos depositados na Conta Exclusiva poderão ser bloqueados e poderão não ser recuperados. A interrupção ou o atraso da transferência dos recursos na Conta Exclusiva poderá trazer prejuízos aos Debenturistas.</w:t>
      </w:r>
    </w:p>
    <w:p w14:paraId="22C9B2A4"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Adicionalmente, nas hipóteses elencadas acima, os procedimentos de dação em pagamento poderão sofrer atrasos e/ou questionamentos, inclusive por parte de credores ou eventuais liquidantes da Emissora.</w:t>
      </w:r>
    </w:p>
    <w:p w14:paraId="2ED70690" w14:textId="77777777" w:rsidR="00EB5CDB" w:rsidRDefault="00EB5CDB">
      <w:pPr>
        <w:autoSpaceDE/>
        <w:autoSpaceDN/>
        <w:adjustRightInd/>
        <w:spacing w:after="120" w:line="320" w:lineRule="exact"/>
        <w:jc w:val="both"/>
        <w:rPr>
          <w:rFonts w:ascii="Verdana" w:hAnsi="Verdana" w:cs="Tahoma"/>
          <w:sz w:val="20"/>
          <w:szCs w:val="20"/>
        </w:rPr>
      </w:pPr>
    </w:p>
    <w:p w14:paraId="0A2389A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Patrimônio de Afetação</w:t>
      </w:r>
    </w:p>
    <w:p w14:paraId="106455C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Resolução CMN 2.686 requer a vinculação de créditos financeiros cedidos a companhias securitizadoras às suas emissões de valores mobiliários. Entretanto, a legislação e regulamentação existentes não autorizam a afetação de parte do patrimônio da Emissora às respectivas emissões de valores mobiliários, incluindo, sem limitação, à presente Emissão. Portanto, em caso de insolvência da Emissora, inclusive em decorrência de falência, não há garantia que outros credores da Emissora não venham a reivindicar acesso aos Investimentos Permitidos, aos direitos creditórios advindos da Conta Exclusiva, aos Direitos Creditórios Vinculados ou a outros ativos relacionados à presente Emissão, ainda que estejam englobados no Contrato de Cessão Fiduciária.</w:t>
      </w:r>
    </w:p>
    <w:p w14:paraId="743BC780" w14:textId="77777777" w:rsidR="00EB5CDB" w:rsidRDefault="00EB5CDB">
      <w:pPr>
        <w:autoSpaceDE/>
        <w:autoSpaceDN/>
        <w:adjustRightInd/>
        <w:spacing w:after="120" w:line="320" w:lineRule="exact"/>
        <w:jc w:val="both"/>
        <w:rPr>
          <w:rFonts w:ascii="Verdana" w:hAnsi="Verdana" w:cs="Tahoma"/>
          <w:sz w:val="20"/>
          <w:szCs w:val="20"/>
        </w:rPr>
      </w:pPr>
    </w:p>
    <w:p w14:paraId="34615E4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Vinculação dos Direitos Creditórios Vinculados à Emissão após Data da 1ª Integralização</w:t>
      </w:r>
    </w:p>
    <w:p w14:paraId="166AAF7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deverão ser adquiridos durante o Período de Alocação. A Escritura de Emissão especifica as datas em que tal instrumento, bem como o Contrato de Cessão Fiduciária, devem ser aditados para atualizar a lista de Direitos Creditórios Vinculados (as Datas Limite de Atualização de CCB). Em caso de ocorrência de Evento de Vencimento Antecipado das Debêntures em momento anterior à tais datas, a lista de Direitos Creditórios Vinculados à Emissão ou cedidos fiduciariamente em benefício dos Debenturistas pode estar desatualizada, impactando os montantes a serem pagos aos Debenturistas.</w:t>
      </w:r>
    </w:p>
    <w:p w14:paraId="15DA7B18" w14:textId="77777777" w:rsidR="00EB5CDB" w:rsidRDefault="00EB5CDB">
      <w:pPr>
        <w:autoSpaceDE/>
        <w:autoSpaceDN/>
        <w:adjustRightInd/>
        <w:spacing w:after="120" w:line="320" w:lineRule="exact"/>
        <w:jc w:val="both"/>
        <w:rPr>
          <w:rFonts w:ascii="Verdana" w:hAnsi="Verdana" w:cs="Tahoma"/>
          <w:sz w:val="20"/>
          <w:szCs w:val="20"/>
        </w:rPr>
      </w:pPr>
    </w:p>
    <w:p w14:paraId="79B0FBCA" w14:textId="058DF264"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w:t>
      </w:r>
      <w:r w:rsidR="006F2A2A">
        <w:rPr>
          <w:rFonts w:ascii="Verdana" w:hAnsi="Verdana" w:cs="Tahoma"/>
          <w:b/>
          <w:sz w:val="20"/>
          <w:szCs w:val="20"/>
        </w:rPr>
        <w:t>Gyramais</w:t>
      </w:r>
    </w:p>
    <w:p w14:paraId="15B87DCE" w14:textId="31ABCF5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r w:rsidR="006F2A2A">
        <w:rPr>
          <w:rFonts w:ascii="Verdana" w:hAnsi="Verdana" w:cs="Tahoma"/>
          <w:i/>
          <w:sz w:val="20"/>
          <w:szCs w:val="20"/>
          <w:u w:val="single"/>
        </w:rPr>
        <w:t>Gyramais</w:t>
      </w:r>
      <w:r>
        <w:rPr>
          <w:rFonts w:ascii="Verdana" w:hAnsi="Verdana" w:cs="Tahoma"/>
          <w:i/>
          <w:sz w:val="20"/>
          <w:szCs w:val="20"/>
          <w:u w:val="single"/>
        </w:rPr>
        <w:t xml:space="preserve"> poderá enfrentar desafios em virtude de se tratar de uma empresa recente e atuante em um mercado competitivo</w:t>
      </w:r>
    </w:p>
    <w:p w14:paraId="61BF0068" w14:textId="781EC68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r w:rsidR="006F2A2A">
        <w:rPr>
          <w:rFonts w:ascii="Verdana" w:hAnsi="Verdana" w:cs="Tahoma"/>
          <w:sz w:val="20"/>
          <w:szCs w:val="20"/>
        </w:rPr>
        <w:t>Gyramais</w:t>
      </w:r>
      <w:r>
        <w:rPr>
          <w:rFonts w:ascii="Verdana" w:hAnsi="Verdana" w:cs="Tahoma"/>
          <w:sz w:val="20"/>
          <w:szCs w:val="20"/>
        </w:rPr>
        <w:t xml:space="preserve"> foi constituída em </w:t>
      </w:r>
      <w:r w:rsidR="006F2A2A">
        <w:rPr>
          <w:rFonts w:ascii="Verdana" w:hAnsi="Verdana" w:cs="Tahoma"/>
          <w:sz w:val="20"/>
          <w:szCs w:val="20"/>
        </w:rPr>
        <w:t>__</w:t>
      </w:r>
      <w:r>
        <w:rPr>
          <w:rFonts w:ascii="Verdana" w:hAnsi="Verdana" w:cs="Tahoma"/>
          <w:sz w:val="20"/>
          <w:szCs w:val="20"/>
        </w:rPr>
        <w:t xml:space="preserve"> de </w:t>
      </w:r>
      <w:r w:rsidR="006F2A2A">
        <w:rPr>
          <w:rFonts w:ascii="Verdana" w:hAnsi="Verdana" w:cs="Tahoma"/>
          <w:sz w:val="20"/>
          <w:szCs w:val="20"/>
        </w:rPr>
        <w:t>_____</w:t>
      </w:r>
      <w:r>
        <w:rPr>
          <w:rFonts w:ascii="Verdana" w:hAnsi="Verdana" w:cs="Tahoma"/>
          <w:sz w:val="20"/>
          <w:szCs w:val="20"/>
        </w:rPr>
        <w:t xml:space="preserve"> de 20</w:t>
      </w:r>
      <w:r w:rsidR="006F2A2A">
        <w:rPr>
          <w:rFonts w:ascii="Verdana" w:hAnsi="Verdana" w:cs="Tahoma"/>
          <w:sz w:val="20"/>
          <w:szCs w:val="20"/>
        </w:rPr>
        <w:t>___</w:t>
      </w:r>
      <w:r>
        <w:rPr>
          <w:rFonts w:ascii="Verdana" w:hAnsi="Verdana" w:cs="Tahoma"/>
          <w:sz w:val="20"/>
          <w:szCs w:val="20"/>
        </w:rPr>
        <w:t xml:space="preserve">, tendo atuado desde então como correspondente bancário de instituições financeiras, originando operações de crédito com a utilização de plataforma eletrônica. Dessa forma, a </w:t>
      </w:r>
      <w:r w:rsidR="006F2A2A">
        <w:rPr>
          <w:rFonts w:ascii="Verdana" w:hAnsi="Verdana" w:cs="Tahoma"/>
          <w:sz w:val="20"/>
          <w:szCs w:val="20"/>
        </w:rPr>
        <w:t>Gyramais</w:t>
      </w:r>
      <w:r>
        <w:rPr>
          <w:rFonts w:ascii="Verdana" w:hAnsi="Verdana" w:cs="Tahoma"/>
          <w:sz w:val="20"/>
          <w:szCs w:val="20"/>
        </w:rPr>
        <w:t xml:space="preserve"> poderá enfrentar desafios em virtude de se tratar de uma empresa constituída há poucos anos, com limitado histórico nessa atividade, em um mercado sem tradição no Brasil.</w:t>
      </w:r>
    </w:p>
    <w:p w14:paraId="777F74F0" w14:textId="77777777" w:rsidR="00EB5CDB" w:rsidRDefault="00EB5CDB">
      <w:pPr>
        <w:autoSpaceDE/>
        <w:autoSpaceDN/>
        <w:adjustRightInd/>
        <w:spacing w:after="120" w:line="320" w:lineRule="exact"/>
        <w:jc w:val="both"/>
        <w:rPr>
          <w:rFonts w:ascii="Verdana" w:hAnsi="Verdana" w:cs="Tahoma"/>
          <w:sz w:val="20"/>
          <w:szCs w:val="20"/>
        </w:rPr>
      </w:pPr>
    </w:p>
    <w:p w14:paraId="6FB60F40" w14:textId="5B29A961"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A </w:t>
      </w:r>
      <w:r w:rsidR="006F2A2A">
        <w:rPr>
          <w:rFonts w:ascii="Verdana" w:hAnsi="Verdana" w:cs="Tahoma"/>
          <w:i/>
          <w:sz w:val="20"/>
          <w:szCs w:val="20"/>
          <w:u w:val="single"/>
        </w:rPr>
        <w:t>Gyramais</w:t>
      </w:r>
      <w:r>
        <w:rPr>
          <w:rFonts w:ascii="Verdana" w:hAnsi="Verdana" w:cs="Tahoma"/>
          <w:i/>
          <w:sz w:val="20"/>
          <w:szCs w:val="20"/>
          <w:u w:val="single"/>
        </w:rPr>
        <w:t xml:space="preserve"> apoia-se em sua equipe. A perda de “pessoas chave”, ou a incapacidade de atrair e manter essas pessoas pode ter um efeito adverso relevante sobre a </w:t>
      </w:r>
      <w:r w:rsidR="006F2A2A">
        <w:rPr>
          <w:rFonts w:ascii="Verdana" w:hAnsi="Verdana" w:cs="Tahoma"/>
          <w:i/>
          <w:sz w:val="20"/>
          <w:szCs w:val="20"/>
          <w:u w:val="single"/>
        </w:rPr>
        <w:t>Gyramais</w:t>
      </w:r>
    </w:p>
    <w:p w14:paraId="3673F207" w14:textId="6971FD9A"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perda de pessoas qualificadas e a eventual incapacidade da </w:t>
      </w:r>
      <w:r w:rsidR="006F2A2A" w:rsidRPr="006F2A2A">
        <w:rPr>
          <w:rFonts w:ascii="Verdana" w:hAnsi="Verdana" w:cs="Tahoma"/>
          <w:iCs/>
          <w:sz w:val="20"/>
          <w:szCs w:val="20"/>
        </w:rPr>
        <w:t>Gyramais</w:t>
      </w:r>
      <w:r>
        <w:rPr>
          <w:rFonts w:ascii="Verdana" w:hAnsi="Verdana" w:cs="Tahoma"/>
          <w:sz w:val="20"/>
          <w:szCs w:val="20"/>
        </w:rPr>
        <w:t xml:space="preserve"> de atrair e manter uma equipe especializada poderá ter efeito adverso relevante sobre as atividades, a situação financeira e os resultados operacionais da </w:t>
      </w:r>
      <w:r w:rsidR="006F2A2A">
        <w:rPr>
          <w:rFonts w:ascii="Verdana" w:hAnsi="Verdana" w:cs="Tahoma"/>
          <w:i/>
          <w:sz w:val="20"/>
          <w:szCs w:val="20"/>
          <w:u w:val="single"/>
        </w:rPr>
        <w:t>Gyramais</w:t>
      </w:r>
      <w:r>
        <w:rPr>
          <w:rFonts w:ascii="Verdana" w:hAnsi="Verdana" w:cs="Tahoma"/>
          <w:sz w:val="20"/>
          <w:szCs w:val="20"/>
        </w:rPr>
        <w:t xml:space="preserve"> e, por conseguinte, da Emissora, afetando a capacidade de originação de Direitos Creditórios Vinculados e a capacidade da Emissora de gerar resultados e manter-se atuante no mercado, desempenhando as atividades necessárias para o bom andamento da Emissão.</w:t>
      </w:r>
    </w:p>
    <w:p w14:paraId="1918C00D" w14:textId="77777777" w:rsidR="00EB5CDB" w:rsidRDefault="00EB5CDB">
      <w:pPr>
        <w:autoSpaceDE/>
        <w:autoSpaceDN/>
        <w:adjustRightInd/>
        <w:spacing w:after="120" w:line="320" w:lineRule="exact"/>
        <w:jc w:val="both"/>
        <w:rPr>
          <w:rFonts w:ascii="Verdana" w:hAnsi="Verdana" w:cs="Tahoma"/>
          <w:sz w:val="20"/>
          <w:szCs w:val="20"/>
        </w:rPr>
      </w:pPr>
    </w:p>
    <w:p w14:paraId="658C6D77" w14:textId="4B48E41B"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i/>
          <w:sz w:val="20"/>
          <w:szCs w:val="20"/>
          <w:u w:val="single"/>
        </w:rPr>
        <w:t xml:space="preserve">A falta de acesso a capital adicional em condições satisfatórias pode restringir o crescimento e desenvolvimento futuro da </w:t>
      </w:r>
      <w:r w:rsidR="00251E22">
        <w:rPr>
          <w:rFonts w:ascii="Verdana" w:hAnsi="Verdana" w:cs="Tahoma"/>
          <w:i/>
          <w:sz w:val="20"/>
          <w:szCs w:val="20"/>
          <w:u w:val="single"/>
        </w:rPr>
        <w:t>Gyramais</w:t>
      </w:r>
      <w:r>
        <w:rPr>
          <w:rFonts w:ascii="Verdana" w:hAnsi="Verdana" w:cs="Tahoma"/>
          <w:i/>
          <w:sz w:val="20"/>
          <w:szCs w:val="20"/>
          <w:u w:val="single"/>
        </w:rPr>
        <w:t>, o que pode prejudicar sua situação financeira, assim como seus resultados operacionais e sua capacidade de originação de novos Direitos Creditórios Vinculados e de se manter desempenhando as atividades necessárias para o bom andamento da Emissão</w:t>
      </w:r>
    </w:p>
    <w:p w14:paraId="575057A7" w14:textId="5C5EA05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 os recursos atualmente disponíveis para a </w:t>
      </w:r>
      <w:r w:rsidR="00251E22" w:rsidRPr="00251E22">
        <w:rPr>
          <w:rFonts w:ascii="Verdana" w:hAnsi="Verdana" w:cs="Tahoma"/>
          <w:iCs/>
          <w:sz w:val="20"/>
          <w:szCs w:val="20"/>
        </w:rPr>
        <w:t>Gyramais</w:t>
      </w:r>
      <w:r>
        <w:rPr>
          <w:rFonts w:ascii="Verdana" w:hAnsi="Verdana" w:cs="Tahoma"/>
          <w:sz w:val="20"/>
          <w:szCs w:val="20"/>
        </w:rPr>
        <w:t xml:space="preserve"> forem insuficientes para financiar suas futuras exigências operacionais, a </w:t>
      </w:r>
      <w:r w:rsidR="00653EC5" w:rsidRPr="00251E22">
        <w:rPr>
          <w:rFonts w:ascii="Verdana" w:hAnsi="Verdana" w:cs="Tahoma"/>
          <w:iCs/>
          <w:sz w:val="20"/>
          <w:szCs w:val="20"/>
        </w:rPr>
        <w:t>Gyramais</w:t>
      </w:r>
      <w:r>
        <w:rPr>
          <w:rFonts w:ascii="Verdana" w:hAnsi="Verdana" w:cs="Tahoma"/>
          <w:sz w:val="20"/>
          <w:szCs w:val="20"/>
        </w:rPr>
        <w:t xml:space="preserve"> poderá depender de recursos adicionais, provenientes de diferentes fontes de financiamentos, tendo em vista o crescimento e o desenvolvimento de suas atividades. Não se pode assegurar a disponibilidade de capital adicional ou, se disponível, que o mesmo apresentará condições satisfatórias. A falta de acesso a capital adicional em condições satisfatórias pode restringir o crescimento e o desenvolvimento das atividades da Emissora, o que poderá vir a prejudicar de maneira relevante sua situação financeira, seus resultados operacionais, sua capacidade de originação de novos Direitos Creditórios Vinculados e de se manter desempenhando as atividades necessárias para o bom andamento da Emissão.</w:t>
      </w:r>
    </w:p>
    <w:p w14:paraId="403F9150" w14:textId="77777777" w:rsidR="00EB5CDB" w:rsidRDefault="00EB5CDB">
      <w:pPr>
        <w:autoSpaceDE/>
        <w:autoSpaceDN/>
        <w:adjustRightInd/>
        <w:spacing w:after="120" w:line="320" w:lineRule="exact"/>
        <w:jc w:val="both"/>
        <w:rPr>
          <w:rFonts w:ascii="Verdana" w:hAnsi="Verdana" w:cs="Tahoma"/>
          <w:sz w:val="20"/>
          <w:szCs w:val="20"/>
        </w:rPr>
      </w:pPr>
    </w:p>
    <w:p w14:paraId="61B67643" w14:textId="0D726286"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originação de operações de crédito por meio de plataforma eletrônica</w:t>
      </w:r>
      <w:r>
        <w:rPr>
          <w:rFonts w:ascii="Verdana" w:hAnsi="Verdana" w:cs="Tahoma"/>
          <w:sz w:val="20"/>
          <w:szCs w:val="20"/>
          <w:u w:val="single"/>
        </w:rPr>
        <w:t xml:space="preserve"> </w:t>
      </w:r>
      <w:r>
        <w:rPr>
          <w:rFonts w:ascii="Verdana" w:hAnsi="Verdana" w:cs="Tahoma"/>
          <w:i/>
          <w:sz w:val="20"/>
          <w:szCs w:val="20"/>
          <w:u w:val="single"/>
        </w:rPr>
        <w:t xml:space="preserve">é uma atividade recente no Brasil e eventuais incertezas sobre o setor poderão ter efeito adverso sobre a </w:t>
      </w:r>
      <w:r w:rsidR="00653EC5">
        <w:rPr>
          <w:rFonts w:ascii="Verdana" w:hAnsi="Verdana" w:cs="Tahoma"/>
          <w:i/>
          <w:sz w:val="20"/>
          <w:szCs w:val="20"/>
          <w:u w:val="single"/>
        </w:rPr>
        <w:t>Gyramais</w:t>
      </w:r>
    </w:p>
    <w:p w14:paraId="2FE3DE21" w14:textId="443F048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originação de operações de crédito por meio de plataforma eletrônica disponível na internet é uma atividade recente no Brasil. A atuação da </w:t>
      </w:r>
      <w:r w:rsidR="00653EC5" w:rsidRPr="00251E22">
        <w:rPr>
          <w:rFonts w:ascii="Verdana" w:hAnsi="Verdana" w:cs="Tahoma"/>
          <w:iCs/>
          <w:sz w:val="20"/>
          <w:szCs w:val="20"/>
        </w:rPr>
        <w:t>Gyramais</w:t>
      </w:r>
      <w:r w:rsidR="00653EC5">
        <w:rPr>
          <w:rFonts w:ascii="Verdana" w:hAnsi="Verdana" w:cs="Tahoma"/>
          <w:sz w:val="20"/>
          <w:szCs w:val="20"/>
        </w:rPr>
        <w:t xml:space="preserve"> </w:t>
      </w:r>
      <w:r>
        <w:rPr>
          <w:rFonts w:ascii="Verdana" w:hAnsi="Verdana" w:cs="Tahoma"/>
          <w:sz w:val="20"/>
          <w:szCs w:val="20"/>
        </w:rPr>
        <w:t xml:space="preserve">é regulada pelo Conselho Monetário Nacional, nos termos da Resolução CMN nº 3.954/2011, que disciplina a atuação dos correspondentes bancários no país. Ainda, mais recentemente, o Conselho Monetário Nacional editou a Resolução CMN nº 4.656/2018, que disciplina a constituição e atuação das sociedades de empréstimos entre pessoas e das sociedades de crédito direto, cujo foco de atuação também envolve a originação de operações de crédito por meio de plataforma eletrônica. Por se tratar de um mercado recente no Brasil, com marcos regulatórios ainda pouco explorados (principalmente no que se refere à Resolução CMN nº 4.656/2018) e sem jurisprudência pacífica, em âmbito judicial ou administrativo, podem ocorrer situações que ainda não estejam cobertas pelas regras existentes, gerando assim uma insegurança jurídica e um risco aos investidores, uma vez que os órgãos reguladores, supervisores e fiscais, bem como o Poder Judiciário poderão questionar a atuação da </w:t>
      </w:r>
      <w:r w:rsidR="00653EC5" w:rsidRPr="00251E22">
        <w:rPr>
          <w:rFonts w:ascii="Verdana" w:hAnsi="Verdana" w:cs="Tahoma"/>
          <w:iCs/>
          <w:sz w:val="20"/>
          <w:szCs w:val="20"/>
        </w:rPr>
        <w:t>Gyramais</w:t>
      </w:r>
      <w:r>
        <w:rPr>
          <w:rFonts w:ascii="Verdana" w:hAnsi="Verdana" w:cs="Tahoma"/>
          <w:sz w:val="20"/>
          <w:szCs w:val="20"/>
        </w:rPr>
        <w:t xml:space="preserve"> e/ou, em um eventual cenário de discussão e/ou de identificação de lacuna na regulamentação existente, editar as normas que regem o assunto e/ou interpretá-las de forma a provocar um efeito adverso sobre a </w:t>
      </w:r>
      <w:r w:rsidR="00653EC5" w:rsidRPr="00251E22">
        <w:rPr>
          <w:rFonts w:ascii="Verdana" w:hAnsi="Verdana" w:cs="Tahoma"/>
          <w:iCs/>
          <w:sz w:val="20"/>
          <w:szCs w:val="20"/>
        </w:rPr>
        <w:t>Gyramais</w:t>
      </w:r>
      <w:r>
        <w:rPr>
          <w:rFonts w:ascii="Verdana" w:hAnsi="Verdana" w:cs="Tahoma"/>
          <w:sz w:val="20"/>
          <w:szCs w:val="20"/>
        </w:rPr>
        <w:t>, impactando sua capacidade de originar novos Direitos Creditórios Vinculados e de se manter desempenhando as atividades necessárias para o bom andamento da Emissão.</w:t>
      </w:r>
    </w:p>
    <w:p w14:paraId="53CD6025" w14:textId="77777777" w:rsidR="00EB5CDB" w:rsidRDefault="00EB5CDB">
      <w:pPr>
        <w:autoSpaceDE/>
        <w:autoSpaceDN/>
        <w:adjustRightInd/>
        <w:spacing w:after="120" w:line="320" w:lineRule="exact"/>
        <w:jc w:val="both"/>
        <w:rPr>
          <w:rFonts w:ascii="Verdana" w:hAnsi="Verdana" w:cs="Tahoma"/>
          <w:b/>
          <w:sz w:val="20"/>
          <w:szCs w:val="20"/>
        </w:rPr>
      </w:pPr>
    </w:p>
    <w:p w14:paraId="08EE4236" w14:textId="2EA1D53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Eventuais alterações na regulamentação em vigor podem afetar os negócios da </w:t>
      </w:r>
      <w:r w:rsidR="00653EC5">
        <w:rPr>
          <w:rFonts w:ascii="Verdana" w:hAnsi="Verdana" w:cs="Tahoma"/>
          <w:i/>
          <w:sz w:val="20"/>
          <w:szCs w:val="20"/>
          <w:u w:val="single"/>
        </w:rPr>
        <w:t>Gyramais</w:t>
      </w:r>
    </w:p>
    <w:p w14:paraId="376ED222" w14:textId="7CDCB80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r w:rsidR="00653EC5" w:rsidRPr="00251E22">
        <w:rPr>
          <w:rFonts w:ascii="Verdana" w:hAnsi="Verdana" w:cs="Tahoma"/>
          <w:iCs/>
          <w:sz w:val="20"/>
          <w:szCs w:val="20"/>
        </w:rPr>
        <w:t>Gyramais</w:t>
      </w:r>
      <w:r>
        <w:rPr>
          <w:rFonts w:ascii="Verdana" w:hAnsi="Verdana" w:cs="Tahoma"/>
          <w:sz w:val="20"/>
          <w:szCs w:val="20"/>
        </w:rPr>
        <w:t xml:space="preserve"> é uma empresa de tecnologia que atua na originação dos Direitos Creditórios Vinculados. A </w:t>
      </w:r>
      <w:r w:rsidR="00653EC5" w:rsidRPr="00251E22">
        <w:rPr>
          <w:rFonts w:ascii="Verdana" w:hAnsi="Verdana" w:cs="Tahoma"/>
          <w:iCs/>
          <w:sz w:val="20"/>
          <w:szCs w:val="20"/>
        </w:rPr>
        <w:t>Gyramais</w:t>
      </w:r>
      <w:r>
        <w:rPr>
          <w:rFonts w:ascii="Verdana" w:hAnsi="Verdana" w:cs="Tahoma"/>
          <w:sz w:val="20"/>
          <w:szCs w:val="20"/>
        </w:rPr>
        <w:t xml:space="preserve"> poderá estar sujeita a riscos advindos de eventuais restrições futuras de natureza legal, regulatória e/ou fiscal que podem afetar a validade da originação e/ou da cessão dos Direitos Creditórios Vinculados para a Emissora. Ademais, eventuais alterações na regulamentação em vigor poderão acarretar um aumento dos custos envolvidos nas atividades da </w:t>
      </w:r>
      <w:r w:rsidR="00653EC5" w:rsidRPr="00251E22">
        <w:rPr>
          <w:rFonts w:ascii="Verdana" w:hAnsi="Verdana" w:cs="Tahoma"/>
          <w:iCs/>
          <w:sz w:val="20"/>
          <w:szCs w:val="20"/>
        </w:rPr>
        <w:t>Gyramais</w:t>
      </w:r>
      <w:r>
        <w:rPr>
          <w:rFonts w:ascii="Verdana" w:hAnsi="Verdana" w:cs="Tahoma"/>
          <w:sz w:val="20"/>
          <w:szCs w:val="20"/>
        </w:rPr>
        <w:t>, impactando sua capacidade de originar novos Direitos Creditórios Vinculados e de se manter desempenhando as atividades necessárias para o bom andamento da Emissão.</w:t>
      </w:r>
    </w:p>
    <w:p w14:paraId="318024E4" w14:textId="77777777" w:rsidR="00EB5CDB" w:rsidRDefault="00EB5CDB">
      <w:pPr>
        <w:autoSpaceDE/>
        <w:autoSpaceDN/>
        <w:adjustRightInd/>
        <w:spacing w:after="120" w:line="320" w:lineRule="exact"/>
        <w:jc w:val="both"/>
        <w:rPr>
          <w:rFonts w:ascii="Verdana" w:hAnsi="Verdana" w:cs="Tahoma"/>
          <w:sz w:val="20"/>
          <w:szCs w:val="20"/>
        </w:rPr>
      </w:pPr>
    </w:p>
    <w:p w14:paraId="1C13FDB2" w14:textId="39586AB1"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Falência da </w:t>
      </w:r>
      <w:r w:rsidR="00653EC5">
        <w:rPr>
          <w:rFonts w:ascii="Verdana" w:hAnsi="Verdana" w:cs="Tahoma"/>
          <w:i/>
          <w:sz w:val="20"/>
          <w:szCs w:val="20"/>
          <w:u w:val="single"/>
        </w:rPr>
        <w:t>Gyramais</w:t>
      </w:r>
    </w:p>
    <w:p w14:paraId="45F8585A" w14:textId="32BD9738"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liquidação, dissolução, insolvência, pedido de autofalência, pedido de falência não elidido no prazo legal, decretação de falência, pedido de recuperação judicial ou extrajudicial, ou deferimento do processamento de recuperação judicial da </w:t>
      </w:r>
      <w:r w:rsidR="00653EC5" w:rsidRPr="00251E22">
        <w:rPr>
          <w:rFonts w:ascii="Verdana" w:hAnsi="Verdana" w:cs="Tahoma"/>
          <w:iCs/>
          <w:sz w:val="20"/>
          <w:szCs w:val="20"/>
        </w:rPr>
        <w:t>Gyramais</w:t>
      </w:r>
      <w:r>
        <w:rPr>
          <w:rFonts w:ascii="Verdana" w:hAnsi="Verdana" w:cs="Tahoma"/>
          <w:sz w:val="20"/>
          <w:szCs w:val="20"/>
        </w:rPr>
        <w:t xml:space="preserve"> poderia impactar sua capacidade de originar novos Direitos Creditórios Vinculados e de se manter desempenhando as atividades necessárias para o bom andamento da Emissão.</w:t>
      </w:r>
    </w:p>
    <w:p w14:paraId="6362417F" w14:textId="77777777" w:rsidR="00EB5CDB" w:rsidRDefault="00EB5CDB">
      <w:pPr>
        <w:autoSpaceDE/>
        <w:autoSpaceDN/>
        <w:adjustRightInd/>
        <w:spacing w:after="120" w:line="320" w:lineRule="exact"/>
        <w:jc w:val="both"/>
        <w:rPr>
          <w:rFonts w:ascii="Verdana" w:hAnsi="Verdana" w:cs="Tahoma"/>
          <w:sz w:val="20"/>
          <w:szCs w:val="20"/>
        </w:rPr>
      </w:pPr>
    </w:p>
    <w:p w14:paraId="4B7785F2" w14:textId="106CB52B"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Limitada Experiência da </w:t>
      </w:r>
      <w:r w:rsidR="00653EC5">
        <w:rPr>
          <w:rFonts w:ascii="Verdana" w:hAnsi="Verdana" w:cs="Tahoma"/>
          <w:i/>
          <w:sz w:val="20"/>
          <w:szCs w:val="20"/>
          <w:u w:val="single"/>
        </w:rPr>
        <w:t>Gyramais</w:t>
      </w:r>
      <w:r>
        <w:rPr>
          <w:rFonts w:ascii="Verdana" w:hAnsi="Verdana" w:cs="Tahoma"/>
          <w:i/>
          <w:sz w:val="20"/>
          <w:szCs w:val="20"/>
          <w:u w:val="single"/>
        </w:rPr>
        <w:t xml:space="preserve"> nos Processos Envolvidos no Negócio de Concessão e Cobrança de Créditos</w:t>
      </w:r>
    </w:p>
    <w:p w14:paraId="435A6277" w14:textId="31D6CCB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w:t>
      </w:r>
      <w:r w:rsidR="00653EC5" w:rsidRPr="00251E22">
        <w:rPr>
          <w:rFonts w:ascii="Verdana" w:hAnsi="Verdana" w:cs="Tahoma"/>
          <w:iCs/>
          <w:sz w:val="20"/>
          <w:szCs w:val="20"/>
        </w:rPr>
        <w:t>Gyramais</w:t>
      </w:r>
      <w:r>
        <w:rPr>
          <w:rFonts w:ascii="Verdana" w:hAnsi="Verdana" w:cs="Tahoma"/>
          <w:sz w:val="20"/>
          <w:szCs w:val="20"/>
        </w:rPr>
        <w:t xml:space="preserve"> foi constituída em </w:t>
      </w:r>
      <w:r w:rsidR="00653EC5">
        <w:rPr>
          <w:rFonts w:ascii="Verdana" w:hAnsi="Verdana" w:cs="Tahoma"/>
          <w:sz w:val="20"/>
          <w:szCs w:val="20"/>
        </w:rPr>
        <w:t>__</w:t>
      </w:r>
      <w:r>
        <w:rPr>
          <w:rFonts w:ascii="Verdana" w:hAnsi="Verdana" w:cs="Tahoma"/>
          <w:sz w:val="20"/>
          <w:szCs w:val="20"/>
        </w:rPr>
        <w:t xml:space="preserve"> de </w:t>
      </w:r>
      <w:r w:rsidR="00653EC5">
        <w:rPr>
          <w:rFonts w:ascii="Verdana" w:hAnsi="Verdana" w:cs="Tahoma"/>
          <w:sz w:val="20"/>
          <w:szCs w:val="20"/>
        </w:rPr>
        <w:t>______</w:t>
      </w:r>
      <w:r>
        <w:rPr>
          <w:rFonts w:ascii="Verdana" w:hAnsi="Verdana" w:cs="Tahoma"/>
          <w:sz w:val="20"/>
          <w:szCs w:val="20"/>
        </w:rPr>
        <w:t xml:space="preserve"> de 20</w:t>
      </w:r>
      <w:r w:rsidR="00653EC5">
        <w:rPr>
          <w:rFonts w:ascii="Verdana" w:hAnsi="Verdana" w:cs="Tahoma"/>
          <w:sz w:val="20"/>
          <w:szCs w:val="20"/>
        </w:rPr>
        <w:t>__</w:t>
      </w:r>
      <w:r>
        <w:rPr>
          <w:rFonts w:ascii="Verdana" w:hAnsi="Verdana" w:cs="Tahoma"/>
          <w:sz w:val="20"/>
          <w:szCs w:val="20"/>
        </w:rPr>
        <w:t xml:space="preserve">, portanto com limitado histórico nas atividades relacionadas ao crédito pessoal. O sucesso de tais atividades depende das atuações da </w:t>
      </w:r>
      <w:r w:rsidR="00653EC5" w:rsidRPr="00251E22">
        <w:rPr>
          <w:rFonts w:ascii="Verdana" w:hAnsi="Verdana" w:cs="Tahoma"/>
          <w:iCs/>
          <w:sz w:val="20"/>
          <w:szCs w:val="20"/>
        </w:rPr>
        <w:t>Gyramais</w:t>
      </w:r>
      <w:r>
        <w:rPr>
          <w:rFonts w:ascii="Verdana" w:hAnsi="Verdana" w:cs="Tahoma"/>
          <w:sz w:val="20"/>
          <w:szCs w:val="20"/>
        </w:rPr>
        <w:t xml:space="preserve">, que desenvolve e mantém a Plataforma, bem como da parceria desta com Instituições Financeiras. A limitada experiência da </w:t>
      </w:r>
      <w:r w:rsidR="00653EC5" w:rsidRPr="00251E22">
        <w:rPr>
          <w:rFonts w:ascii="Verdana" w:hAnsi="Verdana" w:cs="Tahoma"/>
          <w:iCs/>
          <w:sz w:val="20"/>
          <w:szCs w:val="20"/>
        </w:rPr>
        <w:t>Gyramais</w:t>
      </w:r>
      <w:r>
        <w:rPr>
          <w:rFonts w:ascii="Verdana" w:hAnsi="Verdana" w:cs="Tahoma"/>
          <w:sz w:val="20"/>
          <w:szCs w:val="20"/>
        </w:rPr>
        <w:t xml:space="preserve"> nos processos envolvidos no negócio de concessão e cobrança de créditos poderá causar efeitos adversos na carteira de Direitos Creditórios Vinculados, impactando os montantes a serem pagos aos Debenturistas. </w:t>
      </w:r>
    </w:p>
    <w:p w14:paraId="7D8048FE" w14:textId="77777777" w:rsidR="00EB5CDB" w:rsidRDefault="00EB5CDB">
      <w:pPr>
        <w:autoSpaceDE/>
        <w:autoSpaceDN/>
        <w:adjustRightInd/>
        <w:spacing w:after="120" w:line="320" w:lineRule="exact"/>
        <w:jc w:val="both"/>
        <w:rPr>
          <w:rFonts w:ascii="Verdana" w:hAnsi="Verdana" w:cs="Tahoma"/>
          <w:sz w:val="20"/>
          <w:szCs w:val="20"/>
        </w:rPr>
      </w:pPr>
    </w:p>
    <w:p w14:paraId="3D7D2957" w14:textId="77777777" w:rsidR="00EB5CDB" w:rsidRDefault="008E55E6">
      <w:pPr>
        <w:keepNext/>
        <w:keepLines/>
        <w:autoSpaceDE/>
        <w:autoSpaceDN/>
        <w:adjustRightInd/>
        <w:spacing w:after="120" w:line="320" w:lineRule="exact"/>
        <w:jc w:val="both"/>
        <w:outlineLvl w:val="0"/>
        <w:rPr>
          <w:rFonts w:ascii="Verdana" w:hAnsi="Verdana" w:cs="Tahoma"/>
          <w:b/>
          <w:sz w:val="20"/>
          <w:szCs w:val="20"/>
        </w:rPr>
      </w:pPr>
      <w:r>
        <w:rPr>
          <w:rFonts w:ascii="Verdana" w:hAnsi="Verdana" w:cs="Tahoma"/>
          <w:b/>
          <w:sz w:val="20"/>
          <w:szCs w:val="20"/>
        </w:rPr>
        <w:t>Riscos de mercado</w:t>
      </w:r>
    </w:p>
    <w:p w14:paraId="05A7CC3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Efeitos da política econômica do Governo Federal</w:t>
      </w:r>
    </w:p>
    <w:p w14:paraId="1151489F" w14:textId="1CEDA88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os Direitos Creditórios Vinculados, a Instituição </w:t>
      </w:r>
      <w:r w:rsidR="008D6F6D">
        <w:rPr>
          <w:rFonts w:ascii="Verdana" w:hAnsi="Verdana" w:cs="Tahoma"/>
          <w:sz w:val="20"/>
          <w:szCs w:val="20"/>
        </w:rPr>
        <w:t>Financeira Endossante</w:t>
      </w:r>
      <w:r>
        <w:rPr>
          <w:rFonts w:ascii="Verdana" w:hAnsi="Verdana" w:cs="Tahoma"/>
          <w:sz w:val="20"/>
          <w:szCs w:val="20"/>
        </w:rPr>
        <w:t xml:space="preserve"> e os respectivos Tomadores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Debêntures, bem como a liquidação e o valor dos Direitos Creditórios Vinculados.</w:t>
      </w:r>
    </w:p>
    <w:p w14:paraId="765BC6E9" w14:textId="77777777" w:rsidR="00EB5CDB" w:rsidRDefault="00EB5CDB">
      <w:pPr>
        <w:autoSpaceDE/>
        <w:autoSpaceDN/>
        <w:adjustRightInd/>
        <w:spacing w:after="120" w:line="320" w:lineRule="exact"/>
        <w:jc w:val="both"/>
        <w:rPr>
          <w:rFonts w:ascii="Verdana" w:hAnsi="Verdana" w:cs="Tahoma"/>
          <w:sz w:val="20"/>
          <w:szCs w:val="20"/>
        </w:rPr>
      </w:pPr>
    </w:p>
    <w:p w14:paraId="39EADFF7"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Descasamento de taxas – Rentabilidade dos Direitos Creditórios Vinculados inferior à Remuneração</w:t>
      </w:r>
    </w:p>
    <w:p w14:paraId="029EE25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contratados a taxas prefixadas. Considerando-se a Remuneração estabelecida na Escritura de Emissão, poderá ocorrer o descasamento entre as taxas de retorno </w:t>
      </w:r>
      <w:r>
        <w:rPr>
          <w:rFonts w:ascii="Verdana" w:hAnsi="Verdana" w:cs="Tahoma"/>
          <w:b/>
          <w:sz w:val="20"/>
          <w:szCs w:val="20"/>
        </w:rPr>
        <w:t>(a)</w:t>
      </w:r>
      <w:r>
        <w:rPr>
          <w:rFonts w:ascii="Verdana" w:hAnsi="Verdana" w:cs="Tahoma"/>
          <w:sz w:val="20"/>
          <w:szCs w:val="20"/>
        </w:rPr>
        <w:t xml:space="preserve"> dos Direitos Creditórios Vinculados e </w:t>
      </w:r>
      <w:r>
        <w:rPr>
          <w:rFonts w:ascii="Verdana" w:hAnsi="Verdana" w:cs="Tahoma"/>
          <w:b/>
          <w:sz w:val="20"/>
          <w:szCs w:val="20"/>
        </w:rPr>
        <w:t>(b)</w:t>
      </w:r>
      <w:r>
        <w:rPr>
          <w:rFonts w:ascii="Verdana" w:hAnsi="Verdana" w:cs="Tahoma"/>
          <w:sz w:val="20"/>
          <w:szCs w:val="20"/>
        </w:rPr>
        <w:t xml:space="preserve"> das Debêntures, notadamente considerando as Taxas DI. Uma vez que o pagamento das Debêntures decorrerá do pagamento dos Direitos Creditórios Vinculados, caso ocorram tais descasamentos, os recursos remanescentes da Emissora podem ser insuficientes para pagar parte ou a totalidade do Saldo Devedor das Debêntures.</w:t>
      </w:r>
    </w:p>
    <w:p w14:paraId="245F0F9C" w14:textId="77777777" w:rsidR="00EB5CDB" w:rsidRDefault="00EB5CDB">
      <w:pPr>
        <w:autoSpaceDE/>
        <w:autoSpaceDN/>
        <w:adjustRightInd/>
        <w:spacing w:after="120" w:line="320" w:lineRule="exact"/>
        <w:jc w:val="both"/>
        <w:rPr>
          <w:rFonts w:ascii="Verdana" w:hAnsi="Verdana" w:cs="Tahoma"/>
          <w:sz w:val="20"/>
          <w:szCs w:val="20"/>
        </w:rPr>
      </w:pPr>
    </w:p>
    <w:p w14:paraId="6DE696E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Flutuação dos preços dos Investimentos Permitidos</w:t>
      </w:r>
    </w:p>
    <w:p w14:paraId="42374A5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Emissora poderá aplicar os recursos remanescentes nas Contas Exclusivas em Investimentos Permitidos. Os preços e a rentabilidade dos Investimentos Permitidos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Investimentos Permitidos seja avaliada por valores inferiores ao da sua emissão ou contabilização inicial.</w:t>
      </w:r>
    </w:p>
    <w:p w14:paraId="5E2B0D1F" w14:textId="77777777" w:rsidR="00EB5CDB" w:rsidRDefault="00EB5CDB">
      <w:pPr>
        <w:autoSpaceDE/>
        <w:autoSpaceDN/>
        <w:adjustRightInd/>
        <w:spacing w:after="120" w:line="320" w:lineRule="exact"/>
        <w:jc w:val="both"/>
        <w:rPr>
          <w:rFonts w:ascii="Verdana" w:hAnsi="Verdana" w:cs="Tahoma"/>
          <w:b/>
          <w:sz w:val="20"/>
          <w:szCs w:val="20"/>
        </w:rPr>
      </w:pPr>
    </w:p>
    <w:p w14:paraId="34A3363B"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Rentabilidade dos Investimentos Permitidos inferior à Remuneração </w:t>
      </w:r>
    </w:p>
    <w:p w14:paraId="7464325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parcela dos recursos relacionados à Emissão não aplicada em CCB pode ser aplicada em Investimentos Permitidos, os quais podem apresentar valoração efetiva inferior às taxas utilizadas como parâmetro da Remuneração, o que pode fazer com que os recursos da Emissora se tornem insuficientes para pagar parte ou a totalidade de tais parâmetros. Nessa hipótese, os Debenturistas poderão ter a rentabilidade de suas Debêntures afetadas negativamente.</w:t>
      </w:r>
    </w:p>
    <w:p w14:paraId="42EC7405" w14:textId="77777777" w:rsidR="00EB5CDB" w:rsidRDefault="00EB5CDB">
      <w:pPr>
        <w:autoSpaceDE/>
        <w:autoSpaceDN/>
        <w:adjustRightInd/>
        <w:spacing w:after="120" w:line="320" w:lineRule="exact"/>
        <w:jc w:val="both"/>
        <w:rPr>
          <w:rFonts w:ascii="Verdana" w:hAnsi="Verdana" w:cs="Tahoma"/>
          <w:b/>
          <w:sz w:val="20"/>
          <w:szCs w:val="20"/>
        </w:rPr>
      </w:pPr>
    </w:p>
    <w:p w14:paraId="042BCF0B"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Riscos de crédito</w:t>
      </w:r>
    </w:p>
    <w:p w14:paraId="1FB289B4"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capacidade da Emissora de honrar suas obrigações decorrentes das Debêntures depende do pagamento pelos Tomadores dos Direitos Creditórios Vinculados</w:t>
      </w:r>
    </w:p>
    <w:p w14:paraId="1F59746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capacidade da Emissora de honrar suas obrigações decorrentes da Emissão dependerá, nos termos da Resolução CMN 2.686, da solvência dos Tomadores dos Direitos Creditórios Vinculados. O recebimento integral e tempestivo dos montantes devidos aos Debenturistas depende do recebimento das quantias devidas em função dos Direitos Creditórios Vinculados. A solvência dos Tomadores pode ser afetada por fatores macroeconômicos, tais como elevação das taxas de juros, aumento da inflação, baixos índices de crescimento econômico, dentre outros, bem como por outros fatores específicos aos Tomadores, como óbito. Assim, na hipótese de ocorrência de um ou mais desses eventos, poderá haver aumento da inadimplência dos Direitos Creditórios Vinculados, provocando perdas patrimoniais aos Debenturistas.</w:t>
      </w:r>
    </w:p>
    <w:p w14:paraId="6C1BEA7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Solvência dos Tomadores</w:t>
      </w:r>
    </w:p>
    <w:p w14:paraId="05FE8BD6" w14:textId="6467E144"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Instituição </w:t>
      </w:r>
      <w:r w:rsidR="008D6F6D">
        <w:rPr>
          <w:rFonts w:ascii="Verdana" w:hAnsi="Verdana" w:cs="Tahoma"/>
          <w:sz w:val="20"/>
          <w:szCs w:val="20"/>
        </w:rPr>
        <w:t>Financeira Endossante</w:t>
      </w:r>
      <w:r>
        <w:rPr>
          <w:rFonts w:ascii="Verdana" w:hAnsi="Verdana" w:cs="Tahoma"/>
          <w:sz w:val="20"/>
          <w:szCs w:val="20"/>
        </w:rPr>
        <w:t xml:space="preserve"> somente tem responsabilidade pela devida origem e formalização dos Direitos Creditórios Vinculados, não respondendo pela solvência dos Tomadores, cabendo exclusivamente à Emissora e, consequentemente, aos Debenturistas suportar o risco de inadimplência dos Tomadores. Caso a inadimplência ocorra, a Emissora deverá cobrar os Tomadores, sendo que o atraso nos pagamentos dos Direitos Creditórios Vinculados e o resultado incerto dos procedimentos de cobrança podem afetar negativamente o pagamento das Debêntures.</w:t>
      </w:r>
    </w:p>
    <w:p w14:paraId="114731A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por qualquer motivo, haja um aumento da inadimplência dos Tomadores, o pagamento das Debêntures poderá depender prioritariamente da cobrança dos Direitos Creditórios Vinculados inadimplidos, mediante cobrança extrajudicial ou judicial dos valores devidos. Nada garante, contudo, que referida cobrança atingirá os resultados almejados, recuperando o total dos Direitos Creditórios Vinculados, o que poderá implicar perdas patrimoniais aos Debenturistas.</w:t>
      </w:r>
    </w:p>
    <w:p w14:paraId="73480A16" w14:textId="77777777" w:rsidR="00EB5CDB" w:rsidRDefault="00EB5CDB">
      <w:pPr>
        <w:autoSpaceDE/>
        <w:autoSpaceDN/>
        <w:adjustRightInd/>
        <w:spacing w:after="120" w:line="320" w:lineRule="exact"/>
        <w:jc w:val="both"/>
        <w:rPr>
          <w:rFonts w:ascii="Verdana" w:hAnsi="Verdana" w:cs="Tahoma"/>
          <w:i/>
          <w:sz w:val="20"/>
          <w:szCs w:val="20"/>
        </w:rPr>
      </w:pPr>
    </w:p>
    <w:p w14:paraId="2DB7DFF6"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Crédito sem Garantia</w:t>
      </w:r>
    </w:p>
    <w:p w14:paraId="02179E7D"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correspondem a financiamentos concedidos a pessoas físicas ou jurídicas (não constituídas na forma de sociedades anônimas) e tipicamente não contam com garantias dos Tomadores. Caso seja necessário realizar cobrança de Direitos Creditórios Vinculados inadimplidos, a Emissora tipicamente não contará com recuperação de crédito vinculada à excussão de garantias. Adicionalmente, os eventuais Tomadores inadimplentes poderão ter propensão menor de pagamentos dos Direitos Creditórios Vinculados, comparada à propensão de pagamento de dívidas garantidas.</w:t>
      </w:r>
    </w:p>
    <w:p w14:paraId="5F27C4C6" w14:textId="77777777" w:rsidR="00EB5CDB" w:rsidRDefault="00EB5CDB">
      <w:pPr>
        <w:autoSpaceDE/>
        <w:autoSpaceDN/>
        <w:adjustRightInd/>
        <w:spacing w:after="120" w:line="320" w:lineRule="exact"/>
        <w:jc w:val="both"/>
        <w:rPr>
          <w:rFonts w:ascii="Verdana" w:hAnsi="Verdana" w:cs="Tahoma"/>
          <w:i/>
          <w:sz w:val="20"/>
          <w:szCs w:val="20"/>
        </w:rPr>
      </w:pPr>
    </w:p>
    <w:p w14:paraId="13B4D5F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Garantia de Terceiros ou FGC</w:t>
      </w:r>
    </w:p>
    <w:p w14:paraId="1B80729E" w14:textId="3E351CD2"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As</w:t>
      </w:r>
      <w:r>
        <w:rPr>
          <w:rFonts w:ascii="Verdana" w:hAnsi="Verdana" w:cs="Tahoma"/>
          <w:spacing w:val="23"/>
          <w:sz w:val="20"/>
          <w:szCs w:val="20"/>
        </w:rPr>
        <w:t xml:space="preserve"> </w:t>
      </w:r>
      <w:r>
        <w:rPr>
          <w:rFonts w:ascii="Verdana" w:hAnsi="Verdana" w:cs="Tahoma"/>
          <w:sz w:val="20"/>
          <w:szCs w:val="20"/>
        </w:rPr>
        <w:t>aplicações</w:t>
      </w:r>
      <w:r>
        <w:rPr>
          <w:rFonts w:ascii="Verdana" w:hAnsi="Verdana" w:cs="Tahoma"/>
          <w:spacing w:val="24"/>
          <w:sz w:val="20"/>
          <w:szCs w:val="20"/>
        </w:rPr>
        <w:t xml:space="preserve"> </w:t>
      </w:r>
      <w:r>
        <w:rPr>
          <w:rFonts w:ascii="Verdana" w:hAnsi="Verdana" w:cs="Tahoma"/>
          <w:sz w:val="20"/>
          <w:szCs w:val="20"/>
        </w:rPr>
        <w:t>realizadas</w:t>
      </w:r>
      <w:r>
        <w:rPr>
          <w:rFonts w:ascii="Verdana" w:hAnsi="Verdana" w:cs="Tahoma"/>
          <w:spacing w:val="23"/>
          <w:sz w:val="20"/>
          <w:szCs w:val="20"/>
        </w:rPr>
        <w:t xml:space="preserve"> </w:t>
      </w:r>
      <w:r>
        <w:rPr>
          <w:rFonts w:ascii="Verdana" w:hAnsi="Verdana" w:cs="Tahoma"/>
          <w:sz w:val="20"/>
          <w:szCs w:val="20"/>
        </w:rPr>
        <w:t>nas Debêntures não</w:t>
      </w:r>
      <w:r>
        <w:rPr>
          <w:rFonts w:ascii="Verdana" w:hAnsi="Verdana" w:cs="Tahoma"/>
          <w:spacing w:val="24"/>
          <w:sz w:val="20"/>
          <w:szCs w:val="20"/>
        </w:rPr>
        <w:t xml:space="preserve"> </w:t>
      </w:r>
      <w:r>
        <w:rPr>
          <w:rFonts w:ascii="Verdana" w:hAnsi="Verdana" w:cs="Tahoma"/>
          <w:sz w:val="20"/>
          <w:szCs w:val="20"/>
        </w:rPr>
        <w:t>contam</w:t>
      </w:r>
      <w:r>
        <w:rPr>
          <w:rFonts w:ascii="Verdana" w:hAnsi="Verdana" w:cs="Tahoma"/>
          <w:spacing w:val="25"/>
          <w:sz w:val="20"/>
          <w:szCs w:val="20"/>
        </w:rPr>
        <w:t xml:space="preserve"> </w:t>
      </w:r>
      <w:r>
        <w:rPr>
          <w:rFonts w:ascii="Verdana" w:hAnsi="Verdana" w:cs="Tahoma"/>
          <w:sz w:val="20"/>
          <w:szCs w:val="20"/>
        </w:rPr>
        <w:t>com</w:t>
      </w:r>
      <w:r>
        <w:rPr>
          <w:rFonts w:ascii="Verdana" w:hAnsi="Verdana" w:cs="Tahoma"/>
          <w:spacing w:val="36"/>
          <w:w w:val="102"/>
          <w:sz w:val="20"/>
          <w:szCs w:val="20"/>
        </w:rPr>
        <w:t xml:space="preserve"> </w:t>
      </w:r>
      <w:r>
        <w:rPr>
          <w:rFonts w:ascii="Verdana" w:hAnsi="Verdana" w:cs="Tahoma"/>
          <w:sz w:val="20"/>
          <w:szCs w:val="20"/>
        </w:rPr>
        <w:t>garantia</w:t>
      </w:r>
      <w:r>
        <w:rPr>
          <w:rFonts w:ascii="Verdana" w:hAnsi="Verdana" w:cs="Tahoma"/>
          <w:spacing w:val="42"/>
          <w:sz w:val="20"/>
          <w:szCs w:val="20"/>
        </w:rPr>
        <w:t xml:space="preserve"> </w:t>
      </w:r>
      <w:r>
        <w:rPr>
          <w:rFonts w:ascii="Verdana" w:hAnsi="Verdana" w:cs="Tahoma"/>
          <w:sz w:val="20"/>
          <w:szCs w:val="20"/>
        </w:rPr>
        <w:t>de quaisquer terceiros, de qualquer mecanismo de seguro ou, ainda, do</w:t>
      </w:r>
      <w:r>
        <w:rPr>
          <w:rFonts w:ascii="Verdana" w:hAnsi="Verdana" w:cs="Tahoma"/>
          <w:spacing w:val="35"/>
          <w:sz w:val="20"/>
          <w:szCs w:val="20"/>
        </w:rPr>
        <w:t xml:space="preserve"> </w:t>
      </w:r>
      <w:r>
        <w:rPr>
          <w:rFonts w:ascii="Verdana" w:hAnsi="Verdana" w:cs="Tahoma"/>
          <w:sz w:val="20"/>
          <w:szCs w:val="20"/>
        </w:rPr>
        <w:t>Fundo</w:t>
      </w:r>
      <w:r>
        <w:rPr>
          <w:rFonts w:ascii="Verdana" w:hAnsi="Verdana" w:cs="Tahoma"/>
          <w:spacing w:val="35"/>
          <w:sz w:val="20"/>
          <w:szCs w:val="20"/>
        </w:rPr>
        <w:t xml:space="preserve"> </w:t>
      </w:r>
      <w:r>
        <w:rPr>
          <w:rFonts w:ascii="Verdana" w:hAnsi="Verdana" w:cs="Tahoma"/>
          <w:sz w:val="20"/>
          <w:szCs w:val="20"/>
        </w:rPr>
        <w:t>Garantidor de Crédito – FGC.</w:t>
      </w:r>
      <w:r>
        <w:rPr>
          <w:rFonts w:ascii="Verdana" w:hAnsi="Verdana" w:cs="Tahoma"/>
          <w:spacing w:val="18"/>
          <w:sz w:val="20"/>
          <w:szCs w:val="20"/>
        </w:rPr>
        <w:t xml:space="preserve"> </w:t>
      </w:r>
      <w:r>
        <w:rPr>
          <w:rFonts w:ascii="Verdana" w:hAnsi="Verdana" w:cs="Tahoma"/>
          <w:sz w:val="20"/>
          <w:szCs w:val="20"/>
        </w:rPr>
        <w:t>Todos</w:t>
      </w:r>
      <w:r>
        <w:rPr>
          <w:rFonts w:ascii="Verdana" w:hAnsi="Verdana" w:cs="Tahoma"/>
          <w:spacing w:val="19"/>
          <w:sz w:val="20"/>
          <w:szCs w:val="20"/>
        </w:rPr>
        <w:t xml:space="preserve"> </w:t>
      </w:r>
      <w:r>
        <w:rPr>
          <w:rFonts w:ascii="Verdana" w:hAnsi="Verdana" w:cs="Tahoma"/>
          <w:sz w:val="20"/>
          <w:szCs w:val="20"/>
        </w:rPr>
        <w:t>os</w:t>
      </w:r>
      <w:r>
        <w:rPr>
          <w:rFonts w:ascii="Verdana" w:hAnsi="Verdana" w:cs="Tahoma"/>
          <w:spacing w:val="18"/>
          <w:sz w:val="20"/>
          <w:szCs w:val="20"/>
        </w:rPr>
        <w:t xml:space="preserve"> </w:t>
      </w:r>
      <w:r>
        <w:rPr>
          <w:rFonts w:ascii="Verdana" w:hAnsi="Verdana" w:cs="Tahoma"/>
          <w:sz w:val="20"/>
          <w:szCs w:val="20"/>
        </w:rPr>
        <w:t>eventuais</w:t>
      </w:r>
      <w:r>
        <w:rPr>
          <w:rFonts w:ascii="Verdana" w:hAnsi="Verdana" w:cs="Tahoma"/>
          <w:spacing w:val="52"/>
          <w:w w:val="102"/>
          <w:sz w:val="20"/>
          <w:szCs w:val="20"/>
        </w:rPr>
        <w:t xml:space="preserve"> </w:t>
      </w:r>
      <w:r>
        <w:rPr>
          <w:rFonts w:ascii="Verdana" w:hAnsi="Verdana" w:cs="Tahoma"/>
          <w:sz w:val="20"/>
          <w:szCs w:val="20"/>
        </w:rPr>
        <w:t>rendimentos,</w:t>
      </w:r>
      <w:r>
        <w:rPr>
          <w:rFonts w:ascii="Verdana" w:hAnsi="Verdana" w:cs="Tahoma"/>
          <w:spacing w:val="20"/>
          <w:sz w:val="20"/>
          <w:szCs w:val="20"/>
        </w:rPr>
        <w:t xml:space="preserve"> </w:t>
      </w:r>
      <w:r>
        <w:rPr>
          <w:rFonts w:ascii="Verdana" w:hAnsi="Verdana" w:cs="Tahoma"/>
          <w:sz w:val="20"/>
          <w:szCs w:val="20"/>
        </w:rPr>
        <w:t>bem</w:t>
      </w:r>
      <w:r>
        <w:rPr>
          <w:rFonts w:ascii="Verdana" w:hAnsi="Verdana" w:cs="Tahoma"/>
          <w:spacing w:val="25"/>
          <w:sz w:val="20"/>
          <w:szCs w:val="20"/>
        </w:rPr>
        <w:t xml:space="preserve"> </w:t>
      </w:r>
      <w:r>
        <w:rPr>
          <w:rFonts w:ascii="Verdana" w:hAnsi="Verdana" w:cs="Tahoma"/>
          <w:sz w:val="20"/>
          <w:szCs w:val="20"/>
        </w:rPr>
        <w:t>como</w:t>
      </w:r>
      <w:r>
        <w:rPr>
          <w:rFonts w:ascii="Verdana" w:hAnsi="Verdana" w:cs="Tahoma"/>
          <w:spacing w:val="23"/>
          <w:sz w:val="20"/>
          <w:szCs w:val="20"/>
        </w:rPr>
        <w:t xml:space="preserve"> </w:t>
      </w:r>
      <w:r>
        <w:rPr>
          <w:rFonts w:ascii="Verdana" w:hAnsi="Verdana" w:cs="Tahoma"/>
          <w:sz w:val="20"/>
          <w:szCs w:val="20"/>
        </w:rPr>
        <w:t>o</w:t>
      </w:r>
      <w:r>
        <w:rPr>
          <w:rFonts w:ascii="Verdana" w:hAnsi="Verdana" w:cs="Tahoma"/>
          <w:spacing w:val="23"/>
          <w:sz w:val="20"/>
          <w:szCs w:val="20"/>
        </w:rPr>
        <w:t xml:space="preserve"> </w:t>
      </w:r>
      <w:r>
        <w:rPr>
          <w:rFonts w:ascii="Verdana" w:hAnsi="Verdana" w:cs="Tahoma"/>
          <w:sz w:val="20"/>
          <w:szCs w:val="20"/>
        </w:rPr>
        <w:t>pagamento</w:t>
      </w:r>
      <w:r>
        <w:rPr>
          <w:rFonts w:ascii="Verdana" w:hAnsi="Verdana" w:cs="Tahoma"/>
          <w:spacing w:val="23"/>
          <w:sz w:val="20"/>
          <w:szCs w:val="20"/>
        </w:rPr>
        <w:t xml:space="preserve"> </w:t>
      </w:r>
      <w:r>
        <w:rPr>
          <w:rFonts w:ascii="Verdana" w:hAnsi="Verdana" w:cs="Tahoma"/>
          <w:sz w:val="20"/>
          <w:szCs w:val="20"/>
        </w:rPr>
        <w:t>do</w:t>
      </w:r>
      <w:r>
        <w:rPr>
          <w:rFonts w:ascii="Verdana" w:hAnsi="Verdana" w:cs="Tahoma"/>
          <w:spacing w:val="24"/>
          <w:sz w:val="20"/>
          <w:szCs w:val="20"/>
        </w:rPr>
        <w:t xml:space="preserve"> </w:t>
      </w:r>
      <w:r>
        <w:rPr>
          <w:rFonts w:ascii="Verdana" w:hAnsi="Verdana" w:cs="Tahoma"/>
          <w:sz w:val="20"/>
          <w:szCs w:val="20"/>
        </w:rPr>
        <w:t>principal,</w:t>
      </w:r>
      <w:r>
        <w:rPr>
          <w:rFonts w:ascii="Verdana" w:hAnsi="Verdana" w:cs="Tahoma"/>
          <w:spacing w:val="20"/>
          <w:sz w:val="20"/>
          <w:szCs w:val="20"/>
        </w:rPr>
        <w:t xml:space="preserve"> </w:t>
      </w:r>
      <w:r>
        <w:rPr>
          <w:rFonts w:ascii="Verdana" w:hAnsi="Verdana" w:cs="Tahoma"/>
          <w:sz w:val="20"/>
          <w:szCs w:val="20"/>
        </w:rPr>
        <w:t>provirão</w:t>
      </w:r>
      <w:r>
        <w:rPr>
          <w:rFonts w:ascii="Verdana" w:hAnsi="Verdana" w:cs="Tahoma"/>
          <w:spacing w:val="24"/>
          <w:sz w:val="20"/>
          <w:szCs w:val="20"/>
        </w:rPr>
        <w:t xml:space="preserve"> </w:t>
      </w:r>
      <w:r>
        <w:rPr>
          <w:rFonts w:ascii="Verdana" w:hAnsi="Verdana" w:cs="Tahoma"/>
          <w:sz w:val="20"/>
          <w:szCs w:val="20"/>
        </w:rPr>
        <w:t>exclusivamente</w:t>
      </w:r>
      <w:r>
        <w:rPr>
          <w:rFonts w:ascii="Verdana" w:hAnsi="Verdana" w:cs="Tahoma"/>
          <w:spacing w:val="25"/>
          <w:sz w:val="20"/>
          <w:szCs w:val="20"/>
        </w:rPr>
        <w:t xml:space="preserve"> </w:t>
      </w:r>
      <w:r>
        <w:rPr>
          <w:rFonts w:ascii="Verdana" w:hAnsi="Verdana" w:cs="Tahoma"/>
          <w:spacing w:val="1"/>
          <w:sz w:val="20"/>
          <w:szCs w:val="20"/>
        </w:rPr>
        <w:t xml:space="preserve">dos pagamentos decorrentes </w:t>
      </w:r>
      <w:r>
        <w:rPr>
          <w:rFonts w:ascii="Verdana" w:hAnsi="Verdana" w:cs="Tahoma"/>
          <w:sz w:val="20"/>
          <w:szCs w:val="20"/>
        </w:rPr>
        <w:t>dos Direitos Creditórios Vinculados,</w:t>
      </w:r>
      <w:r>
        <w:rPr>
          <w:rFonts w:ascii="Verdana" w:hAnsi="Verdana" w:cs="Tahoma"/>
          <w:spacing w:val="16"/>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qual</w:t>
      </w:r>
      <w:r>
        <w:rPr>
          <w:rFonts w:ascii="Verdana" w:hAnsi="Verdana" w:cs="Tahoma"/>
          <w:spacing w:val="16"/>
          <w:sz w:val="20"/>
          <w:szCs w:val="20"/>
        </w:rPr>
        <w:t xml:space="preserve"> </w:t>
      </w:r>
      <w:r>
        <w:rPr>
          <w:rFonts w:ascii="Verdana" w:hAnsi="Verdana" w:cs="Tahoma"/>
          <w:sz w:val="20"/>
          <w:szCs w:val="20"/>
        </w:rPr>
        <w:t>está</w:t>
      </w:r>
      <w:r>
        <w:rPr>
          <w:rFonts w:ascii="Verdana" w:hAnsi="Verdana" w:cs="Tahoma"/>
          <w:spacing w:val="17"/>
          <w:sz w:val="20"/>
          <w:szCs w:val="20"/>
        </w:rPr>
        <w:t xml:space="preserve"> </w:t>
      </w:r>
      <w:r>
        <w:rPr>
          <w:rFonts w:ascii="Verdana" w:hAnsi="Verdana" w:cs="Tahoma"/>
          <w:sz w:val="20"/>
          <w:szCs w:val="20"/>
        </w:rPr>
        <w:t>sujeita</w:t>
      </w:r>
      <w:r>
        <w:rPr>
          <w:rFonts w:ascii="Verdana" w:hAnsi="Verdana" w:cs="Tahoma"/>
          <w:spacing w:val="18"/>
          <w:sz w:val="20"/>
          <w:szCs w:val="20"/>
        </w:rPr>
        <w:t xml:space="preserve"> </w:t>
      </w:r>
      <w:r>
        <w:rPr>
          <w:rFonts w:ascii="Verdana" w:hAnsi="Verdana" w:cs="Tahoma"/>
          <w:sz w:val="20"/>
          <w:szCs w:val="20"/>
        </w:rPr>
        <w:t>a</w:t>
      </w:r>
      <w:r>
        <w:rPr>
          <w:rFonts w:ascii="Verdana" w:hAnsi="Verdana" w:cs="Tahoma"/>
          <w:spacing w:val="17"/>
          <w:sz w:val="20"/>
          <w:szCs w:val="20"/>
        </w:rPr>
        <w:t xml:space="preserve"> </w:t>
      </w:r>
      <w:r>
        <w:rPr>
          <w:rFonts w:ascii="Verdana" w:hAnsi="Verdana" w:cs="Tahoma"/>
          <w:sz w:val="20"/>
          <w:szCs w:val="20"/>
        </w:rPr>
        <w:t>riscos</w:t>
      </w:r>
      <w:r>
        <w:rPr>
          <w:rFonts w:ascii="Verdana" w:hAnsi="Verdana" w:cs="Tahoma"/>
          <w:spacing w:val="17"/>
          <w:sz w:val="20"/>
          <w:szCs w:val="20"/>
        </w:rPr>
        <w:t xml:space="preserve"> </w:t>
      </w:r>
      <w:r>
        <w:rPr>
          <w:rFonts w:ascii="Verdana" w:hAnsi="Verdana" w:cs="Tahoma"/>
          <w:sz w:val="20"/>
          <w:szCs w:val="20"/>
        </w:rPr>
        <w:t>diversos</w:t>
      </w:r>
      <w:r>
        <w:rPr>
          <w:rFonts w:ascii="Verdana" w:hAnsi="Verdana" w:cs="Tahoma"/>
          <w:spacing w:val="18"/>
          <w:sz w:val="20"/>
          <w:szCs w:val="20"/>
        </w:rPr>
        <w:t xml:space="preserve"> </w:t>
      </w:r>
      <w:r>
        <w:rPr>
          <w:rFonts w:ascii="Verdana" w:hAnsi="Verdana" w:cs="Tahoma"/>
          <w:sz w:val="20"/>
          <w:szCs w:val="20"/>
        </w:rPr>
        <w:t>e</w:t>
      </w:r>
      <w:r>
        <w:rPr>
          <w:rFonts w:ascii="Verdana" w:hAnsi="Verdana" w:cs="Tahoma"/>
          <w:spacing w:val="17"/>
          <w:sz w:val="20"/>
          <w:szCs w:val="20"/>
        </w:rPr>
        <w:t xml:space="preserve"> </w:t>
      </w:r>
      <w:r>
        <w:rPr>
          <w:rFonts w:ascii="Verdana" w:hAnsi="Verdana" w:cs="Tahoma"/>
          <w:sz w:val="20"/>
          <w:szCs w:val="20"/>
        </w:rPr>
        <w:t>cujo</w:t>
      </w:r>
      <w:r>
        <w:rPr>
          <w:rFonts w:ascii="Verdana" w:hAnsi="Verdana" w:cs="Tahoma"/>
          <w:spacing w:val="17"/>
          <w:sz w:val="20"/>
          <w:szCs w:val="20"/>
        </w:rPr>
        <w:t xml:space="preserve"> </w:t>
      </w:r>
      <w:r>
        <w:rPr>
          <w:rFonts w:ascii="Verdana" w:hAnsi="Verdana" w:cs="Tahoma"/>
          <w:sz w:val="20"/>
          <w:szCs w:val="20"/>
        </w:rPr>
        <w:t>desempenho</w:t>
      </w:r>
      <w:r>
        <w:rPr>
          <w:rFonts w:ascii="Verdana" w:hAnsi="Verdana" w:cs="Tahoma"/>
          <w:spacing w:val="18"/>
          <w:sz w:val="20"/>
          <w:szCs w:val="20"/>
        </w:rPr>
        <w:t xml:space="preserve"> </w:t>
      </w:r>
      <w:r>
        <w:rPr>
          <w:rFonts w:ascii="Verdana" w:hAnsi="Verdana" w:cs="Tahoma"/>
          <w:sz w:val="20"/>
          <w:szCs w:val="20"/>
        </w:rPr>
        <w:t>é</w:t>
      </w:r>
      <w:r>
        <w:rPr>
          <w:rFonts w:ascii="Verdana" w:hAnsi="Verdana" w:cs="Tahoma"/>
          <w:spacing w:val="17"/>
          <w:sz w:val="20"/>
          <w:szCs w:val="20"/>
        </w:rPr>
        <w:t xml:space="preserve"> </w:t>
      </w:r>
      <w:r>
        <w:rPr>
          <w:rFonts w:ascii="Verdana" w:hAnsi="Verdana" w:cs="Tahoma"/>
          <w:sz w:val="20"/>
          <w:szCs w:val="20"/>
        </w:rPr>
        <w:t>incerto.</w:t>
      </w:r>
    </w:p>
    <w:p w14:paraId="169F6F12" w14:textId="7D74C3A7" w:rsidR="000703E3" w:rsidRDefault="000703E3">
      <w:pPr>
        <w:autoSpaceDE/>
        <w:autoSpaceDN/>
        <w:adjustRightInd/>
        <w:spacing w:after="120" w:line="320" w:lineRule="exact"/>
        <w:jc w:val="both"/>
        <w:rPr>
          <w:rFonts w:ascii="Verdana" w:hAnsi="Verdana" w:cs="Tahoma"/>
          <w:sz w:val="20"/>
          <w:szCs w:val="20"/>
        </w:rPr>
      </w:pPr>
    </w:p>
    <w:p w14:paraId="0382CDC4" w14:textId="77777777" w:rsidR="000703E3" w:rsidRDefault="000703E3">
      <w:pPr>
        <w:autoSpaceDE/>
        <w:autoSpaceDN/>
        <w:adjustRightInd/>
        <w:spacing w:after="120" w:line="320" w:lineRule="exact"/>
        <w:jc w:val="both"/>
        <w:rPr>
          <w:rFonts w:ascii="Verdana" w:hAnsi="Verdana" w:cs="Tahoma"/>
          <w:sz w:val="20"/>
          <w:szCs w:val="20"/>
        </w:rPr>
      </w:pPr>
    </w:p>
    <w:p w14:paraId="29B9D8BD" w14:textId="77777777" w:rsidR="00EB5CDB" w:rsidRDefault="00EB5CDB">
      <w:pPr>
        <w:autoSpaceDE/>
        <w:autoSpaceDN/>
        <w:adjustRightInd/>
        <w:spacing w:after="120" w:line="320" w:lineRule="exact"/>
        <w:jc w:val="both"/>
        <w:rPr>
          <w:rFonts w:ascii="Verdana" w:hAnsi="Verdana" w:cs="Tahoma"/>
          <w:sz w:val="20"/>
          <w:szCs w:val="20"/>
        </w:rPr>
      </w:pPr>
    </w:p>
    <w:p w14:paraId="59BC8D1F"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Subordinação Limitada – Possibilidade de Perdas relacionadas às Debêntures da Primeira Série </w:t>
      </w:r>
    </w:p>
    <w:p w14:paraId="317EBC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Segunda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dos Direitos Creditórios Vinculados, devem ser suportadas pelos Debenturistas detentores das Debêntures da Segunda Série. Nada garante que a subordinação especificada na Escritura de Emissão será suficiente para evitar perdas para os Debenturistas detentores das Debêntures da Primeira Série.</w:t>
      </w:r>
    </w:p>
    <w:p w14:paraId="6613277C" w14:textId="77777777" w:rsidR="00EB5CDB" w:rsidRDefault="00EB5CDB">
      <w:pPr>
        <w:autoSpaceDE/>
        <w:autoSpaceDN/>
        <w:adjustRightInd/>
        <w:spacing w:after="120" w:line="320" w:lineRule="exact"/>
        <w:jc w:val="both"/>
        <w:rPr>
          <w:rFonts w:ascii="Verdana" w:hAnsi="Verdana" w:cs="Tahoma"/>
          <w:sz w:val="20"/>
          <w:szCs w:val="20"/>
        </w:rPr>
      </w:pPr>
    </w:p>
    <w:p w14:paraId="07DEB2D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Subordinação – Possibilidade de Perdas relacionadas às Debêntures da Segunda Série</w:t>
      </w:r>
    </w:p>
    <w:p w14:paraId="057FA013" w14:textId="0039E8D1"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pagamentos a serem realizados aos Debenturistas devem obedecer à Ordem de Alocação de Recursos e à subordinação aplicável às Debêntures da Segunda Série. Desta forma as primeiras perdas decorrentes de insuficiência de fluxos de caixa da</w:t>
      </w:r>
      <w:r>
        <w:rPr>
          <w:rFonts w:ascii="Verdana" w:hAnsi="Verdana" w:cs="Tahoma"/>
          <w:spacing w:val="24"/>
          <w:sz w:val="20"/>
          <w:szCs w:val="20"/>
        </w:rPr>
        <w:t xml:space="preserve"> </w:t>
      </w:r>
      <w:r>
        <w:rPr>
          <w:rFonts w:ascii="Verdana" w:hAnsi="Verdana" w:cs="Tahoma"/>
          <w:sz w:val="20"/>
          <w:szCs w:val="20"/>
        </w:rPr>
        <w:t>carteira</w:t>
      </w:r>
      <w:r>
        <w:rPr>
          <w:rFonts w:ascii="Verdana" w:hAnsi="Verdana" w:cs="Tahoma"/>
          <w:spacing w:val="23"/>
          <w:sz w:val="20"/>
          <w:szCs w:val="20"/>
        </w:rPr>
        <w:t xml:space="preserve"> </w:t>
      </w:r>
      <w:r>
        <w:rPr>
          <w:rFonts w:ascii="Verdana" w:hAnsi="Verdana" w:cs="Tahoma"/>
          <w:spacing w:val="1"/>
          <w:sz w:val="20"/>
          <w:szCs w:val="20"/>
        </w:rPr>
        <w:t xml:space="preserve">da Emissora vinculada à Emissão, notadamente dos pagamentos decorrentes </w:t>
      </w:r>
      <w:r>
        <w:rPr>
          <w:rFonts w:ascii="Verdana" w:hAnsi="Verdana" w:cs="Tahoma"/>
          <w:sz w:val="20"/>
          <w:szCs w:val="20"/>
        </w:rPr>
        <w:t xml:space="preserve">dos Direitos Creditórios Vinculados, devem ser suportadas pelos Debenturistas detentores das Debêntures da Segunda Série. Nada garante que a Emissora receberá recursos suficientes para pagar amortizações, resgates o/ou </w:t>
      </w:r>
      <w:r w:rsidR="00017F48">
        <w:rPr>
          <w:rFonts w:ascii="Verdana" w:hAnsi="Verdana" w:cs="Tahoma"/>
          <w:sz w:val="20"/>
          <w:szCs w:val="20"/>
        </w:rPr>
        <w:t>Prêmio Sobre a Receita dos Direitos Creditórios Vinculados</w:t>
      </w:r>
      <w:r>
        <w:rPr>
          <w:rFonts w:ascii="Verdana" w:hAnsi="Verdana" w:cs="Tahoma"/>
          <w:sz w:val="20"/>
          <w:szCs w:val="20"/>
        </w:rPr>
        <w:t xml:space="preserve"> para os Debenturistas detentores das Debêntures da Segunda Série.</w:t>
      </w:r>
    </w:p>
    <w:p w14:paraId="0C2CB4B3" w14:textId="77777777" w:rsidR="00EB5CDB" w:rsidRDefault="00EB5CDB">
      <w:pPr>
        <w:autoSpaceDE/>
        <w:autoSpaceDN/>
        <w:adjustRightInd/>
        <w:spacing w:after="120" w:line="320" w:lineRule="exact"/>
        <w:jc w:val="both"/>
        <w:rPr>
          <w:rFonts w:ascii="Verdana" w:hAnsi="Verdana" w:cs="Tahoma"/>
          <w:sz w:val="20"/>
          <w:szCs w:val="20"/>
        </w:rPr>
      </w:pPr>
    </w:p>
    <w:p w14:paraId="2A1CE88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Cobrança Extrajudicial e Judicial</w:t>
      </w:r>
    </w:p>
    <w:p w14:paraId="32126BE6"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No caso de os Tomadores não cumprirem suas obrigações de pagamento dos Direitos Creditórios Vinculados, poderá ser iniciada a cobrança extrajudicial ou judicial dos valores devidos. Nada garante, contudo, que referida cobrança atingirá os resultados almejados, recuperando para a Emissora o total dos Direitos Creditórios Vinculados que estejam inadimplidos, o que poderá implicar perdas à Emissora e consequentemente aos Debenturistas.</w:t>
      </w:r>
    </w:p>
    <w:p w14:paraId="07C22801"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Caso a cobrança extrajudicial de um ou mais Direitos Creditórios Vinculados não tenha sucesso, a Emissora avaliará caso a caso a viabilidade econômica da cobrança judicial de tais Direitos Creditórios Vinculados, tendo-se em vista os gastos a serem incorridos com advogados e custas judiciais e probabilidade de êxito da demanda, em face do valor individual do Direito Creditório Vinculado a ser cobrado. Desse modo, considerando que a Emissora poderá adquirirá Direitos Creditórios Vinculados de baixo valor individual, poderá haver Direitos Creditórios Vinculados cuja cobrança extrajudicial não tenha sucesso e que não se justifique, do ponto de vista econômico, a sua cobrança judicial, importando em perdas para a Emissora.</w:t>
      </w:r>
    </w:p>
    <w:p w14:paraId="3E8572D9" w14:textId="77777777" w:rsidR="00EB5CDB" w:rsidRDefault="008E55E6">
      <w:pPr>
        <w:pStyle w:val="Nvel111"/>
        <w:numPr>
          <w:ilvl w:val="0"/>
          <w:numId w:val="0"/>
        </w:numPr>
        <w:spacing w:after="120" w:line="320" w:lineRule="exact"/>
        <w:rPr>
          <w:rFonts w:ascii="Verdana" w:hAnsi="Verdana" w:cs="Tahoma"/>
          <w:sz w:val="20"/>
          <w:szCs w:val="20"/>
          <w:lang w:val="pt-BR"/>
        </w:rPr>
      </w:pPr>
      <w:r>
        <w:rPr>
          <w:rFonts w:ascii="Verdana" w:hAnsi="Verdana" w:cs="Tahoma"/>
          <w:sz w:val="20"/>
          <w:szCs w:val="20"/>
          <w:lang w:val="pt-BR"/>
        </w:rPr>
        <w:t>Ainda, os custos incorridos com os procedimentos extrajudiciais ou judiciais necessários à cobrança dos Direitos Creditórios Vinculados e à salvaguarda dos direitos, das garantias e das prerrogativas dos Debenturistas são de inteira e exclusiva responsabilidade da Emissora e, consequentemente, dos Debenturistas. A Emissora e o Agente Fiduciário não serão responsáveis, em conjunto ou isoladamente, por qualquer dano ou prejuízo sofrido pela Emissora ou por qualquer dos Debenturistas em decorrência da não propositura (ou do não prosseguimento), pelo Emissora ou pelos Debenturistas, de medidas judiciais ou extrajudiciais necessárias à preservação de seus direitos e prerrogativas.</w:t>
      </w:r>
    </w:p>
    <w:p w14:paraId="2093C96C" w14:textId="77777777" w:rsidR="00EB5CDB" w:rsidRDefault="00EB5CDB">
      <w:pPr>
        <w:autoSpaceDE/>
        <w:autoSpaceDN/>
        <w:adjustRightInd/>
        <w:spacing w:after="120" w:line="320" w:lineRule="exact"/>
        <w:jc w:val="both"/>
        <w:rPr>
          <w:rFonts w:ascii="Verdana" w:hAnsi="Verdana" w:cs="Tahoma"/>
          <w:i/>
          <w:sz w:val="20"/>
          <w:szCs w:val="20"/>
        </w:rPr>
      </w:pPr>
    </w:p>
    <w:p w14:paraId="60A2FED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reserva de amortização</w:t>
      </w:r>
    </w:p>
    <w:p w14:paraId="68183AD3"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Reserva de Despesas e Encargos, Reserva de Liquidação da Primeira Série e a Reserva de Liquidação da Segunda Série não estabelecem a manutenção de uma ou mais parcelas de Remuneração das Debêntures da Primeira Série ou das Debêntures da Segunda Série, ou de Amortização Extraordinária Obrigatória com antecedência em relação à Data de Pagamento. A ausência de tal previsão pode prejudicar a capacidade de pagamento das Debêntures por parte da Emissora.</w:t>
      </w:r>
    </w:p>
    <w:p w14:paraId="0495A8FE" w14:textId="77777777" w:rsidR="00EB5CDB" w:rsidRDefault="00EB5CDB">
      <w:pPr>
        <w:autoSpaceDE/>
        <w:autoSpaceDN/>
        <w:adjustRightInd/>
        <w:spacing w:after="120" w:line="320" w:lineRule="exact"/>
        <w:jc w:val="both"/>
        <w:rPr>
          <w:rFonts w:ascii="Verdana" w:hAnsi="Verdana" w:cs="Tahoma"/>
          <w:b/>
          <w:sz w:val="20"/>
          <w:szCs w:val="20"/>
        </w:rPr>
      </w:pPr>
    </w:p>
    <w:p w14:paraId="7C80C0CE"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mudanças de comportamento de pagamento dos Tomadores</w:t>
      </w:r>
    </w:p>
    <w:p w14:paraId="7271A94D" w14:textId="4C1C817D"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processos de originação de CCB na Plataforma se intensificaram em 2017. Dessa forma, o prazo de existência da carteira de Direitos Creditórios Vinculados é inferior ao prazo máximo dos Direitos Creditórios Vinculados, de 36 (trinta a seis) meses e, portanto, não se pode assegurar que o comportamento da carteira de Direitos Creditórios Vinculados mantenha-se constante no futuro. Mudanças no comportamento da carteira de Direitos Creditórios Vinculados originados por meio da Plataforma podem acarretar perdas ou atrasos para a Emissora e, consequentemente, os Debenturistas.</w:t>
      </w:r>
    </w:p>
    <w:p w14:paraId="0D78E297" w14:textId="77777777" w:rsidR="00EB5CDB" w:rsidRDefault="00EB5CDB">
      <w:pPr>
        <w:autoSpaceDE/>
        <w:autoSpaceDN/>
        <w:adjustRightInd/>
        <w:spacing w:after="120" w:line="320" w:lineRule="exact"/>
        <w:jc w:val="both"/>
        <w:rPr>
          <w:rFonts w:ascii="Verdana" w:hAnsi="Verdana" w:cs="Tahoma"/>
          <w:b/>
          <w:sz w:val="20"/>
          <w:szCs w:val="20"/>
        </w:rPr>
      </w:pPr>
    </w:p>
    <w:p w14:paraId="719978D2"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Avaliação da Carteira de Direitos Creditórios Vinculados levando em consideração a provisão para devedores duvidosos</w:t>
      </w:r>
    </w:p>
    <w:p w14:paraId="27BCF272"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cálculos da Amortização Extraordinária Obrigatória das Debêntures da Primeira Série e das Debêntures da Segunda Série, bem como do Índice de Cobertura, dependem do cálculo do valor dos Direitos Creditórios Vinculados, que por sua vez considera as provisões para devedores duvidosos, conforme determinada pela Emissora. Caso a estimativa de provisões para devedores duvidosos da Emissora não seja adequada, as amortizações de principal, o monitoramento da subordinação e a determinação do Regime de Amortização aplicável às Debêntures podem não ser adequadamente mensurados, potencialmente prejudicando a capacidade da Emissora de fazer os pagamentos aos Debenturistas ou de controlar a prioridade de pagamentos entre os Debenturistas.</w:t>
      </w:r>
    </w:p>
    <w:p w14:paraId="16ADD775" w14:textId="77777777" w:rsidR="00EB5CDB" w:rsidRDefault="00EB5CDB">
      <w:pPr>
        <w:autoSpaceDE/>
        <w:autoSpaceDN/>
        <w:adjustRightInd/>
        <w:spacing w:after="120" w:line="320" w:lineRule="exact"/>
        <w:jc w:val="both"/>
        <w:rPr>
          <w:rFonts w:ascii="Verdana" w:hAnsi="Verdana" w:cs="Tahoma"/>
          <w:b/>
          <w:sz w:val="20"/>
          <w:szCs w:val="20"/>
        </w:rPr>
      </w:pPr>
    </w:p>
    <w:p w14:paraId="262F676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Patrimônio Líquido Negativo</w:t>
      </w:r>
    </w:p>
    <w:p w14:paraId="039E3089"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investimentos da Emissora relacionados à Emissão estão, por sua natureza, sujeitos a flutuações típicas de mercado, risco de crédito, risco sistêmico, condições adversas de liquidez e negociação atípica nos mercados de atuação, sendo que não há garantia de completa eliminação da possibilidade de perdas para a Emissora e para os Debenturistas. Além disso, riscos relacionados com a carteira da Emissora, bem como custos de cobranças dos Direitos Creditórios Vinculados poderão fazer com que a Emissora não tenha mais recursos e/ou apresente patrimônio líquido negativo.</w:t>
      </w:r>
    </w:p>
    <w:p w14:paraId="66B8BD00" w14:textId="77777777" w:rsidR="00EB5CDB" w:rsidRDefault="00EB5CDB">
      <w:pPr>
        <w:keepNext/>
        <w:autoSpaceDE/>
        <w:autoSpaceDN/>
        <w:adjustRightInd/>
        <w:spacing w:after="120" w:line="320" w:lineRule="exact"/>
        <w:jc w:val="both"/>
        <w:outlineLvl w:val="1"/>
        <w:rPr>
          <w:rFonts w:ascii="Verdana" w:eastAsia="Arial Unicode MS" w:hAnsi="Verdana" w:cs="Tahoma"/>
          <w:b/>
          <w:sz w:val="20"/>
          <w:szCs w:val="20"/>
        </w:rPr>
      </w:pPr>
    </w:p>
    <w:p w14:paraId="5837A2E8"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618" w:name="_Toc441140068"/>
      <w:bookmarkStart w:id="619" w:name="_Toc448520300"/>
      <w:bookmarkStart w:id="620" w:name="_Toc462143032"/>
      <w:bookmarkStart w:id="621" w:name="_Toc462143268"/>
      <w:r>
        <w:rPr>
          <w:rFonts w:ascii="Verdana" w:eastAsia="Arial Unicode MS" w:hAnsi="Verdana" w:cs="Tahoma"/>
          <w:b/>
          <w:sz w:val="20"/>
          <w:szCs w:val="20"/>
        </w:rPr>
        <w:t xml:space="preserve">Riscos de </w:t>
      </w:r>
      <w:r>
        <w:rPr>
          <w:rFonts w:ascii="Verdana" w:hAnsi="Verdana" w:cs="Tahoma"/>
          <w:b/>
          <w:sz w:val="20"/>
          <w:szCs w:val="20"/>
        </w:rPr>
        <w:t>descontinuidade</w:t>
      </w:r>
      <w:bookmarkEnd w:id="618"/>
      <w:bookmarkEnd w:id="619"/>
      <w:bookmarkEnd w:id="620"/>
      <w:bookmarkEnd w:id="621"/>
    </w:p>
    <w:p w14:paraId="69718C6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622" w:name="_Toc441140069"/>
      <w:bookmarkStart w:id="623" w:name="_Toc448520301"/>
      <w:bookmarkStart w:id="624" w:name="_Toc462143033"/>
      <w:bookmarkStart w:id="625" w:name="_Toc462143269"/>
      <w:r>
        <w:rPr>
          <w:rFonts w:ascii="Verdana" w:hAnsi="Verdana" w:cs="Tahoma"/>
          <w:i/>
          <w:sz w:val="20"/>
          <w:szCs w:val="20"/>
          <w:u w:val="single"/>
        </w:rPr>
        <w:t>Amortização ou resgate antecipado</w:t>
      </w:r>
      <w:bookmarkEnd w:id="622"/>
      <w:bookmarkEnd w:id="623"/>
      <w:bookmarkEnd w:id="624"/>
      <w:bookmarkEnd w:id="625"/>
      <w:r>
        <w:rPr>
          <w:rFonts w:ascii="Verdana" w:hAnsi="Verdana" w:cs="Tahoma"/>
          <w:i/>
          <w:sz w:val="20"/>
          <w:szCs w:val="20"/>
          <w:u w:val="single"/>
        </w:rPr>
        <w:t xml:space="preserve"> das Debêntures</w:t>
      </w:r>
    </w:p>
    <w:p w14:paraId="44250BE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Observado o disposto na Escritura de Emissão, a Emissora poderá amortizar ou resgatar as Debêntures antecipadamente, conforme o caso na ocorrência de qualquer Evento de Vencimento Antecipado. Nesses casos os Debenturistas poderão ter seu horizonte original de investimento reduzido e poderão não conseguir reinvestir os recursos recebidos com a mesma remuneração das Debêntures. Não será devida, em qualquer das demais hipóteses, qualquer multa ou penalidade em decorrência de tal antecipação de pagamento.</w:t>
      </w:r>
    </w:p>
    <w:p w14:paraId="5C45D895" w14:textId="77777777" w:rsidR="00EB5CDB" w:rsidRDefault="00EB5CDB">
      <w:pPr>
        <w:autoSpaceDE/>
        <w:autoSpaceDN/>
        <w:adjustRightInd/>
        <w:spacing w:after="120" w:line="320" w:lineRule="exact"/>
        <w:jc w:val="both"/>
        <w:rPr>
          <w:rFonts w:ascii="Verdana" w:hAnsi="Verdana" w:cs="Tahoma"/>
          <w:sz w:val="20"/>
          <w:szCs w:val="20"/>
        </w:rPr>
      </w:pPr>
    </w:p>
    <w:p w14:paraId="7E92B327" w14:textId="77777777" w:rsidR="00EB5CDB" w:rsidRDefault="008E55E6">
      <w:pPr>
        <w:autoSpaceDE/>
        <w:autoSpaceDN/>
        <w:adjustRightInd/>
        <w:spacing w:after="120" w:line="320" w:lineRule="exact"/>
        <w:jc w:val="both"/>
        <w:rPr>
          <w:rFonts w:ascii="Verdana" w:hAnsi="Verdana" w:cs="Tahoma"/>
          <w:sz w:val="20"/>
          <w:szCs w:val="20"/>
          <w:u w:val="single"/>
        </w:rPr>
      </w:pPr>
      <w:r>
        <w:rPr>
          <w:rFonts w:ascii="Verdana" w:hAnsi="Verdana" w:cs="Tahoma"/>
          <w:i/>
          <w:sz w:val="20"/>
          <w:szCs w:val="20"/>
          <w:u w:val="single"/>
        </w:rPr>
        <w:t>Pagamento Condicionado</w:t>
      </w:r>
      <w:r>
        <w:rPr>
          <w:rFonts w:ascii="Verdana" w:hAnsi="Verdana" w:cs="Tahoma"/>
          <w:sz w:val="20"/>
          <w:szCs w:val="20"/>
          <w:u w:val="single"/>
        </w:rPr>
        <w:t xml:space="preserve"> </w:t>
      </w:r>
    </w:p>
    <w:p w14:paraId="5CEFD601" w14:textId="48A537B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Nos termos do artigo 5º da Resolução CMN 2.686, os pagamentos pela Emissora da amortização das Debêntures, da Remuneração das Debêntures e do </w:t>
      </w:r>
      <w:r w:rsidR="00017F48">
        <w:rPr>
          <w:rFonts w:ascii="Verdana" w:hAnsi="Verdana" w:cs="Tahoma"/>
          <w:sz w:val="20"/>
          <w:szCs w:val="20"/>
        </w:rPr>
        <w:t>Prêmio Sobre a Receita dos Direitos Creditórios Vinculados</w:t>
      </w:r>
      <w:r>
        <w:rPr>
          <w:rFonts w:ascii="Verdana" w:hAnsi="Verdana" w:cs="Tahoma"/>
          <w:sz w:val="20"/>
          <w:szCs w:val="20"/>
        </w:rPr>
        <w:t xml:space="preserve"> estão condicionados ao efetivo pagamento, em montante suficiente, dos Direitos Creditórios Vinculados.</w:t>
      </w:r>
    </w:p>
    <w:p w14:paraId="77F1C17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Uma vez que o pagamento das Debêntures ficará condicionado ao vencimento e pagamento pelos Tomadores dos Direitos Creditórios Vinculados, poderá ocorrer de a Emissora não dispor de recursos imediatos para efetuar o pagamento das Debêntures.</w:t>
      </w:r>
    </w:p>
    <w:p w14:paraId="10991CE0" w14:textId="77777777" w:rsidR="00EB5CDB" w:rsidRDefault="00EB5CDB">
      <w:pPr>
        <w:autoSpaceDE/>
        <w:autoSpaceDN/>
        <w:adjustRightInd/>
        <w:spacing w:after="120" w:line="320" w:lineRule="exact"/>
        <w:jc w:val="both"/>
        <w:rPr>
          <w:rFonts w:ascii="Verdana" w:hAnsi="Verdana" w:cs="Tahoma"/>
          <w:sz w:val="20"/>
          <w:szCs w:val="20"/>
          <w:u w:val="single"/>
        </w:rPr>
      </w:pPr>
    </w:p>
    <w:p w14:paraId="5CF57B0A" w14:textId="77777777" w:rsidR="00EB5CDB" w:rsidRDefault="008E55E6">
      <w:pPr>
        <w:keepNext/>
        <w:autoSpaceDE/>
        <w:autoSpaceDN/>
        <w:adjustRightInd/>
        <w:spacing w:after="120" w:line="320" w:lineRule="exact"/>
        <w:jc w:val="both"/>
        <w:outlineLvl w:val="2"/>
        <w:rPr>
          <w:rFonts w:ascii="Verdana" w:hAnsi="Verdana" w:cs="Tahoma"/>
          <w:sz w:val="20"/>
          <w:szCs w:val="20"/>
          <w:u w:val="single"/>
        </w:rPr>
      </w:pPr>
      <w:bookmarkStart w:id="626" w:name="_Toc441140087"/>
      <w:bookmarkStart w:id="627" w:name="_Toc448520329"/>
      <w:bookmarkStart w:id="628" w:name="_Toc462143063"/>
      <w:bookmarkStart w:id="629" w:name="_Toc462143299"/>
      <w:r>
        <w:rPr>
          <w:rFonts w:ascii="Verdana" w:hAnsi="Verdana" w:cs="Tahoma"/>
          <w:i/>
          <w:sz w:val="20"/>
          <w:szCs w:val="20"/>
          <w:u w:val="single"/>
        </w:rPr>
        <w:t>Dação em pagamento</w:t>
      </w:r>
      <w:bookmarkEnd w:id="626"/>
      <w:bookmarkEnd w:id="627"/>
      <w:bookmarkEnd w:id="628"/>
      <w:bookmarkEnd w:id="629"/>
      <w:r>
        <w:rPr>
          <w:rFonts w:ascii="Verdana" w:hAnsi="Verdana" w:cs="Tahoma"/>
          <w:i/>
          <w:sz w:val="20"/>
          <w:szCs w:val="20"/>
          <w:u w:val="single"/>
        </w:rPr>
        <w:t xml:space="preserve"> dos Direitos Creditórios Vinculados</w:t>
      </w:r>
    </w:p>
    <w:p w14:paraId="507E1B47"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Na ocorrência de não realização dos pagamentos das Debêntures aos Debenturistas, observados os prazos de cura previstos na Escritura de Emissão, o Agente Fiduciário deverá convocar de imediato uma Assembleia Geral de Debenturistas para: </w:t>
      </w:r>
      <w:r>
        <w:rPr>
          <w:rFonts w:ascii="Verdana" w:hAnsi="Verdana" w:cs="Tahoma"/>
          <w:b/>
          <w:sz w:val="20"/>
          <w:szCs w:val="20"/>
        </w:rPr>
        <w:t>(i)</w:t>
      </w:r>
      <w:r>
        <w:rPr>
          <w:rFonts w:ascii="Verdana" w:hAnsi="Verdana" w:cs="Tahoma"/>
          <w:sz w:val="20"/>
          <w:szCs w:val="20"/>
        </w:rPr>
        <w:t xml:space="preserve"> comunicar a ocorrência do evento, qual seja, a não realização dos Direitos Creditórios Vinculados, e permitir ao Agente Fiduciário e à Emissora prestarem os esclarecimentos que se fizerem necessários; </w:t>
      </w:r>
      <w:r>
        <w:rPr>
          <w:rFonts w:ascii="Verdana" w:hAnsi="Verdana" w:cs="Tahoma"/>
          <w:b/>
          <w:sz w:val="20"/>
          <w:szCs w:val="20"/>
        </w:rPr>
        <w:t>(ii)</w:t>
      </w:r>
      <w:r>
        <w:rPr>
          <w:rFonts w:ascii="Verdana" w:hAnsi="Verdana" w:cs="Tahoma"/>
          <w:sz w:val="20"/>
          <w:szCs w:val="20"/>
        </w:rPr>
        <w:t xml:space="preserve"> que seja verificado se houve o exercício do Direito de Preferência na Aquisição dos Direitos Creditórios Vinculados e </w:t>
      </w:r>
      <w:r>
        <w:rPr>
          <w:rFonts w:ascii="Verdana" w:hAnsi="Verdana" w:cs="Tahoma"/>
          <w:b/>
          <w:sz w:val="20"/>
          <w:szCs w:val="20"/>
        </w:rPr>
        <w:t>(iii)</w:t>
      </w:r>
      <w:r>
        <w:rPr>
          <w:rFonts w:ascii="Verdana" w:hAnsi="Verdana" w:cs="Tahoma"/>
          <w:sz w:val="20"/>
          <w:szCs w:val="20"/>
        </w:rPr>
        <w:t xml:space="preserve"> caso aplicável, dar início à implementação do Plano de Ação.</w:t>
      </w:r>
    </w:p>
    <w:p w14:paraId="10E95B2C"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 exercício do Direito de Preferência na Aquisição das Direitos Creditórios Vinculados pode atrasar a implantação de planos de ação para recuperação dos Direitos Creditórios Vinculados. Além disto, falhas na efetivação desses direitos podem frustrar a expectativa de Debenturistas que tenham passado a ter a expectativa do exercício do Direito de Preferência na Aquisição dos Direitos Creditórios Vinculados para quitação de suas Debêntures.</w:t>
      </w:r>
    </w:p>
    <w:p w14:paraId="635B5B6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Não sendo verificado o exercício do Direito de Preferência na Aquisição dos Direitos Creditórios Vinculados na assembleia de Debenturistas da Segunda Série, ou caso referida assembleia, por qualquer motivo, não seja instalada, o Agente Fiduciário deverá convocar uma Assembleia Geral de Debenturistas a ser realizada de acordo com os prazos e procedimentos previstos na Escritura de Emissão, para deliberar acerca de um Plano de Ação.</w:t>
      </w:r>
    </w:p>
    <w:p w14:paraId="42CF90DC"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deliberação, em Assembleia Geral de Debenturistas, a respeito da adoção de um Plano de Ação dependerá da aprovação de Debenturistas representando, no mínimo, 75% (setenta e cinco por cento) das Debêntures em Circulação em primeira convocação e 75% (setenta e cinco por cento) dos presentes em segunda convocação. Não existe garantia que os Debenturistas, reunidos em Assembleia Geral de Debenturistas, conseguirão atingir o quórum de deliberação necessário para aprovar a adoção de um Plano de Ação. Além disso, não há garantias de que o Plano de Ação a ser aprovado pela Assembleia Geral de Debenturistas será eficaz para a realização dos Direitos Creditórios Vinculados ou ainda, que o referido Plano de Ação será eficaz em manter a preferência dos Debenturistas da Primeira Série, em relação aos Debenturistas da Segunda Série. Adicionalmente, não existe garantia que os Debenturistas venham a tomar todas as providências necessárias para que o Plano de Ação seja implementado. Também não existe garantia que o Plano de Ação deliberado pelos Debenturistas, reunidos em Assembleia Geral de Debenturistas, será satisfatório para a totalidade dos Debenturistas.</w:t>
      </w:r>
    </w:p>
    <w:p w14:paraId="2FF5121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Na hipótese de realização da dação em pagamento pela Emissora diretamente aos Debenturistas ou a condomínio de Debenturistas, cada Debenturista deverá receber Direitos Creditórios ou quinhão de condomínio em montante equivalente à sua participação em relação ao valor total das Debêntures na data imediatamente anterior à constituição do referido condomínio. Caso os Direitos Creditórios sejam transferidos aos Debenturistas, ou a condomínio que não tenha previsão de subordinação entre os quinhões de Debenturistas detentores de Debêntures da Primeira Série e Debêntures da Segunda Série, não haverá mais subordinação entre pagamentos destinados a Debenturistas das 2 (duas) Séries, o que poderá reduzir os montantes a serem recebidos pelos Debenturistas.</w:t>
      </w:r>
    </w:p>
    <w:p w14:paraId="67C4428A" w14:textId="77777777" w:rsidR="00EB5CDB" w:rsidRDefault="00EB5CDB">
      <w:pPr>
        <w:autoSpaceDE/>
        <w:autoSpaceDN/>
        <w:adjustRightInd/>
        <w:spacing w:after="120" w:line="320" w:lineRule="exact"/>
        <w:jc w:val="both"/>
        <w:rPr>
          <w:rFonts w:ascii="Verdana" w:hAnsi="Verdana" w:cs="Tahoma"/>
          <w:i/>
          <w:sz w:val="20"/>
          <w:szCs w:val="20"/>
          <w:u w:val="single"/>
        </w:rPr>
      </w:pPr>
    </w:p>
    <w:p w14:paraId="6F3992D4" w14:textId="6CC83E3A"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Interrupção do Período de Alocação poderá reduzir a capacidade financeira e operacional da Emissora e/ou da </w:t>
      </w:r>
      <w:r w:rsidR="000703E3">
        <w:rPr>
          <w:rFonts w:ascii="Verdana" w:hAnsi="Verdana" w:cs="Tahoma"/>
          <w:i/>
          <w:sz w:val="20"/>
          <w:szCs w:val="20"/>
          <w:u w:val="single"/>
        </w:rPr>
        <w:t>Gyramais</w:t>
      </w:r>
    </w:p>
    <w:p w14:paraId="0EC2C209" w14:textId="6FC2DB89"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ocorrência de um Evento de Aceleração de Vencimento pode interromper o Período de Alocação, reduzindo os montantes a serem direcionados para a aquisição de CCB. Nessas circunstâncias, a Emissora e/ou a </w:t>
      </w:r>
      <w:r w:rsidR="000703E3" w:rsidRPr="00251E22">
        <w:rPr>
          <w:rFonts w:ascii="Verdana" w:hAnsi="Verdana" w:cs="Tahoma"/>
          <w:iCs/>
          <w:sz w:val="20"/>
          <w:szCs w:val="20"/>
        </w:rPr>
        <w:t>Gyramais</w:t>
      </w:r>
      <w:r w:rsidR="000703E3">
        <w:rPr>
          <w:rFonts w:ascii="Verdana" w:hAnsi="Verdana" w:cs="Tahoma"/>
          <w:sz w:val="20"/>
          <w:szCs w:val="20"/>
        </w:rPr>
        <w:t xml:space="preserve"> </w:t>
      </w:r>
      <w:r>
        <w:rPr>
          <w:rFonts w:ascii="Verdana" w:hAnsi="Verdana" w:cs="Tahoma"/>
          <w:sz w:val="20"/>
          <w:szCs w:val="20"/>
        </w:rPr>
        <w:t>poderão ter sua capacidade financeira e/ou operacional prejudicada, causando possíveis falhas e/ou interrupções na prestação de seus serviços e nos serviços dos demais prestadores de serviços relacionados à Emissão.</w:t>
      </w:r>
    </w:p>
    <w:p w14:paraId="609A7FDA" w14:textId="77777777" w:rsidR="00EB5CDB" w:rsidRDefault="00EB5CDB">
      <w:pPr>
        <w:autoSpaceDE/>
        <w:autoSpaceDN/>
        <w:adjustRightInd/>
        <w:spacing w:after="120" w:line="320" w:lineRule="exact"/>
        <w:jc w:val="both"/>
        <w:rPr>
          <w:rFonts w:ascii="Verdana" w:hAnsi="Verdana" w:cs="Tahoma"/>
          <w:b/>
          <w:sz w:val="20"/>
          <w:szCs w:val="20"/>
        </w:rPr>
      </w:pPr>
    </w:p>
    <w:p w14:paraId="2227AAF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Monitoramento dos Eventos de Desalavancagem, dos Eventos de Aceleração de Vencimento, dos Eventos de Inadimplemento e dos Eventos de Vencimento Antecipado</w:t>
      </w:r>
    </w:p>
    <w:p w14:paraId="66D64DE5" w14:textId="70208C6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determinação do término do Período de Alocação, bem como da ocorrência de vencimento antecipado das Debêntures depende do monitoramento e da identificação dos Eventos de Desalavancagem, dos Eventos de Aceleração de Vencimento, dos Eventos de Inadimplemento e dos Eventos de Vencimento Antecipado. Falhas da Emissora e/ou do Agente Fiduciário no monitoramento/identificação de tais eventos podem fazer com que o regime de amortização aplicável às Debêntures não seja correto, podendo acarretar perdas ou atrasos para os Debenturistas.</w:t>
      </w:r>
    </w:p>
    <w:p w14:paraId="467742AD" w14:textId="77777777" w:rsidR="00EB5CDB" w:rsidRDefault="00EB5CDB">
      <w:pPr>
        <w:autoSpaceDE/>
        <w:autoSpaceDN/>
        <w:adjustRightInd/>
        <w:spacing w:after="120" w:line="320" w:lineRule="exact"/>
        <w:jc w:val="both"/>
        <w:rPr>
          <w:rFonts w:ascii="Verdana" w:hAnsi="Verdana" w:cs="Tahoma"/>
          <w:b/>
          <w:sz w:val="20"/>
          <w:szCs w:val="20"/>
        </w:rPr>
      </w:pPr>
    </w:p>
    <w:p w14:paraId="6845C3AF" w14:textId="77777777" w:rsidR="00EB5CDB" w:rsidRDefault="008E55E6">
      <w:pPr>
        <w:keepNext/>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liquidez</w:t>
      </w:r>
    </w:p>
    <w:p w14:paraId="5770EC6F"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222B52B1" w14:textId="77777777" w:rsidR="00EB5CDB" w:rsidRDefault="00EB5CDB">
      <w:pPr>
        <w:autoSpaceDE/>
        <w:autoSpaceDN/>
        <w:adjustRightInd/>
        <w:spacing w:after="120" w:line="320" w:lineRule="exact"/>
        <w:jc w:val="both"/>
        <w:rPr>
          <w:rFonts w:ascii="Verdana" w:hAnsi="Verdana" w:cs="Tahoma"/>
          <w:b/>
          <w:sz w:val="20"/>
          <w:szCs w:val="20"/>
        </w:rPr>
      </w:pPr>
    </w:p>
    <w:p w14:paraId="73100725"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630" w:name="_Toc441140071"/>
      <w:bookmarkStart w:id="631" w:name="_Toc448520303"/>
      <w:bookmarkStart w:id="632" w:name="_Toc462143035"/>
      <w:bookmarkStart w:id="633" w:name="_Toc462143271"/>
      <w:r>
        <w:rPr>
          <w:rFonts w:ascii="Verdana" w:eastAsia="Arial Unicode MS" w:hAnsi="Verdana" w:cs="Tahoma"/>
          <w:b/>
          <w:sz w:val="20"/>
          <w:szCs w:val="20"/>
        </w:rPr>
        <w:t xml:space="preserve">Riscos de </w:t>
      </w:r>
      <w:r>
        <w:rPr>
          <w:rFonts w:ascii="Verdana" w:hAnsi="Verdana" w:cs="Tahoma"/>
          <w:b/>
          <w:sz w:val="20"/>
          <w:szCs w:val="20"/>
        </w:rPr>
        <w:t>originação</w:t>
      </w:r>
      <w:bookmarkEnd w:id="630"/>
      <w:bookmarkEnd w:id="631"/>
      <w:bookmarkEnd w:id="632"/>
      <w:bookmarkEnd w:id="633"/>
    </w:p>
    <w:p w14:paraId="48EF1525"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Decisões judiciais</w:t>
      </w:r>
    </w:p>
    <w:p w14:paraId="170B0C47"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decisões judiciais estabeleceram que cessões de direitos creditórios a entidades não participantes do Sistema Financeiro Nacional – tais como as companhias securitizadoras de créditos financeiros – não atribuiriam, a tais cessionárias, as mesmas prerrogativas que seriam atribuídas às entidades integrantes do Sistema Financeiro Nacional, como a possibilidade de cobrança de encargos, juros e correção monetária permitidos às instituições financeiras. Sendo assim, não é possível prever se serão impostas ou não à Emissora, por meio de decisão judicial, limitações à cobrança de encargos e/ou juros remuneratórios dos Direitos Creditórios Vinculados, nos termos inicialmente pactuados com os Tomadores. A imposição dos referidos limites de cobrança poderá afetar negativamente o fluxo de pagamentos dos Direitos Creditórios Vinculados.</w:t>
      </w:r>
    </w:p>
    <w:p w14:paraId="1DE2BF7C" w14:textId="77777777" w:rsidR="00EB5CDB" w:rsidRDefault="00EB5CDB">
      <w:pPr>
        <w:autoSpaceDE/>
        <w:autoSpaceDN/>
        <w:adjustRightInd/>
        <w:spacing w:after="120" w:line="320" w:lineRule="exact"/>
        <w:jc w:val="both"/>
        <w:rPr>
          <w:rFonts w:ascii="Verdana" w:hAnsi="Verdana" w:cs="Tahoma"/>
          <w:b/>
          <w:sz w:val="20"/>
          <w:szCs w:val="20"/>
        </w:rPr>
      </w:pPr>
    </w:p>
    <w:p w14:paraId="1ED8BAA9"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634" w:name="_Toc441140066"/>
      <w:bookmarkStart w:id="635" w:name="_Toc448520298"/>
      <w:bookmarkStart w:id="636" w:name="_Toc462143027"/>
      <w:bookmarkStart w:id="637" w:name="_Toc462143263"/>
      <w:r>
        <w:rPr>
          <w:rFonts w:ascii="Verdana" w:hAnsi="Verdana" w:cs="Tahoma"/>
          <w:i/>
          <w:sz w:val="20"/>
          <w:szCs w:val="20"/>
          <w:u w:val="single"/>
        </w:rPr>
        <w:t>Falhas na originação e formalização dos Direitos Creditórios</w:t>
      </w:r>
      <w:bookmarkEnd w:id="634"/>
      <w:bookmarkEnd w:id="635"/>
      <w:bookmarkEnd w:id="636"/>
      <w:bookmarkEnd w:id="637"/>
      <w:r>
        <w:rPr>
          <w:rFonts w:ascii="Verdana" w:hAnsi="Verdana" w:cs="Tahoma"/>
          <w:i/>
          <w:sz w:val="20"/>
          <w:szCs w:val="20"/>
          <w:u w:val="single"/>
        </w:rPr>
        <w:t xml:space="preserve"> Vinculados</w:t>
      </w:r>
    </w:p>
    <w:p w14:paraId="7B7DAB39"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Os documentos comprobatórios dos Direitos Creditórios Vinculados podem eventualmente conter irregularidades, como falhas na sua elaboração e erros materiais, ou mesmo não serem suficientes para ensejar um processo de execução. Por esse motivo, a cobrança judicial dos referidos Direitos Creditórios Vinculados poderá não se beneficiar da celeridade de um processo de execução, ficando ressalvada a cobrança pelas vias ordinárias, por meio da propositura de ação de cobrança, por exemplo. Dessa forma, a cobrança judicial dos Direitos Creditórios Vinculados poderá ser mais demorada do que seria caso seus documentos comprobatórios pudessem instruir uma execução judicial, uma vez que a cobrança pelas vias ordinárias impõe ao credor a obrigação de obter uma sentença transitada em julgado reconhecendo o inadimplemento do Direito Creditório Vinculado, para que, somente depois, essa sentença possa ser executada.</w:t>
      </w:r>
    </w:p>
    <w:p w14:paraId="1F1EB500" w14:textId="05587F78" w:rsidR="00EB5CDB" w:rsidRDefault="008E55E6">
      <w:pPr>
        <w:spacing w:after="120" w:line="320" w:lineRule="exact"/>
        <w:jc w:val="both"/>
        <w:rPr>
          <w:rFonts w:ascii="Verdana" w:hAnsi="Verdana" w:cs="Tahoma"/>
          <w:sz w:val="20"/>
          <w:szCs w:val="20"/>
        </w:rPr>
      </w:pPr>
      <w:r>
        <w:rPr>
          <w:rFonts w:ascii="Verdana" w:hAnsi="Verdana" w:cs="Tahoma"/>
          <w:sz w:val="20"/>
          <w:szCs w:val="20"/>
        </w:rPr>
        <w:t xml:space="preserve">Esse procedimento, dependendo do tribunal em que a cobrança se processa, pode demorar de 4 (quatro) a 5 (cinco) anos, em média. Adicionalmente, para a instrução do pedido judicial de cobrança, poderão ser necessários documentos e informações que não são enviados à Emissora, ou mesmo documentos e informações adicionais que deveriam ser fornecidos pela Instituição </w:t>
      </w:r>
      <w:r w:rsidR="008D6F6D">
        <w:rPr>
          <w:rFonts w:ascii="Verdana" w:hAnsi="Verdana" w:cs="Tahoma"/>
          <w:sz w:val="20"/>
          <w:szCs w:val="20"/>
        </w:rPr>
        <w:t>Financeira Endossante</w:t>
      </w:r>
      <w:r>
        <w:rPr>
          <w:rFonts w:ascii="Verdana" w:hAnsi="Verdana" w:cs="Tahoma"/>
          <w:sz w:val="20"/>
          <w:szCs w:val="20"/>
        </w:rPr>
        <w:t xml:space="preserve"> ou Tomador à época da cessão, os quais, uma vez não apresentados ou apresentados extemporaneamente, poderão obstar ou prejudicar a cobrança judicial dos Direitos Creditórios Vinculados. Assim, a Emissora poderá permanecer longo tempo sem receber os recursos oriundos dos Direitos Creditórios Vinculados que sejam discutidos judicialmente, o que pode prejudicar o pagamento das Debêntures.</w:t>
      </w:r>
    </w:p>
    <w:p w14:paraId="78128E3F" w14:textId="77777777" w:rsidR="00EB5CDB" w:rsidRDefault="00EB5CDB">
      <w:pPr>
        <w:spacing w:after="120" w:line="320" w:lineRule="exact"/>
        <w:jc w:val="both"/>
        <w:rPr>
          <w:rFonts w:ascii="Verdana" w:hAnsi="Verdana" w:cs="Tahoma"/>
          <w:i/>
          <w:sz w:val="20"/>
          <w:szCs w:val="20"/>
          <w:u w:val="single"/>
        </w:rPr>
      </w:pPr>
    </w:p>
    <w:p w14:paraId="7AE81180"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Assinatura Eletrônica</w:t>
      </w:r>
    </w:p>
    <w:p w14:paraId="33F45D34"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assinadas através de plataforma de assinatura eletrônica “Clicksign”, que não conta com a utilização da infraestrutura de Chaves Públicas Brasileira (ICP-Brasil) instituída pelo Governo Federal por meio da Medida Provisória 2.200-2/01. A validade da formalização das CCB através da plataforma Clicksign pode ser questionada judicialmente pelos Tomadores, e não há garantia que tais CCB sejam aceitas como títulos executivos extrajudiciais pelo poder judiciário. Nesses casos, os Direitos Creditórios Vinculados deverão ser objeto de cobrança por meio de ação monitória ou ação de conhecimento, cujo rito é significativamente mais lento que uma ação de execução, e cujo sucesso dependerá da capacidade da Emissora de produzir provas ou evidências da existência de seu crédito e do valor devido.</w:t>
      </w:r>
    </w:p>
    <w:p w14:paraId="40A8578D" w14:textId="77777777" w:rsidR="00EB5CDB" w:rsidRDefault="00EB5CDB">
      <w:pPr>
        <w:spacing w:after="120" w:line="320" w:lineRule="exact"/>
        <w:jc w:val="both"/>
        <w:rPr>
          <w:rFonts w:ascii="Verdana" w:hAnsi="Verdana" w:cs="Tahoma"/>
          <w:i/>
          <w:sz w:val="20"/>
          <w:szCs w:val="20"/>
          <w:u w:val="single"/>
        </w:rPr>
      </w:pPr>
    </w:p>
    <w:p w14:paraId="153396E4"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r>
        <w:rPr>
          <w:rFonts w:ascii="Verdana" w:hAnsi="Verdana" w:cs="Tahoma"/>
          <w:i/>
          <w:sz w:val="20"/>
          <w:szCs w:val="20"/>
          <w:u w:val="single"/>
        </w:rPr>
        <w:t>Processo Eletrônico de Originação, Endosso e Custódia das CCB</w:t>
      </w:r>
    </w:p>
    <w:p w14:paraId="7730540F"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As CCB são geradas, assinadas e custodiadas eletronicamente. Falhas em quaisquer desses processos eletrônicos, inclusive em razão de fraudes cometidas pelos Tomadores, podem acarretar questionamentos quanto à validade dos Direitos Creditórios Vinculados, o que pode prejudicar a caracterização dos Direitos Creditórios Vinculados como títulos executivos extrajudiciais pelo poder judiciário, e, portanto, gerar prejuízos para a Emissora e os Debenturistas.</w:t>
      </w:r>
    </w:p>
    <w:p w14:paraId="1415BC3D" w14:textId="77777777" w:rsidR="00EB5CDB" w:rsidRDefault="00EB5CDB">
      <w:pPr>
        <w:spacing w:after="120" w:line="320" w:lineRule="exact"/>
        <w:ind w:right="-2"/>
        <w:jc w:val="both"/>
        <w:rPr>
          <w:rFonts w:ascii="Verdana" w:hAnsi="Verdana" w:cs="Tahoma"/>
          <w:sz w:val="20"/>
          <w:szCs w:val="20"/>
        </w:rPr>
      </w:pPr>
    </w:p>
    <w:p w14:paraId="20E31C25" w14:textId="2F1EE1BB"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Ainda, o endosso “em preto” das CCB da Instituição </w:t>
      </w:r>
      <w:r w:rsidR="008D6F6D">
        <w:rPr>
          <w:rFonts w:ascii="Verdana" w:hAnsi="Verdana" w:cs="Tahoma"/>
          <w:sz w:val="20"/>
          <w:szCs w:val="20"/>
        </w:rPr>
        <w:t>Financeira Endossante</w:t>
      </w:r>
      <w:r>
        <w:rPr>
          <w:rFonts w:ascii="Verdana" w:hAnsi="Verdana" w:cs="Tahoma"/>
          <w:sz w:val="20"/>
          <w:szCs w:val="20"/>
        </w:rPr>
        <w:t xml:space="preserve"> à Emissora, e da Emissora para os Debenturistas ou para veículos por estes constituídos, no âmbito dos procedimentos de dação em pagamento dos Direitos Creditórios Vinculados previstos na Escritura de Emissão, ocorrerá mediante a celebração de termo eletrônico de endosso “em preto” das CCB. Os termos eletrônicos de endosso são armazenados de forma autônoma em relação às respectivas CCB, não havendo qualquer modificação, anotação ou averbação nas CCB eletrônicas em decorrência da celebração do termo eletrônico de endosso. Assim, não há garantia de que os termos eletrônicos de endosso celebrados pelo respectivo cedente a seu cessionário não tenha sido precedido de outro termo eletrônico de endosso celebrado pelo referido cedente, transferindo as CCB a outro cessionário, gerando dúvidas a respeito da titularidade da CCB e potenciais prejuízos à Emissora e aos Debenturistas.</w:t>
      </w:r>
    </w:p>
    <w:p w14:paraId="43BB82D2" w14:textId="77777777" w:rsidR="00EB5CDB" w:rsidRDefault="00EB5CDB">
      <w:pPr>
        <w:spacing w:after="120" w:line="320" w:lineRule="exact"/>
        <w:jc w:val="both"/>
        <w:rPr>
          <w:rFonts w:ascii="Verdana" w:hAnsi="Verdana" w:cs="Tahoma"/>
          <w:i/>
          <w:sz w:val="20"/>
          <w:szCs w:val="20"/>
          <w:u w:val="single"/>
        </w:rPr>
      </w:pPr>
    </w:p>
    <w:p w14:paraId="0B9681CB" w14:textId="77777777" w:rsidR="00EB5CDB" w:rsidRDefault="008E55E6">
      <w:pPr>
        <w:keepNext/>
        <w:autoSpaceDE/>
        <w:autoSpaceDN/>
        <w:adjustRightInd/>
        <w:spacing w:after="120" w:line="320" w:lineRule="exact"/>
        <w:ind w:right="-2"/>
        <w:jc w:val="both"/>
        <w:outlineLvl w:val="2"/>
        <w:rPr>
          <w:rFonts w:ascii="Verdana" w:hAnsi="Verdana" w:cs="Tahoma"/>
          <w:i/>
          <w:sz w:val="20"/>
          <w:szCs w:val="20"/>
          <w:u w:val="single"/>
        </w:rPr>
      </w:pPr>
      <w:bookmarkStart w:id="638" w:name="_Toc448520319"/>
      <w:bookmarkStart w:id="639" w:name="_Toc462143052"/>
      <w:bookmarkStart w:id="640" w:name="_Toc462143288"/>
      <w:r>
        <w:rPr>
          <w:rFonts w:ascii="Verdana" w:hAnsi="Verdana" w:cs="Tahoma"/>
          <w:i/>
          <w:sz w:val="20"/>
          <w:szCs w:val="20"/>
          <w:u w:val="single"/>
        </w:rPr>
        <w:t>Notificação dos Tomadores</w:t>
      </w:r>
      <w:bookmarkEnd w:id="638"/>
      <w:bookmarkEnd w:id="639"/>
      <w:bookmarkEnd w:id="640"/>
    </w:p>
    <w:p w14:paraId="27FDF182"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 xml:space="preserve">As CCB a serem assinadas pelos Tomadores incluem anexo contendo minuta de endosso das mesmas para cessionários. No curso ordinário dos negócios, os Tomadores não receberão notificações adicionais sobre a cessão à Emissora dos Direitos Creditórios Vinculados. Desse modo, caso a Emissora ou terceiro por ela contratado realize esforços de cobrança extrajudicial ou judicial dos Direitos Creditórios Vinculados inadimplidos, não há garantia de que os respectivos Tomadores efetuarão os pagamentos referentes aos Direitos Creditórios Vinculados diretamente à Emissora. </w:t>
      </w:r>
    </w:p>
    <w:p w14:paraId="5426DADF" w14:textId="77777777" w:rsidR="00EB5CDB" w:rsidRDefault="00EB5CDB">
      <w:pPr>
        <w:spacing w:after="120" w:line="320" w:lineRule="exact"/>
        <w:jc w:val="both"/>
        <w:rPr>
          <w:rFonts w:ascii="Verdana" w:hAnsi="Verdana" w:cs="Tahoma"/>
          <w:i/>
          <w:sz w:val="20"/>
          <w:szCs w:val="20"/>
          <w:u w:val="single"/>
        </w:rPr>
      </w:pPr>
    </w:p>
    <w:p w14:paraId="71A78443"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fungibilidade</w:t>
      </w:r>
    </w:p>
    <w:p w14:paraId="4289E3B8" w14:textId="4EC6932E"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 fungibilidade – Pagamentos diretamente à Instituição </w:t>
      </w:r>
      <w:r w:rsidR="008D6F6D">
        <w:rPr>
          <w:rFonts w:ascii="Verdana" w:hAnsi="Verdana" w:cs="Tahoma"/>
          <w:i/>
          <w:sz w:val="20"/>
          <w:szCs w:val="20"/>
          <w:u w:val="single"/>
        </w:rPr>
        <w:t>Financeira Endossante</w:t>
      </w:r>
    </w:p>
    <w:p w14:paraId="3EF1DA8B" w14:textId="6392E18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Na hipótese de os Tomadores realizarem os pagamentos referentes aos Direitos Creditórios Vinculados diretamente para a Instituição </w:t>
      </w:r>
      <w:r w:rsidR="008D6F6D">
        <w:rPr>
          <w:rFonts w:ascii="Verdana" w:hAnsi="Verdana" w:cs="Tahoma"/>
          <w:sz w:val="20"/>
          <w:szCs w:val="20"/>
        </w:rPr>
        <w:t>Financeira Endossante</w:t>
      </w:r>
      <w:r>
        <w:rPr>
          <w:rFonts w:ascii="Verdana" w:hAnsi="Verdana" w:cs="Tahoma"/>
          <w:sz w:val="20"/>
          <w:szCs w:val="20"/>
        </w:rPr>
        <w:t xml:space="preserve">, por qualquer motivo, a Instituição </w:t>
      </w:r>
      <w:r w:rsidR="008D6F6D">
        <w:rPr>
          <w:rFonts w:ascii="Verdana" w:hAnsi="Verdana" w:cs="Tahoma"/>
          <w:sz w:val="20"/>
          <w:szCs w:val="20"/>
        </w:rPr>
        <w:t>Financeira Endossante</w:t>
      </w:r>
      <w:r>
        <w:rPr>
          <w:rFonts w:ascii="Verdana" w:hAnsi="Verdana" w:cs="Tahoma"/>
          <w:sz w:val="20"/>
          <w:szCs w:val="20"/>
        </w:rPr>
        <w:t xml:space="preserve"> deverá repassar tais valores às Contas Exclusivas. Não há garantia de que a Instituição </w:t>
      </w:r>
      <w:r w:rsidR="008D6F6D">
        <w:rPr>
          <w:rFonts w:ascii="Verdana" w:hAnsi="Verdana" w:cs="Tahoma"/>
          <w:sz w:val="20"/>
          <w:szCs w:val="20"/>
        </w:rPr>
        <w:t>Financeira Endossante</w:t>
      </w:r>
      <w:r>
        <w:rPr>
          <w:rFonts w:ascii="Verdana" w:hAnsi="Verdana" w:cs="Tahoma"/>
          <w:sz w:val="20"/>
          <w:szCs w:val="20"/>
        </w:rPr>
        <w:t xml:space="preserve"> repassará tais recursos para as Contas Exclusivas da Emissora, situação em que os Debenturistas poderão sofrer perdas, podendo inclusive incorrer em custos para reaver tais recursos. </w:t>
      </w:r>
    </w:p>
    <w:p w14:paraId="5F59D206" w14:textId="77777777" w:rsidR="00EB5CDB" w:rsidRDefault="00EB5CDB">
      <w:pPr>
        <w:autoSpaceDE/>
        <w:autoSpaceDN/>
        <w:adjustRightInd/>
        <w:spacing w:after="120" w:line="320" w:lineRule="exact"/>
        <w:jc w:val="both"/>
        <w:rPr>
          <w:rFonts w:ascii="Verdana" w:hAnsi="Verdana" w:cs="Tahoma"/>
          <w:sz w:val="20"/>
          <w:szCs w:val="20"/>
        </w:rPr>
      </w:pPr>
    </w:p>
    <w:p w14:paraId="13DB0D9E" w14:textId="77777777" w:rsidR="00EB5CDB" w:rsidRDefault="008E55E6">
      <w:pPr>
        <w:keepNext/>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Inexistência de Contrato de Agente Depositário Relativo às Contas Exclusivas</w:t>
      </w:r>
    </w:p>
    <w:p w14:paraId="55A62D48"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obstante a cessão fiduciária dos direitos relacionados às Contas Exclusivas, não houve a contratação de instituição financeira para atuação como agente depositário que restrinja a movimentação das Contas Exclusivas. Portanto as Contas Exclusivas podem ser movimentadas pela Emissora, o que pode prejudicar o controle da utilização dos recursos existentes nas Contas Exclusivas, a operacionalização da cessão fiduciária, e consequentemente a capacidade de pagamento aos Debenturistas.</w:t>
      </w:r>
    </w:p>
    <w:p w14:paraId="6323F68D" w14:textId="77777777" w:rsidR="00EB5CDB" w:rsidRDefault="00EB5CDB">
      <w:pPr>
        <w:autoSpaceDE/>
        <w:autoSpaceDN/>
        <w:adjustRightInd/>
        <w:spacing w:after="120" w:line="320" w:lineRule="exact"/>
        <w:jc w:val="both"/>
        <w:rPr>
          <w:rFonts w:ascii="Verdana" w:hAnsi="Verdana" w:cs="Tahoma"/>
          <w:sz w:val="20"/>
          <w:szCs w:val="20"/>
        </w:rPr>
      </w:pPr>
    </w:p>
    <w:p w14:paraId="75B65F6D"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Autorização para movimentação das Contas Exclusivas e dos pagamentos relativos aos Direitos Creditórios Vinculados</w:t>
      </w:r>
    </w:p>
    <w:p w14:paraId="7077E17D" w14:textId="14E2471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obstante a cessão fiduciária dos direitos relacionados às Contas Exclusivas e aos Direitos Creditórios Vinculados, nos termos do Contrato de Cessão Fiduciária, caso nenhum Evento de Vencimento Antecipado tenha ocorrido, a Emissora está autorizada a utilizar os recursos recebidos dos Direitos Creditórios Vinculados, bem como os recursos disponíveis nas Contas Exclusivas, conforme a Ordem de Alocação dos Recursos, que inclui também a realização de pagamentos de Remuneração, amortização, resgate e </w:t>
      </w:r>
      <w:r w:rsidR="00017F48">
        <w:rPr>
          <w:rFonts w:ascii="Verdana" w:hAnsi="Verdana" w:cs="Tahoma"/>
          <w:sz w:val="20"/>
          <w:szCs w:val="20"/>
        </w:rPr>
        <w:t>Prêmio Sobre a Receita dos Direitos Creditórios Vinculados</w:t>
      </w:r>
      <w:r>
        <w:rPr>
          <w:rFonts w:ascii="Verdana" w:hAnsi="Verdana" w:cs="Tahoma"/>
          <w:sz w:val="20"/>
          <w:szCs w:val="20"/>
        </w:rPr>
        <w:t xml:space="preserve"> das Debêntures. Falhas e/ou conflitos de interesse da Emissora na utilização desses recursos podem prejudicar a capacidade de pagamento aos Debenturistas.</w:t>
      </w:r>
    </w:p>
    <w:p w14:paraId="42127338" w14:textId="77777777" w:rsidR="00EB5CDB" w:rsidRDefault="00EB5CDB">
      <w:pPr>
        <w:autoSpaceDE/>
        <w:autoSpaceDN/>
        <w:adjustRightInd/>
        <w:spacing w:after="120" w:line="320" w:lineRule="exact"/>
        <w:jc w:val="both"/>
        <w:rPr>
          <w:rFonts w:ascii="Verdana" w:hAnsi="Verdana" w:cs="Tahoma"/>
          <w:sz w:val="20"/>
          <w:szCs w:val="20"/>
        </w:rPr>
      </w:pPr>
    </w:p>
    <w:p w14:paraId="58DAFA18" w14:textId="47CF0C49"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 xml:space="preserve">Riscos relacionados à Instituição </w:t>
      </w:r>
      <w:r w:rsidR="008D6F6D">
        <w:rPr>
          <w:rFonts w:ascii="Verdana" w:hAnsi="Verdana" w:cs="Tahoma"/>
          <w:b/>
          <w:sz w:val="20"/>
          <w:szCs w:val="20"/>
        </w:rPr>
        <w:t>Financeira Endossante</w:t>
      </w:r>
    </w:p>
    <w:p w14:paraId="63B940E2" w14:textId="6D1723CF"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Riscos decorrentes dos critérios adotados pela Instituição </w:t>
      </w:r>
      <w:r w:rsidR="008D6F6D">
        <w:rPr>
          <w:rFonts w:ascii="Verdana" w:hAnsi="Verdana" w:cs="Tahoma"/>
          <w:i/>
          <w:sz w:val="20"/>
          <w:szCs w:val="20"/>
          <w:u w:val="single"/>
        </w:rPr>
        <w:t>Financeira Endossante</w:t>
      </w:r>
      <w:r>
        <w:rPr>
          <w:rFonts w:ascii="Verdana" w:hAnsi="Verdana" w:cs="Tahoma"/>
          <w:i/>
          <w:sz w:val="20"/>
          <w:szCs w:val="20"/>
          <w:u w:val="single"/>
        </w:rPr>
        <w:t xml:space="preserve"> para concessão de crédito</w:t>
      </w:r>
    </w:p>
    <w:p w14:paraId="54FB19F5" w14:textId="2BC5AD7E"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 aos riscos inerentes ao processo de originação dos Direitos Creditórios Vinculados e à política de crédito adotada pela Instituição </w:t>
      </w:r>
      <w:r w:rsidR="008D6F6D">
        <w:rPr>
          <w:rFonts w:ascii="Verdana" w:hAnsi="Verdana" w:cs="Tahoma"/>
          <w:sz w:val="20"/>
          <w:szCs w:val="20"/>
        </w:rPr>
        <w:t>Financeira Endossante</w:t>
      </w:r>
      <w:r>
        <w:rPr>
          <w:rFonts w:ascii="Verdana" w:hAnsi="Verdana" w:cs="Tahoma"/>
          <w:sz w:val="20"/>
          <w:szCs w:val="20"/>
        </w:rPr>
        <w:t>, na qualidade de originador dos Direitos Creditórios Vinculados.</w:t>
      </w:r>
    </w:p>
    <w:p w14:paraId="401FAF82" w14:textId="77777777" w:rsidR="00EB5CDB" w:rsidRDefault="00EB5CDB">
      <w:pPr>
        <w:autoSpaceDE/>
        <w:autoSpaceDN/>
        <w:adjustRightInd/>
        <w:spacing w:after="120" w:line="320" w:lineRule="exact"/>
        <w:jc w:val="both"/>
        <w:rPr>
          <w:rFonts w:ascii="Verdana" w:hAnsi="Verdana" w:cs="Tahoma"/>
          <w:b/>
          <w:sz w:val="20"/>
          <w:szCs w:val="20"/>
        </w:rPr>
      </w:pPr>
    </w:p>
    <w:p w14:paraId="1A9CF076" w14:textId="599D86D3"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Processos internos da Instituição </w:t>
      </w:r>
      <w:r w:rsidR="008D6F6D">
        <w:rPr>
          <w:rFonts w:ascii="Verdana" w:hAnsi="Verdana" w:cs="Tahoma"/>
          <w:i/>
          <w:sz w:val="20"/>
          <w:szCs w:val="20"/>
          <w:u w:val="single"/>
        </w:rPr>
        <w:t>Financeira Endossante</w:t>
      </w:r>
    </w:p>
    <w:p w14:paraId="11C1975E" w14:textId="38CD0943"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As Debêntures estão sujeitas a perdas decorrentes de falhas, deficiências ou inadequação dos processos internos da Instituição </w:t>
      </w:r>
      <w:r w:rsidR="008D6F6D">
        <w:rPr>
          <w:rFonts w:ascii="Verdana" w:hAnsi="Verdana" w:cs="Tahoma"/>
          <w:sz w:val="20"/>
          <w:szCs w:val="20"/>
        </w:rPr>
        <w:t>Financeira Endossante</w:t>
      </w:r>
      <w:r>
        <w:rPr>
          <w:rFonts w:ascii="Verdana" w:hAnsi="Verdana" w:cs="Tahoma"/>
          <w:sz w:val="20"/>
          <w:szCs w:val="20"/>
        </w:rPr>
        <w:t xml:space="preserve">, pessoas e sistemas, ou eventos externos, incluindo o risco legal associado à inadequação ou deficiência nos documentos comprobatórios que lastreiam os Direitos Creditórios Vinculados, bem como dos processos operacionais da Instituição </w:t>
      </w:r>
      <w:r w:rsidR="008D6F6D">
        <w:rPr>
          <w:rFonts w:ascii="Verdana" w:hAnsi="Verdana" w:cs="Tahoma"/>
          <w:sz w:val="20"/>
          <w:szCs w:val="20"/>
        </w:rPr>
        <w:t>Financeira Endossante</w:t>
      </w:r>
      <w:r>
        <w:rPr>
          <w:rFonts w:ascii="Verdana" w:hAnsi="Verdana" w:cs="Tahoma"/>
          <w:sz w:val="20"/>
          <w:szCs w:val="20"/>
        </w:rPr>
        <w:t xml:space="preserve"> e fluxo financeiro de pagamento dos Direitos Creditórios Vinculados.</w:t>
      </w:r>
    </w:p>
    <w:p w14:paraId="4AD8A2FA" w14:textId="77777777" w:rsidR="00EB5CDB" w:rsidRDefault="00EB5CDB">
      <w:pPr>
        <w:autoSpaceDE/>
        <w:autoSpaceDN/>
        <w:adjustRightInd/>
        <w:spacing w:after="120" w:line="320" w:lineRule="exact"/>
        <w:jc w:val="both"/>
        <w:rPr>
          <w:rFonts w:ascii="Verdana" w:hAnsi="Verdana" w:cs="Tahoma"/>
          <w:sz w:val="20"/>
          <w:szCs w:val="20"/>
        </w:rPr>
      </w:pPr>
    </w:p>
    <w:p w14:paraId="73F122A4"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641" w:name="_Toc441140059"/>
      <w:bookmarkStart w:id="642" w:name="_Toc448520291"/>
      <w:bookmarkStart w:id="643" w:name="_Toc462143020"/>
      <w:bookmarkStart w:id="644" w:name="_Toc462143256"/>
      <w:r>
        <w:rPr>
          <w:rFonts w:ascii="Verdana" w:eastAsia="Arial Unicode MS" w:hAnsi="Verdana" w:cs="Tahoma"/>
          <w:b/>
          <w:sz w:val="20"/>
          <w:szCs w:val="20"/>
        </w:rPr>
        <w:t xml:space="preserve">Riscos </w:t>
      </w:r>
      <w:r>
        <w:rPr>
          <w:rFonts w:ascii="Verdana" w:hAnsi="Verdana" w:cs="Tahoma"/>
          <w:b/>
          <w:sz w:val="20"/>
          <w:szCs w:val="20"/>
        </w:rPr>
        <w:t>operacionais</w:t>
      </w:r>
      <w:bookmarkEnd w:id="641"/>
      <w:bookmarkEnd w:id="642"/>
      <w:bookmarkEnd w:id="643"/>
      <w:bookmarkEnd w:id="644"/>
    </w:p>
    <w:p w14:paraId="04CAD4E8"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 Emissora contrata prestadores de serviços terceirizados</w:t>
      </w:r>
    </w:p>
    <w:p w14:paraId="74568E56" w14:textId="62CB799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Emissora contrata prestadores de serviços terceirizados para a realização de determinadas atividades, como auditor independente, o Agente Fiduciário, o Escriturador, a </w:t>
      </w:r>
      <w:r w:rsidR="00054858" w:rsidRPr="00251E22">
        <w:rPr>
          <w:rFonts w:ascii="Verdana" w:hAnsi="Verdana" w:cs="Tahoma"/>
          <w:iCs/>
          <w:sz w:val="20"/>
          <w:szCs w:val="20"/>
        </w:rPr>
        <w:t>Gyramais</w:t>
      </w:r>
      <w:r w:rsidR="00054858">
        <w:rPr>
          <w:rFonts w:ascii="Verdana" w:hAnsi="Verdana" w:cs="Tahoma"/>
          <w:sz w:val="20"/>
          <w:szCs w:val="20"/>
        </w:rPr>
        <w:t xml:space="preserve"> </w:t>
      </w:r>
      <w:r>
        <w:rPr>
          <w:rFonts w:ascii="Verdana" w:hAnsi="Verdana" w:cs="Tahoma"/>
          <w:sz w:val="20"/>
          <w:szCs w:val="20"/>
        </w:rPr>
        <w:t>entre outros. Caso alguns desses prestadores de serviços aumentem significativamente seus preços ou não prestem serviços com a qualidade e agilidade esperada pela Emissora, ou mesmo por mera discricionariedade da Emissora, poderá haver a substituição dos referidos prestadores de serviços, sendo certo que essa substituição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79F7314" w14:textId="77777777" w:rsidR="00EB5CDB" w:rsidRDefault="00EB5CDB">
      <w:pPr>
        <w:autoSpaceDE/>
        <w:autoSpaceDN/>
        <w:adjustRightInd/>
        <w:spacing w:after="120" w:line="320" w:lineRule="exact"/>
        <w:jc w:val="both"/>
        <w:rPr>
          <w:rFonts w:ascii="Verdana" w:hAnsi="Verdana" w:cs="Tahoma"/>
          <w:i/>
          <w:sz w:val="20"/>
          <w:szCs w:val="20"/>
        </w:rPr>
      </w:pPr>
    </w:p>
    <w:p w14:paraId="7B0E873A" w14:textId="77777777" w:rsidR="00EB5CDB" w:rsidRDefault="00EB5CDB">
      <w:pPr>
        <w:autoSpaceDE/>
        <w:autoSpaceDN/>
        <w:adjustRightInd/>
        <w:spacing w:after="120" w:line="320" w:lineRule="exact"/>
        <w:jc w:val="both"/>
        <w:rPr>
          <w:rFonts w:ascii="Verdana" w:hAnsi="Verdana" w:cs="Tahoma"/>
          <w:i/>
          <w:sz w:val="20"/>
          <w:szCs w:val="20"/>
        </w:rPr>
      </w:pPr>
    </w:p>
    <w:p w14:paraId="7766A86A"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Troca eletrônica de informações</w:t>
      </w:r>
    </w:p>
    <w:p w14:paraId="3857DD8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Vinculados, inclusive inadimplidos, poderá ser adversamente afetada, prejudicando o desempenho da Emissora e, consequentemente, o pagamento das Debêntures.</w:t>
      </w:r>
    </w:p>
    <w:p w14:paraId="1DDA30A1" w14:textId="77777777" w:rsidR="00EB5CDB" w:rsidRDefault="00EB5CDB">
      <w:pPr>
        <w:autoSpaceDE/>
        <w:autoSpaceDN/>
        <w:adjustRightInd/>
        <w:spacing w:after="120" w:line="320" w:lineRule="exact"/>
        <w:jc w:val="both"/>
        <w:rPr>
          <w:rFonts w:ascii="Verdana" w:hAnsi="Verdana" w:cs="Tahoma"/>
          <w:b/>
          <w:sz w:val="20"/>
          <w:szCs w:val="20"/>
        </w:rPr>
      </w:pPr>
    </w:p>
    <w:p w14:paraId="568846E3"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Acesso aos documentos comprobatórios dos Direitos Creditórios Vinculados</w:t>
      </w:r>
    </w:p>
    <w:p w14:paraId="451447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o Agente Fiduciário precise ter acesso aos documentos comprobatórios dos Direitos Creditórios Vinculados, falhas e/ou descumprimentos pela Emissora nos procedimentos de acesso aos documentos comprobatórios podem afetar negativamente o fluxo de pagamentos dos Direitos Creditórios Vinculados e/ou a capacidade do Agente Fiduciário, ou de terceiro por este indicado, de efetuar qualquer cobrança dos Direitos Creditórios Vinculados.</w:t>
      </w:r>
    </w:p>
    <w:p w14:paraId="3602668B" w14:textId="77777777" w:rsidR="00EB5CDB" w:rsidRDefault="00EB5CDB">
      <w:pPr>
        <w:autoSpaceDE/>
        <w:autoSpaceDN/>
        <w:adjustRightInd/>
        <w:spacing w:after="120" w:line="320" w:lineRule="exact"/>
        <w:jc w:val="both"/>
        <w:rPr>
          <w:rFonts w:ascii="Verdana" w:hAnsi="Verdana" w:cs="Tahoma"/>
          <w:b/>
          <w:sz w:val="20"/>
          <w:szCs w:val="20"/>
        </w:rPr>
      </w:pPr>
    </w:p>
    <w:p w14:paraId="1524BF56"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Majoração de custos dos prestadores de serviços</w:t>
      </w:r>
    </w:p>
    <w:p w14:paraId="3DCCFBBE"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7BE27605" w14:textId="77777777" w:rsidR="00EB5CDB" w:rsidRDefault="00EB5CDB">
      <w:pPr>
        <w:autoSpaceDE/>
        <w:autoSpaceDN/>
        <w:adjustRightInd/>
        <w:spacing w:after="120" w:line="320" w:lineRule="exact"/>
        <w:jc w:val="both"/>
        <w:rPr>
          <w:rFonts w:ascii="Verdana" w:hAnsi="Verdana" w:cs="Tahoma"/>
          <w:b/>
          <w:sz w:val="20"/>
          <w:szCs w:val="20"/>
        </w:rPr>
      </w:pPr>
    </w:p>
    <w:p w14:paraId="39D6A164" w14:textId="77777777" w:rsidR="00EB5CDB" w:rsidRDefault="008E55E6">
      <w:pPr>
        <w:widowControl w:val="0"/>
        <w:autoSpaceDE/>
        <w:autoSpaceDN/>
        <w:adjustRightInd/>
        <w:spacing w:after="120" w:line="320" w:lineRule="exact"/>
        <w:jc w:val="both"/>
        <w:rPr>
          <w:rFonts w:ascii="Verdana" w:hAnsi="Verdana" w:cs="Tahoma"/>
          <w:b/>
          <w:i/>
          <w:sz w:val="20"/>
          <w:szCs w:val="20"/>
          <w:u w:val="single"/>
        </w:rPr>
      </w:pPr>
      <w:r>
        <w:rPr>
          <w:rFonts w:ascii="Verdana" w:hAnsi="Verdana" w:cs="Tahoma"/>
          <w:i/>
          <w:sz w:val="20"/>
          <w:szCs w:val="20"/>
          <w:u w:val="single"/>
        </w:rPr>
        <w:t>Existência de vícios ocultos relativos aos Direitos Creditórios Vinculados não apontados na auditoria da carteira</w:t>
      </w:r>
    </w:p>
    <w:p w14:paraId="79FA51AA"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Em que pese o fato de ter sido contratada empresa de auditoria independente para realizar a auditoria dos Direitos Creditórios Vinculados, não há garantia de que não existam vícios ou riscos ocultos, não evidenciados durante a auditoria. Caso quaisquer desses defeitos ou riscos ocultos venham a se verificar, o pagamento das Debêntures poderá ser afetado negativamente.</w:t>
      </w:r>
    </w:p>
    <w:p w14:paraId="131BECE2" w14:textId="77777777" w:rsidR="00EB5CDB" w:rsidRDefault="00EB5CDB">
      <w:pPr>
        <w:autoSpaceDE/>
        <w:autoSpaceDN/>
        <w:adjustRightInd/>
        <w:spacing w:after="120" w:line="320" w:lineRule="exact"/>
        <w:jc w:val="both"/>
        <w:rPr>
          <w:rFonts w:ascii="Verdana" w:hAnsi="Verdana" w:cs="Tahoma"/>
          <w:b/>
          <w:sz w:val="20"/>
          <w:szCs w:val="20"/>
        </w:rPr>
      </w:pPr>
    </w:p>
    <w:p w14:paraId="315B52F9"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Falhas de cobrança</w:t>
      </w:r>
    </w:p>
    <w:p w14:paraId="178AEF21" w14:textId="49EEFF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cobrança dos Direitos Creditórios Vinculados depende da atuação diligente do agente de cobrança. Assim, qualquer falha no procedimento de cobrança dos Direitos Creditórios Vinculados, tais como, mas não se limitando a, interrupções, falhas e/ou atrasos na emissão de boletos bancários, poderá acarretar menor recebimento dos recursos devidos pelos Tomadores. Ademais, qualquer falha de procedimento de cobrança dos Direitos Creditórios Vinculados inadimplidos, tais como, mas não se limitando a, falta de diligência no procedimento de cobrança, poderá acarretar menor recebimento dos recursos devidos pelos Tomadores.</w:t>
      </w:r>
    </w:p>
    <w:p w14:paraId="4804823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Outrossim, na ocorrência de Eventos de Vencimento Antecipado relacionados à Emissora, os processos de cobrança de Direitos Creditórios Vinculados, incluindo o processamento do faturamento ordinário bem como a cobrança extraordinária, poderão ser impactados, e com isto o pagamento das Debêntures poderá ser afetado negativamente.</w:t>
      </w:r>
    </w:p>
    <w:p w14:paraId="7003EE16" w14:textId="77777777" w:rsidR="00EB5CDB" w:rsidRDefault="00EB5CDB">
      <w:pPr>
        <w:autoSpaceDE/>
        <w:autoSpaceDN/>
        <w:adjustRightInd/>
        <w:spacing w:after="120" w:line="320" w:lineRule="exact"/>
        <w:jc w:val="both"/>
        <w:rPr>
          <w:rFonts w:ascii="Verdana" w:hAnsi="Verdana" w:cs="Tahoma"/>
          <w:b/>
          <w:sz w:val="20"/>
          <w:szCs w:val="20"/>
        </w:rPr>
      </w:pPr>
    </w:p>
    <w:p w14:paraId="61D1C318" w14:textId="77777777" w:rsidR="00EB5CDB" w:rsidRDefault="008E55E6">
      <w:pPr>
        <w:autoSpaceDE/>
        <w:autoSpaceDN/>
        <w:adjustRightInd/>
        <w:spacing w:after="120" w:line="320" w:lineRule="exact"/>
        <w:jc w:val="both"/>
        <w:rPr>
          <w:rFonts w:ascii="Verdana" w:hAnsi="Verdana" w:cs="Tahoma"/>
          <w:b/>
          <w:sz w:val="20"/>
          <w:szCs w:val="20"/>
          <w:u w:val="single"/>
        </w:rPr>
      </w:pPr>
      <w:r>
        <w:rPr>
          <w:rFonts w:ascii="Verdana" w:hAnsi="Verdana" w:cs="Tahoma"/>
          <w:i/>
          <w:sz w:val="20"/>
          <w:szCs w:val="20"/>
          <w:u w:val="single"/>
        </w:rPr>
        <w:t>Despesas de liquidação ou execução dos Direitos Creditórios Vinculados podem ser desproporcionais e reduzir os montantes disponíveis para pagamento das Debêntures ou, mesmo, comprometer a viabilidade econômica do processo de cobrança</w:t>
      </w:r>
    </w:p>
    <w:p w14:paraId="4736485C"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Despesas de liquidação ou execução dos Direitos Creditórios Vinculados não possuem relação direta com o valor devido no momento da inadimplência. Assim, dado que o agente de cobrança terá os mesmos custos de cobrança para Direitos Creditórios Vinculados com valores diversos, o valor realizado após descontadas as despesas de liquidação ou execução poderá ser menor no caso de um Direito Creditório Vinculado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Vinculados, antes do pagamento das Debêntures. Todos esses fatores poderão afetar o valor pago aos Debenturistas ou, mesmo, comprometer a viabilidade econômica do processo de cobrança.</w:t>
      </w:r>
    </w:p>
    <w:p w14:paraId="0882C6B2" w14:textId="77777777" w:rsidR="00EB5CDB" w:rsidRDefault="00EB5CDB">
      <w:pPr>
        <w:autoSpaceDE/>
        <w:autoSpaceDN/>
        <w:adjustRightInd/>
        <w:spacing w:after="120" w:line="320" w:lineRule="exact"/>
        <w:jc w:val="both"/>
        <w:rPr>
          <w:rFonts w:ascii="Verdana" w:hAnsi="Verdana" w:cs="Tahoma"/>
          <w:b/>
          <w:sz w:val="20"/>
          <w:szCs w:val="20"/>
        </w:rPr>
      </w:pPr>
    </w:p>
    <w:p w14:paraId="1C0D42E7"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Falha na verificação dos critérios para aquisição de CCB</w:t>
      </w:r>
    </w:p>
    <w:p w14:paraId="43CC6026"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Falhas na verificação dos critérios para aquisição de CCB podem ocorrer, fazendo com que a Emissora adquira CCB em desacordo com a Escritura de Emissão, podendo gerar perdas à Emissora e, consequentemente, aos Debenturistas.</w:t>
      </w:r>
    </w:p>
    <w:p w14:paraId="12916F8B" w14:textId="77777777" w:rsidR="00EB5CDB" w:rsidRDefault="00EB5CDB">
      <w:pPr>
        <w:pStyle w:val="Nvel111"/>
        <w:numPr>
          <w:ilvl w:val="0"/>
          <w:numId w:val="0"/>
        </w:numPr>
        <w:spacing w:after="120" w:line="320" w:lineRule="exact"/>
        <w:rPr>
          <w:rFonts w:ascii="Verdana" w:hAnsi="Verdana" w:cs="Tahoma"/>
          <w:sz w:val="20"/>
          <w:szCs w:val="20"/>
          <w:lang w:val="pt-BR"/>
        </w:rPr>
      </w:pPr>
    </w:p>
    <w:p w14:paraId="7070E3E3"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Existência de Prioridade entre Debenturistas detentores de Debêntures da Primeira Série e da Segunda Série no Contrato de Cessão Fiduciária</w:t>
      </w:r>
    </w:p>
    <w:p w14:paraId="35E364BD"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O Contrato de Cessão Fiduciária prevê que os recursos obtidos através da excussão dos Direitos Creditórios Vinculados e dos demais direitos creditórios sejam utilizados para realizar os pagamentos, primeiramente com relação ao Saldo Devedor das Debêntures da Primeira Série e posteriormente ao Saldo Devedor das Debêntures da Segunda Série. O Agente Fiduciário, atuando como representante dos Debenturistas, nos termos da Escritura de Emissão e do Contrato de Cessão Fiduciária, poderá cometer falhas na excussão dos direitos creditórios objeto de Garantia, o que pode gerar perdas à Emissora e, consequentemente, aos Debenturistas.</w:t>
      </w:r>
    </w:p>
    <w:p w14:paraId="6F9C8870" w14:textId="77777777" w:rsidR="00EB5CDB" w:rsidRDefault="00EB5CDB">
      <w:pPr>
        <w:pStyle w:val="Nvel111"/>
        <w:numPr>
          <w:ilvl w:val="0"/>
          <w:numId w:val="0"/>
        </w:numPr>
        <w:spacing w:after="120" w:line="320" w:lineRule="exact"/>
        <w:rPr>
          <w:rFonts w:ascii="Verdana" w:hAnsi="Verdana" w:cs="Tahoma"/>
          <w:sz w:val="20"/>
          <w:szCs w:val="20"/>
          <w:lang w:val="pt-BR"/>
        </w:rPr>
      </w:pPr>
    </w:p>
    <w:p w14:paraId="632B3276"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Ausência de Custodiante Externo</w:t>
      </w:r>
    </w:p>
    <w:p w14:paraId="0B3BC9CA"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A custódia dos Direitos Creditórios Vinculados, bem como das Contas Exclusivas, será feita pela Emissora.</w:t>
      </w:r>
    </w:p>
    <w:p w14:paraId="0FB8F399" w14:textId="77777777" w:rsidR="00EB5CDB" w:rsidRDefault="008E55E6">
      <w:pPr>
        <w:tabs>
          <w:tab w:val="num" w:pos="2340"/>
        </w:tabs>
        <w:autoSpaceDE/>
        <w:autoSpaceDN/>
        <w:adjustRightInd/>
        <w:spacing w:after="120" w:line="320" w:lineRule="exact"/>
        <w:jc w:val="both"/>
        <w:rPr>
          <w:rFonts w:ascii="Verdana" w:hAnsi="Verdana" w:cs="Tahoma"/>
          <w:sz w:val="20"/>
          <w:szCs w:val="20"/>
        </w:rPr>
      </w:pPr>
      <w:r>
        <w:rPr>
          <w:rFonts w:ascii="Verdana" w:hAnsi="Verdana" w:cs="Tahoma"/>
          <w:sz w:val="20"/>
          <w:szCs w:val="20"/>
        </w:rPr>
        <w:t>Não há garantias que a Emissora não venha a ter falhas na realização da custódia de tais direitos creditórios. Adicionalmente, não há garantia que a gestão do recebimento de recursos relacionados aos Direitos Creditórios Vinculados, incluindo formalização, endosso, custódia, cobrança, vinculação às Debêntures e o recebimento de recursos, entre outros, será realizada conforme o especificado na Escritura de Emissão.</w:t>
      </w:r>
    </w:p>
    <w:p w14:paraId="4565E450" w14:textId="77777777" w:rsidR="00EB5CDB" w:rsidRDefault="008E55E6">
      <w:pPr>
        <w:tabs>
          <w:tab w:val="num" w:pos="2340"/>
        </w:tabs>
        <w:autoSpaceDE/>
        <w:autoSpaceDN/>
        <w:adjustRightInd/>
        <w:spacing w:after="120" w:line="320" w:lineRule="exact"/>
        <w:jc w:val="both"/>
        <w:rPr>
          <w:rFonts w:ascii="Verdana" w:hAnsi="Verdana" w:cs="Tahoma"/>
          <w:i/>
          <w:sz w:val="20"/>
          <w:szCs w:val="20"/>
          <w:u w:val="single"/>
        </w:rPr>
      </w:pPr>
      <w:r>
        <w:rPr>
          <w:rFonts w:ascii="Verdana" w:hAnsi="Verdana" w:cs="Tahoma"/>
          <w:sz w:val="20"/>
          <w:szCs w:val="20"/>
        </w:rPr>
        <w:t>Tais potenciais falhas ou conflitos de interesse podem gerar prejuízos para a Emissora e para os Debenturistas.</w:t>
      </w:r>
    </w:p>
    <w:p w14:paraId="70F49F96" w14:textId="77777777" w:rsidR="00EB5CDB" w:rsidRDefault="00EB5CDB">
      <w:pPr>
        <w:pStyle w:val="Nvel111"/>
        <w:numPr>
          <w:ilvl w:val="0"/>
          <w:numId w:val="0"/>
        </w:numPr>
        <w:spacing w:after="120" w:line="320" w:lineRule="exact"/>
        <w:rPr>
          <w:rFonts w:ascii="Verdana" w:hAnsi="Verdana" w:cs="Tahoma"/>
          <w:sz w:val="20"/>
          <w:szCs w:val="20"/>
          <w:lang w:val="pt-BR"/>
        </w:rPr>
      </w:pPr>
    </w:p>
    <w:p w14:paraId="739B251D" w14:textId="77777777" w:rsidR="00EB5CDB" w:rsidRDefault="008E55E6">
      <w:pPr>
        <w:keepNext/>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 xml:space="preserve">Risco decorrente de falhas operacionais </w:t>
      </w:r>
    </w:p>
    <w:p w14:paraId="21EBD1D5" w14:textId="048EEF36"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A identificação, a cessão e a cobrança dos Direitos Creditórios Vinculados dependem da atuação conjunta e coordenada da Emissora, da </w:t>
      </w:r>
      <w:r w:rsidR="00F470F4">
        <w:rPr>
          <w:rFonts w:ascii="Verdana" w:hAnsi="Verdana" w:cs="Tahoma"/>
          <w:sz w:val="20"/>
          <w:szCs w:val="20"/>
        </w:rPr>
        <w:t>Gyramais</w:t>
      </w:r>
      <w:r>
        <w:rPr>
          <w:rFonts w:ascii="Verdana" w:hAnsi="Verdana" w:cs="Tahoma"/>
          <w:sz w:val="20"/>
          <w:szCs w:val="20"/>
        </w:rPr>
        <w:t xml:space="preserve"> e das Instituições Financeiras. A Emissora poderá sofrer perdas patrimoniais, caso os processos operacionais descritos na presente Escritura de Emissão, no Contrato de Cessão Fiduciária e nos contratos com os respectivos prestadores de serviços vinculados à Emissão venham a sofrer falhas técnicas ou sejam comprometidos pela necessidade de substituição de qualquer dos prestadores de serviços contratados.</w:t>
      </w:r>
    </w:p>
    <w:p w14:paraId="6EDD9B70" w14:textId="77777777" w:rsidR="00EB5CDB" w:rsidRDefault="00EB5CDB">
      <w:pPr>
        <w:autoSpaceDE/>
        <w:autoSpaceDN/>
        <w:adjustRightInd/>
        <w:spacing w:after="120" w:line="320" w:lineRule="exact"/>
        <w:jc w:val="both"/>
        <w:rPr>
          <w:rFonts w:ascii="Verdana" w:hAnsi="Verdana" w:cs="Tahoma"/>
          <w:b/>
          <w:sz w:val="20"/>
          <w:szCs w:val="20"/>
        </w:rPr>
      </w:pPr>
    </w:p>
    <w:p w14:paraId="46A10755" w14:textId="77777777"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b/>
          <w:sz w:val="20"/>
          <w:szCs w:val="20"/>
        </w:rPr>
        <w:t>Risco de questionamento da validade e da eficácia jurídica</w:t>
      </w:r>
    </w:p>
    <w:p w14:paraId="2AA3143C"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Modificação dos Direitos Creditórios Vinculados por Decisão Judicial</w:t>
      </w:r>
    </w:p>
    <w:p w14:paraId="4D4BF8CB"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Os Direitos Creditórios Vinculados podem eventualmente ter suas condições questionadas em juízo pelos respectivos Tomadores, inclusive em razão dos juros e encargos aplicáveis. Não pode ser afastada a possibilidade de os Tomadores lograrem êxito nas eventuais demandas ajuizadas. Nessa hipótese, os Direitos Creditórios Vinculados podem ter seus valores reduzidos ou até anulados em decisões judiciais, o que afetaria negativamente o patrimônio da Emissora.</w:t>
      </w:r>
    </w:p>
    <w:p w14:paraId="76946A05" w14:textId="77777777" w:rsidR="00EB5CDB" w:rsidRDefault="00EB5CDB">
      <w:pPr>
        <w:autoSpaceDE/>
        <w:autoSpaceDN/>
        <w:adjustRightInd/>
        <w:spacing w:after="120" w:line="320" w:lineRule="exact"/>
        <w:jc w:val="both"/>
        <w:rPr>
          <w:rFonts w:ascii="Verdana" w:hAnsi="Verdana" w:cs="Tahoma"/>
          <w:i/>
          <w:sz w:val="20"/>
          <w:szCs w:val="20"/>
          <w:u w:val="single"/>
        </w:rPr>
      </w:pPr>
    </w:p>
    <w:p w14:paraId="36B43FB2"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r>
        <w:rPr>
          <w:rFonts w:ascii="Verdana" w:hAnsi="Verdana" w:cs="Tahoma"/>
          <w:i/>
          <w:sz w:val="20"/>
          <w:szCs w:val="20"/>
          <w:u w:val="single"/>
        </w:rPr>
        <w:t>Risco de questionamento da validade e da eficácia jurídica da cessão dos Direitos Creditórios Vinculados</w:t>
      </w:r>
    </w:p>
    <w:p w14:paraId="3BFC6F7F" w14:textId="4F9CFF28" w:rsidR="00EB5CDB" w:rsidRDefault="008E55E6">
      <w:pPr>
        <w:autoSpaceDE/>
        <w:autoSpaceDN/>
        <w:adjustRightInd/>
        <w:spacing w:after="120" w:line="320" w:lineRule="exact"/>
        <w:jc w:val="both"/>
        <w:rPr>
          <w:rFonts w:ascii="Verdana" w:hAnsi="Verdana" w:cs="Tahoma"/>
          <w:b/>
          <w:sz w:val="20"/>
          <w:szCs w:val="20"/>
        </w:rPr>
      </w:pPr>
      <w:r>
        <w:rPr>
          <w:rFonts w:ascii="Verdana" w:hAnsi="Verdana" w:cs="Tahoma"/>
          <w:sz w:val="20"/>
          <w:szCs w:val="20"/>
        </w:rPr>
        <w:t xml:space="preserve">A validade da cessão dos Direitos Creditórios Vinculados à Emissora poderá ser questionada por conta de obrigações assumidas pela Instituição </w:t>
      </w:r>
      <w:r w:rsidR="008D6F6D">
        <w:rPr>
          <w:rFonts w:ascii="Verdana" w:hAnsi="Verdana" w:cs="Tahoma"/>
          <w:sz w:val="20"/>
          <w:szCs w:val="20"/>
        </w:rPr>
        <w:t>Financeira Endossante</w:t>
      </w:r>
      <w:r>
        <w:rPr>
          <w:rFonts w:ascii="Verdana" w:hAnsi="Verdana" w:cs="Tahoma"/>
          <w:sz w:val="20"/>
          <w:szCs w:val="20"/>
        </w:rPr>
        <w:t xml:space="preserve"> e/ou em decorrência de sua intervenção ou liquidação extrajudicial. Os principais eventos que podem afetar a cessão dos Direitos Creditórios Vinculados consistem </w:t>
      </w:r>
      <w:r>
        <w:rPr>
          <w:rFonts w:ascii="Verdana" w:hAnsi="Verdana" w:cs="Tahoma"/>
          <w:b/>
          <w:sz w:val="20"/>
          <w:szCs w:val="20"/>
        </w:rPr>
        <w:t>(i)</w:t>
      </w:r>
      <w:r>
        <w:rPr>
          <w:rFonts w:ascii="Verdana" w:hAnsi="Verdana" w:cs="Tahoma"/>
          <w:sz w:val="20"/>
          <w:szCs w:val="20"/>
        </w:rPr>
        <w:t xml:space="preserve"> na existência de garantias reais sobre os Direitos Creditórios Vinculados, constituídas antes da sua cessão à Emissora, sem conhecimento da mesma; </w:t>
      </w:r>
      <w:r>
        <w:rPr>
          <w:rFonts w:ascii="Verdana" w:hAnsi="Verdana" w:cs="Tahoma"/>
          <w:b/>
          <w:sz w:val="20"/>
          <w:szCs w:val="20"/>
        </w:rPr>
        <w:t>(ii)</w:t>
      </w:r>
      <w:r>
        <w:rPr>
          <w:rFonts w:ascii="Verdana" w:hAnsi="Verdana" w:cs="Tahoma"/>
          <w:sz w:val="20"/>
          <w:szCs w:val="20"/>
        </w:rPr>
        <w:t xml:space="preserve"> na existência de penhora ou outra forma de constrição judicial sobre os Direitos Creditórios Vinculados, ocorridas antes da sua cessão à Emissora e sem o conhecimento da mesma; </w:t>
      </w:r>
      <w:r>
        <w:rPr>
          <w:rFonts w:ascii="Verdana" w:hAnsi="Verdana" w:cs="Tahoma"/>
          <w:b/>
          <w:sz w:val="20"/>
          <w:szCs w:val="20"/>
        </w:rPr>
        <w:t>(iii)</w:t>
      </w:r>
      <w:r>
        <w:rPr>
          <w:rFonts w:ascii="Verdana" w:hAnsi="Verdana" w:cs="Tahoma"/>
          <w:sz w:val="20"/>
          <w:szCs w:val="20"/>
        </w:rPr>
        <w:t xml:space="preserve"> na verificação, em processo judicial, de fraude contra credores ou fraude à execução praticada pela Instituição </w:t>
      </w:r>
      <w:r w:rsidR="008D6F6D">
        <w:rPr>
          <w:rFonts w:ascii="Verdana" w:hAnsi="Verdana" w:cs="Tahoma"/>
          <w:sz w:val="20"/>
          <w:szCs w:val="20"/>
        </w:rPr>
        <w:t>Financeira Endossante</w:t>
      </w:r>
      <w:r>
        <w:rPr>
          <w:rFonts w:ascii="Verdana" w:hAnsi="Verdana" w:cs="Tahoma"/>
          <w:sz w:val="20"/>
          <w:szCs w:val="20"/>
        </w:rPr>
        <w:t xml:space="preserve">, ou caso a cessão dos Direitos Creditórios Vinculados seja considerada simulada; e </w:t>
      </w:r>
      <w:r>
        <w:rPr>
          <w:rFonts w:ascii="Verdana" w:hAnsi="Verdana" w:cs="Tahoma"/>
          <w:b/>
          <w:sz w:val="20"/>
          <w:szCs w:val="20"/>
        </w:rPr>
        <w:t>(iv)</w:t>
      </w:r>
      <w:r>
        <w:rPr>
          <w:rFonts w:ascii="Verdana" w:hAnsi="Verdana" w:cs="Tahoma"/>
          <w:sz w:val="20"/>
          <w:szCs w:val="20"/>
        </w:rPr>
        <w:t xml:space="preserve"> na revogação da cessão dos Direitos Creditórios Vinculados à Emissora, quando restar comprovado que tal cessão foi praticada com a intenção de prejudicar os credores da Instituição </w:t>
      </w:r>
      <w:r w:rsidR="008D6F6D">
        <w:rPr>
          <w:rFonts w:ascii="Verdana" w:hAnsi="Verdana" w:cs="Tahoma"/>
          <w:sz w:val="20"/>
          <w:szCs w:val="20"/>
        </w:rPr>
        <w:t>Financeira Endossante</w:t>
      </w:r>
      <w:r>
        <w:rPr>
          <w:rFonts w:ascii="Verdana" w:hAnsi="Verdana" w:cs="Tahoma"/>
          <w:sz w:val="20"/>
          <w:szCs w:val="20"/>
        </w:rPr>
        <w:t xml:space="preserve">. Nessas hipóteses, os Direitos Creditórios Vinculados poderão ser alcançados por obrigações da Instituição </w:t>
      </w:r>
      <w:r w:rsidR="008D6F6D">
        <w:rPr>
          <w:rFonts w:ascii="Verdana" w:hAnsi="Verdana" w:cs="Tahoma"/>
          <w:sz w:val="20"/>
          <w:szCs w:val="20"/>
        </w:rPr>
        <w:t>Financeira Endossante</w:t>
      </w:r>
      <w:r>
        <w:rPr>
          <w:rFonts w:ascii="Verdana" w:hAnsi="Verdana" w:cs="Tahoma"/>
          <w:sz w:val="20"/>
          <w:szCs w:val="20"/>
        </w:rPr>
        <w:t>.</w:t>
      </w:r>
    </w:p>
    <w:p w14:paraId="5E4E4130" w14:textId="77777777" w:rsidR="00EB5CDB" w:rsidRDefault="00EB5CDB">
      <w:pPr>
        <w:autoSpaceDE/>
        <w:autoSpaceDN/>
        <w:adjustRightInd/>
        <w:spacing w:after="120" w:line="320" w:lineRule="exact"/>
        <w:jc w:val="both"/>
        <w:rPr>
          <w:rFonts w:ascii="Verdana" w:hAnsi="Verdana" w:cs="Tahoma"/>
          <w:b/>
          <w:sz w:val="20"/>
          <w:szCs w:val="20"/>
        </w:rPr>
      </w:pPr>
    </w:p>
    <w:p w14:paraId="7B27B769" w14:textId="77777777" w:rsidR="00EB5CDB" w:rsidRDefault="008E55E6">
      <w:pPr>
        <w:tabs>
          <w:tab w:val="left" w:pos="1134"/>
        </w:tabs>
        <w:spacing w:after="200" w:line="240" w:lineRule="exact"/>
        <w:jc w:val="both"/>
        <w:outlineLvl w:val="2"/>
        <w:rPr>
          <w:rFonts w:ascii="Verdana" w:hAnsi="Verdana" w:cs="Tahoma"/>
          <w:i/>
          <w:sz w:val="20"/>
          <w:szCs w:val="20"/>
          <w:u w:val="single"/>
        </w:rPr>
      </w:pPr>
      <w:r>
        <w:rPr>
          <w:rFonts w:ascii="Verdana" w:hAnsi="Verdana" w:cs="Tahoma"/>
          <w:i/>
          <w:sz w:val="20"/>
          <w:szCs w:val="20"/>
          <w:u w:val="single"/>
        </w:rPr>
        <w:t>Cessão de crédito a entidades não integrante do Sistema Financeiro Nacional</w:t>
      </w:r>
    </w:p>
    <w:p w14:paraId="3DB42357" w14:textId="54F5876F"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Os Direitos Creditórios Vinculados são CCB, a serem emitidas em favor da Instituição </w:t>
      </w:r>
      <w:r w:rsidR="008D6F6D">
        <w:rPr>
          <w:rFonts w:ascii="Verdana" w:hAnsi="Verdana" w:cs="Tahoma"/>
          <w:sz w:val="20"/>
          <w:szCs w:val="20"/>
        </w:rPr>
        <w:t>Financeira Endossante</w:t>
      </w:r>
      <w:r>
        <w:rPr>
          <w:rFonts w:ascii="Verdana" w:hAnsi="Verdana" w:cs="Tahoma"/>
          <w:sz w:val="20"/>
          <w:szCs w:val="20"/>
        </w:rPr>
        <w:t xml:space="preserve"> e posteriormente cedidas e/ou endossadas em favor da Emissora. Determinadas decisões judiciais estabeleceram, nas situações nelas previstas, que as cessões de créditos a entidades não participantes do Sistema Financeiro Nacional não atribuiriam, a tais cessionários, as mesmas prerrogativas que seriam atribuídas a entidades integrantes do Sistema Financeiro Nacional, incluindo a prerrogativa de cobrança de juros superiores aos limitados pela Lei de Usura (Decreto-lei nº 22.626, de 7 de abril de 1933), conforme ampla jurisprudência consolidada com a inteligência da Súmula Vinculante nº 7 e Súmula 596, ambas do Supremo Tribunal Federal e da Súmula 382 do Superior Tribunal de Justiça.</w:t>
      </w:r>
    </w:p>
    <w:p w14:paraId="42BCA589"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Não é possível prever: </w:t>
      </w:r>
      <w:r>
        <w:rPr>
          <w:rFonts w:ascii="Verdana" w:hAnsi="Verdana" w:cs="Tahoma"/>
          <w:b/>
          <w:sz w:val="20"/>
          <w:szCs w:val="20"/>
        </w:rPr>
        <w:t>(i)</w:t>
      </w:r>
      <w:r>
        <w:rPr>
          <w:rFonts w:ascii="Verdana" w:hAnsi="Verdana" w:cs="Tahoma"/>
          <w:sz w:val="20"/>
          <w:szCs w:val="20"/>
        </w:rPr>
        <w:t xml:space="preserve"> a caracterização da Emissora, pelo Poder Judiciário, numa eventual disputa judicial, como instituição integrante ou não do Sistema Financeiro Nacional; nem se </w:t>
      </w:r>
      <w:r>
        <w:rPr>
          <w:rFonts w:ascii="Verdana" w:hAnsi="Verdana" w:cs="Tahoma"/>
          <w:b/>
          <w:sz w:val="20"/>
          <w:szCs w:val="20"/>
        </w:rPr>
        <w:t>(ii)</w:t>
      </w:r>
      <w:r>
        <w:rPr>
          <w:rFonts w:ascii="Verdana" w:hAnsi="Verdana" w:cs="Tahoma"/>
          <w:sz w:val="20"/>
          <w:szCs w:val="20"/>
        </w:rPr>
        <w:t xml:space="preserve"> serão impostas ou não, por meio de decisão judicial, limitações ao exercício, pela Emissora, de prerrogativas estabelecidas nas CCB referentes à cobrança de encargos e/ou juros remuneratórios, e, assim, não é possível garantir que em tais cenários de disputa serão amplamente observados e aplicados os termos e condições dos atos jurídicos representados pela emissão da CCB e por seu endosso e/ou cessão em favor da Emissora. Tais cenários poderão afetar negativamente o fluxo de pagamentos das Debêntures.</w:t>
      </w:r>
    </w:p>
    <w:p w14:paraId="2FB33233"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645" w:name="_Toc441140083"/>
      <w:bookmarkStart w:id="646" w:name="_Toc448520325"/>
      <w:bookmarkStart w:id="647" w:name="_Toc462143059"/>
      <w:bookmarkStart w:id="648" w:name="_Toc462143295"/>
      <w:r>
        <w:rPr>
          <w:rFonts w:ascii="Verdana" w:eastAsia="Arial Unicode MS" w:hAnsi="Verdana" w:cs="Tahoma"/>
          <w:b/>
          <w:sz w:val="20"/>
          <w:szCs w:val="20"/>
        </w:rPr>
        <w:t>Risco de pré-</w:t>
      </w:r>
      <w:r>
        <w:rPr>
          <w:rFonts w:ascii="Verdana" w:hAnsi="Verdana" w:cs="Tahoma"/>
          <w:b/>
          <w:sz w:val="20"/>
          <w:szCs w:val="20"/>
        </w:rPr>
        <w:t>pagamento</w:t>
      </w:r>
      <w:bookmarkEnd w:id="645"/>
      <w:bookmarkEnd w:id="646"/>
      <w:bookmarkEnd w:id="647"/>
      <w:bookmarkEnd w:id="648"/>
    </w:p>
    <w:p w14:paraId="0899ADD7" w14:textId="77777777" w:rsidR="00EB5CDB" w:rsidRDefault="008E55E6">
      <w:pPr>
        <w:spacing w:after="120" w:line="320" w:lineRule="exact"/>
        <w:ind w:right="-2"/>
        <w:jc w:val="both"/>
        <w:rPr>
          <w:rFonts w:ascii="Verdana" w:hAnsi="Verdana" w:cs="Tahoma"/>
          <w:sz w:val="20"/>
          <w:szCs w:val="20"/>
        </w:rPr>
      </w:pPr>
      <w:r>
        <w:rPr>
          <w:rFonts w:ascii="Verdana" w:hAnsi="Verdana" w:cs="Tahoma"/>
          <w:sz w:val="20"/>
          <w:szCs w:val="20"/>
        </w:rPr>
        <w:t>Os Tomadores poderão optar por pagar antecipadamente os Direitos Creditórios Vinculados, mediante o pagamento integral das respectivas obrigações. Nessas hipóteses, os Debenturistas poderão ter seu horizonte original de investimento reduzido e poderão não conseguir reinvestir os recursos recebidos com a mesma remuneração, conforme o caso, oferecida pelas Debêntures.</w:t>
      </w:r>
    </w:p>
    <w:p w14:paraId="0AAEC662" w14:textId="77777777" w:rsidR="00EB5CDB" w:rsidRDefault="00EB5CDB">
      <w:pPr>
        <w:spacing w:after="120" w:line="320" w:lineRule="exact"/>
        <w:jc w:val="both"/>
        <w:rPr>
          <w:rFonts w:ascii="Verdana" w:hAnsi="Verdana" w:cs="Tahoma"/>
          <w:sz w:val="20"/>
          <w:szCs w:val="20"/>
        </w:rPr>
      </w:pPr>
    </w:p>
    <w:p w14:paraId="6DFD56B2" w14:textId="77777777" w:rsidR="00EB5CDB" w:rsidRDefault="008E55E6">
      <w:pPr>
        <w:keepNext/>
        <w:autoSpaceDE/>
        <w:autoSpaceDN/>
        <w:adjustRightInd/>
        <w:spacing w:after="120" w:line="320" w:lineRule="exact"/>
        <w:jc w:val="both"/>
        <w:outlineLvl w:val="1"/>
        <w:rPr>
          <w:rFonts w:ascii="Verdana" w:eastAsia="Arial Unicode MS" w:hAnsi="Verdana" w:cs="Tahoma"/>
          <w:b/>
          <w:sz w:val="20"/>
          <w:szCs w:val="20"/>
        </w:rPr>
      </w:pPr>
      <w:bookmarkStart w:id="649" w:name="_Toc441140085"/>
      <w:bookmarkStart w:id="650" w:name="_Toc448520327"/>
      <w:bookmarkStart w:id="651" w:name="_Toc462143061"/>
      <w:bookmarkStart w:id="652" w:name="_Toc462143297"/>
      <w:r>
        <w:rPr>
          <w:rFonts w:ascii="Verdana" w:eastAsia="Arial Unicode MS" w:hAnsi="Verdana" w:cs="Tahoma"/>
          <w:b/>
          <w:sz w:val="20"/>
          <w:szCs w:val="20"/>
        </w:rPr>
        <w:t xml:space="preserve">Outros </w:t>
      </w:r>
      <w:r>
        <w:rPr>
          <w:rFonts w:ascii="Verdana" w:hAnsi="Verdana" w:cs="Tahoma"/>
          <w:b/>
          <w:sz w:val="20"/>
          <w:szCs w:val="20"/>
        </w:rPr>
        <w:t>riscos</w:t>
      </w:r>
      <w:bookmarkEnd w:id="649"/>
      <w:bookmarkEnd w:id="650"/>
      <w:bookmarkEnd w:id="651"/>
      <w:bookmarkEnd w:id="652"/>
    </w:p>
    <w:p w14:paraId="2AF3D43D"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653" w:name="_Toc441140088"/>
      <w:bookmarkStart w:id="654" w:name="_Toc448520330"/>
      <w:bookmarkStart w:id="655" w:name="_Toc462143064"/>
      <w:bookmarkStart w:id="656" w:name="_Toc462143300"/>
      <w:r>
        <w:rPr>
          <w:rFonts w:ascii="Verdana" w:hAnsi="Verdana" w:cs="Tahoma"/>
          <w:i/>
          <w:sz w:val="20"/>
          <w:szCs w:val="20"/>
          <w:u w:val="single"/>
        </w:rPr>
        <w:t>Inexistência de propriedade direta</w:t>
      </w:r>
      <w:bookmarkEnd w:id="653"/>
      <w:bookmarkEnd w:id="654"/>
      <w:bookmarkEnd w:id="655"/>
      <w:bookmarkEnd w:id="656"/>
      <w:r>
        <w:rPr>
          <w:rFonts w:ascii="Verdana" w:hAnsi="Verdana" w:cs="Tahoma"/>
          <w:i/>
          <w:sz w:val="20"/>
          <w:szCs w:val="20"/>
          <w:u w:val="single"/>
        </w:rPr>
        <w:t xml:space="preserve"> dos Direitos Creditórios Vinculados</w:t>
      </w:r>
    </w:p>
    <w:p w14:paraId="6721FF73"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A titularidade das Debêntures não confere, aos Debenturistas, a propriedade direta sobre os Direitos Creditórios Vinculados ou sobre fração ideal específica dos Direitos Creditórios Vinculados.</w:t>
      </w:r>
    </w:p>
    <w:p w14:paraId="1E51D012" w14:textId="77777777" w:rsidR="00EB5CDB" w:rsidRDefault="00EB5CDB">
      <w:pPr>
        <w:autoSpaceDE/>
        <w:autoSpaceDN/>
        <w:adjustRightInd/>
        <w:spacing w:after="120" w:line="320" w:lineRule="exact"/>
        <w:jc w:val="both"/>
        <w:rPr>
          <w:rFonts w:ascii="Verdana" w:hAnsi="Verdana" w:cs="Tahoma"/>
          <w:b/>
          <w:sz w:val="20"/>
          <w:szCs w:val="20"/>
        </w:rPr>
      </w:pPr>
    </w:p>
    <w:p w14:paraId="43A80E97" w14:textId="77777777" w:rsidR="00EB5CDB" w:rsidRDefault="008E55E6">
      <w:pPr>
        <w:keepNext/>
        <w:autoSpaceDE/>
        <w:autoSpaceDN/>
        <w:adjustRightInd/>
        <w:spacing w:after="120" w:line="320" w:lineRule="exact"/>
        <w:jc w:val="both"/>
        <w:outlineLvl w:val="2"/>
        <w:rPr>
          <w:rFonts w:ascii="Verdana" w:hAnsi="Verdana" w:cs="Tahoma"/>
          <w:i/>
          <w:sz w:val="20"/>
          <w:szCs w:val="20"/>
          <w:u w:val="single"/>
        </w:rPr>
      </w:pPr>
      <w:bookmarkStart w:id="657" w:name="_Ref441139651"/>
      <w:bookmarkStart w:id="658" w:name="_Toc441140089"/>
      <w:bookmarkStart w:id="659" w:name="_Toc448520331"/>
      <w:bookmarkStart w:id="660" w:name="_Toc462143065"/>
      <w:bookmarkStart w:id="661" w:name="_Toc462143301"/>
      <w:r>
        <w:rPr>
          <w:rFonts w:ascii="Verdana" w:hAnsi="Verdana" w:cs="Tahoma"/>
          <w:i/>
          <w:sz w:val="20"/>
          <w:szCs w:val="20"/>
          <w:u w:val="single"/>
        </w:rPr>
        <w:t>Ausência de Classificação de risco</w:t>
      </w:r>
      <w:bookmarkEnd w:id="657"/>
      <w:bookmarkEnd w:id="658"/>
      <w:bookmarkEnd w:id="659"/>
      <w:bookmarkEnd w:id="660"/>
      <w:bookmarkEnd w:id="661"/>
      <w:r>
        <w:rPr>
          <w:rFonts w:ascii="Verdana" w:hAnsi="Verdana" w:cs="Tahoma"/>
          <w:i/>
          <w:sz w:val="20"/>
          <w:szCs w:val="20"/>
          <w:u w:val="single"/>
        </w:rPr>
        <w:t xml:space="preserve"> das Debêntures</w:t>
      </w:r>
    </w:p>
    <w:p w14:paraId="21449EB5" w14:textId="77777777" w:rsidR="00EB5CDB" w:rsidRDefault="008E55E6">
      <w:pPr>
        <w:spacing w:after="120" w:line="320" w:lineRule="exact"/>
        <w:jc w:val="both"/>
        <w:rPr>
          <w:rFonts w:ascii="Verdana" w:hAnsi="Verdana" w:cs="Tahoma"/>
          <w:sz w:val="20"/>
          <w:szCs w:val="20"/>
        </w:rPr>
      </w:pPr>
      <w:r>
        <w:rPr>
          <w:rFonts w:ascii="Verdana" w:hAnsi="Verdana" w:cs="Tahoma"/>
          <w:sz w:val="20"/>
          <w:szCs w:val="20"/>
        </w:rPr>
        <w:t>Não será atribuída classificação de risco às Debêntures, portanto os Debenturistas não contarão com classificação de risco para realizar suas análises quanto ao investimento nas Debêntures.</w:t>
      </w:r>
    </w:p>
    <w:p w14:paraId="60895626" w14:textId="77777777" w:rsidR="00EB5CDB" w:rsidRDefault="00EB5CDB">
      <w:pPr>
        <w:widowControl w:val="0"/>
        <w:autoSpaceDE/>
        <w:autoSpaceDN/>
        <w:adjustRightInd/>
        <w:spacing w:after="120" w:line="320" w:lineRule="exact"/>
        <w:jc w:val="both"/>
        <w:rPr>
          <w:rFonts w:ascii="Verdana" w:hAnsi="Verdana" w:cs="Tahoma"/>
          <w:sz w:val="20"/>
          <w:szCs w:val="20"/>
        </w:rPr>
      </w:pPr>
    </w:p>
    <w:p w14:paraId="0FBAEC30" w14:textId="77777777" w:rsidR="00EB5CDB" w:rsidRDefault="008E55E6">
      <w:pPr>
        <w:widowControl w:val="0"/>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Risco de não aprovação de matérias em Assembleia Geral</w:t>
      </w:r>
    </w:p>
    <w:p w14:paraId="1103B4FF" w14:textId="77777777" w:rsidR="00EB5CDB" w:rsidRDefault="008E55E6">
      <w:pPr>
        <w:widowControl w:val="0"/>
        <w:autoSpaceDE/>
        <w:autoSpaceDN/>
        <w:adjustRightInd/>
        <w:spacing w:after="120" w:line="320" w:lineRule="exact"/>
        <w:jc w:val="both"/>
        <w:rPr>
          <w:rFonts w:ascii="Verdana" w:hAnsi="Verdana" w:cs="Tahoma"/>
          <w:sz w:val="20"/>
          <w:szCs w:val="20"/>
        </w:rPr>
      </w:pPr>
      <w:r>
        <w:rPr>
          <w:rFonts w:ascii="Verdana" w:hAnsi="Verdana" w:cs="Tahoma"/>
          <w:sz w:val="20"/>
          <w:szCs w:val="20"/>
        </w:rPr>
        <w:t>Determinadas matérias de interesse dos Debenturistas serão objeto de deliberação em Assembleia Geral, de forma que as respectivas aprovações dependerão do atingimento de quóruns específicos estabelecidos na Escritura de Emissão. Dessa maneira, não é possível garantir que assuntos relevantes e de interesse dos Debenturistas serão referendados pela Assembleia Geral, o que poderá vir a ocasionar prejuízos aos Debenturistas.</w:t>
      </w:r>
    </w:p>
    <w:p w14:paraId="56436005" w14:textId="77777777" w:rsidR="00EB5CDB" w:rsidRDefault="00EB5CDB">
      <w:pPr>
        <w:autoSpaceDE/>
        <w:autoSpaceDN/>
        <w:adjustRightInd/>
        <w:spacing w:after="120" w:line="320" w:lineRule="exact"/>
        <w:jc w:val="both"/>
        <w:rPr>
          <w:rFonts w:ascii="Verdana" w:hAnsi="Verdana" w:cs="Tahoma"/>
          <w:i/>
          <w:sz w:val="20"/>
          <w:szCs w:val="20"/>
        </w:rPr>
      </w:pPr>
    </w:p>
    <w:p w14:paraId="71C7814C" w14:textId="77777777" w:rsidR="00EB5CDB" w:rsidRDefault="008E55E6">
      <w:pPr>
        <w:autoSpaceDE/>
        <w:autoSpaceDN/>
        <w:adjustRightInd/>
        <w:spacing w:after="120" w:line="320" w:lineRule="exact"/>
        <w:jc w:val="both"/>
        <w:rPr>
          <w:rFonts w:ascii="Verdana" w:hAnsi="Verdana" w:cs="Tahoma"/>
          <w:i/>
          <w:sz w:val="20"/>
          <w:szCs w:val="20"/>
          <w:u w:val="single"/>
        </w:rPr>
      </w:pPr>
      <w:r>
        <w:rPr>
          <w:rFonts w:ascii="Verdana" w:hAnsi="Verdana" w:cs="Tahoma"/>
          <w:i/>
          <w:sz w:val="20"/>
          <w:szCs w:val="20"/>
          <w:u w:val="single"/>
        </w:rPr>
        <w:t>O regime de colocação não garante a colocação das Debêntures</w:t>
      </w:r>
    </w:p>
    <w:p w14:paraId="0DB82684"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A Oferta Restrita será realizada em regime de melhores esforços de colocação para a totalidade das Debêntures. Não há garantia, portanto, de que qualquer Debênture será efetivamente colocada.</w:t>
      </w:r>
    </w:p>
    <w:p w14:paraId="6CAA4AA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 xml:space="preserve">Será admitida a distribuição parcial das Debêntures, sendo que a manutenção da Oferta Restrita está condicionada à subscrição Volume Mínimo da Emissão, de 1.416 (mil quatrocentos e dezesseis) Debêntures. </w:t>
      </w:r>
    </w:p>
    <w:p w14:paraId="5BFDD090" w14:textId="77777777" w:rsidR="00EB5CDB" w:rsidRDefault="008E55E6">
      <w:pPr>
        <w:autoSpaceDE/>
        <w:autoSpaceDN/>
        <w:adjustRightInd/>
        <w:spacing w:after="120" w:line="320" w:lineRule="exact"/>
        <w:jc w:val="both"/>
        <w:rPr>
          <w:rFonts w:ascii="Verdana" w:hAnsi="Verdana" w:cs="Tahoma"/>
          <w:sz w:val="20"/>
          <w:szCs w:val="20"/>
        </w:rPr>
      </w:pPr>
      <w:r>
        <w:rPr>
          <w:rFonts w:ascii="Verdana" w:hAnsi="Verdana" w:cs="Tahoma"/>
          <w:sz w:val="20"/>
          <w:szCs w:val="20"/>
        </w:rPr>
        <w:t>Não sendo atingido o Volume Mínimo da Emissão, a Oferta Restrita será cancelada pela Emissora. Em qualquer caso, os valores até então integralizados pelos Debenturistas serão devolvidos pela Emissora, no prazo de 3 (três) Dias Úteis contados da data do cancelamento, sem nenhum acréscimo ou correção.</w:t>
      </w:r>
    </w:p>
    <w:p w14:paraId="333708A5" w14:textId="77777777" w:rsidR="00EB5CDB" w:rsidRDefault="008E55E6">
      <w:pPr>
        <w:autoSpaceDE/>
        <w:autoSpaceDN/>
        <w:adjustRightInd/>
        <w:spacing w:before="120" w:after="120" w:line="280" w:lineRule="exact"/>
        <w:jc w:val="both"/>
        <w:rPr>
          <w:rFonts w:ascii="Verdana" w:hAnsi="Verdana" w:cs="Tahoma"/>
          <w:sz w:val="20"/>
          <w:szCs w:val="20"/>
        </w:rPr>
      </w:pPr>
      <w:r>
        <w:rPr>
          <w:rFonts w:ascii="Verdana" w:hAnsi="Verdana" w:cs="Tahoma"/>
          <w:sz w:val="20"/>
          <w:szCs w:val="20"/>
        </w:rPr>
        <w:t>Ademais, eventual distribuição parcial das Debêntures poderá reduzir a sua liquidez para negociação no mercado secundário, afetando o seu valor no mercado</w:t>
      </w:r>
    </w:p>
    <w:p w14:paraId="16EE456E" w14:textId="77777777" w:rsidR="00EB5CDB" w:rsidRDefault="00EB5CDB">
      <w:pPr>
        <w:autoSpaceDE/>
        <w:autoSpaceDN/>
        <w:adjustRightInd/>
        <w:spacing w:before="120" w:after="120" w:line="280" w:lineRule="exact"/>
        <w:jc w:val="both"/>
        <w:rPr>
          <w:del w:id="662" w:author="Gabriel Lopes" w:date="2020-09-17T00:08:00Z"/>
          <w:rFonts w:ascii="Verdana" w:hAnsi="Verdana" w:cs="Tahoma"/>
          <w:sz w:val="20"/>
          <w:szCs w:val="20"/>
        </w:rPr>
      </w:pPr>
    </w:p>
    <w:p w14:paraId="41D6525D" w14:textId="77777777" w:rsidR="002E1841" w:rsidRDefault="002E1841" w:rsidP="002E1841">
      <w:pPr>
        <w:autoSpaceDE/>
        <w:autoSpaceDN/>
        <w:adjustRightInd/>
        <w:rPr>
          <w:ins w:id="663" w:author="Gabriel Lopes" w:date="2020-09-17T00:08:00Z"/>
          <w:rFonts w:ascii="Verdana" w:hAnsi="Verdana" w:cs="Tahoma"/>
          <w:i/>
          <w:iCs/>
          <w:sz w:val="20"/>
          <w:szCs w:val="20"/>
          <w:u w:val="single"/>
        </w:rPr>
      </w:pPr>
      <w:ins w:id="664" w:author="Gabriel Lopes" w:date="2020-09-17T00:08:00Z">
        <w:r w:rsidRPr="00CC43A5">
          <w:rPr>
            <w:rFonts w:ascii="Verdana" w:hAnsi="Verdana" w:cs="Tahoma"/>
            <w:sz w:val="20"/>
            <w:szCs w:val="20"/>
          </w:rPr>
          <w:t> </w:t>
        </w:r>
        <w:r w:rsidRPr="00CC43A5">
          <w:rPr>
            <w:rFonts w:ascii="Verdana" w:hAnsi="Verdana" w:cs="Tahoma"/>
            <w:i/>
            <w:iCs/>
            <w:sz w:val="20"/>
            <w:szCs w:val="20"/>
            <w:u w:val="single"/>
          </w:rPr>
          <w:t>Solicitação de Integralização</w:t>
        </w:r>
      </w:ins>
    </w:p>
    <w:p w14:paraId="5622981E" w14:textId="77777777" w:rsidR="002E1841" w:rsidRPr="00CC43A5" w:rsidRDefault="002E1841" w:rsidP="002E1841">
      <w:pPr>
        <w:autoSpaceDE/>
        <w:autoSpaceDN/>
        <w:adjustRightInd/>
        <w:rPr>
          <w:ins w:id="665" w:author="Gabriel Lopes" w:date="2020-09-17T00:08:00Z"/>
          <w:rFonts w:ascii="Verdana" w:hAnsi="Verdana" w:cs="Tahoma"/>
          <w:sz w:val="20"/>
          <w:szCs w:val="20"/>
        </w:rPr>
      </w:pPr>
    </w:p>
    <w:p w14:paraId="0832AB0B" w14:textId="77777777" w:rsidR="002E1841" w:rsidRPr="00CC43A5" w:rsidRDefault="002E1841" w:rsidP="002E1841">
      <w:pPr>
        <w:autoSpaceDE/>
        <w:autoSpaceDN/>
        <w:adjustRightInd/>
        <w:spacing w:after="120" w:line="320" w:lineRule="exact"/>
        <w:jc w:val="both"/>
        <w:rPr>
          <w:ins w:id="666" w:author="Gabriel Lopes" w:date="2020-09-17T00:08:00Z"/>
          <w:rFonts w:ascii="Verdana" w:hAnsi="Verdana" w:cs="Tahoma"/>
          <w:sz w:val="20"/>
          <w:szCs w:val="20"/>
        </w:rPr>
      </w:pPr>
      <w:ins w:id="667" w:author="Gabriel Lopes" w:date="2020-09-17T00:08:00Z">
        <w:r w:rsidRPr="00CC43A5">
          <w:rPr>
            <w:rFonts w:ascii="Verdana" w:hAnsi="Verdana" w:cs="Tahoma"/>
            <w:sz w:val="20"/>
            <w:szCs w:val="20"/>
          </w:rPr>
          <w:t>A Emissora realizará, dentro dos prazos estabelecidos nos Boletins de Subscrição, solicitações de integralização para que os Debenturistas integralizem as Debêntures previamente subscritas. A indisponibilidade de recursos dos Debenturistas pode levar ao inadimplemento de sua obrigação de integralizar as Debêntures, reduzindo os montantes a serem direcionados para a aquisição de CCBs. Nessas circunstâncias, a Emissora poderá ter sua capacidade financeira prejudicada.</w:t>
        </w:r>
      </w:ins>
    </w:p>
    <w:p w14:paraId="1AD866F1" w14:textId="77777777" w:rsidR="002E1841" w:rsidRPr="00D8596F" w:rsidRDefault="002E1841" w:rsidP="002E1841">
      <w:pPr>
        <w:autoSpaceDE/>
        <w:autoSpaceDN/>
        <w:adjustRightInd/>
        <w:rPr>
          <w:ins w:id="668" w:author="Gabriel Lopes" w:date="2020-09-17T00:08:00Z"/>
          <w:rFonts w:ascii="Verdana" w:hAnsi="Verdana" w:cs="Tahoma"/>
          <w:i/>
          <w:iCs/>
          <w:sz w:val="20"/>
          <w:szCs w:val="20"/>
          <w:u w:val="single"/>
        </w:rPr>
      </w:pPr>
    </w:p>
    <w:p w14:paraId="7AF1E9E3" w14:textId="77777777" w:rsidR="002E1841" w:rsidRDefault="002E1841" w:rsidP="002E1841">
      <w:pPr>
        <w:autoSpaceDE/>
        <w:autoSpaceDN/>
        <w:adjustRightInd/>
        <w:jc w:val="both"/>
        <w:rPr>
          <w:ins w:id="669" w:author="Gabriel Lopes" w:date="2020-09-17T00:08:00Z"/>
          <w:rFonts w:ascii="Verdana" w:hAnsi="Verdana" w:cs="Tahoma"/>
          <w:i/>
          <w:iCs/>
          <w:sz w:val="20"/>
          <w:szCs w:val="20"/>
          <w:u w:val="single"/>
        </w:rPr>
      </w:pPr>
      <w:ins w:id="670" w:author="Gabriel Lopes" w:date="2020-09-17T00:08:00Z">
        <w:r w:rsidRPr="00D8596F">
          <w:rPr>
            <w:rFonts w:ascii="Verdana" w:hAnsi="Verdana" w:cs="Tahoma"/>
            <w:i/>
            <w:iCs/>
            <w:sz w:val="20"/>
            <w:szCs w:val="20"/>
            <w:u w:val="single"/>
          </w:rPr>
          <w:t>A pandemia do Coronavírus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w:t>
        </w:r>
        <w:r>
          <w:rPr>
            <w:rFonts w:ascii="Verdana" w:hAnsi="Verdana" w:cs="Tahoma"/>
            <w:i/>
            <w:iCs/>
            <w:sz w:val="20"/>
            <w:szCs w:val="20"/>
            <w:u w:val="single"/>
          </w:rPr>
          <w:t>te anexo</w:t>
        </w:r>
        <w:r w:rsidRPr="00D8596F">
          <w:rPr>
            <w:rFonts w:ascii="Verdana" w:hAnsi="Verdana" w:cs="Tahoma"/>
            <w:i/>
            <w:iCs/>
            <w:sz w:val="20"/>
            <w:szCs w:val="20"/>
            <w:u w:val="single"/>
          </w:rPr>
          <w:t>.</w:t>
        </w:r>
      </w:ins>
    </w:p>
    <w:p w14:paraId="2DA6AE77" w14:textId="77777777" w:rsidR="002E1841" w:rsidRDefault="002E1841" w:rsidP="002E1841">
      <w:pPr>
        <w:autoSpaceDE/>
        <w:autoSpaceDN/>
        <w:adjustRightInd/>
        <w:jc w:val="both"/>
        <w:rPr>
          <w:ins w:id="671" w:author="Gabriel Lopes" w:date="2020-09-17T00:08:00Z"/>
          <w:rFonts w:ascii="Verdana" w:hAnsi="Verdana" w:cs="Tahoma"/>
          <w:i/>
          <w:iCs/>
          <w:sz w:val="20"/>
          <w:szCs w:val="20"/>
          <w:u w:val="single"/>
        </w:rPr>
      </w:pPr>
    </w:p>
    <w:p w14:paraId="6E7FCE97" w14:textId="77777777" w:rsidR="002E1841" w:rsidRPr="00D8596F" w:rsidRDefault="002E1841" w:rsidP="002E1841">
      <w:pPr>
        <w:autoSpaceDE/>
        <w:autoSpaceDN/>
        <w:adjustRightInd/>
        <w:spacing w:after="120" w:line="320" w:lineRule="exact"/>
        <w:jc w:val="both"/>
        <w:rPr>
          <w:ins w:id="672" w:author="Gabriel Lopes" w:date="2020-09-17T00:08:00Z"/>
          <w:rFonts w:ascii="Verdana" w:hAnsi="Verdana" w:cs="Tahoma"/>
          <w:sz w:val="20"/>
          <w:szCs w:val="20"/>
        </w:rPr>
      </w:pPr>
      <w:ins w:id="673" w:author="Gabriel Lopes" w:date="2020-09-17T00:08:00Z">
        <w:r w:rsidRPr="00D8596F">
          <w:rPr>
            <w:rFonts w:ascii="Verdana" w:hAnsi="Verdana" w:cs="Tahoma"/>
            <w:sz w:val="20"/>
            <w:szCs w:val="20"/>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ins>
    </w:p>
    <w:p w14:paraId="38255C02" w14:textId="77777777" w:rsidR="002E1841" w:rsidRPr="00D8596F" w:rsidRDefault="002E1841" w:rsidP="002E1841">
      <w:pPr>
        <w:autoSpaceDE/>
        <w:autoSpaceDN/>
        <w:adjustRightInd/>
        <w:spacing w:after="120" w:line="320" w:lineRule="exact"/>
        <w:jc w:val="both"/>
        <w:rPr>
          <w:ins w:id="674" w:author="Gabriel Lopes" w:date="2020-09-17T00:08:00Z"/>
          <w:rFonts w:ascii="Verdana" w:hAnsi="Verdana" w:cs="Tahoma"/>
          <w:sz w:val="20"/>
          <w:szCs w:val="20"/>
        </w:rPr>
      </w:pPr>
      <w:ins w:id="675" w:author="Gabriel Lopes" w:date="2020-09-17T00:08:00Z">
        <w:r w:rsidRPr="00D8596F">
          <w:rPr>
            <w:rFonts w:ascii="Verdana" w:hAnsi="Verdana" w:cs="Tahoma"/>
            <w:sz w:val="20"/>
            <w:szCs w:val="20"/>
          </w:rPr>
          <w:t>A pandemia do COVID-19 também resultou em uma volatilidade substancialmente maior nos mercados financeiros brasileiros e internacionais e em indicadores econômicos, incluindo taxas de câmbio, taxas de juros e spreads de crédito. A título de exemplo, como resultado da maior volatilidade, o circuit breaker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Emissora. Além disso, as preocupações do mercado podem se traduzir em restrições de liquidez e acesso reduzido a financiamento nos mercados local e internacional, afetando negativamente nossos negócios.</w:t>
        </w:r>
      </w:ins>
    </w:p>
    <w:p w14:paraId="0C479AF6" w14:textId="77777777" w:rsidR="002E1841" w:rsidRPr="00D8596F" w:rsidRDefault="002E1841" w:rsidP="002E1841">
      <w:pPr>
        <w:autoSpaceDE/>
        <w:autoSpaceDN/>
        <w:adjustRightInd/>
        <w:spacing w:after="120" w:line="320" w:lineRule="exact"/>
        <w:jc w:val="both"/>
        <w:rPr>
          <w:ins w:id="676" w:author="Gabriel Lopes" w:date="2020-09-17T00:08:00Z"/>
          <w:rFonts w:ascii="Verdana" w:hAnsi="Verdana" w:cs="Tahoma"/>
          <w:sz w:val="20"/>
          <w:szCs w:val="20"/>
        </w:rPr>
      </w:pPr>
      <w:ins w:id="677" w:author="Gabriel Lopes" w:date="2020-09-17T00:08:00Z">
        <w:r w:rsidRPr="00D8596F">
          <w:rPr>
            <w:rFonts w:ascii="Verdana" w:hAnsi="Verdana" w:cs="Tahoma"/>
            <w:sz w:val="20"/>
            <w:szCs w:val="20"/>
          </w:rPr>
          <w:t>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Emissora negocia e de outra forma atende. Até o momento, não há como prever até quando tais medidas permanecerão em vigor. Tais políticas e medidas influenciaram o comportamento do mercado consumidor e da população em geral, da demanda de serviços, produtos e de crédito.</w:t>
        </w:r>
      </w:ins>
    </w:p>
    <w:p w14:paraId="321087DD" w14:textId="77777777" w:rsidR="002E1841" w:rsidRPr="00D8596F" w:rsidRDefault="002E1841" w:rsidP="002E1841">
      <w:pPr>
        <w:autoSpaceDE/>
        <w:autoSpaceDN/>
        <w:adjustRightInd/>
        <w:spacing w:after="120" w:line="320" w:lineRule="exact"/>
        <w:jc w:val="both"/>
        <w:rPr>
          <w:ins w:id="678" w:author="Gabriel Lopes" w:date="2020-09-17T00:08:00Z"/>
          <w:rFonts w:ascii="Verdana" w:hAnsi="Verdana" w:cs="Tahoma"/>
          <w:sz w:val="20"/>
          <w:szCs w:val="20"/>
        </w:rPr>
      </w:pPr>
      <w:ins w:id="679" w:author="Gabriel Lopes" w:date="2020-09-17T00:08:00Z">
        <w:r w:rsidRPr="00D8596F">
          <w:rPr>
            <w:rFonts w:ascii="Verdana" w:hAnsi="Verdana" w:cs="Tahoma"/>
            <w:sz w:val="20"/>
            <w:szCs w:val="20"/>
          </w:rPr>
          <w:t xml:space="preserve">As políticas, procedimentos e métodos de gestão de riscos de mercado, de crédito e operacional da Emissora podem não ser eficazes para conter os riscos aos quais está exposta, ou os impactos causados ou potencializados pela atual pandemia. </w:t>
        </w:r>
      </w:ins>
    </w:p>
    <w:p w14:paraId="3F39017A" w14:textId="77777777" w:rsidR="002E1841" w:rsidRPr="00D8596F" w:rsidRDefault="002E1841" w:rsidP="002E1841">
      <w:pPr>
        <w:autoSpaceDE/>
        <w:autoSpaceDN/>
        <w:adjustRightInd/>
        <w:spacing w:after="120" w:line="320" w:lineRule="exact"/>
        <w:jc w:val="both"/>
        <w:rPr>
          <w:ins w:id="680" w:author="Gabriel Lopes" w:date="2020-09-17T00:08:00Z"/>
          <w:rFonts w:ascii="Verdana" w:hAnsi="Verdana" w:cs="Tahoma"/>
          <w:sz w:val="20"/>
          <w:szCs w:val="20"/>
        </w:rPr>
      </w:pPr>
      <w:ins w:id="681" w:author="Gabriel Lopes" w:date="2020-09-17T00:08:00Z">
        <w:r w:rsidRPr="00D8596F">
          <w:rPr>
            <w:rFonts w:ascii="Verdana" w:hAnsi="Verdana" w:cs="Tahoma"/>
            <w:sz w:val="20"/>
            <w:szCs w:val="20"/>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fornecer orientação quanto ao efeito da disseminação da COVID-19 e de uma pandemia global e, como resultado, o impacto final do surto da COVID-19 ou de uma epidemia de saúde semelhante é altamente incerto e sujeito a alterações. </w:t>
        </w:r>
      </w:ins>
    </w:p>
    <w:p w14:paraId="61535DBC" w14:textId="08FA7725" w:rsidR="00EB5CDB" w:rsidRDefault="002E1841" w:rsidP="002E1841">
      <w:pPr>
        <w:autoSpaceDE/>
        <w:autoSpaceDN/>
        <w:adjustRightInd/>
        <w:spacing w:before="120" w:after="120" w:line="280" w:lineRule="exact"/>
        <w:jc w:val="both"/>
        <w:rPr>
          <w:ins w:id="682" w:author="Gabriel Lopes" w:date="2020-09-17T00:08:00Z"/>
          <w:rFonts w:ascii="Verdana" w:hAnsi="Verdana" w:cs="Tahoma"/>
          <w:sz w:val="20"/>
          <w:szCs w:val="20"/>
        </w:rPr>
      </w:pPr>
      <w:ins w:id="683" w:author="Gabriel Lopes" w:date="2020-09-17T00:08:00Z">
        <w:r w:rsidRPr="00D8596F">
          <w:rPr>
            <w:rFonts w:ascii="Verdana" w:hAnsi="Verdana" w:cs="Tahoma"/>
            <w:sz w:val="20"/>
            <w:szCs w:val="20"/>
          </w:rPr>
          <w:t>Além disso, 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ins>
    </w:p>
    <w:p w14:paraId="593D1490" w14:textId="77777777" w:rsidR="002E1841" w:rsidRDefault="002E1841">
      <w:pPr>
        <w:autoSpaceDE/>
        <w:autoSpaceDN/>
        <w:adjustRightInd/>
        <w:spacing w:before="120" w:after="120" w:line="280" w:lineRule="exact"/>
        <w:jc w:val="both"/>
        <w:rPr>
          <w:rFonts w:ascii="Verdana" w:hAnsi="Verdana" w:cs="Tahoma"/>
          <w:sz w:val="20"/>
          <w:szCs w:val="20"/>
        </w:rPr>
      </w:pPr>
    </w:p>
    <w:p w14:paraId="68AF86BF" w14:textId="77777777" w:rsidR="00EB5CDB" w:rsidRDefault="008E55E6">
      <w:pPr>
        <w:autoSpaceDE/>
        <w:autoSpaceDN/>
        <w:adjustRightInd/>
        <w:rPr>
          <w:rFonts w:ascii="Verdana" w:hAnsi="Verdana" w:cs="Tahoma"/>
          <w:sz w:val="20"/>
          <w:szCs w:val="20"/>
        </w:rPr>
      </w:pPr>
      <w:r>
        <w:rPr>
          <w:rFonts w:ascii="Verdana" w:hAnsi="Verdana" w:cs="Tahoma"/>
          <w:sz w:val="20"/>
          <w:szCs w:val="20"/>
        </w:rPr>
        <w:br w:type="page"/>
      </w:r>
    </w:p>
    <w:p w14:paraId="30D14533" w14:textId="77777777" w:rsidR="00EB5CDB" w:rsidRDefault="00EB5CDB">
      <w:pPr>
        <w:autoSpaceDE/>
        <w:autoSpaceDN/>
        <w:adjustRightInd/>
        <w:rPr>
          <w:rFonts w:ascii="Verdana" w:hAnsi="Verdana" w:cs="Tahoma"/>
          <w:sz w:val="20"/>
          <w:szCs w:val="20"/>
        </w:rPr>
      </w:pPr>
    </w:p>
    <w:p w14:paraId="67587A02" w14:textId="6A59885C" w:rsidR="00EB5CDB" w:rsidRDefault="008E55E6">
      <w:pPr>
        <w:autoSpaceDE/>
        <w:autoSpaceDN/>
        <w:adjustRightInd/>
        <w:spacing w:before="120" w:after="120" w:line="280" w:lineRule="exact"/>
        <w:jc w:val="both"/>
        <w:rPr>
          <w:rFonts w:ascii="Verdana" w:hAnsi="Verdana" w:cs="Tahoma"/>
          <w:b/>
          <w:sz w:val="20"/>
          <w:szCs w:val="20"/>
          <w:u w:val="single"/>
        </w:rPr>
      </w:pPr>
      <w:r>
        <w:rPr>
          <w:rFonts w:ascii="Verdana" w:hAnsi="Verdana" w:cs="Tahoma"/>
          <w:b/>
          <w:sz w:val="20"/>
          <w:szCs w:val="20"/>
          <w:u w:val="single"/>
        </w:rPr>
        <w:t xml:space="preserve">ANEXO V AO </w:t>
      </w:r>
      <w:r>
        <w:rPr>
          <w:rFonts w:ascii="Verdana" w:hAnsi="Verdana"/>
          <w:b/>
          <w:smallCaps/>
          <w:sz w:val="20"/>
          <w:szCs w:val="20"/>
          <w:u w:val="single"/>
        </w:rPr>
        <w:t xml:space="preserve">INSTRUMENTO PARTICULAR DE ESCRITURA DA </w:t>
      </w:r>
      <w:r w:rsidR="00054858">
        <w:rPr>
          <w:rFonts w:ascii="Verdana" w:hAnsi="Verdana"/>
          <w:b/>
          <w:smallCaps/>
          <w:sz w:val="20"/>
          <w:szCs w:val="20"/>
          <w:u w:val="single"/>
        </w:rPr>
        <w:t>2</w:t>
      </w:r>
      <w:r>
        <w:rPr>
          <w:rFonts w:ascii="Verdana" w:hAnsi="Verdana"/>
          <w:b/>
          <w:smallCaps/>
          <w:sz w:val="20"/>
          <w:szCs w:val="20"/>
          <w:u w:val="single"/>
        </w:rPr>
        <w:t>ª (</w:t>
      </w:r>
      <w:r w:rsidR="00054858">
        <w:rPr>
          <w:rFonts w:ascii="Verdana" w:hAnsi="Verdana"/>
          <w:b/>
          <w:smallCaps/>
          <w:sz w:val="20"/>
          <w:szCs w:val="20"/>
          <w:u w:val="single"/>
        </w:rPr>
        <w:t>SEGUNDA</w:t>
      </w:r>
      <w:r>
        <w:rPr>
          <w:rFonts w:ascii="Verdana" w:hAnsi="Verdana"/>
          <w:b/>
          <w:smallCaps/>
          <w:sz w:val="20"/>
          <w:szCs w:val="20"/>
          <w:u w:val="single"/>
        </w:rPr>
        <w:t>) EMISSÃO DE DEBÊNTURES SIMPLES, NÃO CONVERSÍVEIS EM AÇÕES, DA ESPÉCIE COM GARANTIA REAL, EM 2 (DUAS) SÉRIES, PARA DISTRIBUIÇÃO PÚBLICA COM ESFORÇOS RESTRITOS, DA COMPANHIA SECURITIZADORA DE CRÉDITOS FINANCEIROS VERT-</w:t>
      </w:r>
      <w:r w:rsidR="00F470F4">
        <w:rPr>
          <w:rFonts w:ascii="Verdana" w:hAnsi="Verdana"/>
          <w:b/>
          <w:smallCaps/>
          <w:sz w:val="20"/>
          <w:szCs w:val="20"/>
          <w:u w:val="single"/>
        </w:rPr>
        <w:t>GYRA</w:t>
      </w:r>
    </w:p>
    <w:p w14:paraId="484D9FAE" w14:textId="77777777" w:rsidR="00EB5CDB" w:rsidRDefault="00EB5CDB">
      <w:pPr>
        <w:autoSpaceDE/>
        <w:autoSpaceDN/>
        <w:adjustRightInd/>
        <w:rPr>
          <w:rFonts w:ascii="Verdana" w:hAnsi="Verdana" w:cs="Tahoma"/>
          <w:sz w:val="20"/>
          <w:szCs w:val="20"/>
        </w:rPr>
      </w:pPr>
    </w:p>
    <w:p w14:paraId="64F3A0D6" w14:textId="77777777" w:rsidR="00EB5CDB" w:rsidRDefault="008E55E6">
      <w:pPr>
        <w:autoSpaceDE/>
        <w:autoSpaceDN/>
        <w:adjustRightInd/>
        <w:jc w:val="center"/>
        <w:rPr>
          <w:rFonts w:ascii="Verdana" w:hAnsi="Verdana" w:cs="Tahoma"/>
          <w:b/>
          <w:caps/>
          <w:sz w:val="20"/>
          <w:szCs w:val="20"/>
        </w:rPr>
      </w:pPr>
      <w:r>
        <w:rPr>
          <w:rFonts w:ascii="Verdana" w:hAnsi="Verdana" w:cs="Tahoma"/>
          <w:b/>
          <w:caps/>
          <w:sz w:val="20"/>
          <w:szCs w:val="20"/>
        </w:rPr>
        <w:t>Provisão Devedores Duvidosos</w:t>
      </w:r>
    </w:p>
    <w:p w14:paraId="716E2EA5" w14:textId="77777777" w:rsidR="00EB5CDB" w:rsidRDefault="00EB5CDB">
      <w:pPr>
        <w:autoSpaceDE/>
        <w:autoSpaceDN/>
        <w:adjustRightInd/>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2835"/>
        <w:gridCol w:w="5528"/>
      </w:tblGrid>
      <w:tr w:rsidR="00EB5CDB" w14:paraId="15B73C26" w14:textId="77777777">
        <w:tc>
          <w:tcPr>
            <w:tcW w:w="2835" w:type="dxa"/>
          </w:tcPr>
          <w:p w14:paraId="2B006847"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Dias em Inadimplência</w:t>
            </w:r>
          </w:p>
        </w:tc>
        <w:tc>
          <w:tcPr>
            <w:tcW w:w="5528" w:type="dxa"/>
          </w:tcPr>
          <w:p w14:paraId="49AD3AD8" w14:textId="77777777" w:rsidR="00EB5CDB" w:rsidRDefault="008E55E6">
            <w:pPr>
              <w:pStyle w:val="ListaColorida-nfase12"/>
              <w:spacing w:before="120" w:after="120" w:line="280" w:lineRule="exact"/>
              <w:ind w:left="0"/>
              <w:jc w:val="both"/>
              <w:rPr>
                <w:rFonts w:ascii="Verdana" w:hAnsi="Verdana" w:cs="Tahoma"/>
                <w:b/>
                <w:i/>
                <w:sz w:val="20"/>
                <w:szCs w:val="20"/>
              </w:rPr>
            </w:pPr>
            <w:r>
              <w:rPr>
                <w:rFonts w:ascii="Verdana" w:hAnsi="Verdana" w:cs="Tahoma"/>
                <w:b/>
                <w:i/>
                <w:sz w:val="20"/>
                <w:szCs w:val="20"/>
              </w:rPr>
              <w:t xml:space="preserve">Percentual de Provisão </w:t>
            </w:r>
          </w:p>
        </w:tc>
      </w:tr>
      <w:tr w:rsidR="00584983" w14:paraId="789530D1" w14:textId="77777777">
        <w:tc>
          <w:tcPr>
            <w:tcW w:w="2835" w:type="dxa"/>
          </w:tcPr>
          <w:p w14:paraId="318B42D1" w14:textId="07D125DD"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468F0A91" w14:textId="7DA64D19"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r w:rsidR="00584983" w14:paraId="67D85C82" w14:textId="77777777">
        <w:tc>
          <w:tcPr>
            <w:tcW w:w="2835" w:type="dxa"/>
          </w:tcPr>
          <w:p w14:paraId="0E7EC175" w14:textId="6FE8B2AA"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2FD05EFA" w14:textId="20711D78"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r w:rsidR="00584983" w14:paraId="345D3E23" w14:textId="77777777">
        <w:tc>
          <w:tcPr>
            <w:tcW w:w="2835" w:type="dxa"/>
          </w:tcPr>
          <w:p w14:paraId="7261D033" w14:textId="2E843DB1"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2D7D20BA" w14:textId="223F7283"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r w:rsidR="00584983" w14:paraId="36E2F8EB" w14:textId="77777777">
        <w:tc>
          <w:tcPr>
            <w:tcW w:w="2835" w:type="dxa"/>
          </w:tcPr>
          <w:p w14:paraId="782591E3" w14:textId="7718E2CE"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545AB51D" w14:textId="79346C24"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r w:rsidR="00584983" w14:paraId="42EE2B7B" w14:textId="77777777">
        <w:tc>
          <w:tcPr>
            <w:tcW w:w="2835" w:type="dxa"/>
          </w:tcPr>
          <w:p w14:paraId="3C7431FA" w14:textId="6B258F85"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c>
          <w:tcPr>
            <w:tcW w:w="5528" w:type="dxa"/>
          </w:tcPr>
          <w:p w14:paraId="50AE1F28" w14:textId="1AFFD7A1" w:rsidR="00584983" w:rsidRDefault="00584983" w:rsidP="00584983">
            <w:pPr>
              <w:pStyle w:val="ListaColorida-nfase12"/>
              <w:spacing w:before="120" w:after="120" w:line="280" w:lineRule="exact"/>
              <w:ind w:left="0"/>
              <w:jc w:val="both"/>
              <w:rPr>
                <w:rFonts w:ascii="Verdana" w:hAnsi="Verdana" w:cs="Tahoma"/>
                <w:sz w:val="20"/>
                <w:szCs w:val="20"/>
              </w:rPr>
            </w:pPr>
            <w:r w:rsidRPr="003602D4">
              <w:rPr>
                <w:rFonts w:ascii="Verdana" w:hAnsi="Verdana" w:cs="Tahoma"/>
                <w:sz w:val="20"/>
                <w:szCs w:val="20"/>
              </w:rPr>
              <w:t>[</w:t>
            </w:r>
            <w:r w:rsidRPr="003602D4">
              <w:rPr>
                <w:rFonts w:ascii="Verdana" w:hAnsi="Verdana" w:cs="Tahoma"/>
                <w:sz w:val="20"/>
                <w:szCs w:val="20"/>
                <w:highlight w:val="yellow"/>
              </w:rPr>
              <w:t>--</w:t>
            </w:r>
            <w:r w:rsidRPr="003602D4">
              <w:rPr>
                <w:rFonts w:ascii="Verdana" w:hAnsi="Verdana" w:cs="Tahoma"/>
                <w:sz w:val="20"/>
                <w:szCs w:val="20"/>
              </w:rPr>
              <w:t>]</w:t>
            </w:r>
          </w:p>
        </w:tc>
      </w:tr>
    </w:tbl>
    <w:p w14:paraId="4606E161" w14:textId="77777777" w:rsidR="00EB5CDB" w:rsidRDefault="00EB5CDB">
      <w:pPr>
        <w:spacing w:before="120" w:after="120" w:line="280" w:lineRule="exact"/>
        <w:rPr>
          <w:rFonts w:ascii="Verdana" w:hAnsi="Verdana" w:cs="Tahoma"/>
          <w:sz w:val="20"/>
          <w:szCs w:val="20"/>
        </w:rPr>
      </w:pPr>
    </w:p>
    <w:sectPr w:rsidR="00EB5CDB">
      <w:footerReference w:type="default" r:id="rId19"/>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4B0BD" w14:textId="77777777" w:rsidR="00F867FB" w:rsidRDefault="00F867FB">
      <w:r>
        <w:separator/>
      </w:r>
    </w:p>
  </w:endnote>
  <w:endnote w:type="continuationSeparator" w:id="0">
    <w:p w14:paraId="2F6FD3F3" w14:textId="77777777" w:rsidR="00F867FB" w:rsidRDefault="00F867FB">
      <w:r>
        <w:continuationSeparator/>
      </w:r>
    </w:p>
  </w:endnote>
  <w:endnote w:type="continuationNotice" w:id="1">
    <w:p w14:paraId="0460E992" w14:textId="77777777" w:rsidR="00F867FB" w:rsidRDefault="00F86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746B" w14:textId="77777777" w:rsidR="009E7B17" w:rsidRDefault="009E7B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3C70" w14:textId="77777777" w:rsidR="009E7B17" w:rsidRDefault="009E7B17">
    <w:pPr>
      <w:pStyle w:val="Rodap"/>
      <w:jc w:val="right"/>
      <w:rPr>
        <w:rFonts w:ascii="Verdana" w:hAnsi="Verdana"/>
        <w:sz w:val="20"/>
      </w:rPr>
    </w:pPr>
  </w:p>
  <w:p w14:paraId="584D5B6B" w14:textId="77777777" w:rsidR="009E7B17" w:rsidRDefault="009E7B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5B6CC" w14:textId="77777777" w:rsidR="00F867FB" w:rsidRDefault="00F867FB">
      <w:r>
        <w:separator/>
      </w:r>
    </w:p>
  </w:footnote>
  <w:footnote w:type="continuationSeparator" w:id="0">
    <w:p w14:paraId="72F0974E" w14:textId="77777777" w:rsidR="00F867FB" w:rsidRDefault="00F867FB">
      <w:r>
        <w:continuationSeparator/>
      </w:r>
    </w:p>
  </w:footnote>
  <w:footnote w:type="continuationNotice" w:id="1">
    <w:p w14:paraId="2125A6B7" w14:textId="77777777" w:rsidR="00F867FB" w:rsidRDefault="00F86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437A" w14:textId="77777777" w:rsidR="009E7B17" w:rsidRDefault="009E7B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78E1" w14:textId="77777777" w:rsidR="009E7B17" w:rsidRDefault="009E7B17">
    <w:pPr>
      <w:pStyle w:val="Cabealho"/>
      <w:jc w:val="right"/>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6"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35F0C"/>
    <w:multiLevelType w:val="hybridMultilevel"/>
    <w:tmpl w:val="263E936C"/>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2" w15:restartNumberingAfterBreak="0">
    <w:nsid w:val="0CCC2673"/>
    <w:multiLevelType w:val="hybridMultilevel"/>
    <w:tmpl w:val="462684BC"/>
    <w:lvl w:ilvl="0" w:tplc="B5F88886">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8" w15:restartNumberingAfterBreak="0">
    <w:nsid w:val="28F150FA"/>
    <w:multiLevelType w:val="multilevel"/>
    <w:tmpl w:val="E454075C"/>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2"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7"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56" w15:restartNumberingAfterBreak="0">
    <w:nsid w:val="768231CC"/>
    <w:multiLevelType w:val="multilevel"/>
    <w:tmpl w:val="6CFC5CA4"/>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8"/>
  </w:num>
  <w:num w:numId="3">
    <w:abstractNumId w:val="54"/>
  </w:num>
  <w:num w:numId="4">
    <w:abstractNumId w:val="28"/>
  </w:num>
  <w:num w:numId="5">
    <w:abstractNumId w:val="19"/>
  </w:num>
  <w:num w:numId="6">
    <w:abstractNumId w:val="48"/>
  </w:num>
  <w:num w:numId="7">
    <w:abstractNumId w:val="42"/>
  </w:num>
  <w:num w:numId="8">
    <w:abstractNumId w:val="57"/>
  </w:num>
  <w:num w:numId="9">
    <w:abstractNumId w:val="18"/>
  </w:num>
  <w:num w:numId="10">
    <w:abstractNumId w:val="22"/>
  </w:num>
  <w:num w:numId="11">
    <w:abstractNumId w:val="56"/>
  </w:num>
  <w:num w:numId="12">
    <w:abstractNumId w:val="26"/>
  </w:num>
  <w:num w:numId="13">
    <w:abstractNumId w:val="0"/>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23"/>
  </w:num>
  <w:num w:numId="18">
    <w:abstractNumId w:val="15"/>
  </w:num>
  <w:num w:numId="19">
    <w:abstractNumId w:val="31"/>
  </w:num>
  <w:num w:numId="20">
    <w:abstractNumId w:val="27"/>
  </w:num>
  <w:num w:numId="21">
    <w:abstractNumId w:val="55"/>
  </w:num>
  <w:num w:numId="22">
    <w:abstractNumId w:val="3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6"/>
  </w:num>
  <w:num w:numId="26">
    <w:abstractNumId w:val="44"/>
  </w:num>
  <w:num w:numId="27">
    <w:abstractNumId w:val="61"/>
  </w:num>
  <w:num w:numId="28">
    <w:abstractNumId w:val="50"/>
  </w:num>
  <w:num w:numId="29">
    <w:abstractNumId w:val="5"/>
  </w:num>
  <w:num w:numId="30">
    <w:abstractNumId w:val="60"/>
  </w:num>
  <w:num w:numId="31">
    <w:abstractNumId w:val="25"/>
  </w:num>
  <w:num w:numId="32">
    <w:abstractNumId w:val="45"/>
  </w:num>
  <w:num w:numId="33">
    <w:abstractNumId w:val="41"/>
  </w:num>
  <w:num w:numId="34">
    <w:abstractNumId w:val="32"/>
  </w:num>
  <w:num w:numId="35">
    <w:abstractNumId w:val="4"/>
  </w:num>
  <w:num w:numId="36">
    <w:abstractNumId w:val="21"/>
  </w:num>
  <w:num w:numId="37">
    <w:abstractNumId w:val="51"/>
  </w:num>
  <w:num w:numId="38">
    <w:abstractNumId w:val="49"/>
  </w:num>
  <w:num w:numId="39">
    <w:abstractNumId w:val="29"/>
  </w:num>
  <w:num w:numId="40">
    <w:abstractNumId w:val="7"/>
  </w:num>
  <w:num w:numId="41">
    <w:abstractNumId w:val="35"/>
  </w:num>
  <w:num w:numId="42">
    <w:abstractNumId w:val="47"/>
  </w:num>
  <w:num w:numId="43">
    <w:abstractNumId w:val="13"/>
  </w:num>
  <w:num w:numId="44">
    <w:abstractNumId w:val="30"/>
  </w:num>
  <w:num w:numId="45">
    <w:abstractNumId w:val="34"/>
  </w:num>
  <w:num w:numId="4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55"/>
  </w:num>
  <w:num w:numId="56">
    <w:abstractNumId w:val="14"/>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8"/>
  </w:num>
  <w:num w:numId="61">
    <w:abstractNumId w:val="59"/>
  </w:num>
  <w:num w:numId="62">
    <w:abstractNumId w:val="6"/>
  </w:num>
  <w:num w:numId="63">
    <w:abstractNumId w:val="33"/>
  </w:num>
  <w:num w:numId="64">
    <w:abstractNumId w:val="36"/>
  </w:num>
  <w:num w:numId="65">
    <w:abstractNumId w:val="8"/>
  </w:num>
  <w:num w:numId="66">
    <w:abstractNumId w:val="11"/>
  </w:num>
  <w:num w:numId="67">
    <w:abstractNumId w:val="9"/>
  </w:num>
  <w:num w:numId="68">
    <w:abstractNumId w:val="55"/>
  </w:num>
  <w:num w:numId="69">
    <w:abstractNumId w:val="55"/>
  </w:num>
  <w:num w:numId="70">
    <w:abstractNumId w:val="40"/>
  </w:num>
  <w:num w:numId="71">
    <w:abstractNumId w:val="3"/>
  </w:num>
  <w:num w:numId="72">
    <w:abstractNumId w:val="46"/>
  </w:num>
  <w:num w:numId="73">
    <w:abstractNumId w:val="24"/>
  </w:num>
  <w:num w:numId="74">
    <w:abstractNumId w:val="2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17F48"/>
    <w:rsid w:val="00054858"/>
    <w:rsid w:val="00061430"/>
    <w:rsid w:val="00061FD6"/>
    <w:rsid w:val="00065139"/>
    <w:rsid w:val="000703E3"/>
    <w:rsid w:val="000713B1"/>
    <w:rsid w:val="000A456E"/>
    <w:rsid w:val="000B7D26"/>
    <w:rsid w:val="000F6B0C"/>
    <w:rsid w:val="00107CC1"/>
    <w:rsid w:val="00176781"/>
    <w:rsid w:val="001F5F8A"/>
    <w:rsid w:val="002500C3"/>
    <w:rsid w:val="00251802"/>
    <w:rsid w:val="00251E22"/>
    <w:rsid w:val="002B1CAB"/>
    <w:rsid w:val="002E1841"/>
    <w:rsid w:val="00306A61"/>
    <w:rsid w:val="00312DF9"/>
    <w:rsid w:val="00312E0C"/>
    <w:rsid w:val="0035022B"/>
    <w:rsid w:val="003A66FD"/>
    <w:rsid w:val="003C450E"/>
    <w:rsid w:val="00435E3F"/>
    <w:rsid w:val="004509C0"/>
    <w:rsid w:val="00480315"/>
    <w:rsid w:val="004D2F65"/>
    <w:rsid w:val="00514413"/>
    <w:rsid w:val="00551D05"/>
    <w:rsid w:val="00584983"/>
    <w:rsid w:val="0059795D"/>
    <w:rsid w:val="005A7227"/>
    <w:rsid w:val="00617C86"/>
    <w:rsid w:val="00646D01"/>
    <w:rsid w:val="00653EC5"/>
    <w:rsid w:val="00654C24"/>
    <w:rsid w:val="00696595"/>
    <w:rsid w:val="006C355A"/>
    <w:rsid w:val="006D17D9"/>
    <w:rsid w:val="006E2FA9"/>
    <w:rsid w:val="006F22B6"/>
    <w:rsid w:val="006F2A2A"/>
    <w:rsid w:val="00706073"/>
    <w:rsid w:val="00711B4D"/>
    <w:rsid w:val="007120CB"/>
    <w:rsid w:val="007323F3"/>
    <w:rsid w:val="00773C5E"/>
    <w:rsid w:val="007813F3"/>
    <w:rsid w:val="007A2038"/>
    <w:rsid w:val="007A271B"/>
    <w:rsid w:val="007B224C"/>
    <w:rsid w:val="0081697D"/>
    <w:rsid w:val="008A21AF"/>
    <w:rsid w:val="008C3160"/>
    <w:rsid w:val="008D5596"/>
    <w:rsid w:val="008D6F6D"/>
    <w:rsid w:val="008E55E6"/>
    <w:rsid w:val="00916CF6"/>
    <w:rsid w:val="00933FCF"/>
    <w:rsid w:val="00947946"/>
    <w:rsid w:val="00950EAF"/>
    <w:rsid w:val="0095295B"/>
    <w:rsid w:val="009C2A92"/>
    <w:rsid w:val="009C2DD3"/>
    <w:rsid w:val="009E4D05"/>
    <w:rsid w:val="009E7B17"/>
    <w:rsid w:val="00A1258F"/>
    <w:rsid w:val="00A870AB"/>
    <w:rsid w:val="00AA4EA8"/>
    <w:rsid w:val="00B0751C"/>
    <w:rsid w:val="00B52409"/>
    <w:rsid w:val="00B75E9B"/>
    <w:rsid w:val="00BA08A7"/>
    <w:rsid w:val="00BA774E"/>
    <w:rsid w:val="00BB43A4"/>
    <w:rsid w:val="00BE4F04"/>
    <w:rsid w:val="00C32572"/>
    <w:rsid w:val="00CC270D"/>
    <w:rsid w:val="00CE1770"/>
    <w:rsid w:val="00D06DE5"/>
    <w:rsid w:val="00D20BBE"/>
    <w:rsid w:val="00D527EA"/>
    <w:rsid w:val="00EB5B24"/>
    <w:rsid w:val="00EB5CDB"/>
    <w:rsid w:val="00F223CF"/>
    <w:rsid w:val="00F470F4"/>
    <w:rsid w:val="00F563FC"/>
    <w:rsid w:val="00F867FB"/>
    <w:rsid w:val="00F947EC"/>
    <w:rsid w:val="00F94F61"/>
    <w:rsid w:val="00F95482"/>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styleId="MenoPendente">
    <w:name w:val="Unresolved Mention"/>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 J U R _ S P ! 3 0 8 3 3 4 6 9 . 9 < / d o c u m e n t i d >  
     < s e n d e r i d > H S N < / s e n d e r i d >  
     < s e n d e r e m a i l > T A M B R O S A N O @ P N . C O M . B R < / s e n d e r e m a i l >  
     < l a s t m o d i f i e d > 2 0 1 8 - 0 9 - 1 9 T 2 2 : 0 2 : 0 0 . 0 0 0 0 0 0 0 - 0 3 : 0 0 < / l a s t m o d i f i e d >  
 < / p r o p e r t i e s > 
</file>

<file path=customXml/itemProps1.xml><?xml version="1.0" encoding="utf-8"?>
<ds:datastoreItem xmlns:ds="http://schemas.openxmlformats.org/officeDocument/2006/customXml" ds:itemID="{B2E80295-16A5-49DA-93C7-36EA80782F22}">
  <ds:schemaRefs>
    <ds:schemaRef ds:uri="http://schemas.openxmlformats.org/officeDocument/2006/bibliography"/>
  </ds:schemaRefs>
</ds:datastoreItem>
</file>

<file path=customXml/itemProps2.xml><?xml version="1.0" encoding="utf-8"?>
<ds:datastoreItem xmlns:ds="http://schemas.openxmlformats.org/officeDocument/2006/customXml" ds:itemID="{70B010B4-0953-4B6F-A986-CD74AD8E6E2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36331</Words>
  <Characters>196190</Characters>
  <Application>Microsoft Office Word</Application>
  <DocSecurity>0</DocSecurity>
  <Lines>1634</Lines>
  <Paragraphs>464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1</cp:revision>
  <cp:lastPrinted>2018-07-02T22:41:00Z</cp:lastPrinted>
  <dcterms:created xsi:type="dcterms:W3CDTF">2020-09-17T03:03:00Z</dcterms:created>
  <dcterms:modified xsi:type="dcterms:W3CDTF">2020-09-17T03:08:00Z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30833469v9 - 11264002.377497</vt:lpwstr>
  </property>
</Properties>
</file>